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B3AE9" w14:textId="77777777" w:rsidR="007A69E1" w:rsidRDefault="007A69E1">
      <w:pPr>
        <w:spacing w:before="240" w:line="360" w:lineRule="auto"/>
        <w:jc w:val="both"/>
        <w:rPr>
          <w:b/>
          <w:bCs/>
          <w:color w:val="000000"/>
        </w:rPr>
      </w:pPr>
      <w:bookmarkStart w:id="0" w:name="_54lcnr1zeh85" w:colFirst="0" w:colLast="0"/>
      <w:bookmarkEnd w:id="0"/>
    </w:p>
    <w:p w14:paraId="06DFD7D6" w14:textId="77777777" w:rsidR="007A69E1" w:rsidRDefault="007A69E1">
      <w:pPr>
        <w:spacing w:before="240" w:line="360" w:lineRule="auto"/>
        <w:jc w:val="both"/>
        <w:rPr>
          <w:b/>
          <w:bCs/>
          <w:color w:val="000000"/>
        </w:rPr>
      </w:pPr>
    </w:p>
    <w:p w14:paraId="5467E264" w14:textId="77777777" w:rsidR="007A69E1" w:rsidRDefault="00F14D7D">
      <w:pPr>
        <w:spacing w:before="240" w:line="360" w:lineRule="auto"/>
        <w:jc w:val="center"/>
        <w:rPr>
          <w:color w:val="000000"/>
          <w:sz w:val="32"/>
          <w:szCs w:val="32"/>
        </w:rPr>
      </w:pPr>
      <w:r>
        <w:rPr>
          <w:b/>
          <w:bCs/>
          <w:color w:val="000000"/>
          <w:sz w:val="32"/>
          <w:szCs w:val="32"/>
        </w:rPr>
        <w:t>LEVEL 7 ASSESSMENT SPECIFICATION</w:t>
      </w:r>
    </w:p>
    <w:p w14:paraId="3064F244" w14:textId="77777777" w:rsidR="007A69E1" w:rsidRDefault="00F14D7D">
      <w:pPr>
        <w:spacing w:before="240" w:line="360" w:lineRule="auto"/>
        <w:jc w:val="center"/>
        <w:rPr>
          <w:b/>
          <w:bCs/>
          <w:color w:val="000000"/>
          <w:sz w:val="32"/>
          <w:szCs w:val="32"/>
        </w:rPr>
      </w:pPr>
      <w:bookmarkStart w:id="1" w:name="_2hszhnptyqi4" w:colFirst="0" w:colLast="0"/>
      <w:bookmarkEnd w:id="1"/>
      <w:r>
        <w:rPr>
          <w:b/>
          <w:bCs/>
          <w:color w:val="000000"/>
          <w:sz w:val="32"/>
          <w:szCs w:val="32"/>
        </w:rPr>
        <w:t>PROGRAMME: MSC PUBLIC HEALTH AND SOCIAL CARE IN PRACTICE</w:t>
      </w:r>
    </w:p>
    <w:p w14:paraId="2BAEEFAC" w14:textId="77777777" w:rsidR="007A69E1" w:rsidRDefault="00F14D7D">
      <w:pPr>
        <w:spacing w:before="240" w:line="360" w:lineRule="auto"/>
        <w:jc w:val="center"/>
        <w:rPr>
          <w:b/>
          <w:bCs/>
          <w:color w:val="000000"/>
          <w:sz w:val="32"/>
          <w:szCs w:val="32"/>
        </w:rPr>
      </w:pPr>
      <w:r>
        <w:rPr>
          <w:b/>
          <w:bCs/>
          <w:color w:val="000000"/>
          <w:sz w:val="32"/>
          <w:szCs w:val="32"/>
        </w:rPr>
        <w:t>MODULE: HEALTH CARE SYSTEM ORGANISATION AND LEADERSHIP</w:t>
      </w:r>
    </w:p>
    <w:p w14:paraId="712D7292" w14:textId="77777777" w:rsidR="007A69E1" w:rsidRDefault="00F14D7D">
      <w:pPr>
        <w:spacing w:before="240" w:line="360" w:lineRule="auto"/>
        <w:jc w:val="center"/>
        <w:rPr>
          <w:b/>
          <w:bCs/>
          <w:color w:val="000000"/>
          <w:sz w:val="32"/>
          <w:szCs w:val="32"/>
        </w:rPr>
      </w:pPr>
      <w:r>
        <w:rPr>
          <w:b/>
          <w:bCs/>
          <w:color w:val="000000"/>
          <w:sz w:val="32"/>
          <w:szCs w:val="32"/>
        </w:rPr>
        <w:t>MODULE CODE: LCHS7002</w:t>
      </w:r>
    </w:p>
    <w:p w14:paraId="77914A1D" w14:textId="77777777" w:rsidR="007A69E1" w:rsidRDefault="00F14D7D">
      <w:pPr>
        <w:spacing w:before="240" w:line="360" w:lineRule="auto"/>
        <w:jc w:val="center"/>
        <w:rPr>
          <w:b/>
          <w:bCs/>
          <w:color w:val="000000"/>
          <w:sz w:val="32"/>
          <w:szCs w:val="32"/>
        </w:rPr>
      </w:pPr>
      <w:r>
        <w:rPr>
          <w:b/>
          <w:bCs/>
          <w:color w:val="000000"/>
          <w:sz w:val="32"/>
          <w:szCs w:val="32"/>
        </w:rPr>
        <w:t>ASSIGNMENT TITLE: CASE STUDY ANALYSIS REPORT</w:t>
      </w:r>
    </w:p>
    <w:p w14:paraId="1BD53D23" w14:textId="636902CA" w:rsidR="007A69E1" w:rsidRDefault="00F14D7D">
      <w:pPr>
        <w:spacing w:before="240" w:line="360" w:lineRule="auto"/>
        <w:jc w:val="center"/>
        <w:rPr>
          <w:b/>
          <w:bCs/>
          <w:color w:val="000000"/>
          <w:sz w:val="28"/>
          <w:szCs w:val="28"/>
        </w:rPr>
      </w:pPr>
      <w:r>
        <w:rPr>
          <w:b/>
          <w:bCs/>
          <w:color w:val="000000"/>
          <w:sz w:val="28"/>
          <w:szCs w:val="28"/>
        </w:rPr>
        <w:t>STUDENT NAME:</w:t>
      </w:r>
      <w:r w:rsidR="00706B57">
        <w:rPr>
          <w:b/>
          <w:bCs/>
          <w:color w:val="000000"/>
          <w:sz w:val="28"/>
          <w:szCs w:val="28"/>
        </w:rPr>
        <w:t xml:space="preserve"> SHIVANGI TANK</w:t>
      </w:r>
    </w:p>
    <w:p w14:paraId="5E973244" w14:textId="77CE4889" w:rsidR="007A69E1" w:rsidRDefault="00F14D7D">
      <w:pPr>
        <w:spacing w:before="240" w:line="360" w:lineRule="auto"/>
        <w:jc w:val="center"/>
        <w:rPr>
          <w:b/>
          <w:bCs/>
          <w:color w:val="000000"/>
          <w:sz w:val="28"/>
          <w:szCs w:val="28"/>
        </w:rPr>
      </w:pPr>
      <w:r>
        <w:rPr>
          <w:b/>
          <w:bCs/>
          <w:color w:val="000000"/>
          <w:sz w:val="28"/>
          <w:szCs w:val="28"/>
        </w:rPr>
        <w:t>STUDENT ID NUMBER:</w:t>
      </w:r>
      <w:r w:rsidR="00706B57">
        <w:rPr>
          <w:b/>
          <w:bCs/>
          <w:color w:val="000000"/>
          <w:sz w:val="28"/>
          <w:szCs w:val="28"/>
        </w:rPr>
        <w:t xml:space="preserve"> 2530748</w:t>
      </w:r>
    </w:p>
    <w:p w14:paraId="697050A3" w14:textId="4418A186" w:rsidR="007A69E1" w:rsidRDefault="00F14D7D">
      <w:pPr>
        <w:spacing w:before="240" w:line="360" w:lineRule="auto"/>
        <w:jc w:val="center"/>
        <w:rPr>
          <w:b/>
          <w:bCs/>
          <w:color w:val="000000"/>
          <w:sz w:val="28"/>
          <w:szCs w:val="28"/>
        </w:rPr>
      </w:pPr>
      <w:r>
        <w:rPr>
          <w:b/>
          <w:bCs/>
          <w:color w:val="000000"/>
          <w:sz w:val="28"/>
          <w:szCs w:val="28"/>
        </w:rPr>
        <w:t>LECTURER’S NAME:</w:t>
      </w:r>
      <w:r w:rsidR="00706B57">
        <w:rPr>
          <w:b/>
          <w:bCs/>
          <w:color w:val="000000"/>
          <w:sz w:val="28"/>
          <w:szCs w:val="28"/>
        </w:rPr>
        <w:t xml:space="preserve"> </w:t>
      </w:r>
      <w:proofErr w:type="spellStart"/>
      <w:proofErr w:type="gramStart"/>
      <w:r w:rsidR="00706B57">
        <w:rPr>
          <w:b/>
          <w:bCs/>
          <w:color w:val="000000"/>
          <w:sz w:val="28"/>
          <w:szCs w:val="28"/>
        </w:rPr>
        <w:t>Dr.Pascal</w:t>
      </w:r>
      <w:proofErr w:type="spellEnd"/>
      <w:proofErr w:type="gramEnd"/>
      <w:r w:rsidR="00706B57">
        <w:rPr>
          <w:b/>
          <w:bCs/>
          <w:color w:val="000000"/>
          <w:sz w:val="28"/>
          <w:szCs w:val="28"/>
        </w:rPr>
        <w:t xml:space="preserve"> </w:t>
      </w:r>
      <w:proofErr w:type="spellStart"/>
      <w:r w:rsidR="00706B57">
        <w:rPr>
          <w:b/>
          <w:bCs/>
          <w:color w:val="000000"/>
          <w:sz w:val="28"/>
          <w:szCs w:val="28"/>
        </w:rPr>
        <w:t>Navelle</w:t>
      </w:r>
      <w:proofErr w:type="spellEnd"/>
      <w:r w:rsidR="00706B57" w:rsidRPr="00706B57">
        <w:rPr>
          <w:color w:val="1D2125"/>
          <w:sz w:val="23"/>
          <w:szCs w:val="23"/>
          <w:shd w:val="clear" w:color="auto" w:fill="FFFFFF"/>
        </w:rPr>
        <w:t xml:space="preserve"> </w:t>
      </w:r>
    </w:p>
    <w:p w14:paraId="14D279AC" w14:textId="77777777" w:rsidR="007A69E1" w:rsidRDefault="00F14D7D">
      <w:pPr>
        <w:spacing w:before="240" w:line="360" w:lineRule="auto"/>
        <w:jc w:val="center"/>
        <w:rPr>
          <w:b/>
          <w:bCs/>
          <w:color w:val="000000"/>
          <w:sz w:val="28"/>
          <w:szCs w:val="28"/>
        </w:rPr>
      </w:pPr>
      <w:r>
        <w:rPr>
          <w:b/>
          <w:bCs/>
          <w:color w:val="000000"/>
          <w:sz w:val="28"/>
          <w:szCs w:val="28"/>
        </w:rPr>
        <w:t>WORD COUNT: 51</w:t>
      </w:r>
      <w:r>
        <w:rPr>
          <w:b/>
          <w:bCs/>
          <w:sz w:val="28"/>
          <w:szCs w:val="28"/>
        </w:rPr>
        <w:t>3</w:t>
      </w:r>
      <w:r>
        <w:rPr>
          <w:b/>
          <w:bCs/>
          <w:color w:val="000000"/>
          <w:sz w:val="28"/>
          <w:szCs w:val="28"/>
        </w:rPr>
        <w:t>5</w:t>
      </w:r>
    </w:p>
    <w:p w14:paraId="69928A02" w14:textId="77777777" w:rsidR="007A69E1" w:rsidRDefault="00F14D7D">
      <w:pPr>
        <w:spacing w:before="240" w:line="360" w:lineRule="auto"/>
        <w:jc w:val="both"/>
        <w:rPr>
          <w:b/>
          <w:bCs/>
          <w:color w:val="000000"/>
        </w:rPr>
      </w:pPr>
      <w:r>
        <w:br w:type="page"/>
      </w:r>
    </w:p>
    <w:p w14:paraId="35C5565A" w14:textId="77777777" w:rsidR="007A69E1" w:rsidRDefault="00F14D7D">
      <w:pPr>
        <w:keepNext/>
        <w:keepLines/>
        <w:pBdr>
          <w:top w:val="nil"/>
          <w:left w:val="nil"/>
          <w:bottom w:val="nil"/>
          <w:right w:val="nil"/>
          <w:between w:val="nil"/>
        </w:pBdr>
        <w:spacing w:before="240" w:line="360" w:lineRule="auto"/>
        <w:jc w:val="both"/>
        <w:rPr>
          <w:b/>
          <w:bCs/>
          <w:color w:val="000000"/>
        </w:rPr>
      </w:pPr>
      <w:r>
        <w:rPr>
          <w:b/>
          <w:bCs/>
          <w:color w:val="000000"/>
        </w:rPr>
        <w:lastRenderedPageBreak/>
        <w:t>Table of Contents</w:t>
      </w:r>
    </w:p>
    <w:sdt>
      <w:sdtPr>
        <w:id w:val="-505043555"/>
        <w:docPartObj>
          <w:docPartGallery w:val="Table of Contents"/>
          <w:docPartUnique/>
        </w:docPartObj>
      </w:sdtPr>
      <w:sdtEndPr/>
      <w:sdtContent>
        <w:p w14:paraId="6E8E9C8D" w14:textId="77777777" w:rsidR="007A69E1" w:rsidRDefault="00F14D7D">
          <w:pPr>
            <w:pBdr>
              <w:top w:val="nil"/>
              <w:left w:val="nil"/>
              <w:bottom w:val="nil"/>
              <w:right w:val="nil"/>
              <w:between w:val="nil"/>
            </w:pBdr>
            <w:tabs>
              <w:tab w:val="right" w:pos="9019"/>
            </w:tabs>
            <w:spacing w:before="240" w:after="100" w:line="360" w:lineRule="auto"/>
            <w:jc w:val="both"/>
            <w:rPr>
              <w:rFonts w:ascii="Cambria" w:eastAsia="Cambria" w:hAnsi="Cambria" w:cs="Cambria"/>
              <w:color w:val="000000"/>
            </w:rPr>
          </w:pPr>
          <w:r>
            <w:fldChar w:fldCharType="begin"/>
          </w:r>
          <w:r>
            <w:instrText xml:space="preserve"> TOC \h \u \z \t "Heading 1,1,Heading 2,2,Heading 3,3,"</w:instrText>
          </w:r>
          <w:r>
            <w:fldChar w:fldCharType="separate"/>
          </w:r>
          <w:hyperlink w:anchor="_5mfo5kewt32y">
            <w:r>
              <w:rPr>
                <w:color w:val="000000"/>
              </w:rPr>
              <w:t>1. Introduction</w:t>
            </w:r>
            <w:r>
              <w:rPr>
                <w:color w:val="000000"/>
              </w:rPr>
              <w:tab/>
              <w:t>4</w:t>
            </w:r>
          </w:hyperlink>
        </w:p>
        <w:p w14:paraId="7018AF9A"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w2tjb4b5bjhi">
            <w:r>
              <w:rPr>
                <w:color w:val="000000"/>
              </w:rPr>
              <w:t>1.1 Background</w:t>
            </w:r>
            <w:r>
              <w:rPr>
                <w:color w:val="000000"/>
              </w:rPr>
              <w:tab/>
              <w:t>4</w:t>
            </w:r>
          </w:hyperlink>
        </w:p>
        <w:p w14:paraId="7E1593D0"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usrwnucdtx78">
            <w:r>
              <w:rPr>
                <w:color w:val="000000"/>
              </w:rPr>
              <w:t>1.2 Leadership and Organisational Structure in Healthcare</w:t>
            </w:r>
            <w:r>
              <w:rPr>
                <w:color w:val="000000"/>
              </w:rPr>
              <w:tab/>
              <w:t>4</w:t>
            </w:r>
          </w:hyperlink>
        </w:p>
        <w:p w14:paraId="1CD48FEC"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etapy78nbvi6">
            <w:r>
              <w:rPr>
                <w:color w:val="000000"/>
              </w:rPr>
              <w:t>1.3 Leadership Theories and Systems Thinking</w:t>
            </w:r>
            <w:r>
              <w:rPr>
                <w:color w:val="000000"/>
              </w:rPr>
              <w:tab/>
              <w:t>5</w:t>
            </w:r>
          </w:hyperlink>
        </w:p>
        <w:p w14:paraId="21A1FFDE"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qzask6wl33wj">
            <w:r>
              <w:rPr>
                <w:color w:val="000000"/>
              </w:rPr>
              <w:t>1.4 Purpose and Structure of the Report</w:t>
            </w:r>
            <w:r>
              <w:rPr>
                <w:color w:val="000000"/>
              </w:rPr>
              <w:tab/>
              <w:t>6</w:t>
            </w:r>
          </w:hyperlink>
        </w:p>
        <w:p w14:paraId="5EE1A4CA" w14:textId="77777777" w:rsidR="007A69E1" w:rsidRDefault="00F14D7D">
          <w:pPr>
            <w:pBdr>
              <w:top w:val="nil"/>
              <w:left w:val="nil"/>
              <w:bottom w:val="nil"/>
              <w:right w:val="nil"/>
              <w:between w:val="nil"/>
            </w:pBdr>
            <w:tabs>
              <w:tab w:val="right" w:pos="9019"/>
            </w:tabs>
            <w:spacing w:before="240" w:after="100" w:line="360" w:lineRule="auto"/>
            <w:jc w:val="both"/>
            <w:rPr>
              <w:rFonts w:ascii="Cambria" w:eastAsia="Cambria" w:hAnsi="Cambria" w:cs="Cambria"/>
              <w:color w:val="000000"/>
            </w:rPr>
          </w:pPr>
          <w:hyperlink w:anchor="_2pu0yaun7cd0">
            <w:r>
              <w:rPr>
                <w:color w:val="000000"/>
              </w:rPr>
              <w:t>2. Main Body</w:t>
            </w:r>
            <w:r>
              <w:rPr>
                <w:color w:val="000000"/>
              </w:rPr>
              <w:tab/>
              <w:t>7</w:t>
            </w:r>
          </w:hyperlink>
        </w:p>
        <w:p w14:paraId="117BBB9E"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fabxpa1reezo">
            <w:r>
              <w:rPr>
                <w:color w:val="000000"/>
              </w:rPr>
              <w:t>a. Identifying the Problem Using Systems Thi</w:t>
            </w:r>
            <w:r>
              <w:rPr>
                <w:color w:val="000000"/>
              </w:rPr>
              <w:t>nking</w:t>
            </w:r>
            <w:r>
              <w:rPr>
                <w:color w:val="000000"/>
              </w:rPr>
              <w:tab/>
              <w:t>7</w:t>
            </w:r>
          </w:hyperlink>
        </w:p>
        <w:p w14:paraId="52D954E5"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qslnuatvxksv">
            <w:r>
              <w:rPr>
                <w:color w:val="000000"/>
              </w:rPr>
              <w:t>2. a.1 Defining the Central Problem</w:t>
            </w:r>
            <w:r>
              <w:rPr>
                <w:color w:val="000000"/>
              </w:rPr>
              <w:tab/>
              <w:t>7</w:t>
            </w:r>
          </w:hyperlink>
        </w:p>
        <w:p w14:paraId="769AAD61"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rhhbsocj0thl">
            <w:r>
              <w:rPr>
                <w:color w:val="000000"/>
              </w:rPr>
              <w:t>2.a.2 National and International Significance of the Problem</w:t>
            </w:r>
            <w:r>
              <w:rPr>
                <w:color w:val="000000"/>
              </w:rPr>
              <w:tab/>
              <w:t>7</w:t>
            </w:r>
          </w:hyperlink>
        </w:p>
        <w:p w14:paraId="26FA5A6D"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7y9bn2abavcf">
            <w:r>
              <w:rPr>
                <w:color w:val="000000"/>
              </w:rPr>
              <w:t>2.a.3 Applying Systems Thinking to the Case Study</w:t>
            </w:r>
            <w:r>
              <w:rPr>
                <w:color w:val="000000"/>
              </w:rPr>
              <w:tab/>
              <w:t>9</w:t>
            </w:r>
          </w:hyperlink>
        </w:p>
        <w:p w14:paraId="6D6BC88F"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fbeh2n32359c">
            <w:r>
              <w:rPr>
                <w:color w:val="000000"/>
              </w:rPr>
              <w:t>2.a.4 Identification of System Weaknesses</w:t>
            </w:r>
            <w:r>
              <w:rPr>
                <w:color w:val="000000"/>
              </w:rPr>
              <w:tab/>
              <w:t>11</w:t>
            </w:r>
          </w:hyperlink>
        </w:p>
        <w:p w14:paraId="5AFA024B"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rvxjld8orofx">
            <w:r>
              <w:rPr>
                <w:color w:val="000000"/>
              </w:rPr>
              <w:t>2.a.5 Underlying Organisational Challenges</w:t>
            </w:r>
            <w:r>
              <w:rPr>
                <w:color w:val="000000"/>
              </w:rPr>
              <w:tab/>
              <w:t>12</w:t>
            </w:r>
          </w:hyperlink>
        </w:p>
        <w:p w14:paraId="4436EA43"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xt1fu4dfhiy7">
            <w:r>
              <w:rPr>
                <w:color w:val="000000"/>
              </w:rPr>
              <w:t>2.a.6</w:t>
            </w:r>
            <w:r>
              <w:rPr>
                <w:color w:val="000000"/>
              </w:rPr>
              <w:t xml:space="preserve"> Rich Picture</w:t>
            </w:r>
            <w:r>
              <w:rPr>
                <w:color w:val="000000"/>
              </w:rPr>
              <w:tab/>
              <w:t>12</w:t>
            </w:r>
          </w:hyperlink>
        </w:p>
        <w:p w14:paraId="09C5DF37"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uekxww85yvei">
            <w:r>
              <w:rPr>
                <w:color w:val="000000"/>
              </w:rPr>
              <w:t>2.b. Centralisation vs. Decentralisation</w:t>
            </w:r>
            <w:r>
              <w:rPr>
                <w:color w:val="000000"/>
              </w:rPr>
              <w:tab/>
              <w:t>14</w:t>
            </w:r>
          </w:hyperlink>
        </w:p>
        <w:p w14:paraId="0710F06A"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hftu3by3vkz7">
            <w:r>
              <w:rPr>
                <w:color w:val="000000"/>
              </w:rPr>
              <w:t>2.b.1 Centralised System within Patient X's Case</w:t>
            </w:r>
            <w:r>
              <w:rPr>
                <w:color w:val="000000"/>
              </w:rPr>
              <w:tab/>
              <w:t>14</w:t>
            </w:r>
          </w:hyperlink>
        </w:p>
        <w:p w14:paraId="2FE3C529"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vnsuk765tbc3">
            <w:r>
              <w:rPr>
                <w:color w:val="000000"/>
              </w:rPr>
              <w:t>2.b.3 Decentralised System within P</w:t>
            </w:r>
            <w:r>
              <w:rPr>
                <w:color w:val="000000"/>
              </w:rPr>
              <w:t>atient X's Case</w:t>
            </w:r>
            <w:r>
              <w:rPr>
                <w:color w:val="000000"/>
              </w:rPr>
              <w:tab/>
              <w:t>15</w:t>
            </w:r>
          </w:hyperlink>
        </w:p>
        <w:p w14:paraId="500F87A4"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225yap42pcfk">
            <w:r>
              <w:rPr>
                <w:color w:val="000000"/>
              </w:rPr>
              <w:t>2.b.4 Comparative Critical Analysis</w:t>
            </w:r>
            <w:r>
              <w:rPr>
                <w:color w:val="000000"/>
              </w:rPr>
              <w:tab/>
              <w:t>17</w:t>
            </w:r>
          </w:hyperlink>
        </w:p>
        <w:p w14:paraId="7ED37EEF"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q9bwm98n8yl">
            <w:r>
              <w:rPr>
                <w:color w:val="000000"/>
              </w:rPr>
              <w:t>Impact on Decision-Making</w:t>
            </w:r>
            <w:r>
              <w:rPr>
                <w:color w:val="000000"/>
              </w:rPr>
              <w:tab/>
              <w:t>17</w:t>
            </w:r>
          </w:hyperlink>
        </w:p>
        <w:p w14:paraId="12B9874B"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f60vf6unjhv9">
            <w:r>
              <w:rPr>
                <w:color w:val="000000"/>
              </w:rPr>
              <w:t>2.c. Leadership Theory Application</w:t>
            </w:r>
            <w:r>
              <w:rPr>
                <w:color w:val="000000"/>
              </w:rPr>
              <w:tab/>
              <w:t>19</w:t>
            </w:r>
          </w:hyperlink>
        </w:p>
        <w:p w14:paraId="72881472"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7nwhgh5j9oba">
            <w:r>
              <w:rPr>
                <w:color w:val="000000"/>
              </w:rPr>
              <w:t>2.c.1 Application of leadership theories</w:t>
            </w:r>
            <w:r>
              <w:rPr>
                <w:color w:val="000000"/>
              </w:rPr>
              <w:tab/>
              <w:t>19</w:t>
            </w:r>
          </w:hyperlink>
        </w:p>
        <w:p w14:paraId="69854F33"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tg60p7adyh31">
            <w:r>
              <w:rPr>
                <w:color w:val="000000"/>
              </w:rPr>
              <w:t>2.c.3 Comparative Critical Analysis of Leadership Theories</w:t>
            </w:r>
            <w:r>
              <w:rPr>
                <w:color w:val="000000"/>
              </w:rPr>
              <w:tab/>
              <w:t>23</w:t>
            </w:r>
          </w:hyperlink>
        </w:p>
        <w:p w14:paraId="3A3C460C"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mrln9w7uj5i7">
            <w:r>
              <w:rPr>
                <w:color w:val="000000"/>
              </w:rPr>
              <w:t xml:space="preserve">2d. </w:t>
            </w:r>
            <w:r>
              <w:rPr>
                <w:color w:val="000000"/>
              </w:rPr>
              <w:t>Critique, improvements and lessons learned</w:t>
            </w:r>
            <w:r>
              <w:rPr>
                <w:color w:val="000000"/>
              </w:rPr>
              <w:tab/>
              <w:t>25</w:t>
            </w:r>
          </w:hyperlink>
        </w:p>
        <w:p w14:paraId="35581121"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g37ywoze1fbe">
            <w:r>
              <w:rPr>
                <w:color w:val="000000"/>
              </w:rPr>
              <w:t>2.d.1 Strengthening Medication Safety and Clinical Governance</w:t>
            </w:r>
            <w:r>
              <w:rPr>
                <w:color w:val="000000"/>
              </w:rPr>
              <w:tab/>
              <w:t>25</w:t>
            </w:r>
          </w:hyperlink>
        </w:p>
        <w:p w14:paraId="0E95DF81"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2baoo47prjz3">
            <w:r>
              <w:rPr>
                <w:color w:val="000000"/>
              </w:rPr>
              <w:t>2.d.2 Improving Leadership and Multidisciplinary Communication</w:t>
            </w:r>
            <w:r>
              <w:rPr>
                <w:color w:val="000000"/>
              </w:rPr>
              <w:tab/>
              <w:t>27</w:t>
            </w:r>
          </w:hyperlink>
        </w:p>
        <w:p w14:paraId="26AC1A67" w14:textId="77777777" w:rsidR="007A69E1" w:rsidRDefault="00F14D7D">
          <w:pPr>
            <w:pBdr>
              <w:top w:val="nil"/>
              <w:left w:val="nil"/>
              <w:bottom w:val="nil"/>
              <w:right w:val="nil"/>
              <w:between w:val="nil"/>
            </w:pBdr>
            <w:tabs>
              <w:tab w:val="right" w:pos="9019"/>
            </w:tabs>
            <w:spacing w:before="240" w:after="100" w:line="360" w:lineRule="auto"/>
            <w:ind w:left="440"/>
            <w:jc w:val="both"/>
            <w:rPr>
              <w:rFonts w:ascii="Cambria" w:eastAsia="Cambria" w:hAnsi="Cambria" w:cs="Cambria"/>
              <w:color w:val="000000"/>
            </w:rPr>
          </w:pPr>
          <w:hyperlink w:anchor="_lcqqv168jkyv">
            <w:r>
              <w:rPr>
                <w:i/>
                <w:iCs/>
                <w:color w:val="000000"/>
              </w:rPr>
              <w:t>2</w:t>
            </w:r>
          </w:hyperlink>
          <w:hyperlink w:anchor="_lcqqv168jkyv">
            <w:r>
              <w:rPr>
                <w:color w:val="000000"/>
              </w:rPr>
              <w:t>.d.3 Lessons Learned from Patient X's Case</w:t>
            </w:r>
            <w:r>
              <w:rPr>
                <w:color w:val="000000"/>
              </w:rPr>
              <w:tab/>
              <w:t>29</w:t>
            </w:r>
          </w:hyperlink>
        </w:p>
        <w:p w14:paraId="337DA049" w14:textId="77777777" w:rsidR="007A69E1" w:rsidRDefault="00F14D7D">
          <w:pPr>
            <w:pBdr>
              <w:top w:val="nil"/>
              <w:left w:val="nil"/>
              <w:bottom w:val="nil"/>
              <w:right w:val="nil"/>
              <w:between w:val="nil"/>
            </w:pBdr>
            <w:tabs>
              <w:tab w:val="right" w:pos="9019"/>
            </w:tabs>
            <w:spacing w:before="240" w:after="100" w:line="360" w:lineRule="auto"/>
            <w:jc w:val="both"/>
            <w:rPr>
              <w:rFonts w:ascii="Cambria" w:eastAsia="Cambria" w:hAnsi="Cambria" w:cs="Cambria"/>
              <w:color w:val="000000"/>
            </w:rPr>
          </w:pPr>
          <w:hyperlink w:anchor="_v14bnk2rrvh7">
            <w:r>
              <w:rPr>
                <w:color w:val="000000"/>
              </w:rPr>
              <w:t>3. Recommendations</w:t>
            </w:r>
            <w:r>
              <w:rPr>
                <w:color w:val="000000"/>
              </w:rPr>
              <w:tab/>
              <w:t>30</w:t>
            </w:r>
          </w:hyperlink>
        </w:p>
        <w:p w14:paraId="757AD334"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2k91t8fbje1k">
            <w:r>
              <w:rPr>
                <w:color w:val="000000"/>
              </w:rPr>
              <w:t xml:space="preserve">Recommendation 1: Adoption of structured and </w:t>
            </w:r>
            <w:r>
              <w:rPr>
                <w:color w:val="000000"/>
              </w:rPr>
              <w:t>standardised cross-speciality clinical handover in healthcare organisations</w:t>
            </w:r>
            <w:r>
              <w:rPr>
                <w:color w:val="000000"/>
              </w:rPr>
              <w:tab/>
              <w:t>30</w:t>
            </w:r>
          </w:hyperlink>
        </w:p>
        <w:p w14:paraId="0405650F"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9bohkcyyd520">
            <w:r>
              <w:rPr>
                <w:color w:val="000000"/>
              </w:rPr>
              <w:t>Recommendation 2: Integration of compulsory cross-disciplinary medication review at every care transition phase</w:t>
            </w:r>
            <w:r>
              <w:rPr>
                <w:color w:val="000000"/>
              </w:rPr>
              <w:tab/>
              <w:t>30</w:t>
            </w:r>
          </w:hyperlink>
        </w:p>
        <w:p w14:paraId="5E02AAF7" w14:textId="77777777" w:rsidR="007A69E1" w:rsidRDefault="00F14D7D">
          <w:pPr>
            <w:pBdr>
              <w:top w:val="nil"/>
              <w:left w:val="nil"/>
              <w:bottom w:val="nil"/>
              <w:right w:val="nil"/>
              <w:between w:val="nil"/>
            </w:pBdr>
            <w:tabs>
              <w:tab w:val="right" w:pos="9019"/>
            </w:tabs>
            <w:spacing w:before="240" w:after="100" w:line="360" w:lineRule="auto"/>
            <w:ind w:left="220"/>
            <w:jc w:val="both"/>
            <w:rPr>
              <w:rFonts w:ascii="Cambria" w:eastAsia="Cambria" w:hAnsi="Cambria" w:cs="Cambria"/>
              <w:color w:val="000000"/>
            </w:rPr>
          </w:pPr>
          <w:hyperlink w:anchor="_yawsvv233149">
            <w:r>
              <w:rPr>
                <w:color w:val="000000"/>
              </w:rPr>
              <w:t>Recommendation 3: Providing comprehensive, multi-professional training to medical staff on anticoagulation safety guidelines</w:t>
            </w:r>
            <w:r>
              <w:rPr>
                <w:color w:val="000000"/>
              </w:rPr>
              <w:tab/>
              <w:t>31</w:t>
            </w:r>
          </w:hyperlink>
        </w:p>
        <w:p w14:paraId="2765C09D" w14:textId="77777777" w:rsidR="007A69E1" w:rsidRDefault="00F14D7D">
          <w:pPr>
            <w:pBdr>
              <w:top w:val="nil"/>
              <w:left w:val="nil"/>
              <w:bottom w:val="nil"/>
              <w:right w:val="nil"/>
              <w:between w:val="nil"/>
            </w:pBdr>
            <w:tabs>
              <w:tab w:val="right" w:pos="9019"/>
            </w:tabs>
            <w:spacing w:before="240" w:after="100" w:line="360" w:lineRule="auto"/>
            <w:jc w:val="both"/>
            <w:rPr>
              <w:rFonts w:ascii="Cambria" w:eastAsia="Cambria" w:hAnsi="Cambria" w:cs="Cambria"/>
              <w:color w:val="000000"/>
            </w:rPr>
          </w:pPr>
          <w:hyperlink w:anchor="_n8w6r078vwyx">
            <w:r>
              <w:rPr>
                <w:color w:val="000000"/>
              </w:rPr>
              <w:t>4. Conclusion</w:t>
            </w:r>
            <w:r>
              <w:rPr>
                <w:color w:val="000000"/>
              </w:rPr>
              <w:tab/>
              <w:t>32</w:t>
            </w:r>
          </w:hyperlink>
        </w:p>
        <w:p w14:paraId="059B1CAF" w14:textId="77777777" w:rsidR="007A69E1" w:rsidRDefault="00F14D7D">
          <w:pPr>
            <w:pBdr>
              <w:top w:val="nil"/>
              <w:left w:val="nil"/>
              <w:bottom w:val="nil"/>
              <w:right w:val="nil"/>
              <w:between w:val="nil"/>
            </w:pBdr>
            <w:tabs>
              <w:tab w:val="right" w:pos="9019"/>
            </w:tabs>
            <w:spacing w:before="240" w:after="100" w:line="360" w:lineRule="auto"/>
            <w:jc w:val="both"/>
            <w:rPr>
              <w:rFonts w:ascii="Cambria" w:eastAsia="Cambria" w:hAnsi="Cambria" w:cs="Cambria"/>
              <w:color w:val="000000"/>
            </w:rPr>
          </w:pPr>
          <w:hyperlink w:anchor="_n4nc8tnyk3np">
            <w:r>
              <w:rPr>
                <w:color w:val="000000"/>
              </w:rPr>
              <w:t>References</w:t>
            </w:r>
            <w:r>
              <w:rPr>
                <w:color w:val="000000"/>
              </w:rPr>
              <w:tab/>
              <w:t>34</w:t>
            </w:r>
          </w:hyperlink>
        </w:p>
        <w:p w14:paraId="2AA80A4A" w14:textId="77777777" w:rsidR="007A69E1" w:rsidRDefault="00F14D7D">
          <w:pPr>
            <w:spacing w:before="240" w:line="360" w:lineRule="auto"/>
            <w:jc w:val="both"/>
            <w:rPr>
              <w:color w:val="000000"/>
            </w:rPr>
          </w:pPr>
          <w:r>
            <w:fldChar w:fldCharType="end"/>
          </w:r>
        </w:p>
      </w:sdtContent>
    </w:sdt>
    <w:p w14:paraId="0B9F92E0" w14:textId="77777777" w:rsidR="007A69E1" w:rsidRDefault="00F14D7D">
      <w:pPr>
        <w:spacing w:before="240" w:line="360" w:lineRule="auto"/>
        <w:jc w:val="both"/>
        <w:rPr>
          <w:b/>
          <w:bCs/>
          <w:color w:val="000000"/>
        </w:rPr>
      </w:pPr>
      <w:r>
        <w:br w:type="page"/>
      </w:r>
    </w:p>
    <w:p w14:paraId="03D254A0" w14:textId="77777777" w:rsidR="007A69E1" w:rsidRDefault="00F14D7D">
      <w:pPr>
        <w:pStyle w:val="Heading1"/>
        <w:rPr>
          <w:color w:val="000000"/>
        </w:rPr>
      </w:pPr>
      <w:bookmarkStart w:id="2" w:name="_5mfo5kewt32y" w:colFirst="0" w:colLast="0"/>
      <w:bookmarkEnd w:id="2"/>
      <w:r>
        <w:rPr>
          <w:color w:val="000000"/>
        </w:rPr>
        <w:lastRenderedPageBreak/>
        <w:t xml:space="preserve">1. Introduction </w:t>
      </w:r>
    </w:p>
    <w:p w14:paraId="370528E9" w14:textId="77777777" w:rsidR="007A69E1" w:rsidRDefault="00F14D7D">
      <w:pPr>
        <w:pStyle w:val="Heading2"/>
        <w:rPr>
          <w:color w:val="000000"/>
        </w:rPr>
      </w:pPr>
      <w:bookmarkStart w:id="3" w:name="_w2tjb4b5bjhi" w:colFirst="0" w:colLast="0"/>
      <w:bookmarkEnd w:id="3"/>
      <w:r>
        <w:rPr>
          <w:color w:val="000000"/>
        </w:rPr>
        <w:t xml:space="preserve">1.1 Background </w:t>
      </w:r>
    </w:p>
    <w:p w14:paraId="5BFF419E" w14:textId="77777777" w:rsidR="007A69E1" w:rsidRDefault="00F14D7D">
      <w:pPr>
        <w:spacing w:before="240" w:line="360" w:lineRule="auto"/>
        <w:jc w:val="both"/>
        <w:rPr>
          <w:color w:val="000000"/>
        </w:rPr>
      </w:pPr>
      <w:r>
        <w:rPr>
          <w:color w:val="000000"/>
        </w:rPr>
        <w:t>Healthcare organisations operate in complex environments where effective leadership, governance and communications is essential for ensuring patient safety. This report is going to examine the "Health Services Safety Investigations Body case" related to Pa</w:t>
      </w:r>
      <w:r>
        <w:rPr>
          <w:color w:val="000000"/>
        </w:rPr>
        <w:t xml:space="preserve">tient X, </w:t>
      </w:r>
      <w:proofErr w:type="gramStart"/>
      <w:r>
        <w:rPr>
          <w:color w:val="000000"/>
        </w:rPr>
        <w:t>whose</w:t>
      </w:r>
      <w:proofErr w:type="gramEnd"/>
      <w:r>
        <w:rPr>
          <w:color w:val="000000"/>
        </w:rPr>
        <w:t xml:space="preserve"> regular apixaban was withheld due to the nosebleeds and the anticipated medical procedure. Delay in procedure indicates that the medicine has not been administered for 10 days. After 2 days, Patient X experienced a stroke and died. </w:t>
      </w:r>
    </w:p>
    <w:p w14:paraId="6A853578" w14:textId="77777777" w:rsidR="007A69E1" w:rsidRDefault="00F14D7D">
      <w:pPr>
        <w:pStyle w:val="Heading2"/>
        <w:rPr>
          <w:color w:val="000000"/>
        </w:rPr>
      </w:pPr>
      <w:bookmarkStart w:id="4" w:name="_usrwnucdtx78" w:colFirst="0" w:colLast="0"/>
      <w:bookmarkEnd w:id="4"/>
      <w:r>
        <w:rPr>
          <w:color w:val="000000"/>
        </w:rPr>
        <w:t>1.2 Lead</w:t>
      </w:r>
      <w:r>
        <w:rPr>
          <w:color w:val="000000"/>
        </w:rPr>
        <w:t>ership and Organisational Structure in Healthcare</w:t>
      </w:r>
    </w:p>
    <w:p w14:paraId="13612C17" w14:textId="77777777" w:rsidR="007A69E1" w:rsidRDefault="00F14D7D">
      <w:pPr>
        <w:spacing w:before="240" w:line="360" w:lineRule="auto"/>
        <w:jc w:val="both"/>
        <w:rPr>
          <w:color w:val="000000"/>
        </w:rPr>
      </w:pPr>
      <w:r>
        <w:rPr>
          <w:color w:val="000000"/>
        </w:rPr>
        <w:t xml:space="preserve">Leadership is effective for ensuring safe and high-quality health care, along with social care, as clinical outcomes. This is related to active communication across professional boundaries.  In the case of </w:t>
      </w:r>
      <w:r>
        <w:rPr>
          <w:color w:val="000000"/>
        </w:rPr>
        <w:t>health and social care, health equity, workforce well-being, are related to the safety of patients, accountability, teamwork, and person-centred care (IHI, 2025). The data shows that NHS England recorded data on 806,561 incidents in 2025-26, whereas most o</w:t>
      </w:r>
      <w:r>
        <w:rPr>
          <w:color w:val="000000"/>
        </w:rPr>
        <w:t xml:space="preserve">f the NHS staff, such as 33.71%, experienced an error or near miss (NHS England, 2025a). As per WHO, (2023), one in ten patients faces preventable harm during healthcare. Almost 50% of these incidents related with the medication related errors. </w:t>
      </w:r>
    </w:p>
    <w:p w14:paraId="11E52CA0" w14:textId="77777777" w:rsidR="007A69E1" w:rsidRDefault="00F14D7D">
      <w:pPr>
        <w:spacing w:before="240" w:line="360" w:lineRule="auto"/>
        <w:jc w:val="center"/>
        <w:rPr>
          <w:color w:val="000000"/>
        </w:rPr>
      </w:pPr>
      <w:r>
        <w:rPr>
          <w:noProof/>
          <w:color w:val="000000"/>
        </w:rPr>
        <w:drawing>
          <wp:inline distT="114300" distB="114300" distL="114300" distR="114300" wp14:anchorId="62DC3040" wp14:editId="3433E702">
            <wp:extent cx="5731200" cy="3048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048000"/>
                    </a:xfrm>
                    <a:prstGeom prst="rect">
                      <a:avLst/>
                    </a:prstGeom>
                    <a:ln/>
                  </pic:spPr>
                </pic:pic>
              </a:graphicData>
            </a:graphic>
          </wp:inline>
        </w:drawing>
      </w:r>
    </w:p>
    <w:p w14:paraId="1FEDA76E" w14:textId="77777777" w:rsidR="007A69E1" w:rsidRDefault="00F14D7D">
      <w:pPr>
        <w:spacing w:before="240" w:line="360" w:lineRule="auto"/>
        <w:jc w:val="center"/>
        <w:rPr>
          <w:b/>
          <w:bCs/>
          <w:color w:val="000000"/>
        </w:rPr>
      </w:pPr>
      <w:r>
        <w:rPr>
          <w:b/>
          <w:bCs/>
          <w:color w:val="000000"/>
        </w:rPr>
        <w:lastRenderedPageBreak/>
        <w:t>Figure 1</w:t>
      </w:r>
      <w:r>
        <w:rPr>
          <w:b/>
          <w:bCs/>
          <w:color w:val="000000"/>
        </w:rPr>
        <w:t>: IHI Report highlights global work advancing patient safety</w:t>
      </w:r>
    </w:p>
    <w:p w14:paraId="7B3CEE5D" w14:textId="77777777" w:rsidR="007A69E1" w:rsidRDefault="00F14D7D">
      <w:pPr>
        <w:spacing w:before="240" w:line="360" w:lineRule="auto"/>
        <w:jc w:val="center"/>
        <w:rPr>
          <w:color w:val="000000"/>
        </w:rPr>
      </w:pPr>
      <w:r>
        <w:rPr>
          <w:color w:val="000000"/>
        </w:rPr>
        <w:t>(Source: IHI, 2025)</w:t>
      </w:r>
    </w:p>
    <w:p w14:paraId="6B9169F5" w14:textId="77777777" w:rsidR="007A69E1" w:rsidRDefault="00F14D7D">
      <w:pPr>
        <w:pStyle w:val="Heading2"/>
        <w:rPr>
          <w:color w:val="000000"/>
        </w:rPr>
      </w:pPr>
      <w:bookmarkStart w:id="5" w:name="_etapy78nbvi6" w:colFirst="0" w:colLast="0"/>
      <w:bookmarkEnd w:id="5"/>
      <w:r>
        <w:rPr>
          <w:color w:val="000000"/>
        </w:rPr>
        <w:t>1.3 Leadership Theories and Systems Thinking</w:t>
      </w:r>
    </w:p>
    <w:p w14:paraId="449AC5BA" w14:textId="77777777" w:rsidR="007A69E1" w:rsidRDefault="00F14D7D">
      <w:pPr>
        <w:spacing w:before="240" w:line="360" w:lineRule="auto"/>
        <w:jc w:val="both"/>
        <w:rPr>
          <w:color w:val="000000"/>
        </w:rPr>
      </w:pPr>
      <w:r>
        <w:rPr>
          <w:color w:val="000000"/>
        </w:rPr>
        <w:t>Different leadership theories seemed to be relevant to the case, such as the Great Man theory and Trait theory, which mostly focus</w:t>
      </w:r>
      <w:r>
        <w:rPr>
          <w:color w:val="000000"/>
        </w:rPr>
        <w:t xml:space="preserve"> on the individual leaders along with their personal qualities like confidence, integrity, and adequate decisiveness. Behavioural theories help to analyse what leaders actually do, and situational theories influence the leaders to change their leadership s</w:t>
      </w:r>
      <w:r>
        <w:rPr>
          <w:color w:val="000000"/>
        </w:rPr>
        <w:t>tyles based on the situation. Transformational leadership mostly promotes the shared purpose, whereas the Tannenbaum &amp; Schmidt Continuum ensures the transition from autocratic to participatory leadership. Adaptation of the HSPA can be effective for evaluat</w:t>
      </w:r>
      <w:r>
        <w:rPr>
          <w:color w:val="000000"/>
        </w:rPr>
        <w:t>ing the health-system outcomes, equity, quality, and responsiveness to properly guide the evidence-based improvements (Week 9, slide 9). Use of the Mintzberg’s model can be effective here to showcase that healthcare leaders have to connect teams, distribut</w:t>
      </w:r>
      <w:r>
        <w:rPr>
          <w:color w:val="000000"/>
        </w:rPr>
        <w:t>e the information properly, and make accountable decisions.</w:t>
      </w:r>
    </w:p>
    <w:p w14:paraId="00A055CD" w14:textId="77777777" w:rsidR="007A69E1" w:rsidRDefault="00F14D7D">
      <w:pPr>
        <w:spacing w:before="240" w:line="360" w:lineRule="auto"/>
        <w:jc w:val="center"/>
        <w:rPr>
          <w:color w:val="000000"/>
        </w:rPr>
      </w:pPr>
      <w:r>
        <w:rPr>
          <w:noProof/>
          <w:color w:val="000000"/>
        </w:rPr>
        <w:lastRenderedPageBreak/>
        <w:drawing>
          <wp:inline distT="114300" distB="114300" distL="114300" distR="114300" wp14:anchorId="463216CF" wp14:editId="0AA1F04C">
            <wp:extent cx="5353050" cy="511492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353050" cy="5114925"/>
                    </a:xfrm>
                    <a:prstGeom prst="rect">
                      <a:avLst/>
                    </a:prstGeom>
                    <a:ln/>
                  </pic:spPr>
                </pic:pic>
              </a:graphicData>
            </a:graphic>
          </wp:inline>
        </w:drawing>
      </w:r>
    </w:p>
    <w:p w14:paraId="22085C29" w14:textId="77777777" w:rsidR="007A69E1" w:rsidRDefault="00F14D7D">
      <w:pPr>
        <w:spacing w:before="240" w:line="360" w:lineRule="auto"/>
        <w:jc w:val="center"/>
        <w:rPr>
          <w:b/>
          <w:bCs/>
          <w:color w:val="000000"/>
        </w:rPr>
      </w:pPr>
      <w:r>
        <w:rPr>
          <w:b/>
          <w:bCs/>
          <w:color w:val="000000"/>
        </w:rPr>
        <w:t>Figure 2: The leadership and organisational structure in healthcare</w:t>
      </w:r>
    </w:p>
    <w:p w14:paraId="35C45DB3" w14:textId="77777777" w:rsidR="007A69E1" w:rsidRDefault="00F14D7D">
      <w:pPr>
        <w:spacing w:before="240" w:line="360" w:lineRule="auto"/>
        <w:jc w:val="center"/>
        <w:rPr>
          <w:color w:val="000000"/>
        </w:rPr>
      </w:pPr>
      <w:r>
        <w:rPr>
          <w:color w:val="000000"/>
        </w:rPr>
        <w:t>(Source: Self-developed)</w:t>
      </w:r>
    </w:p>
    <w:p w14:paraId="494B61F9" w14:textId="77777777" w:rsidR="007A69E1" w:rsidRDefault="00F14D7D">
      <w:pPr>
        <w:pStyle w:val="Heading2"/>
        <w:rPr>
          <w:color w:val="000000"/>
        </w:rPr>
      </w:pPr>
      <w:bookmarkStart w:id="6" w:name="_qzask6wl33wj" w:colFirst="0" w:colLast="0"/>
      <w:bookmarkEnd w:id="6"/>
      <w:r>
        <w:rPr>
          <w:color w:val="000000"/>
        </w:rPr>
        <w:t>1.4 Purpose and Structure of the Report</w:t>
      </w:r>
    </w:p>
    <w:p w14:paraId="6BFA699E" w14:textId="77777777" w:rsidR="007A69E1" w:rsidRDefault="00F14D7D">
      <w:pPr>
        <w:spacing w:before="240" w:line="360" w:lineRule="auto"/>
        <w:jc w:val="both"/>
        <w:rPr>
          <w:color w:val="000000"/>
        </w:rPr>
      </w:pPr>
      <w:r>
        <w:rPr>
          <w:color w:val="000000"/>
        </w:rPr>
        <w:t>The purpose of the report is to critically evaluate Patient X</w:t>
      </w:r>
      <w:r>
        <w:rPr>
          <w:color w:val="000000"/>
        </w:rPr>
        <w:t xml:space="preserve">'s case by using the systems thinking, organisational structure and a leadership theory. The study will analyse the main cause of the events by examining the governance and organisational challenges. </w:t>
      </w:r>
    </w:p>
    <w:p w14:paraId="00B2BC47" w14:textId="77777777" w:rsidR="007A69E1" w:rsidRDefault="00F14D7D">
      <w:pPr>
        <w:pStyle w:val="Heading1"/>
        <w:rPr>
          <w:color w:val="000000"/>
        </w:rPr>
      </w:pPr>
      <w:bookmarkStart w:id="7" w:name="_2pu0yaun7cd0" w:colFirst="0" w:colLast="0"/>
      <w:bookmarkEnd w:id="7"/>
      <w:r>
        <w:rPr>
          <w:color w:val="000000"/>
        </w:rPr>
        <w:lastRenderedPageBreak/>
        <w:t xml:space="preserve">2. Main Body </w:t>
      </w:r>
    </w:p>
    <w:p w14:paraId="63ED963B" w14:textId="77777777" w:rsidR="007A69E1" w:rsidRDefault="00F14D7D">
      <w:pPr>
        <w:pStyle w:val="Heading2"/>
        <w:rPr>
          <w:color w:val="000000"/>
        </w:rPr>
      </w:pPr>
      <w:bookmarkStart w:id="8" w:name="_fabxpa1reezo" w:colFirst="0" w:colLast="0"/>
      <w:bookmarkEnd w:id="8"/>
      <w:r>
        <w:rPr>
          <w:color w:val="000000"/>
        </w:rPr>
        <w:t xml:space="preserve">a. Identifying the Problem Using Systems </w:t>
      </w:r>
      <w:r>
        <w:rPr>
          <w:color w:val="000000"/>
        </w:rPr>
        <w:t xml:space="preserve">Thinking </w:t>
      </w:r>
    </w:p>
    <w:p w14:paraId="2CA9363E" w14:textId="77777777" w:rsidR="007A69E1" w:rsidRDefault="00F14D7D">
      <w:pPr>
        <w:pStyle w:val="Heading3"/>
        <w:rPr>
          <w:color w:val="000000"/>
        </w:rPr>
      </w:pPr>
      <w:bookmarkStart w:id="9" w:name="_qslnuatvxksv" w:colFirst="0" w:colLast="0"/>
      <w:bookmarkEnd w:id="9"/>
      <w:r>
        <w:rPr>
          <w:color w:val="000000"/>
        </w:rPr>
        <w:t xml:space="preserve">2. a.1 Defining the Central Problem </w:t>
      </w:r>
    </w:p>
    <w:p w14:paraId="7292C189" w14:textId="77777777" w:rsidR="007A69E1" w:rsidRDefault="00F14D7D">
      <w:pPr>
        <w:spacing w:before="240" w:line="360" w:lineRule="auto"/>
        <w:jc w:val="both"/>
        <w:rPr>
          <w:color w:val="000000"/>
        </w:rPr>
      </w:pPr>
      <w:r>
        <w:rPr>
          <w:color w:val="000000"/>
        </w:rPr>
        <w:t>Patient X's case shows a more complex failure in the medication management process rather than an isolated clinical issues. The patient was admitted with shortness of breath and epistaxis while getting apixaba</w:t>
      </w:r>
      <w:r>
        <w:rPr>
          <w:color w:val="000000"/>
        </w:rPr>
        <w:t>n for atrial fibrillation. However, discontinuing the apixaban was initially an effective clinical decision due to active bleeding. Repeated delays to the pleural aspirations resulted in anticoagulation therapy, and it remained suspended for almost ten day</w:t>
      </w:r>
      <w:r>
        <w:rPr>
          <w:color w:val="000000"/>
        </w:rPr>
        <w:t>s. During this time, no multidisciplinary reviews were taken. Also, Patient X suffered a fatal ischaemic stroke, which was considered preventable. Therefore, the incident reflects a failure in the healthcare system, not only the action of single healthcare</w:t>
      </w:r>
      <w:r>
        <w:rPr>
          <w:color w:val="000000"/>
        </w:rPr>
        <w:t xml:space="preserve"> provider professionals. As reported by NHS England (2025), over 806,000 patient safety incidents occurred in Q1 of 2025/2026. This indicates that the medication-related incidents are the most common patient safety events. </w:t>
      </w:r>
    </w:p>
    <w:p w14:paraId="03179CE2" w14:textId="77777777" w:rsidR="007A69E1" w:rsidRDefault="00F14D7D">
      <w:pPr>
        <w:spacing w:before="240" w:line="360" w:lineRule="auto"/>
        <w:jc w:val="center"/>
        <w:rPr>
          <w:color w:val="000000"/>
        </w:rPr>
      </w:pPr>
      <w:r>
        <w:rPr>
          <w:noProof/>
          <w:color w:val="000000"/>
        </w:rPr>
        <w:drawing>
          <wp:inline distT="114300" distB="114300" distL="114300" distR="114300" wp14:anchorId="018C5912" wp14:editId="0041C9A1">
            <wp:extent cx="5731200" cy="2451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451100"/>
                    </a:xfrm>
                    <a:prstGeom prst="rect">
                      <a:avLst/>
                    </a:prstGeom>
                    <a:ln/>
                  </pic:spPr>
                </pic:pic>
              </a:graphicData>
            </a:graphic>
          </wp:inline>
        </w:drawing>
      </w:r>
    </w:p>
    <w:p w14:paraId="3BEA442C" w14:textId="77777777" w:rsidR="007A69E1" w:rsidRDefault="00F14D7D">
      <w:pPr>
        <w:spacing w:before="240" w:line="360" w:lineRule="auto"/>
        <w:jc w:val="center"/>
        <w:rPr>
          <w:b/>
          <w:bCs/>
          <w:color w:val="000000"/>
        </w:rPr>
      </w:pPr>
      <w:r>
        <w:rPr>
          <w:b/>
          <w:bCs/>
          <w:color w:val="000000"/>
        </w:rPr>
        <w:t>Figure 3: Patient Safety Event</w:t>
      </w:r>
      <w:r>
        <w:rPr>
          <w:b/>
          <w:bCs/>
          <w:color w:val="000000"/>
        </w:rPr>
        <w:t xml:space="preserve"> Data Quarterly Publication</w:t>
      </w:r>
    </w:p>
    <w:p w14:paraId="25461D10" w14:textId="77777777" w:rsidR="007A69E1" w:rsidRDefault="00F14D7D">
      <w:pPr>
        <w:spacing w:before="240" w:line="360" w:lineRule="auto"/>
        <w:jc w:val="center"/>
        <w:rPr>
          <w:color w:val="000000"/>
        </w:rPr>
      </w:pPr>
      <w:r>
        <w:rPr>
          <w:color w:val="000000"/>
        </w:rPr>
        <w:t>(Source: NHS England, 2025a)</w:t>
      </w:r>
    </w:p>
    <w:p w14:paraId="0DD5A776" w14:textId="77777777" w:rsidR="007A69E1" w:rsidRDefault="00F14D7D">
      <w:pPr>
        <w:pStyle w:val="Heading3"/>
        <w:rPr>
          <w:color w:val="000000"/>
        </w:rPr>
      </w:pPr>
      <w:bookmarkStart w:id="10" w:name="_rhhbsocj0thl" w:colFirst="0" w:colLast="0"/>
      <w:bookmarkEnd w:id="10"/>
      <w:r>
        <w:rPr>
          <w:color w:val="000000"/>
        </w:rPr>
        <w:lastRenderedPageBreak/>
        <w:t>2.a.2 National and International Significance of the Problem</w:t>
      </w:r>
    </w:p>
    <w:tbl>
      <w:tblPr>
        <w:tblStyle w:val="a"/>
        <w:tblW w:w="9000"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1815"/>
        <w:gridCol w:w="4185"/>
        <w:gridCol w:w="3000"/>
      </w:tblGrid>
      <w:tr w:rsidR="007A69E1" w14:paraId="07A39F94" w14:textId="77777777" w:rsidTr="007A69E1">
        <w:tc>
          <w:tcPr>
            <w:tcW w:w="1815" w:type="dxa"/>
          </w:tcPr>
          <w:p w14:paraId="588619A1"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Source</w:t>
            </w:r>
          </w:p>
        </w:tc>
        <w:tc>
          <w:tcPr>
            <w:tcW w:w="4185" w:type="dxa"/>
          </w:tcPr>
          <w:p w14:paraId="2B92256F"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 xml:space="preserve">Latest Statistics </w:t>
            </w:r>
          </w:p>
        </w:tc>
        <w:tc>
          <w:tcPr>
            <w:tcW w:w="3000" w:type="dxa"/>
          </w:tcPr>
          <w:p w14:paraId="20B2D50A"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Relevance to Patient X Case</w:t>
            </w:r>
          </w:p>
        </w:tc>
      </w:tr>
      <w:tr w:rsidR="007A69E1" w14:paraId="55183503" w14:textId="77777777" w:rsidTr="007A69E1">
        <w:tc>
          <w:tcPr>
            <w:tcW w:w="1815" w:type="dxa"/>
          </w:tcPr>
          <w:p w14:paraId="2B2D940F"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WHO (2023) </w:t>
            </w:r>
          </w:p>
        </w:tc>
        <w:tc>
          <w:tcPr>
            <w:tcW w:w="4185" w:type="dxa"/>
          </w:tcPr>
          <w:p w14:paraId="0E95CC22"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Almost 1 in every 10 patient’s experiences preventable harm, and almost 50% of these incidents are medication-related and avoidable (WHO, 2023). </w:t>
            </w:r>
          </w:p>
        </w:tc>
        <w:tc>
          <w:tcPr>
            <w:tcW w:w="3000" w:type="dxa"/>
          </w:tcPr>
          <w:p w14:paraId="23C4EF2C"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This shows that medication safety remains an effective global patient safety challenge that requires stronger </w:t>
            </w:r>
            <w:r>
              <w:rPr>
                <w:color w:val="000000"/>
              </w:rPr>
              <w:t xml:space="preserve">organisational systems and leadership processes. </w:t>
            </w:r>
          </w:p>
        </w:tc>
      </w:tr>
      <w:tr w:rsidR="007A69E1" w14:paraId="3223E11A" w14:textId="77777777" w:rsidTr="007A69E1">
        <w:tc>
          <w:tcPr>
            <w:tcW w:w="1815" w:type="dxa"/>
          </w:tcPr>
          <w:p w14:paraId="1CB69F9D"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NHS England Patient Safety Incident Report (2025–2026) </w:t>
            </w:r>
          </w:p>
        </w:tc>
        <w:tc>
          <w:tcPr>
            <w:tcW w:w="4185" w:type="dxa"/>
          </w:tcPr>
          <w:p w14:paraId="2516169D"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More than 806,000 patient safety incidents were reported across NHS organisations (NHS England, 2025). </w:t>
            </w:r>
          </w:p>
        </w:tc>
        <w:tc>
          <w:tcPr>
            <w:tcW w:w="3000" w:type="dxa"/>
          </w:tcPr>
          <w:p w14:paraId="5B6E50F0"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This shows that medication management continues to present major patient safety risks within the NHS (</w:t>
            </w:r>
            <w:r>
              <w:t>Hughes, 2026)</w:t>
            </w:r>
            <w:r>
              <w:rPr>
                <w:color w:val="000000"/>
              </w:rPr>
              <w:t xml:space="preserve">. </w:t>
            </w:r>
          </w:p>
        </w:tc>
      </w:tr>
      <w:tr w:rsidR="007A69E1" w14:paraId="5229ADC8" w14:textId="77777777" w:rsidTr="007A69E1">
        <w:tc>
          <w:tcPr>
            <w:tcW w:w="1815" w:type="dxa"/>
          </w:tcPr>
          <w:p w14:paraId="257F7B16"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Health Services Safety Investigat</w:t>
            </w:r>
            <w:r>
              <w:rPr>
                <w:b/>
                <w:bCs/>
                <w:color w:val="000000"/>
              </w:rPr>
              <w:t xml:space="preserve">ions Body (HSSIB, 2025) </w:t>
            </w:r>
          </w:p>
        </w:tc>
        <w:tc>
          <w:tcPr>
            <w:tcW w:w="4185" w:type="dxa"/>
          </w:tcPr>
          <w:p w14:paraId="26A1D043"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The investigation shows medication-related harm results from communication failure, lack of clinical responsibilities and weak organisational learning (HSSIB, 2025). </w:t>
            </w:r>
          </w:p>
        </w:tc>
        <w:tc>
          <w:tcPr>
            <w:tcW w:w="3000" w:type="dxa"/>
          </w:tcPr>
          <w:p w14:paraId="28BF68F1"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This directly reflects Patient X's case, where delayed anticoagu</w:t>
            </w:r>
            <w:r>
              <w:rPr>
                <w:color w:val="000000"/>
              </w:rPr>
              <w:t xml:space="preserve">lation review contributes to a fatal outcome. </w:t>
            </w:r>
          </w:p>
        </w:tc>
      </w:tr>
      <w:tr w:rsidR="007A69E1" w14:paraId="6945179F" w14:textId="77777777" w:rsidTr="007A69E1">
        <w:tc>
          <w:tcPr>
            <w:tcW w:w="1815" w:type="dxa"/>
          </w:tcPr>
          <w:p w14:paraId="23FCAF65"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Institute for Healthcare Improvement (IHI, 2025) </w:t>
            </w:r>
          </w:p>
        </w:tc>
        <w:tc>
          <w:tcPr>
            <w:tcW w:w="4185" w:type="dxa"/>
          </w:tcPr>
          <w:p w14:paraId="2FE17216"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The IHI shows medication safety is one of the highest patient safety priorities and promotes systems thinking, collaborations and continuous organisational le</w:t>
            </w:r>
            <w:r>
              <w:rPr>
                <w:color w:val="000000"/>
              </w:rPr>
              <w:t>arning to reduce the preventable events.  (IHI, 2025)</w:t>
            </w:r>
          </w:p>
        </w:tc>
        <w:tc>
          <w:tcPr>
            <w:tcW w:w="3000" w:type="dxa"/>
          </w:tcPr>
          <w:p w14:paraId="76E278E6"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It highlights the need for the integrated leadership process, governance and organisational learning to prevent medication-related incidents. </w:t>
            </w:r>
          </w:p>
        </w:tc>
      </w:tr>
    </w:tbl>
    <w:p w14:paraId="1AA82992" w14:textId="77777777" w:rsidR="007A69E1" w:rsidRDefault="00F14D7D">
      <w:pPr>
        <w:spacing w:before="240" w:line="360" w:lineRule="auto"/>
        <w:jc w:val="center"/>
        <w:rPr>
          <w:b/>
          <w:bCs/>
          <w:color w:val="000000"/>
        </w:rPr>
      </w:pPr>
      <w:r>
        <w:rPr>
          <w:b/>
          <w:bCs/>
          <w:color w:val="000000"/>
        </w:rPr>
        <w:t>Table 1: National and International Data Supporting Proble</w:t>
      </w:r>
      <w:r>
        <w:rPr>
          <w:b/>
          <w:bCs/>
          <w:color w:val="000000"/>
        </w:rPr>
        <w:t>m Analysis</w:t>
      </w:r>
    </w:p>
    <w:p w14:paraId="404F94B7" w14:textId="77777777" w:rsidR="007A69E1" w:rsidRDefault="00F14D7D">
      <w:pPr>
        <w:spacing w:before="240" w:line="360" w:lineRule="auto"/>
        <w:jc w:val="center"/>
        <w:rPr>
          <w:color w:val="000000"/>
        </w:rPr>
      </w:pPr>
      <w:r>
        <w:rPr>
          <w:color w:val="000000"/>
        </w:rPr>
        <w:t>(Source: WHO, 2023; NHS England, 2025–2026; HSSIB, 2025; IHI, 2025)</w:t>
      </w:r>
    </w:p>
    <w:p w14:paraId="4808FFAE" w14:textId="77777777" w:rsidR="007A69E1" w:rsidRDefault="00F14D7D">
      <w:pPr>
        <w:pStyle w:val="Heading3"/>
        <w:rPr>
          <w:color w:val="000000"/>
        </w:rPr>
      </w:pPr>
      <w:bookmarkStart w:id="11" w:name="_7y9bn2abavcf" w:colFirst="0" w:colLast="0"/>
      <w:bookmarkEnd w:id="11"/>
      <w:r>
        <w:rPr>
          <w:color w:val="000000"/>
        </w:rPr>
        <w:lastRenderedPageBreak/>
        <w:t>2.a.3 Applying Systems Thinking to the Case Study</w:t>
      </w:r>
    </w:p>
    <w:p w14:paraId="1C458FD4" w14:textId="77777777" w:rsidR="007A69E1" w:rsidRDefault="00F14D7D">
      <w:pPr>
        <w:spacing w:before="240" w:line="360" w:lineRule="auto"/>
        <w:jc w:val="both"/>
        <w:rPr>
          <w:color w:val="000000"/>
        </w:rPr>
      </w:pPr>
      <w:r>
        <w:rPr>
          <w:color w:val="000000"/>
        </w:rPr>
        <w:t>The systems thinking shows Patient X's outcome as the consequences of the interactions of the organisational failure and not only one clinical mistake. However, withholding apixaban was mostly effective due to the active bleeding, procedural delays and the</w:t>
      </w:r>
      <w:r>
        <w:rPr>
          <w:color w:val="000000"/>
        </w:rPr>
        <w:t xml:space="preserve"> lack of multidisciplinary communications. The system is supported by CQC (2025); ineffective communications and inconsistent governance can remain one of the main factors contributing to patient safety within NHS services. Furthermore, NHS England (2025b)</w:t>
      </w:r>
      <w:r>
        <w:rPr>
          <w:color w:val="000000"/>
        </w:rPr>
        <w:t xml:space="preserve"> shows that medication management and communication failures can cause clinical negligence claims. It highlights the need for integrated governance, effective leadership and organisational learning to enhance patient safety. </w:t>
      </w:r>
    </w:p>
    <w:p w14:paraId="33AB74C9" w14:textId="77777777" w:rsidR="007A69E1" w:rsidRDefault="00F14D7D">
      <w:pPr>
        <w:spacing w:before="240" w:line="360" w:lineRule="auto"/>
        <w:jc w:val="center"/>
        <w:rPr>
          <w:color w:val="000000"/>
        </w:rPr>
      </w:pPr>
      <w:r>
        <w:rPr>
          <w:noProof/>
          <w:color w:val="000000"/>
        </w:rPr>
        <w:lastRenderedPageBreak/>
        <w:drawing>
          <wp:inline distT="114300" distB="114300" distL="114300" distR="114300" wp14:anchorId="76E0E0E8" wp14:editId="2C210B32">
            <wp:extent cx="5731200" cy="83947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1200" cy="8394700"/>
                    </a:xfrm>
                    <a:prstGeom prst="rect">
                      <a:avLst/>
                    </a:prstGeom>
                    <a:ln/>
                  </pic:spPr>
                </pic:pic>
              </a:graphicData>
            </a:graphic>
          </wp:inline>
        </w:drawing>
      </w:r>
    </w:p>
    <w:p w14:paraId="53AC0268" w14:textId="77777777" w:rsidR="007A69E1" w:rsidRDefault="00F14D7D">
      <w:pPr>
        <w:spacing w:before="240" w:line="360" w:lineRule="auto"/>
        <w:jc w:val="center"/>
        <w:rPr>
          <w:b/>
          <w:bCs/>
          <w:color w:val="000000"/>
        </w:rPr>
      </w:pPr>
      <w:r>
        <w:rPr>
          <w:b/>
          <w:bCs/>
          <w:color w:val="000000"/>
        </w:rPr>
        <w:lastRenderedPageBreak/>
        <w:t xml:space="preserve">Figure 4: Count of incident </w:t>
      </w:r>
      <w:r>
        <w:rPr>
          <w:b/>
          <w:bCs/>
          <w:color w:val="000000"/>
        </w:rPr>
        <w:t>records by service area in the NHS</w:t>
      </w:r>
    </w:p>
    <w:p w14:paraId="08E54340" w14:textId="77777777" w:rsidR="007A69E1" w:rsidRDefault="00F14D7D">
      <w:pPr>
        <w:spacing w:before="240" w:line="360" w:lineRule="auto"/>
        <w:jc w:val="center"/>
        <w:rPr>
          <w:color w:val="000000"/>
        </w:rPr>
      </w:pPr>
      <w:r>
        <w:rPr>
          <w:color w:val="000000"/>
        </w:rPr>
        <w:t>(Source: NHS England, 2025b)</w:t>
      </w:r>
    </w:p>
    <w:p w14:paraId="5E519E34" w14:textId="77777777" w:rsidR="007A69E1" w:rsidRDefault="00F14D7D">
      <w:pPr>
        <w:pStyle w:val="Heading3"/>
        <w:rPr>
          <w:color w:val="000000"/>
        </w:rPr>
      </w:pPr>
      <w:bookmarkStart w:id="12" w:name="_fbeh2n32359c" w:colFirst="0" w:colLast="0"/>
      <w:bookmarkEnd w:id="12"/>
      <w:r>
        <w:rPr>
          <w:color w:val="000000"/>
        </w:rPr>
        <w:t>2.a.4 Identification of System Weaknesses</w:t>
      </w:r>
    </w:p>
    <w:p w14:paraId="7C2F1451" w14:textId="77777777" w:rsidR="007A69E1" w:rsidRDefault="00F14D7D">
      <w:pPr>
        <w:spacing w:before="240" w:line="360" w:lineRule="auto"/>
        <w:jc w:val="both"/>
        <w:rPr>
          <w:color w:val="000000"/>
        </w:rPr>
      </w:pPr>
      <w:r>
        <w:rPr>
          <w:color w:val="000000"/>
        </w:rPr>
        <w:t>The error in restarting apixaban draws attention to the infrastructural shortcomings involving poor governance oversight. It indicates systematic lead</w:t>
      </w:r>
      <w:r>
        <w:rPr>
          <w:color w:val="000000"/>
        </w:rPr>
        <w:t xml:space="preserve">ership and governance inefficiencies (Patel and </w:t>
      </w:r>
      <w:proofErr w:type="spellStart"/>
      <w:r>
        <w:rPr>
          <w:color w:val="000000"/>
        </w:rPr>
        <w:t>Boster</w:t>
      </w:r>
      <w:proofErr w:type="spellEnd"/>
      <w:r>
        <w:rPr>
          <w:color w:val="000000"/>
        </w:rPr>
        <w:t>, 2025). The structural gap in patient safety management and care administration leads to the most unfortunate events, including deaths. In 2025, about 35% of doctors in the UK stated that fatigue and m</w:t>
      </w:r>
      <w:r>
        <w:rPr>
          <w:color w:val="000000"/>
        </w:rPr>
        <w:t>ental exhaustion affected their ability to properly diagnose and treat patients, indicating staff shortages in the NHS leading to decision fatigue (The Guardian, 2025). Similarly, during the 10-day delay, the patient failed to undergo a medication assessme</w:t>
      </w:r>
      <w:r>
        <w:rPr>
          <w:color w:val="000000"/>
        </w:rPr>
        <w:t>nt and review their previous medication history. Moreover, the absence of structured medication evaluation during the transition period was one of the weaknesses. Absence of digital alerts during prescription writing about history affected emergency condit</w:t>
      </w:r>
      <w:r>
        <w:rPr>
          <w:color w:val="000000"/>
        </w:rPr>
        <w:t>ions.</w:t>
      </w:r>
    </w:p>
    <w:p w14:paraId="352B690D" w14:textId="77777777" w:rsidR="007A69E1" w:rsidRDefault="00F14D7D">
      <w:pPr>
        <w:spacing w:before="240" w:line="360" w:lineRule="auto"/>
        <w:jc w:val="center"/>
        <w:rPr>
          <w:color w:val="000000"/>
        </w:rPr>
      </w:pPr>
      <w:r>
        <w:rPr>
          <w:noProof/>
          <w:color w:val="000000"/>
        </w:rPr>
        <w:drawing>
          <wp:inline distT="114300" distB="114300" distL="114300" distR="114300" wp14:anchorId="0AB74254" wp14:editId="337836BB">
            <wp:extent cx="5731200" cy="29337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200" cy="2933700"/>
                    </a:xfrm>
                    <a:prstGeom prst="rect">
                      <a:avLst/>
                    </a:prstGeom>
                    <a:ln/>
                  </pic:spPr>
                </pic:pic>
              </a:graphicData>
            </a:graphic>
          </wp:inline>
        </w:drawing>
      </w:r>
    </w:p>
    <w:p w14:paraId="5D69FADA" w14:textId="77777777" w:rsidR="007A69E1" w:rsidRDefault="00F14D7D">
      <w:pPr>
        <w:spacing w:before="240" w:line="360" w:lineRule="auto"/>
        <w:jc w:val="center"/>
        <w:rPr>
          <w:b/>
          <w:bCs/>
          <w:color w:val="000000"/>
        </w:rPr>
      </w:pPr>
      <w:r>
        <w:rPr>
          <w:b/>
          <w:bCs/>
          <w:color w:val="000000"/>
        </w:rPr>
        <w:t>Figure 5: Exhaustion affecting the treatment ability of doctors in the UK in 2025</w:t>
      </w:r>
    </w:p>
    <w:p w14:paraId="45C962F3" w14:textId="77777777" w:rsidR="007A69E1" w:rsidRDefault="00F14D7D">
      <w:pPr>
        <w:spacing w:before="240" w:line="360" w:lineRule="auto"/>
        <w:jc w:val="center"/>
        <w:rPr>
          <w:color w:val="000000"/>
        </w:rPr>
      </w:pPr>
      <w:r>
        <w:rPr>
          <w:color w:val="000000"/>
        </w:rPr>
        <w:t>(Source: The Guardian, 2025)</w:t>
      </w:r>
    </w:p>
    <w:p w14:paraId="59E5D161" w14:textId="77777777" w:rsidR="007A69E1" w:rsidRDefault="00F14D7D">
      <w:pPr>
        <w:pStyle w:val="Heading3"/>
        <w:rPr>
          <w:color w:val="000000"/>
        </w:rPr>
      </w:pPr>
      <w:bookmarkStart w:id="13" w:name="_rvxjld8orofx" w:colFirst="0" w:colLast="0"/>
      <w:bookmarkEnd w:id="13"/>
      <w:r>
        <w:rPr>
          <w:color w:val="000000"/>
        </w:rPr>
        <w:lastRenderedPageBreak/>
        <w:t>2.a.5 Underlying Organisational Challenges</w:t>
      </w:r>
    </w:p>
    <w:p w14:paraId="609E4C8E" w14:textId="77777777" w:rsidR="007A69E1" w:rsidRDefault="00F14D7D">
      <w:pPr>
        <w:spacing w:before="240" w:line="360" w:lineRule="auto"/>
        <w:jc w:val="both"/>
        <w:rPr>
          <w:color w:val="000000"/>
        </w:rPr>
      </w:pPr>
      <w:r>
        <w:rPr>
          <w:color w:val="000000"/>
        </w:rPr>
        <w:t>The omission of apixaban need not be shown as the simple failure to comply with clinical proto</w:t>
      </w:r>
      <w:r>
        <w:rPr>
          <w:color w:val="000000"/>
        </w:rPr>
        <w:t xml:space="preserve">col. This causes the organisational weakness that affects medication safety. The violation of anticoagulation safety principles of continuous clinical review of medication, modifications of treatment plans, effective interdisciplinary coordination between </w:t>
      </w:r>
      <w:r>
        <w:rPr>
          <w:color w:val="000000"/>
        </w:rPr>
        <w:t xml:space="preserve">doctors, nurses, and pharmacists, which in turn created a gap in risk assessment, document handover issues, and administering post-procedural medications (Al </w:t>
      </w:r>
      <w:proofErr w:type="spellStart"/>
      <w:r>
        <w:rPr>
          <w:color w:val="000000"/>
        </w:rPr>
        <w:t>Rowily</w:t>
      </w:r>
      <w:proofErr w:type="spellEnd"/>
      <w:r>
        <w:rPr>
          <w:color w:val="000000"/>
        </w:rPr>
        <w:t xml:space="preserve"> </w:t>
      </w:r>
      <w:r>
        <w:rPr>
          <w:i/>
          <w:iCs/>
          <w:color w:val="000000"/>
        </w:rPr>
        <w:t xml:space="preserve">et al. </w:t>
      </w:r>
      <w:r>
        <w:rPr>
          <w:color w:val="000000"/>
        </w:rPr>
        <w:t>2023). In 2023, there were 103,000 deaths due to adverse effects of medical treatmen</w:t>
      </w:r>
      <w:r>
        <w:rPr>
          <w:color w:val="000000"/>
        </w:rPr>
        <w:t>t in the UK, as the country ranked 21st out of 38 OECD countries (Imperial, 2026), which demonstrates the severity of the problem. In addition, as per CQC (2025), the workforce pressure, ineffective communications and care coordination remain effective bar</w:t>
      </w:r>
      <w:r>
        <w:rPr>
          <w:color w:val="000000"/>
        </w:rPr>
        <w:t xml:space="preserve">riers to patient safety across NHS organisations. </w:t>
      </w:r>
    </w:p>
    <w:p w14:paraId="33EBC704" w14:textId="77777777" w:rsidR="007A69E1" w:rsidRDefault="00F14D7D">
      <w:pPr>
        <w:pStyle w:val="Heading3"/>
        <w:rPr>
          <w:color w:val="000000"/>
        </w:rPr>
      </w:pPr>
      <w:bookmarkStart w:id="14" w:name="_xt1fu4dfhiy7" w:colFirst="0" w:colLast="0"/>
      <w:bookmarkEnd w:id="14"/>
      <w:r>
        <w:rPr>
          <w:color w:val="000000"/>
        </w:rPr>
        <w:t xml:space="preserve">2.a.6 Rich Picture </w:t>
      </w:r>
    </w:p>
    <w:p w14:paraId="773EBFB6" w14:textId="77777777" w:rsidR="007A69E1" w:rsidRDefault="00F14D7D">
      <w:pPr>
        <w:spacing w:before="240" w:line="360" w:lineRule="auto"/>
        <w:jc w:val="center"/>
        <w:rPr>
          <w:color w:val="000000"/>
        </w:rPr>
      </w:pPr>
      <w:r>
        <w:rPr>
          <w:noProof/>
          <w:color w:val="000000"/>
        </w:rPr>
        <w:drawing>
          <wp:inline distT="114300" distB="114300" distL="114300" distR="114300" wp14:anchorId="25D86FD6" wp14:editId="7B473EA7">
            <wp:extent cx="5731200" cy="3746500"/>
            <wp:effectExtent l="0" t="0" r="0" b="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731200" cy="3746500"/>
                    </a:xfrm>
                    <a:prstGeom prst="rect">
                      <a:avLst/>
                    </a:prstGeom>
                    <a:ln/>
                  </pic:spPr>
                </pic:pic>
              </a:graphicData>
            </a:graphic>
          </wp:inline>
        </w:drawing>
      </w:r>
    </w:p>
    <w:p w14:paraId="3D4DB276" w14:textId="77777777" w:rsidR="007A69E1" w:rsidRDefault="00F14D7D">
      <w:pPr>
        <w:spacing w:before="240" w:line="360" w:lineRule="auto"/>
        <w:jc w:val="center"/>
        <w:rPr>
          <w:b/>
          <w:bCs/>
          <w:color w:val="000000"/>
        </w:rPr>
      </w:pPr>
      <w:r>
        <w:rPr>
          <w:b/>
          <w:bCs/>
          <w:color w:val="000000"/>
        </w:rPr>
        <w:t>Figure 6: Visual representations of a rich picture</w:t>
      </w:r>
    </w:p>
    <w:p w14:paraId="68C430C2" w14:textId="77777777" w:rsidR="007A69E1" w:rsidRDefault="00F14D7D">
      <w:pPr>
        <w:spacing w:before="240" w:line="360" w:lineRule="auto"/>
        <w:jc w:val="center"/>
        <w:rPr>
          <w:color w:val="000000"/>
        </w:rPr>
      </w:pPr>
      <w:r>
        <w:rPr>
          <w:color w:val="000000"/>
        </w:rPr>
        <w:t>(Source: Self-developed)</w:t>
      </w:r>
    </w:p>
    <w:p w14:paraId="498F5ECA" w14:textId="77777777" w:rsidR="007A69E1" w:rsidRDefault="00F14D7D">
      <w:pPr>
        <w:spacing w:before="240" w:line="360" w:lineRule="auto"/>
        <w:jc w:val="both"/>
        <w:rPr>
          <w:color w:val="000000"/>
        </w:rPr>
      </w:pPr>
      <w:r>
        <w:rPr>
          <w:color w:val="000000"/>
        </w:rPr>
        <w:lastRenderedPageBreak/>
        <w:t>Figure 6 shows the complex interactions between the people, organisational processes, technological systems and the governance structure. This contributes to Patient X's outcome. The diagram shows the key actors involved, such as doctors, nurses, pharmacis</w:t>
      </w:r>
      <w:r>
        <w:rPr>
          <w:color w:val="000000"/>
        </w:rPr>
        <w:t xml:space="preserve">ts and the respiratory teams. This further represents the clinical processes from the admission to the delayed restart of the anticoagulation therapy. The study also highlights the communication gaps, such as inadequate communication and unclear ownership </w:t>
      </w:r>
      <w:r>
        <w:rPr>
          <w:color w:val="000000"/>
        </w:rPr>
        <w:t>of the medication decisions.</w:t>
      </w:r>
    </w:p>
    <w:p w14:paraId="1C343CD5" w14:textId="77777777" w:rsidR="007A69E1" w:rsidRDefault="00F14D7D">
      <w:pPr>
        <w:spacing w:before="240" w:line="360" w:lineRule="auto"/>
        <w:jc w:val="center"/>
        <w:rPr>
          <w:color w:val="000000"/>
        </w:rPr>
      </w:pPr>
      <w:r>
        <w:rPr>
          <w:noProof/>
          <w:color w:val="000000"/>
        </w:rPr>
        <w:drawing>
          <wp:inline distT="0" distB="0" distL="0" distR="0" wp14:anchorId="773B8BAB" wp14:editId="426A1AD4">
            <wp:extent cx="5733415" cy="3790315"/>
            <wp:effectExtent l="0" t="0" r="0" b="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733415" cy="3790315"/>
                    </a:xfrm>
                    <a:prstGeom prst="rect">
                      <a:avLst/>
                    </a:prstGeom>
                    <a:ln/>
                  </pic:spPr>
                </pic:pic>
              </a:graphicData>
            </a:graphic>
          </wp:inline>
        </w:drawing>
      </w:r>
    </w:p>
    <w:p w14:paraId="1B0E7BDE" w14:textId="77777777" w:rsidR="007A69E1" w:rsidRDefault="00F14D7D">
      <w:pPr>
        <w:spacing w:before="240" w:line="360" w:lineRule="auto"/>
        <w:jc w:val="center"/>
        <w:rPr>
          <w:b/>
          <w:bCs/>
          <w:color w:val="000000"/>
        </w:rPr>
      </w:pPr>
      <w:r>
        <w:rPr>
          <w:b/>
          <w:bCs/>
          <w:color w:val="000000"/>
        </w:rPr>
        <w:t>Figure 7: Leadership processes to influence medication safety</w:t>
      </w:r>
    </w:p>
    <w:p w14:paraId="15B2A7E0" w14:textId="77777777" w:rsidR="007A69E1" w:rsidRDefault="00F14D7D">
      <w:pPr>
        <w:spacing w:before="240" w:line="360" w:lineRule="auto"/>
        <w:jc w:val="center"/>
        <w:rPr>
          <w:color w:val="000000"/>
        </w:rPr>
      </w:pPr>
      <w:r>
        <w:rPr>
          <w:color w:val="000000"/>
        </w:rPr>
        <w:t>(Source: Self-developed, Week 3)</w:t>
      </w:r>
    </w:p>
    <w:p w14:paraId="01DF0702" w14:textId="77777777" w:rsidR="007A69E1" w:rsidRDefault="00F14D7D">
      <w:pPr>
        <w:spacing w:before="240" w:line="360" w:lineRule="auto"/>
        <w:jc w:val="both"/>
        <w:rPr>
          <w:color w:val="000000"/>
        </w:rPr>
      </w:pPr>
      <w:r>
        <w:rPr>
          <w:color w:val="000000"/>
        </w:rPr>
        <w:t>Furthermore, the Rich picture shows how the organisational factors include the workforce pressure and limitations within the "elec</w:t>
      </w:r>
      <w:r>
        <w:rPr>
          <w:color w:val="000000"/>
        </w:rPr>
        <w:t>tronic prescribing and medicines administration (</w:t>
      </w:r>
      <w:proofErr w:type="spellStart"/>
      <w:r>
        <w:rPr>
          <w:color w:val="000000"/>
        </w:rPr>
        <w:t>ePMA</w:t>
      </w:r>
      <w:proofErr w:type="spellEnd"/>
      <w:r>
        <w:rPr>
          <w:color w:val="000000"/>
        </w:rPr>
        <w:t>) system" (</w:t>
      </w:r>
      <w:proofErr w:type="spellStart"/>
      <w:r>
        <w:rPr>
          <w:color w:val="000000"/>
        </w:rPr>
        <w:t>Castellucci</w:t>
      </w:r>
      <w:proofErr w:type="spellEnd"/>
      <w:r>
        <w:rPr>
          <w:i/>
          <w:iCs/>
          <w:color w:val="000000"/>
        </w:rPr>
        <w:t xml:space="preserve"> et al.</w:t>
      </w:r>
      <w:r>
        <w:rPr>
          <w:color w:val="000000"/>
        </w:rPr>
        <w:t xml:space="preserve">, 2026). Overall, the Rich picture supports the systematic thinking to show Patient X's preventable death. </w:t>
      </w:r>
    </w:p>
    <w:p w14:paraId="641C87E7" w14:textId="77777777" w:rsidR="007A69E1" w:rsidRDefault="00F14D7D">
      <w:pPr>
        <w:pStyle w:val="Heading2"/>
        <w:rPr>
          <w:color w:val="000000"/>
        </w:rPr>
      </w:pPr>
      <w:bookmarkStart w:id="15" w:name="_uekxww85yvei" w:colFirst="0" w:colLast="0"/>
      <w:bookmarkEnd w:id="15"/>
      <w:r>
        <w:rPr>
          <w:color w:val="000000"/>
        </w:rPr>
        <w:lastRenderedPageBreak/>
        <w:t xml:space="preserve">2.b. Centralisation vs. Decentralisation  </w:t>
      </w:r>
    </w:p>
    <w:p w14:paraId="3596A142" w14:textId="77777777" w:rsidR="007A69E1" w:rsidRDefault="00F14D7D">
      <w:pPr>
        <w:pStyle w:val="Heading3"/>
        <w:rPr>
          <w:color w:val="000000"/>
        </w:rPr>
      </w:pPr>
      <w:bookmarkStart w:id="16" w:name="_hftu3by3vkz7" w:colFirst="0" w:colLast="0"/>
      <w:bookmarkEnd w:id="16"/>
      <w:r>
        <w:rPr>
          <w:color w:val="000000"/>
        </w:rPr>
        <w:t>2.b.1 Centralised Syste</w:t>
      </w:r>
      <w:r>
        <w:rPr>
          <w:color w:val="000000"/>
        </w:rPr>
        <w:t xml:space="preserve">m within Patient X's Case </w:t>
      </w:r>
    </w:p>
    <w:p w14:paraId="6EB52083" w14:textId="77777777" w:rsidR="007A69E1" w:rsidRDefault="00F14D7D">
      <w:pPr>
        <w:spacing w:before="240" w:line="360" w:lineRule="auto"/>
        <w:jc w:val="both"/>
        <w:rPr>
          <w:b/>
          <w:bCs/>
          <w:i/>
          <w:iCs/>
          <w:color w:val="000000"/>
        </w:rPr>
      </w:pPr>
      <w:r>
        <w:rPr>
          <w:b/>
          <w:bCs/>
          <w:i/>
          <w:iCs/>
          <w:color w:val="000000"/>
        </w:rPr>
        <w:t xml:space="preserve">Overview of Centralisation </w:t>
      </w:r>
    </w:p>
    <w:p w14:paraId="35AD42FE" w14:textId="77777777" w:rsidR="007A69E1" w:rsidRDefault="00F14D7D">
      <w:pPr>
        <w:spacing w:before="240" w:line="360" w:lineRule="auto"/>
        <w:jc w:val="both"/>
        <w:rPr>
          <w:color w:val="000000"/>
        </w:rPr>
      </w:pPr>
      <w:r>
        <w:rPr>
          <w:color w:val="000000"/>
        </w:rPr>
        <w:t>The centralised refers to the organisational structure which is linked with decision-making authority and the governance policy development process. Within the NHS, the development of clinical standard</w:t>
      </w:r>
      <w:r>
        <w:rPr>
          <w:color w:val="000000"/>
        </w:rPr>
        <w:t>s and medication safety helps to ensure consistency across the healthcare organisations. The centralised leadership promotes standardised clinical practices by developing regulatory oversight. As per CQC (2025), 73% of the NHS's core services were rated as</w:t>
      </w:r>
      <w:r>
        <w:rPr>
          <w:color w:val="000000"/>
        </w:rPr>
        <w:t xml:space="preserve"> "Outstanding" or "Good". This shows the national coordination’s related to the good governance process. </w:t>
      </w:r>
    </w:p>
    <w:p w14:paraId="52EFD86C" w14:textId="77777777" w:rsidR="007A69E1" w:rsidRDefault="00F14D7D">
      <w:pPr>
        <w:spacing w:before="240" w:line="360" w:lineRule="auto"/>
        <w:jc w:val="center"/>
        <w:rPr>
          <w:color w:val="000000"/>
        </w:rPr>
      </w:pPr>
      <w:r>
        <w:rPr>
          <w:noProof/>
          <w:color w:val="000000"/>
        </w:rPr>
        <w:drawing>
          <wp:inline distT="114300" distB="114300" distL="114300" distR="114300" wp14:anchorId="7B940CA8" wp14:editId="79B67A78">
            <wp:extent cx="5731200" cy="1968500"/>
            <wp:effectExtent l="0" t="0" r="0" b="0"/>
            <wp:docPr id="1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5"/>
                    <a:srcRect/>
                    <a:stretch>
                      <a:fillRect/>
                    </a:stretch>
                  </pic:blipFill>
                  <pic:spPr>
                    <a:xfrm>
                      <a:off x="0" y="0"/>
                      <a:ext cx="5731200" cy="1968500"/>
                    </a:xfrm>
                    <a:prstGeom prst="rect">
                      <a:avLst/>
                    </a:prstGeom>
                    <a:ln/>
                  </pic:spPr>
                </pic:pic>
              </a:graphicData>
            </a:graphic>
          </wp:inline>
        </w:drawing>
      </w:r>
    </w:p>
    <w:p w14:paraId="564E9261" w14:textId="77777777" w:rsidR="007A69E1" w:rsidRDefault="00F14D7D">
      <w:pPr>
        <w:spacing w:before="240" w:line="360" w:lineRule="auto"/>
        <w:jc w:val="center"/>
        <w:rPr>
          <w:b/>
          <w:bCs/>
          <w:color w:val="000000"/>
        </w:rPr>
      </w:pPr>
      <w:r>
        <w:rPr>
          <w:b/>
          <w:bCs/>
          <w:color w:val="000000"/>
        </w:rPr>
        <w:t>Figure 8: The centralised systems in the healthcare</w:t>
      </w:r>
    </w:p>
    <w:p w14:paraId="1F5289B4" w14:textId="77777777" w:rsidR="007A69E1" w:rsidRDefault="00F14D7D">
      <w:pPr>
        <w:spacing w:before="240" w:line="360" w:lineRule="auto"/>
        <w:jc w:val="center"/>
        <w:rPr>
          <w:color w:val="000000"/>
        </w:rPr>
      </w:pPr>
      <w:r>
        <w:rPr>
          <w:color w:val="000000"/>
        </w:rPr>
        <w:t xml:space="preserve">(Source: </w:t>
      </w:r>
      <w:proofErr w:type="spellStart"/>
      <w:r>
        <w:rPr>
          <w:color w:val="000000"/>
        </w:rPr>
        <w:t>Alrowily</w:t>
      </w:r>
      <w:proofErr w:type="spellEnd"/>
      <w:r>
        <w:rPr>
          <w:color w:val="000000"/>
        </w:rPr>
        <w:t xml:space="preserve"> </w:t>
      </w:r>
      <w:r>
        <w:rPr>
          <w:i/>
          <w:iCs/>
          <w:color w:val="000000"/>
        </w:rPr>
        <w:t>et al.</w:t>
      </w:r>
      <w:r>
        <w:rPr>
          <w:color w:val="000000"/>
        </w:rPr>
        <w:t>, 2024)</w:t>
      </w:r>
    </w:p>
    <w:p w14:paraId="3C797889" w14:textId="77777777" w:rsidR="007A69E1" w:rsidRDefault="00F14D7D">
      <w:pPr>
        <w:spacing w:before="240" w:line="360" w:lineRule="auto"/>
        <w:jc w:val="both"/>
        <w:rPr>
          <w:b/>
          <w:bCs/>
          <w:i/>
          <w:iCs/>
          <w:color w:val="000000"/>
        </w:rPr>
      </w:pPr>
      <w:r>
        <w:rPr>
          <w:b/>
          <w:bCs/>
          <w:i/>
          <w:iCs/>
          <w:color w:val="000000"/>
        </w:rPr>
        <w:t>Application to Patient X's Case</w:t>
      </w:r>
    </w:p>
    <w:p w14:paraId="1B11F7D0" w14:textId="77777777" w:rsidR="007A69E1" w:rsidRDefault="00F14D7D">
      <w:pPr>
        <w:spacing w:before="240" w:line="360" w:lineRule="auto"/>
        <w:jc w:val="both"/>
        <w:rPr>
          <w:color w:val="000000"/>
        </w:rPr>
      </w:pPr>
      <w:r>
        <w:rPr>
          <w:color w:val="000000"/>
        </w:rPr>
        <w:t>Patient X's cast shows that the influence of centralised healthcare systems can develop anticoagulation guidance. These decisions to withhold apixaban aligned with the national clinical guidance and reflected the central patient safety protocols. Moreover,</w:t>
      </w:r>
      <w:r>
        <w:rPr>
          <w:color w:val="000000"/>
        </w:rPr>
        <w:t xml:space="preserve"> repeated procedural delays need an ongoing clinical reassessment process (</w:t>
      </w:r>
      <w:proofErr w:type="spellStart"/>
      <w:r>
        <w:rPr>
          <w:color w:val="000000"/>
        </w:rPr>
        <w:t>Alrowily</w:t>
      </w:r>
      <w:proofErr w:type="spellEnd"/>
      <w:r>
        <w:rPr>
          <w:color w:val="000000"/>
        </w:rPr>
        <w:t xml:space="preserve"> </w:t>
      </w:r>
      <w:r>
        <w:rPr>
          <w:i/>
          <w:iCs/>
          <w:color w:val="000000"/>
        </w:rPr>
        <w:t>et al.</w:t>
      </w:r>
      <w:r>
        <w:rPr>
          <w:color w:val="000000"/>
        </w:rPr>
        <w:t xml:space="preserve">, 2024). </w:t>
      </w:r>
    </w:p>
    <w:p w14:paraId="1B5CAA73" w14:textId="77777777" w:rsidR="007A69E1" w:rsidRDefault="00F14D7D">
      <w:pPr>
        <w:spacing w:before="240" w:line="360" w:lineRule="auto"/>
        <w:jc w:val="both"/>
        <w:rPr>
          <w:b/>
          <w:bCs/>
          <w:i/>
          <w:iCs/>
          <w:color w:val="000000"/>
        </w:rPr>
      </w:pPr>
      <w:r>
        <w:rPr>
          <w:b/>
          <w:bCs/>
          <w:i/>
          <w:iCs/>
          <w:color w:val="000000"/>
        </w:rPr>
        <w:t>Advantages</w:t>
      </w:r>
    </w:p>
    <w:p w14:paraId="4D03C6FB" w14:textId="77777777" w:rsidR="007A69E1" w:rsidRDefault="00F14D7D">
      <w:pPr>
        <w:spacing w:before="240" w:line="360" w:lineRule="auto"/>
        <w:jc w:val="both"/>
        <w:rPr>
          <w:color w:val="000000"/>
        </w:rPr>
      </w:pPr>
      <w:r>
        <w:rPr>
          <w:color w:val="000000"/>
        </w:rPr>
        <w:lastRenderedPageBreak/>
        <w:t>Although there are certain advantages of centralised decision-making, for Patient X, adherence to standardised clinical measures, compliance with</w:t>
      </w:r>
      <w:r>
        <w:rPr>
          <w:color w:val="000000"/>
        </w:rPr>
        <w:t xml:space="preserve"> ethical dimensions, evidence-based healthcare policies, and control over economic resources are key.</w:t>
      </w:r>
    </w:p>
    <w:p w14:paraId="24F576C8" w14:textId="77777777" w:rsidR="007A69E1" w:rsidRDefault="00F14D7D">
      <w:pPr>
        <w:spacing w:before="240" w:line="360" w:lineRule="auto"/>
        <w:jc w:val="both"/>
        <w:rPr>
          <w:b/>
          <w:bCs/>
          <w:i/>
          <w:iCs/>
          <w:color w:val="000000"/>
        </w:rPr>
      </w:pPr>
      <w:r>
        <w:rPr>
          <w:b/>
          <w:bCs/>
          <w:i/>
          <w:iCs/>
          <w:color w:val="000000"/>
        </w:rPr>
        <w:t>Disadvantages</w:t>
      </w:r>
    </w:p>
    <w:p w14:paraId="77DAAA33" w14:textId="77777777" w:rsidR="007A69E1" w:rsidRDefault="00F14D7D">
      <w:pPr>
        <w:spacing w:before="240" w:line="360" w:lineRule="auto"/>
        <w:jc w:val="both"/>
        <w:rPr>
          <w:color w:val="000000"/>
        </w:rPr>
      </w:pPr>
      <w:r>
        <w:rPr>
          <w:color w:val="000000"/>
        </w:rPr>
        <w:t>In this case, the top-down decision-making caused unnecessary delay, errors in writing prescriptions, bureaucratic inefficiency, and slow re</w:t>
      </w:r>
      <w:r>
        <w:rPr>
          <w:color w:val="000000"/>
        </w:rPr>
        <w:t xml:space="preserve">sponse time. As suggested by </w:t>
      </w:r>
      <w:proofErr w:type="spellStart"/>
      <w:r>
        <w:rPr>
          <w:color w:val="000000"/>
          <w:highlight w:val="white"/>
        </w:rPr>
        <w:t>Raycheva</w:t>
      </w:r>
      <w:proofErr w:type="spellEnd"/>
      <w:r>
        <w:rPr>
          <w:i/>
          <w:iCs/>
          <w:color w:val="000000"/>
        </w:rPr>
        <w:t xml:space="preserve"> et al.,</w:t>
      </w:r>
      <w:r>
        <w:rPr>
          <w:color w:val="000000"/>
        </w:rPr>
        <w:t xml:space="preserve"> (2024), centralised decision-making caused the ischemic stroke in the patient and ultimately led to his death.  Centralised operational structures affect the autonomy of hospital managers, hindering spontaneous</w:t>
      </w:r>
      <w:r>
        <w:rPr>
          <w:color w:val="000000"/>
        </w:rPr>
        <w:t xml:space="preserve"> decision-making, as 70% of hospital managers in the UK suffer from leadership competency issues (NHS, 2024).</w:t>
      </w:r>
    </w:p>
    <w:p w14:paraId="1AC054AD" w14:textId="77777777" w:rsidR="007A69E1" w:rsidRDefault="00F14D7D">
      <w:pPr>
        <w:pStyle w:val="Heading3"/>
        <w:rPr>
          <w:color w:val="000000"/>
        </w:rPr>
      </w:pPr>
      <w:bookmarkStart w:id="17" w:name="_vnsuk765tbc3" w:colFirst="0" w:colLast="0"/>
      <w:bookmarkEnd w:id="17"/>
      <w:r>
        <w:rPr>
          <w:color w:val="000000"/>
        </w:rPr>
        <w:t>2.b.3 Decentralised System within Patient X's Case</w:t>
      </w:r>
    </w:p>
    <w:p w14:paraId="5F7D24EC" w14:textId="77777777" w:rsidR="007A69E1" w:rsidRDefault="00F14D7D">
      <w:pPr>
        <w:spacing w:before="240" w:line="360" w:lineRule="auto"/>
        <w:jc w:val="both"/>
        <w:rPr>
          <w:b/>
          <w:bCs/>
          <w:i/>
          <w:iCs/>
          <w:color w:val="000000"/>
        </w:rPr>
      </w:pPr>
      <w:r>
        <w:rPr>
          <w:b/>
          <w:bCs/>
          <w:i/>
          <w:iCs/>
          <w:color w:val="000000"/>
        </w:rPr>
        <w:t>Overview of Decentralisation</w:t>
      </w:r>
    </w:p>
    <w:p w14:paraId="5EFE54CA" w14:textId="77777777" w:rsidR="007A69E1" w:rsidRDefault="00F14D7D">
      <w:pPr>
        <w:spacing w:before="240" w:line="360" w:lineRule="auto"/>
        <w:jc w:val="both"/>
        <w:rPr>
          <w:color w:val="000000"/>
        </w:rPr>
      </w:pPr>
      <w:r>
        <w:rPr>
          <w:color w:val="000000"/>
        </w:rPr>
        <w:t>Decentralised refers to an organisational structure in the decisio</w:t>
      </w:r>
      <w:r>
        <w:rPr>
          <w:color w:val="000000"/>
        </w:rPr>
        <w:t>n-making authority which is delegated from the healthcare professionals and the multidisciplinary teams.  Within the NHS, decentralisation helps doctors and nurses to make timely clinical decisions based on the individual needs of patients. As suggested by</w:t>
      </w:r>
      <w:r>
        <w:rPr>
          <w:color w:val="000000"/>
        </w:rPr>
        <w:t xml:space="preserve"> </w:t>
      </w:r>
      <w:proofErr w:type="spellStart"/>
      <w:r>
        <w:rPr>
          <w:color w:val="000000"/>
          <w:highlight w:val="white"/>
        </w:rPr>
        <w:t>Förster</w:t>
      </w:r>
      <w:proofErr w:type="spellEnd"/>
      <w:r>
        <w:rPr>
          <w:color w:val="000000"/>
          <w:highlight w:val="white"/>
        </w:rPr>
        <w:t xml:space="preserve"> and Strauss (2025), </w:t>
      </w:r>
      <w:r>
        <w:rPr>
          <w:color w:val="000000"/>
        </w:rPr>
        <w:t>this approach promotes multidisciplinary collaborations and enhances the responsiveness, along with shared accountability of patient care. As per the NHS survey, 72.1% of staff stated they were able to work effectively with col</w:t>
      </w:r>
      <w:r>
        <w:rPr>
          <w:color w:val="000000"/>
        </w:rPr>
        <w:t xml:space="preserve">leagues from other departments or teams (NHS, 2024). This shows the effectiveness of collaborative decision-making to enhance healthcare quality. </w:t>
      </w:r>
    </w:p>
    <w:p w14:paraId="5E07A82A" w14:textId="77777777" w:rsidR="007A69E1" w:rsidRDefault="00F14D7D">
      <w:pPr>
        <w:spacing w:before="240" w:line="360" w:lineRule="auto"/>
        <w:jc w:val="center"/>
        <w:rPr>
          <w:color w:val="000000"/>
        </w:rPr>
      </w:pPr>
      <w:r>
        <w:rPr>
          <w:noProof/>
          <w:color w:val="000000"/>
        </w:rPr>
        <w:lastRenderedPageBreak/>
        <w:drawing>
          <wp:inline distT="114300" distB="114300" distL="114300" distR="114300" wp14:anchorId="68854E18" wp14:editId="5D11DC56">
            <wp:extent cx="4581525" cy="3057525"/>
            <wp:effectExtent l="0" t="0" r="0" b="0"/>
            <wp:docPr id="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6"/>
                    <a:srcRect/>
                    <a:stretch>
                      <a:fillRect/>
                    </a:stretch>
                  </pic:blipFill>
                  <pic:spPr>
                    <a:xfrm>
                      <a:off x="0" y="0"/>
                      <a:ext cx="4581525" cy="3057525"/>
                    </a:xfrm>
                    <a:prstGeom prst="rect">
                      <a:avLst/>
                    </a:prstGeom>
                    <a:ln/>
                  </pic:spPr>
                </pic:pic>
              </a:graphicData>
            </a:graphic>
          </wp:inline>
        </w:drawing>
      </w:r>
    </w:p>
    <w:p w14:paraId="66CB4AD7" w14:textId="77777777" w:rsidR="007A69E1" w:rsidRDefault="00F14D7D">
      <w:pPr>
        <w:spacing w:before="240" w:line="360" w:lineRule="auto"/>
        <w:jc w:val="center"/>
        <w:rPr>
          <w:b/>
          <w:bCs/>
          <w:color w:val="000000"/>
        </w:rPr>
      </w:pPr>
      <w:r>
        <w:rPr>
          <w:b/>
          <w:bCs/>
          <w:color w:val="000000"/>
        </w:rPr>
        <w:t>Figure 9: The decentralised healthcare approach</w:t>
      </w:r>
    </w:p>
    <w:p w14:paraId="2003166A" w14:textId="77777777" w:rsidR="007A69E1" w:rsidRDefault="00F14D7D">
      <w:pPr>
        <w:spacing w:before="240" w:line="360" w:lineRule="auto"/>
        <w:jc w:val="center"/>
        <w:rPr>
          <w:color w:val="000000"/>
        </w:rPr>
      </w:pPr>
      <w:r>
        <w:rPr>
          <w:color w:val="000000"/>
        </w:rPr>
        <w:t xml:space="preserve">(Source:  </w:t>
      </w:r>
      <w:proofErr w:type="spellStart"/>
      <w:r>
        <w:rPr>
          <w:color w:val="000000"/>
          <w:highlight w:val="white"/>
        </w:rPr>
        <w:t>Förster</w:t>
      </w:r>
      <w:proofErr w:type="spellEnd"/>
      <w:r>
        <w:rPr>
          <w:color w:val="000000"/>
          <w:highlight w:val="white"/>
        </w:rPr>
        <w:t xml:space="preserve"> and Strauss, 2025</w:t>
      </w:r>
      <w:r>
        <w:rPr>
          <w:color w:val="000000"/>
        </w:rPr>
        <w:t>)</w:t>
      </w:r>
    </w:p>
    <w:p w14:paraId="317FA119" w14:textId="77777777" w:rsidR="007A69E1" w:rsidRDefault="00F14D7D">
      <w:pPr>
        <w:rPr>
          <w:b/>
          <w:bCs/>
          <w:i/>
          <w:iCs/>
          <w:color w:val="000000"/>
        </w:rPr>
      </w:pPr>
      <w:bookmarkStart w:id="18" w:name="_wgm6mz5w9m6b" w:colFirst="0" w:colLast="0"/>
      <w:bookmarkEnd w:id="18"/>
      <w:r>
        <w:rPr>
          <w:b/>
          <w:bCs/>
          <w:i/>
          <w:iCs/>
          <w:color w:val="000000"/>
        </w:rPr>
        <w:t>Application to Patient X's Case</w:t>
      </w:r>
    </w:p>
    <w:p w14:paraId="08540597" w14:textId="77777777" w:rsidR="007A69E1" w:rsidRDefault="00F14D7D">
      <w:pPr>
        <w:spacing w:before="240" w:line="360" w:lineRule="auto"/>
        <w:jc w:val="both"/>
        <w:rPr>
          <w:color w:val="000000"/>
        </w:rPr>
      </w:pPr>
      <w:r>
        <w:rPr>
          <w:color w:val="000000"/>
        </w:rPr>
        <w:t>Patient X's case shows both the strengths and limitations of the decentralised healthcare systems. The clinical responsibility for reviewing anticoagulation therapy was distributed among the emergency clinicians. This struct</w:t>
      </w:r>
      <w:r>
        <w:rPr>
          <w:color w:val="000000"/>
        </w:rPr>
        <w:t xml:space="preserve">ure had the proper timely reassessment process along with the multidisciplinary collaborations. As per CQC (2025), ineffective communications and inconsistent leadership is the main barriers to safe patient care. </w:t>
      </w:r>
    </w:p>
    <w:p w14:paraId="1A672C9A" w14:textId="77777777" w:rsidR="007A69E1" w:rsidRDefault="00F14D7D">
      <w:pPr>
        <w:rPr>
          <w:b/>
          <w:bCs/>
          <w:i/>
          <w:iCs/>
          <w:color w:val="000000"/>
        </w:rPr>
      </w:pPr>
      <w:r>
        <w:rPr>
          <w:b/>
          <w:bCs/>
          <w:i/>
          <w:iCs/>
          <w:color w:val="000000"/>
        </w:rPr>
        <w:t xml:space="preserve">Advantages </w:t>
      </w:r>
    </w:p>
    <w:p w14:paraId="0326D303" w14:textId="77777777" w:rsidR="007A69E1" w:rsidRDefault="00F14D7D">
      <w:pPr>
        <w:spacing w:before="240" w:line="360" w:lineRule="auto"/>
        <w:jc w:val="both"/>
        <w:rPr>
          <w:color w:val="000000"/>
        </w:rPr>
      </w:pPr>
      <w:r>
        <w:rPr>
          <w:color w:val="000000"/>
        </w:rPr>
        <w:t>In studying the cons of decent</w:t>
      </w:r>
      <w:r>
        <w:rPr>
          <w:color w:val="000000"/>
        </w:rPr>
        <w:t xml:space="preserve">ralisation linked to the current case, a communication gap and limited scope of frontline decision-making are identified as key concerns (Charles </w:t>
      </w:r>
      <w:r>
        <w:rPr>
          <w:i/>
          <w:iCs/>
          <w:color w:val="000000"/>
        </w:rPr>
        <w:t xml:space="preserve">et al., </w:t>
      </w:r>
      <w:r>
        <w:rPr>
          <w:color w:val="000000"/>
        </w:rPr>
        <w:t xml:space="preserve">2025). Instances of poor or unplanned decentralisation attempts have been noticed as healthcare staff </w:t>
      </w:r>
      <w:r>
        <w:rPr>
          <w:color w:val="000000"/>
        </w:rPr>
        <w:t>experienced a lack of clarity in addressing ongoing medication requirements for Patient X.</w:t>
      </w:r>
    </w:p>
    <w:p w14:paraId="0379BD03" w14:textId="77777777" w:rsidR="007A69E1" w:rsidRDefault="00F14D7D">
      <w:pPr>
        <w:rPr>
          <w:b/>
          <w:bCs/>
          <w:i/>
          <w:iCs/>
          <w:color w:val="000000"/>
        </w:rPr>
      </w:pPr>
      <w:r>
        <w:rPr>
          <w:b/>
          <w:bCs/>
          <w:i/>
          <w:iCs/>
          <w:color w:val="000000"/>
        </w:rPr>
        <w:t xml:space="preserve">Disadvantages </w:t>
      </w:r>
    </w:p>
    <w:p w14:paraId="7054C1EE" w14:textId="77777777" w:rsidR="007A69E1" w:rsidRDefault="00F14D7D">
      <w:pPr>
        <w:spacing w:before="240" w:line="360" w:lineRule="auto"/>
        <w:jc w:val="both"/>
        <w:rPr>
          <w:color w:val="000000"/>
        </w:rPr>
      </w:pPr>
      <w:r>
        <w:rPr>
          <w:color w:val="000000"/>
        </w:rPr>
        <w:t>Apart from that, a communication gap in the ward medical team led to failure to restart the apixaban for 10 days, which can be identified as a decentr</w:t>
      </w:r>
      <w:r>
        <w:rPr>
          <w:color w:val="000000"/>
        </w:rPr>
        <w:t xml:space="preserve">alisation failure. No follow-up of post-procedure operations has been noticed in the mentioned case (HIPAA, 2026). Other factors worsening the professional outcomes of healthcare workers can be attributed to the </w:t>
      </w:r>
      <w:r>
        <w:rPr>
          <w:color w:val="000000"/>
        </w:rPr>
        <w:lastRenderedPageBreak/>
        <w:t>combined impact of clinical complexity and o</w:t>
      </w:r>
      <w:r>
        <w:rPr>
          <w:color w:val="000000"/>
        </w:rPr>
        <w:t>rganisational silos. The staff has been dealing with risks of clotting vs. bleeding while the decentralised system failed to provide necessary support, which led to critical inaction (</w:t>
      </w:r>
      <w:proofErr w:type="spellStart"/>
      <w:r>
        <w:rPr>
          <w:color w:val="000000"/>
        </w:rPr>
        <w:t>Förster</w:t>
      </w:r>
      <w:proofErr w:type="spellEnd"/>
      <w:r>
        <w:rPr>
          <w:color w:val="000000"/>
        </w:rPr>
        <w:t xml:space="preserve"> and Strauss, 2025).</w:t>
      </w:r>
    </w:p>
    <w:p w14:paraId="7EA0ADE0" w14:textId="77777777" w:rsidR="007A69E1" w:rsidRDefault="00F14D7D">
      <w:pPr>
        <w:spacing w:before="240" w:line="360" w:lineRule="auto"/>
        <w:jc w:val="center"/>
        <w:rPr>
          <w:color w:val="000000"/>
        </w:rPr>
      </w:pPr>
      <w:r>
        <w:rPr>
          <w:noProof/>
          <w:color w:val="000000"/>
        </w:rPr>
        <w:drawing>
          <wp:inline distT="0" distB="0" distL="0" distR="0" wp14:anchorId="113EC57B" wp14:editId="302ACB4A">
            <wp:extent cx="5733415" cy="3159125"/>
            <wp:effectExtent l="0" t="0" r="0" b="0"/>
            <wp:docPr id="1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733415" cy="3159125"/>
                    </a:xfrm>
                    <a:prstGeom prst="rect">
                      <a:avLst/>
                    </a:prstGeom>
                    <a:ln/>
                  </pic:spPr>
                </pic:pic>
              </a:graphicData>
            </a:graphic>
          </wp:inline>
        </w:drawing>
      </w:r>
    </w:p>
    <w:p w14:paraId="753B66FA" w14:textId="77777777" w:rsidR="007A69E1" w:rsidRDefault="00F14D7D">
      <w:pPr>
        <w:spacing w:before="240" w:line="360" w:lineRule="auto"/>
        <w:jc w:val="center"/>
        <w:rPr>
          <w:b/>
          <w:bCs/>
          <w:color w:val="000000"/>
        </w:rPr>
      </w:pPr>
      <w:r>
        <w:rPr>
          <w:b/>
          <w:bCs/>
          <w:color w:val="000000"/>
        </w:rPr>
        <w:t>Figure 10: Comparison of Centralised and d</w:t>
      </w:r>
      <w:r>
        <w:rPr>
          <w:b/>
          <w:bCs/>
          <w:color w:val="000000"/>
        </w:rPr>
        <w:t>ecentralised leadership process</w:t>
      </w:r>
    </w:p>
    <w:p w14:paraId="02EA87B9" w14:textId="77777777" w:rsidR="007A69E1" w:rsidRDefault="00F14D7D">
      <w:pPr>
        <w:spacing w:before="240" w:line="360" w:lineRule="auto"/>
        <w:jc w:val="center"/>
        <w:rPr>
          <w:color w:val="000000"/>
        </w:rPr>
      </w:pPr>
      <w:r>
        <w:rPr>
          <w:color w:val="000000"/>
        </w:rPr>
        <w:t>(Source: Self-developed, Week 3)</w:t>
      </w:r>
    </w:p>
    <w:p w14:paraId="7A658444" w14:textId="77777777" w:rsidR="007A69E1" w:rsidRDefault="00F14D7D">
      <w:pPr>
        <w:pStyle w:val="Heading3"/>
        <w:rPr>
          <w:color w:val="000000"/>
        </w:rPr>
      </w:pPr>
      <w:bookmarkStart w:id="19" w:name="_225yap42pcfk" w:colFirst="0" w:colLast="0"/>
      <w:bookmarkEnd w:id="19"/>
      <w:r>
        <w:rPr>
          <w:color w:val="000000"/>
        </w:rPr>
        <w:t xml:space="preserve">2.b.4 Comparative Critical Analysis </w:t>
      </w:r>
    </w:p>
    <w:p w14:paraId="23903086" w14:textId="77777777" w:rsidR="007A69E1" w:rsidRDefault="00F14D7D">
      <w:pPr>
        <w:spacing w:line="360" w:lineRule="auto"/>
        <w:jc w:val="both"/>
        <w:rPr>
          <w:color w:val="000000"/>
        </w:rPr>
      </w:pPr>
      <w:bookmarkStart w:id="20" w:name="_72z6cfihzcol" w:colFirst="0" w:colLast="0"/>
      <w:bookmarkEnd w:id="20"/>
      <w:r>
        <w:rPr>
          <w:color w:val="000000"/>
        </w:rPr>
        <w:t>Impact on Crisis Management. In studying appropriate examples of decentralisation, it has been observed that a 'decentralisation pharmacy' can offer medic</w:t>
      </w:r>
      <w:r>
        <w:rPr>
          <w:color w:val="000000"/>
        </w:rPr>
        <w:t xml:space="preserve">ation reconciliation so that restocking can be automated to achieve 14% higher efficiency (Charles </w:t>
      </w:r>
      <w:r>
        <w:rPr>
          <w:i/>
          <w:iCs/>
          <w:color w:val="000000"/>
        </w:rPr>
        <w:t>et al.,</w:t>
      </w:r>
      <w:r>
        <w:rPr>
          <w:color w:val="000000"/>
        </w:rPr>
        <w:t xml:space="preserve"> 2025). Adhering to standardised protocol can lead to high-risk medication tracking so that no lapse in medical services occurs. In case of patient sh</w:t>
      </w:r>
      <w:r>
        <w:rPr>
          <w:color w:val="000000"/>
        </w:rPr>
        <w:t>ifting between wards (e.g., shift from general ward to emergency department), the information is updated in real-time across each decentralised unit tagged with the patient’s treatment. It has led to the development of a ‘safety net’ which can prevent trag</w:t>
      </w:r>
      <w:r>
        <w:rPr>
          <w:color w:val="000000"/>
        </w:rPr>
        <w:t>edies as occurred with Patient X.</w:t>
      </w:r>
    </w:p>
    <w:p w14:paraId="6DA24CFC" w14:textId="77777777" w:rsidR="007A69E1" w:rsidRDefault="00F14D7D">
      <w:pPr>
        <w:pStyle w:val="Heading3"/>
        <w:keepNext w:val="0"/>
        <w:keepLines w:val="0"/>
        <w:spacing w:before="240"/>
        <w:rPr>
          <w:b w:val="0"/>
          <w:bCs w:val="0"/>
          <w:color w:val="000000"/>
          <w:sz w:val="22"/>
          <w:szCs w:val="22"/>
        </w:rPr>
      </w:pPr>
      <w:bookmarkStart w:id="21" w:name="_hezo124qm8ur" w:colFirst="0" w:colLast="0"/>
      <w:bookmarkEnd w:id="21"/>
      <w:r>
        <w:rPr>
          <w:color w:val="000000"/>
          <w:sz w:val="22"/>
          <w:szCs w:val="22"/>
        </w:rPr>
        <w:t>Impact on Decision-Making</w:t>
      </w:r>
    </w:p>
    <w:p w14:paraId="06704441" w14:textId="77777777" w:rsidR="007A69E1" w:rsidRDefault="00F14D7D">
      <w:pPr>
        <w:numPr>
          <w:ilvl w:val="0"/>
          <w:numId w:val="3"/>
        </w:numPr>
        <w:pBdr>
          <w:top w:val="nil"/>
          <w:left w:val="nil"/>
          <w:bottom w:val="nil"/>
          <w:right w:val="nil"/>
          <w:between w:val="nil"/>
        </w:pBdr>
        <w:spacing w:before="240" w:line="360" w:lineRule="auto"/>
        <w:jc w:val="both"/>
        <w:rPr>
          <w:color w:val="000000"/>
        </w:rPr>
      </w:pPr>
      <w:r>
        <w:rPr>
          <w:color w:val="000000"/>
        </w:rPr>
        <w:t xml:space="preserve">The combination of centralised governance and decentralised clinical decision-making negatively affected Patient X's case. The national policies provided the standardised </w:t>
      </w:r>
      <w:r>
        <w:rPr>
          <w:color w:val="000000"/>
        </w:rPr>
        <w:lastRenderedPageBreak/>
        <w:t>anticoagulation guidance. This fragmented decision-making process can delay the resta</w:t>
      </w:r>
      <w:r>
        <w:rPr>
          <w:color w:val="000000"/>
        </w:rPr>
        <w:t xml:space="preserve">rt of apixaban. These increase the patient's risk of preventable thromboembolic complications. </w:t>
      </w:r>
    </w:p>
    <w:p w14:paraId="1BF729E3" w14:textId="77777777" w:rsidR="007A69E1" w:rsidRDefault="00F14D7D">
      <w:pPr>
        <w:spacing w:before="240" w:line="360" w:lineRule="auto"/>
        <w:jc w:val="both"/>
        <w:rPr>
          <w:b/>
          <w:bCs/>
          <w:color w:val="000000"/>
        </w:rPr>
      </w:pPr>
      <w:r>
        <w:rPr>
          <w:b/>
          <w:bCs/>
          <w:color w:val="000000"/>
        </w:rPr>
        <w:t xml:space="preserve">Impact on Accountability </w:t>
      </w:r>
    </w:p>
    <w:p w14:paraId="740EACBF" w14:textId="77777777" w:rsidR="007A69E1" w:rsidRDefault="00F14D7D">
      <w:pPr>
        <w:numPr>
          <w:ilvl w:val="0"/>
          <w:numId w:val="3"/>
        </w:numPr>
        <w:pBdr>
          <w:top w:val="nil"/>
          <w:left w:val="nil"/>
          <w:bottom w:val="nil"/>
          <w:right w:val="nil"/>
          <w:between w:val="nil"/>
        </w:pBdr>
        <w:spacing w:before="240" w:line="360" w:lineRule="auto"/>
        <w:jc w:val="both"/>
        <w:rPr>
          <w:color w:val="000000"/>
        </w:rPr>
      </w:pPr>
      <w:r>
        <w:rPr>
          <w:color w:val="000000"/>
        </w:rPr>
        <w:t xml:space="preserve">Accountability was a weakness as responsibility for restarting and reviewing anticoagulation therapy. Although the decentralised care </w:t>
      </w:r>
      <w:r>
        <w:rPr>
          <w:color w:val="000000"/>
        </w:rPr>
        <w:t xml:space="preserve">can help to share the responsibilities, a defined clinical ownership process is absent. This contributes to the preventable adverse outcome experienced by Patient X. </w:t>
      </w:r>
    </w:p>
    <w:tbl>
      <w:tblPr>
        <w:tblStyle w:val="a0"/>
        <w:tblW w:w="9029"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3009"/>
        <w:gridCol w:w="3010"/>
        <w:gridCol w:w="3010"/>
      </w:tblGrid>
      <w:tr w:rsidR="007A69E1" w14:paraId="54E23325" w14:textId="77777777" w:rsidTr="007A69E1">
        <w:tc>
          <w:tcPr>
            <w:tcW w:w="3009" w:type="dxa"/>
          </w:tcPr>
          <w:p w14:paraId="72061FEF"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Features</w:t>
            </w:r>
          </w:p>
        </w:tc>
        <w:tc>
          <w:tcPr>
            <w:tcW w:w="3010" w:type="dxa"/>
          </w:tcPr>
          <w:p w14:paraId="7003FA19"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Centralised System</w:t>
            </w:r>
          </w:p>
        </w:tc>
        <w:tc>
          <w:tcPr>
            <w:tcW w:w="3010" w:type="dxa"/>
          </w:tcPr>
          <w:p w14:paraId="639E8F09" w14:textId="77777777" w:rsidR="007A69E1" w:rsidRDefault="00F14D7D">
            <w:pPr>
              <w:widowControl w:val="0"/>
              <w:spacing w:before="240" w:line="360" w:lineRule="auto"/>
              <w:jc w:val="center"/>
              <w:rPr>
                <w:b/>
                <w:bCs/>
                <w:color w:val="000000"/>
              </w:rPr>
            </w:pPr>
            <w:r>
              <w:rPr>
                <w:b/>
                <w:bCs/>
                <w:color w:val="000000"/>
              </w:rPr>
              <w:t>Decentralised System</w:t>
            </w:r>
          </w:p>
        </w:tc>
      </w:tr>
      <w:tr w:rsidR="007A69E1" w14:paraId="5D1D11C3" w14:textId="77777777" w:rsidTr="007A69E1">
        <w:tc>
          <w:tcPr>
            <w:tcW w:w="3009" w:type="dxa"/>
          </w:tcPr>
          <w:p w14:paraId="04D0FB58"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Decision making </w:t>
            </w:r>
          </w:p>
        </w:tc>
        <w:tc>
          <w:tcPr>
            <w:tcW w:w="3010" w:type="dxa"/>
          </w:tcPr>
          <w:p w14:paraId="60471DD5"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Senior management, governance committees </w:t>
            </w:r>
          </w:p>
        </w:tc>
        <w:tc>
          <w:tcPr>
            <w:tcW w:w="3010" w:type="dxa"/>
          </w:tcPr>
          <w:p w14:paraId="23505D6E"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MDT, ward clinicians </w:t>
            </w:r>
          </w:p>
        </w:tc>
      </w:tr>
      <w:tr w:rsidR="007A69E1" w14:paraId="534C8D01" w14:textId="77777777" w:rsidTr="007A69E1">
        <w:tc>
          <w:tcPr>
            <w:tcW w:w="3009" w:type="dxa"/>
          </w:tcPr>
          <w:p w14:paraId="3F3F46A6"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Advantages </w:t>
            </w:r>
          </w:p>
        </w:tc>
        <w:tc>
          <w:tcPr>
            <w:tcW w:w="3010" w:type="dxa"/>
          </w:tcPr>
          <w:p w14:paraId="79861BDA"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Standardisation, consistency </w:t>
            </w:r>
          </w:p>
        </w:tc>
        <w:tc>
          <w:tcPr>
            <w:tcW w:w="3010" w:type="dxa"/>
          </w:tcPr>
          <w:p w14:paraId="28E77A53"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Flexibility, rapid response </w:t>
            </w:r>
          </w:p>
        </w:tc>
      </w:tr>
      <w:tr w:rsidR="007A69E1" w14:paraId="15BA9945" w14:textId="77777777" w:rsidTr="007A69E1">
        <w:tc>
          <w:tcPr>
            <w:tcW w:w="3009" w:type="dxa"/>
          </w:tcPr>
          <w:p w14:paraId="3ACA4AD0"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Disadvantages </w:t>
            </w:r>
          </w:p>
        </w:tc>
        <w:tc>
          <w:tcPr>
            <w:tcW w:w="3010" w:type="dxa"/>
          </w:tcPr>
          <w:p w14:paraId="7DA4D32B"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Slower adaptation </w:t>
            </w:r>
          </w:p>
        </w:tc>
        <w:tc>
          <w:tcPr>
            <w:tcW w:w="3010" w:type="dxa"/>
          </w:tcPr>
          <w:p w14:paraId="37460F02"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Fragmented accountability </w:t>
            </w:r>
          </w:p>
        </w:tc>
      </w:tr>
      <w:tr w:rsidR="007A69E1" w14:paraId="6991A799" w14:textId="77777777" w:rsidTr="007A69E1">
        <w:tc>
          <w:tcPr>
            <w:tcW w:w="3009" w:type="dxa"/>
          </w:tcPr>
          <w:p w14:paraId="3296A1DE"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Overall impact </w:t>
            </w:r>
          </w:p>
        </w:tc>
        <w:tc>
          <w:tcPr>
            <w:tcW w:w="3010" w:type="dxa"/>
          </w:tcPr>
          <w:p w14:paraId="57CC8528"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Higher governance with limited responsive</w:t>
            </w:r>
            <w:r>
              <w:rPr>
                <w:color w:val="000000"/>
              </w:rPr>
              <w:t xml:space="preserve">ness. </w:t>
            </w:r>
          </w:p>
        </w:tc>
        <w:tc>
          <w:tcPr>
            <w:tcW w:w="3010" w:type="dxa"/>
          </w:tcPr>
          <w:p w14:paraId="5C1D429F" w14:textId="77777777" w:rsidR="007A69E1" w:rsidRDefault="00F14D7D">
            <w:pPr>
              <w:widowControl w:val="0"/>
              <w:spacing w:before="240" w:line="360" w:lineRule="auto"/>
              <w:jc w:val="both"/>
              <w:rPr>
                <w:color w:val="000000"/>
              </w:rPr>
            </w:pPr>
            <w:r>
              <w:rPr>
                <w:color w:val="000000"/>
              </w:rPr>
              <w:t xml:space="preserve">Higher flexibility but weaker coordination.  </w:t>
            </w:r>
          </w:p>
        </w:tc>
      </w:tr>
      <w:tr w:rsidR="007A69E1" w14:paraId="1AED196D" w14:textId="77777777" w:rsidTr="007A69E1">
        <w:tc>
          <w:tcPr>
            <w:tcW w:w="3009" w:type="dxa"/>
          </w:tcPr>
          <w:p w14:paraId="13D7909F"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 xml:space="preserve">Patient X Example </w:t>
            </w:r>
          </w:p>
        </w:tc>
        <w:tc>
          <w:tcPr>
            <w:tcW w:w="3010" w:type="dxa"/>
          </w:tcPr>
          <w:p w14:paraId="4FD3D6CA" w14:textId="77777777" w:rsidR="007A69E1" w:rsidRDefault="00F14D7D">
            <w:pPr>
              <w:widowControl w:val="0"/>
              <w:spacing w:before="240" w:line="360" w:lineRule="auto"/>
              <w:jc w:val="both"/>
              <w:rPr>
                <w:color w:val="000000"/>
              </w:rPr>
            </w:pPr>
            <w:r>
              <w:rPr>
                <w:color w:val="000000"/>
              </w:rPr>
              <w:t xml:space="preserve">Delayed policy-driven review process. </w:t>
            </w:r>
          </w:p>
        </w:tc>
        <w:tc>
          <w:tcPr>
            <w:tcW w:w="3010" w:type="dxa"/>
          </w:tcPr>
          <w:p w14:paraId="0CE3D19D" w14:textId="77777777" w:rsidR="007A69E1" w:rsidRDefault="00F14D7D">
            <w:pPr>
              <w:widowControl w:val="0"/>
              <w:spacing w:before="240" w:line="360" w:lineRule="auto"/>
              <w:jc w:val="both"/>
              <w:rPr>
                <w:color w:val="000000"/>
              </w:rPr>
            </w:pPr>
            <w:r>
              <w:rPr>
                <w:color w:val="000000"/>
              </w:rPr>
              <w:t xml:space="preserve">Poor MDT communications </w:t>
            </w:r>
          </w:p>
        </w:tc>
      </w:tr>
    </w:tbl>
    <w:p w14:paraId="14F53694" w14:textId="77777777" w:rsidR="007A69E1" w:rsidRDefault="00F14D7D">
      <w:pPr>
        <w:spacing w:before="240" w:line="360" w:lineRule="auto"/>
        <w:jc w:val="center"/>
        <w:rPr>
          <w:b/>
          <w:bCs/>
          <w:color w:val="000000"/>
        </w:rPr>
      </w:pPr>
      <w:r>
        <w:rPr>
          <w:b/>
          <w:bCs/>
          <w:color w:val="000000"/>
        </w:rPr>
        <w:t>Table 2: Comparison of Centralised and Decentralised Systems in Patient X's Case</w:t>
      </w:r>
    </w:p>
    <w:p w14:paraId="1E3B8649" w14:textId="77777777" w:rsidR="007A69E1" w:rsidRDefault="00F14D7D">
      <w:pPr>
        <w:spacing w:before="240" w:line="360" w:lineRule="auto"/>
        <w:jc w:val="center"/>
        <w:rPr>
          <w:color w:val="000000"/>
        </w:rPr>
      </w:pPr>
      <w:r>
        <w:rPr>
          <w:color w:val="000000"/>
        </w:rPr>
        <w:t>(Source: Self-developed)</w:t>
      </w:r>
    </w:p>
    <w:p w14:paraId="6C9B7309" w14:textId="77777777" w:rsidR="007A69E1" w:rsidRDefault="00F14D7D">
      <w:pPr>
        <w:spacing w:before="240" w:line="360" w:lineRule="auto"/>
        <w:jc w:val="both"/>
        <w:rPr>
          <w:b/>
          <w:bCs/>
          <w:color w:val="000000"/>
        </w:rPr>
      </w:pPr>
      <w:r>
        <w:rPr>
          <w:color w:val="000000"/>
        </w:rPr>
        <w:t>A critical discussion of the findings indicates that medical negligence and lack of accountability are key reasons behind the loss of life for Patient</w:t>
      </w:r>
      <w:r>
        <w:rPr>
          <w:color w:val="000000"/>
        </w:rPr>
        <w:t xml:space="preserve"> X. A systematic failure has been observed in tracking the care journey of a patient and offering real-time notifications about current medication standards. No scope for prompting healthcare staff to review the paused apixaban has been noticed in the give</w:t>
      </w:r>
      <w:r>
        <w:rPr>
          <w:color w:val="000000"/>
        </w:rPr>
        <w:t xml:space="preserve">n case study. </w:t>
      </w:r>
      <w:r>
        <w:br w:type="page"/>
      </w:r>
    </w:p>
    <w:p w14:paraId="22991C47" w14:textId="77777777" w:rsidR="007A69E1" w:rsidRDefault="00F14D7D">
      <w:pPr>
        <w:pStyle w:val="Heading2"/>
        <w:rPr>
          <w:color w:val="000000"/>
        </w:rPr>
      </w:pPr>
      <w:bookmarkStart w:id="22" w:name="_f60vf6unjhv9" w:colFirst="0" w:colLast="0"/>
      <w:bookmarkEnd w:id="22"/>
      <w:r>
        <w:rPr>
          <w:color w:val="000000"/>
        </w:rPr>
        <w:lastRenderedPageBreak/>
        <w:t xml:space="preserve">2.c. Leadership Theory Application  </w:t>
      </w:r>
    </w:p>
    <w:p w14:paraId="66DE9AF2" w14:textId="77777777" w:rsidR="007A69E1" w:rsidRDefault="00F14D7D">
      <w:pPr>
        <w:pStyle w:val="Heading3"/>
        <w:rPr>
          <w:color w:val="000000"/>
        </w:rPr>
      </w:pPr>
      <w:bookmarkStart w:id="23" w:name="_7nwhgh5j9oba" w:colFirst="0" w:colLast="0"/>
      <w:bookmarkEnd w:id="23"/>
      <w:r>
        <w:rPr>
          <w:color w:val="000000"/>
        </w:rPr>
        <w:t xml:space="preserve">2.c.1 Application of leadership theories </w:t>
      </w:r>
    </w:p>
    <w:tbl>
      <w:tblPr>
        <w:tblStyle w:val="a1"/>
        <w:tblW w:w="9032"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1260"/>
        <w:gridCol w:w="4545"/>
        <w:gridCol w:w="3227"/>
      </w:tblGrid>
      <w:tr w:rsidR="007A69E1" w14:paraId="547815A2" w14:textId="77777777" w:rsidTr="007A69E1">
        <w:tc>
          <w:tcPr>
            <w:tcW w:w="1260" w:type="dxa"/>
          </w:tcPr>
          <w:p w14:paraId="04EB16E0"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Theory/ Model</w:t>
            </w:r>
          </w:p>
        </w:tc>
        <w:tc>
          <w:tcPr>
            <w:tcW w:w="4545" w:type="dxa"/>
          </w:tcPr>
          <w:p w14:paraId="49D94480"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Applications examples</w:t>
            </w:r>
          </w:p>
        </w:tc>
        <w:tc>
          <w:tcPr>
            <w:tcW w:w="3227" w:type="dxa"/>
          </w:tcPr>
          <w:p w14:paraId="2F25B406" w14:textId="77777777" w:rsidR="007A69E1" w:rsidRDefault="00F14D7D">
            <w:pPr>
              <w:widowControl w:val="0"/>
              <w:pBdr>
                <w:top w:val="nil"/>
                <w:left w:val="nil"/>
                <w:bottom w:val="nil"/>
                <w:right w:val="nil"/>
                <w:between w:val="nil"/>
              </w:pBdr>
              <w:spacing w:before="240" w:line="360" w:lineRule="auto"/>
              <w:jc w:val="center"/>
              <w:rPr>
                <w:b/>
                <w:bCs/>
                <w:color w:val="000000"/>
              </w:rPr>
            </w:pPr>
            <w:r>
              <w:rPr>
                <w:b/>
                <w:bCs/>
                <w:color w:val="000000"/>
              </w:rPr>
              <w:t>Supporting data and critique</w:t>
            </w:r>
          </w:p>
        </w:tc>
      </w:tr>
      <w:tr w:rsidR="007A69E1" w14:paraId="3EBCCB99" w14:textId="77777777" w:rsidTr="007A69E1">
        <w:tc>
          <w:tcPr>
            <w:tcW w:w="1260" w:type="dxa"/>
          </w:tcPr>
          <w:p w14:paraId="1DE2BE52"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Great Man Theory</w:t>
            </w:r>
          </w:p>
        </w:tc>
        <w:tc>
          <w:tcPr>
            <w:tcW w:w="4545" w:type="dxa"/>
          </w:tcPr>
          <w:p w14:paraId="1EAC1ACB" w14:textId="77777777" w:rsidR="007A69E1" w:rsidRDefault="00F14D7D">
            <w:pPr>
              <w:widowControl w:val="0"/>
              <w:spacing w:before="240" w:line="360" w:lineRule="auto"/>
              <w:jc w:val="both"/>
              <w:rPr>
                <w:color w:val="000000"/>
              </w:rPr>
            </w:pPr>
            <w:r>
              <w:rPr>
                <w:color w:val="000000"/>
              </w:rPr>
              <w:t xml:space="preserve">The Great Theory was introduced by Thomas </w:t>
            </w:r>
            <w:proofErr w:type="gramStart"/>
            <w:r>
              <w:rPr>
                <w:color w:val="000000"/>
              </w:rPr>
              <w:t>Carlyle,  and</w:t>
            </w:r>
            <w:proofErr w:type="gramEnd"/>
            <w:r>
              <w:rPr>
                <w:color w:val="000000"/>
              </w:rPr>
              <w:t xml:space="preserve"> the purpose of the leadership theory is determined by the individuals. The leadership has qualities such as confidence, courage, intelligence, vision, and charisma. As per the theory, successful leade</w:t>
            </w:r>
            <w:r>
              <w:rPr>
                <w:color w:val="000000"/>
              </w:rPr>
              <w:t xml:space="preserve">rs are born with a natural ability to influence others and make decisions during times of crisis. </w:t>
            </w:r>
          </w:p>
        </w:tc>
        <w:tc>
          <w:tcPr>
            <w:tcW w:w="3227" w:type="dxa"/>
          </w:tcPr>
          <w:p w14:paraId="4B8CB0C4" w14:textId="77777777" w:rsidR="007A69E1" w:rsidRDefault="00F14D7D">
            <w:pPr>
              <w:widowControl w:val="0"/>
              <w:spacing w:before="240" w:line="360" w:lineRule="auto"/>
              <w:jc w:val="both"/>
              <w:rPr>
                <w:color w:val="000000"/>
              </w:rPr>
            </w:pPr>
            <w:r>
              <w:rPr>
                <w:color w:val="000000"/>
              </w:rPr>
              <w:t>The behavioural leadership need to have reduced medication-related harm by balancing the risk of completion with the patient-centred communications. The rece</w:t>
            </w:r>
            <w:r>
              <w:rPr>
                <w:color w:val="000000"/>
              </w:rPr>
              <w:t>nt data show that anticoagulants remain among the highest risk medicines related to patient safety within the NHS (</w:t>
            </w:r>
            <w:proofErr w:type="spellStart"/>
            <w:r>
              <w:rPr>
                <w:color w:val="000000"/>
              </w:rPr>
              <w:t>Alrowily</w:t>
            </w:r>
            <w:proofErr w:type="spellEnd"/>
            <w:r>
              <w:rPr>
                <w:i/>
                <w:iCs/>
                <w:color w:val="000000"/>
              </w:rPr>
              <w:t xml:space="preserve"> et al.,</w:t>
            </w:r>
            <w:r>
              <w:rPr>
                <w:color w:val="000000"/>
              </w:rPr>
              <w:t xml:space="preserve"> 2025). This is mostly when communications and the medication review process fail. The WHO (2023) shows resilient health syst</w:t>
            </w:r>
            <w:r>
              <w:rPr>
                <w:color w:val="000000"/>
              </w:rPr>
              <w:t>ems based on teamwork and effective communications. Moreover, hospitals applying great man leadership show almost 30% of fewer patient safety incidents (</w:t>
            </w:r>
            <w:proofErr w:type="spellStart"/>
            <w:r>
              <w:rPr>
                <w:color w:val="000000"/>
              </w:rPr>
              <w:t>KingsFund</w:t>
            </w:r>
            <w:proofErr w:type="spellEnd"/>
            <w:r>
              <w:rPr>
                <w:color w:val="000000"/>
              </w:rPr>
              <w:t xml:space="preserve">, 2025). This shows that stronger behavioural leadership may have decreased the interruptions </w:t>
            </w:r>
            <w:r>
              <w:rPr>
                <w:color w:val="000000"/>
              </w:rPr>
              <w:t>or the apixaban therapy.</w:t>
            </w:r>
          </w:p>
          <w:p w14:paraId="6F6632EE" w14:textId="77777777" w:rsidR="007A69E1" w:rsidRDefault="007A69E1">
            <w:pPr>
              <w:widowControl w:val="0"/>
              <w:pBdr>
                <w:top w:val="nil"/>
                <w:left w:val="nil"/>
                <w:bottom w:val="nil"/>
                <w:right w:val="nil"/>
                <w:between w:val="nil"/>
              </w:pBdr>
              <w:spacing w:before="240" w:line="360" w:lineRule="auto"/>
              <w:jc w:val="both"/>
              <w:rPr>
                <w:color w:val="000000"/>
              </w:rPr>
            </w:pPr>
          </w:p>
        </w:tc>
      </w:tr>
      <w:tr w:rsidR="007A69E1" w14:paraId="17F64061" w14:textId="77777777" w:rsidTr="007A69E1">
        <w:tc>
          <w:tcPr>
            <w:tcW w:w="1260" w:type="dxa"/>
          </w:tcPr>
          <w:p w14:paraId="6BDB7F3A"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lastRenderedPageBreak/>
              <w:t>Trait Theory</w:t>
            </w:r>
          </w:p>
        </w:tc>
        <w:tc>
          <w:tcPr>
            <w:tcW w:w="4545" w:type="dxa"/>
          </w:tcPr>
          <w:p w14:paraId="5EACBB52" w14:textId="77777777" w:rsidR="007A69E1" w:rsidRDefault="00F14D7D">
            <w:pPr>
              <w:widowControl w:val="0"/>
              <w:spacing w:before="240" w:line="360" w:lineRule="auto"/>
              <w:jc w:val="both"/>
              <w:rPr>
                <w:color w:val="000000"/>
              </w:rPr>
            </w:pPr>
            <w:r>
              <w:rPr>
                <w:color w:val="000000"/>
              </w:rPr>
              <w:t xml:space="preserve">The </w:t>
            </w:r>
            <w:proofErr w:type="spellStart"/>
            <w:r>
              <w:rPr>
                <w:color w:val="000000"/>
              </w:rPr>
              <w:t>Triat</w:t>
            </w:r>
            <w:proofErr w:type="spellEnd"/>
            <w:r>
              <w:rPr>
                <w:color w:val="000000"/>
              </w:rPr>
              <w:t xml:space="preserve"> theory shows that effective leadership is influenced by the combinations of personal characteristics rather than authority and position. As suggested by Russ, </w:t>
            </w:r>
            <w:r>
              <w:rPr>
                <w:i/>
                <w:iCs/>
                <w:color w:val="000000"/>
              </w:rPr>
              <w:t>et al.,</w:t>
            </w:r>
            <w:r>
              <w:rPr>
                <w:color w:val="000000"/>
              </w:rPr>
              <w:t xml:space="preserve"> (2023), the core leadership traits incl</w:t>
            </w:r>
            <w:r>
              <w:rPr>
                <w:color w:val="000000"/>
              </w:rPr>
              <w:t xml:space="preserve">ude integrity, confidence, emotional intelligence, resilience, </w:t>
            </w:r>
            <w:proofErr w:type="spellStart"/>
            <w:r>
              <w:rPr>
                <w:color w:val="000000"/>
              </w:rPr>
              <w:t>resileince</w:t>
            </w:r>
            <w:proofErr w:type="spellEnd"/>
            <w:r>
              <w:rPr>
                <w:color w:val="000000"/>
              </w:rPr>
              <w:t xml:space="preserve"> and accountability. In healthcare, these traits help leaders to make informed decisions and manage risks. The theory shows that leadership qualities can be developed through educatio</w:t>
            </w:r>
            <w:r>
              <w:rPr>
                <w:color w:val="000000"/>
              </w:rPr>
              <w:t>n, reflective practice, and professional development.</w:t>
            </w:r>
          </w:p>
          <w:p w14:paraId="239B1E52" w14:textId="77777777" w:rsidR="007A69E1" w:rsidRDefault="007A69E1">
            <w:pPr>
              <w:widowControl w:val="0"/>
              <w:pBdr>
                <w:top w:val="nil"/>
                <w:left w:val="nil"/>
                <w:bottom w:val="nil"/>
                <w:right w:val="nil"/>
                <w:between w:val="nil"/>
              </w:pBdr>
              <w:spacing w:before="240" w:line="360" w:lineRule="auto"/>
              <w:jc w:val="both"/>
              <w:rPr>
                <w:color w:val="000000"/>
              </w:rPr>
            </w:pPr>
          </w:p>
        </w:tc>
        <w:tc>
          <w:tcPr>
            <w:tcW w:w="3227" w:type="dxa"/>
          </w:tcPr>
          <w:p w14:paraId="10E6E7FD" w14:textId="77777777" w:rsidR="007A69E1" w:rsidRDefault="00F14D7D">
            <w:pPr>
              <w:widowControl w:val="0"/>
              <w:spacing w:before="240" w:line="360" w:lineRule="auto"/>
              <w:jc w:val="both"/>
              <w:rPr>
                <w:color w:val="000000"/>
              </w:rPr>
            </w:pPr>
            <w:r>
              <w:rPr>
                <w:color w:val="000000"/>
              </w:rPr>
              <w:t>Patient X's case shows deficiencies in the leadership traits. Mostly, the leader lacked skills like accountability, decisiveness and clinical judgment. However, withholding apixaban was effective at fi</w:t>
            </w:r>
            <w:r>
              <w:rPr>
                <w:color w:val="000000"/>
              </w:rPr>
              <w:t>rst. The leaders fail to assess the patient's clinical conditions during the 10-day interruptions. The NHS Staff Survey of 2025 found that only 34% of NHS staff believed there were enough staff to perform their jobs effectively (NHS England, 2026). Whereas</w:t>
            </w:r>
            <w:r>
              <w:rPr>
                <w:color w:val="000000"/>
              </w:rPr>
              <w:t xml:space="preserve"> 47% reported meeting all conflicts in work demands. </w:t>
            </w:r>
          </w:p>
          <w:p w14:paraId="055E913B" w14:textId="77777777" w:rsidR="007A69E1" w:rsidRDefault="007A69E1">
            <w:pPr>
              <w:widowControl w:val="0"/>
              <w:pBdr>
                <w:top w:val="nil"/>
                <w:left w:val="nil"/>
                <w:bottom w:val="nil"/>
                <w:right w:val="nil"/>
                <w:between w:val="nil"/>
              </w:pBdr>
              <w:spacing w:before="240" w:line="360" w:lineRule="auto"/>
              <w:jc w:val="both"/>
              <w:rPr>
                <w:color w:val="000000"/>
              </w:rPr>
            </w:pPr>
          </w:p>
        </w:tc>
      </w:tr>
      <w:tr w:rsidR="007A69E1" w14:paraId="1C819F88" w14:textId="77777777" w:rsidTr="007A69E1">
        <w:tc>
          <w:tcPr>
            <w:tcW w:w="1260" w:type="dxa"/>
          </w:tcPr>
          <w:p w14:paraId="5D1088B3" w14:textId="77777777" w:rsidR="007A69E1" w:rsidRDefault="00F14D7D">
            <w:pPr>
              <w:widowControl w:val="0"/>
              <w:pBdr>
                <w:top w:val="nil"/>
                <w:left w:val="nil"/>
                <w:bottom w:val="nil"/>
                <w:right w:val="nil"/>
                <w:between w:val="nil"/>
              </w:pBdr>
              <w:spacing w:before="240" w:line="360" w:lineRule="auto"/>
              <w:jc w:val="both"/>
              <w:rPr>
                <w:b/>
                <w:bCs/>
                <w:color w:val="000000"/>
              </w:rPr>
            </w:pPr>
            <w:r>
              <w:rPr>
                <w:b/>
                <w:bCs/>
                <w:color w:val="000000"/>
              </w:rPr>
              <w:t>Behavioural Theories</w:t>
            </w:r>
          </w:p>
        </w:tc>
        <w:tc>
          <w:tcPr>
            <w:tcW w:w="4545" w:type="dxa"/>
          </w:tcPr>
          <w:p w14:paraId="5E593575" w14:textId="77777777" w:rsidR="007A69E1" w:rsidRDefault="00F14D7D">
            <w:pPr>
              <w:widowControl w:val="0"/>
              <w:spacing w:before="240" w:line="360" w:lineRule="auto"/>
              <w:jc w:val="both"/>
              <w:rPr>
                <w:color w:val="000000"/>
              </w:rPr>
            </w:pPr>
            <w:r>
              <w:rPr>
                <w:color w:val="000000"/>
              </w:rPr>
              <w:t>The Behavioural Theory shows that effective leadership is determined by the leader’s observable behaviours rather than the leader's innate traits (</w:t>
            </w:r>
            <w:proofErr w:type="spellStart"/>
            <w:r>
              <w:rPr>
                <w:color w:val="000000"/>
              </w:rPr>
              <w:t>Kludacz-Alessandri</w:t>
            </w:r>
            <w:proofErr w:type="spellEnd"/>
            <w:r>
              <w:rPr>
                <w:color w:val="000000"/>
              </w:rPr>
              <w:t xml:space="preserve"> </w:t>
            </w:r>
            <w:r>
              <w:rPr>
                <w:i/>
                <w:iCs/>
                <w:color w:val="000000"/>
              </w:rPr>
              <w:t xml:space="preserve">et al., </w:t>
            </w:r>
            <w:r>
              <w:rPr>
                <w:color w:val="000000"/>
              </w:rPr>
              <w:t>2025). In healthcare, successful leaders need to ensure that the clinical tasks are completely accurate. This also helps in fostering collaborations, trust and open communications among the multidisciplinary teams to enhance safety.</w:t>
            </w:r>
          </w:p>
          <w:p w14:paraId="1F64C211" w14:textId="77777777" w:rsidR="007A69E1" w:rsidRDefault="007A69E1">
            <w:pPr>
              <w:widowControl w:val="0"/>
              <w:pBdr>
                <w:top w:val="nil"/>
                <w:left w:val="nil"/>
                <w:bottom w:val="nil"/>
                <w:right w:val="nil"/>
                <w:between w:val="nil"/>
              </w:pBdr>
              <w:spacing w:before="240" w:line="360" w:lineRule="auto"/>
              <w:jc w:val="both"/>
              <w:rPr>
                <w:color w:val="000000"/>
              </w:rPr>
            </w:pPr>
          </w:p>
        </w:tc>
        <w:tc>
          <w:tcPr>
            <w:tcW w:w="3227" w:type="dxa"/>
          </w:tcPr>
          <w:p w14:paraId="7775C39D" w14:textId="77777777" w:rsidR="007A69E1" w:rsidRDefault="00F14D7D">
            <w:pPr>
              <w:widowControl w:val="0"/>
              <w:spacing w:before="240" w:line="360" w:lineRule="auto"/>
              <w:jc w:val="both"/>
              <w:rPr>
                <w:color w:val="000000"/>
              </w:rPr>
            </w:pPr>
            <w:r>
              <w:rPr>
                <w:color w:val="000000"/>
              </w:rPr>
              <w:t>Patient X's case highlights an imbalance between task-oriented and people-oriented leadership processes. However, the leaders faced almost 30% of lower patient safety. This highlights the effectiveness of operational management and effective teamwork. As p</w:t>
            </w:r>
            <w:r>
              <w:rPr>
                <w:color w:val="000000"/>
              </w:rPr>
              <w:t xml:space="preserve">er the HSSIB (2025), patient safety highly depends on the proactive </w:t>
            </w:r>
            <w:r>
              <w:rPr>
                <w:color w:val="000000"/>
              </w:rPr>
              <w:lastRenderedPageBreak/>
              <w:t>leadership and continuous reassessments of clinical risks rather than the decision-making process. Moreover, the 2025 NHS Staff Survey shows 69.18% of NHS staff believed their organisation</w:t>
            </w:r>
            <w:r>
              <w:rPr>
                <w:color w:val="000000"/>
              </w:rPr>
              <w:t>s acted on concerns raised by the patients.</w:t>
            </w:r>
          </w:p>
          <w:p w14:paraId="7BDE5C23" w14:textId="77777777" w:rsidR="007A69E1" w:rsidRDefault="007A69E1">
            <w:pPr>
              <w:widowControl w:val="0"/>
              <w:pBdr>
                <w:top w:val="nil"/>
                <w:left w:val="nil"/>
                <w:bottom w:val="nil"/>
                <w:right w:val="nil"/>
                <w:between w:val="nil"/>
              </w:pBdr>
              <w:spacing w:before="240" w:line="360" w:lineRule="auto"/>
              <w:jc w:val="both"/>
              <w:rPr>
                <w:color w:val="000000"/>
              </w:rPr>
            </w:pPr>
          </w:p>
        </w:tc>
      </w:tr>
      <w:tr w:rsidR="007A69E1" w14:paraId="5B8EE227" w14:textId="77777777" w:rsidTr="007A69E1">
        <w:tc>
          <w:tcPr>
            <w:tcW w:w="1260" w:type="dxa"/>
          </w:tcPr>
          <w:p w14:paraId="33D1DEC7" w14:textId="77777777" w:rsidR="007A69E1" w:rsidRDefault="00F14D7D">
            <w:pPr>
              <w:widowControl w:val="0"/>
              <w:pBdr>
                <w:top w:val="nil"/>
                <w:left w:val="nil"/>
                <w:bottom w:val="nil"/>
                <w:right w:val="nil"/>
                <w:between w:val="nil"/>
              </w:pBdr>
              <w:spacing w:before="240" w:line="360" w:lineRule="auto"/>
              <w:jc w:val="both"/>
              <w:rPr>
                <w:color w:val="000000"/>
              </w:rPr>
            </w:pPr>
            <w:r>
              <w:rPr>
                <w:b/>
                <w:bCs/>
                <w:color w:val="000000"/>
              </w:rPr>
              <w:lastRenderedPageBreak/>
              <w:t>Situational/Contingency Theories</w:t>
            </w:r>
          </w:p>
        </w:tc>
        <w:tc>
          <w:tcPr>
            <w:tcW w:w="4545" w:type="dxa"/>
          </w:tcPr>
          <w:p w14:paraId="155C3EE1" w14:textId="77777777" w:rsidR="007A69E1" w:rsidRDefault="00F14D7D">
            <w:pPr>
              <w:widowControl w:val="0"/>
              <w:spacing w:before="240" w:line="360" w:lineRule="auto"/>
              <w:jc w:val="both"/>
              <w:rPr>
                <w:color w:val="000000"/>
              </w:rPr>
            </w:pPr>
            <w:r>
              <w:rPr>
                <w:color w:val="000000"/>
              </w:rPr>
              <w:t>Situational or Contingency theory shows that there is no single leadership theory that is effective in every circumstance. The leaders need to adapt their approach related to th</w:t>
            </w:r>
            <w:r>
              <w:rPr>
                <w:color w:val="000000"/>
              </w:rPr>
              <w:t xml:space="preserve">e patient's changing clinical needs (Wang </w:t>
            </w:r>
            <w:r>
              <w:rPr>
                <w:i/>
                <w:iCs/>
                <w:color w:val="000000"/>
              </w:rPr>
              <w:t xml:space="preserve">et al., </w:t>
            </w:r>
            <w:r>
              <w:rPr>
                <w:color w:val="000000"/>
              </w:rPr>
              <w:t xml:space="preserve">2024). </w:t>
            </w:r>
          </w:p>
        </w:tc>
        <w:tc>
          <w:tcPr>
            <w:tcW w:w="3227" w:type="dxa"/>
          </w:tcPr>
          <w:p w14:paraId="0EE4F543" w14:textId="77777777" w:rsidR="007A69E1" w:rsidRDefault="00F14D7D">
            <w:pPr>
              <w:widowControl w:val="0"/>
              <w:spacing w:before="240" w:line="360" w:lineRule="auto"/>
              <w:jc w:val="both"/>
              <w:rPr>
                <w:color w:val="000000"/>
              </w:rPr>
            </w:pPr>
            <w:r>
              <w:rPr>
                <w:color w:val="000000"/>
              </w:rPr>
              <w:t>The leadership stayed focused on the initial bleeding risks. As per OECD (2022), the healthcare organisations' adaptive leadership achieve 15 to 20% faster recovery from the clinical incidents. This</w:t>
            </w:r>
            <w:r>
              <w:rPr>
                <w:color w:val="000000"/>
              </w:rPr>
              <w:t xml:space="preserve"> shows the value of flexible leadership to enhance patient outcomes. Furthermore, HSSIB (2025) shows that effective patient safety depends on the continuous risk assessment process.</w:t>
            </w:r>
          </w:p>
          <w:p w14:paraId="00A1D5AC" w14:textId="77777777" w:rsidR="007A69E1" w:rsidRDefault="007A69E1">
            <w:pPr>
              <w:widowControl w:val="0"/>
              <w:pBdr>
                <w:top w:val="nil"/>
                <w:left w:val="nil"/>
                <w:bottom w:val="nil"/>
                <w:right w:val="nil"/>
                <w:between w:val="nil"/>
              </w:pBdr>
              <w:spacing w:before="240" w:line="360" w:lineRule="auto"/>
              <w:jc w:val="both"/>
              <w:rPr>
                <w:color w:val="000000"/>
              </w:rPr>
            </w:pPr>
          </w:p>
        </w:tc>
      </w:tr>
      <w:tr w:rsidR="007A69E1" w14:paraId="1665108E" w14:textId="77777777" w:rsidTr="007A69E1">
        <w:tc>
          <w:tcPr>
            <w:tcW w:w="1260" w:type="dxa"/>
          </w:tcPr>
          <w:p w14:paraId="1386D4A1" w14:textId="77777777" w:rsidR="007A69E1" w:rsidRDefault="00F14D7D">
            <w:pPr>
              <w:widowControl w:val="0"/>
              <w:pBdr>
                <w:top w:val="nil"/>
                <w:left w:val="nil"/>
                <w:bottom w:val="nil"/>
                <w:right w:val="nil"/>
                <w:between w:val="nil"/>
              </w:pBdr>
              <w:spacing w:before="240" w:line="360" w:lineRule="auto"/>
              <w:jc w:val="both"/>
              <w:rPr>
                <w:color w:val="000000"/>
              </w:rPr>
            </w:pPr>
            <w:r>
              <w:rPr>
                <w:b/>
                <w:bCs/>
                <w:color w:val="000000"/>
              </w:rPr>
              <w:t>Tannenbaum &amp; Schmidt Continuum</w:t>
            </w:r>
          </w:p>
        </w:tc>
        <w:tc>
          <w:tcPr>
            <w:tcW w:w="4545" w:type="dxa"/>
          </w:tcPr>
          <w:p w14:paraId="3697D6FE" w14:textId="77777777" w:rsidR="007A69E1" w:rsidRDefault="00F14D7D">
            <w:pPr>
              <w:widowControl w:val="0"/>
              <w:spacing w:before="240" w:line="360" w:lineRule="auto"/>
              <w:jc w:val="both"/>
              <w:rPr>
                <w:color w:val="000000"/>
              </w:rPr>
            </w:pPr>
            <w:r>
              <w:rPr>
                <w:color w:val="000000"/>
              </w:rPr>
              <w:t>Tannenbaum &amp; Schmidt Continuum proposed t</w:t>
            </w:r>
            <w:r>
              <w:rPr>
                <w:color w:val="000000"/>
              </w:rPr>
              <w:t xml:space="preserve">hat the leadership theory is based on the autocratic and democratic leadership processes for making decisions. The adoption of the single leadership style and effective leaders adjust the level of staff participation as per the needs of the </w:t>
            </w:r>
            <w:r>
              <w:rPr>
                <w:color w:val="000000"/>
              </w:rPr>
              <w:lastRenderedPageBreak/>
              <w:t>organisation. T</w:t>
            </w:r>
            <w:r>
              <w:rPr>
                <w:color w:val="000000"/>
              </w:rPr>
              <w:t>his encourages the shared decision-making process and psychological safety process, which enable the healthcare professionals to contribute their expertise to improve patient outcomes.</w:t>
            </w:r>
          </w:p>
          <w:p w14:paraId="7A1F9215" w14:textId="77777777" w:rsidR="007A69E1" w:rsidRDefault="007A69E1">
            <w:pPr>
              <w:widowControl w:val="0"/>
              <w:pBdr>
                <w:top w:val="nil"/>
                <w:left w:val="nil"/>
                <w:bottom w:val="nil"/>
                <w:right w:val="nil"/>
                <w:between w:val="nil"/>
              </w:pBdr>
              <w:spacing w:before="240" w:line="360" w:lineRule="auto"/>
              <w:jc w:val="both"/>
              <w:rPr>
                <w:color w:val="000000"/>
              </w:rPr>
            </w:pPr>
          </w:p>
        </w:tc>
        <w:tc>
          <w:tcPr>
            <w:tcW w:w="3227" w:type="dxa"/>
          </w:tcPr>
          <w:p w14:paraId="2834183B"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lastRenderedPageBreak/>
              <w:t xml:space="preserve">In the present case, applying the continuum approach of leadership could have prevented prolonged pausing of apixaban or failure to restart it as intended. Use of interdisciplinary policy </w:t>
            </w:r>
            <w:r>
              <w:rPr>
                <w:color w:val="000000"/>
              </w:rPr>
              <w:lastRenderedPageBreak/>
              <w:t>meetings could have led to group decision-making, which could have p</w:t>
            </w:r>
            <w:r>
              <w:rPr>
                <w:color w:val="000000"/>
              </w:rPr>
              <w:t xml:space="preserve">revented the case. A lack of participatory decision-making has been noticed due to poor prioritisation of team efforts, which contributed to medication hurdles (Bosch et al., 2025). </w:t>
            </w:r>
          </w:p>
          <w:p w14:paraId="719258C9" w14:textId="77777777" w:rsidR="007A69E1" w:rsidRDefault="007A69E1">
            <w:pPr>
              <w:widowControl w:val="0"/>
              <w:pBdr>
                <w:top w:val="nil"/>
                <w:left w:val="nil"/>
                <w:bottom w:val="nil"/>
                <w:right w:val="nil"/>
                <w:between w:val="nil"/>
              </w:pBdr>
              <w:spacing w:before="240" w:line="360" w:lineRule="auto"/>
              <w:jc w:val="both"/>
              <w:rPr>
                <w:color w:val="000000"/>
              </w:rPr>
            </w:pPr>
          </w:p>
        </w:tc>
      </w:tr>
      <w:tr w:rsidR="007A69E1" w14:paraId="7972BCD6" w14:textId="77777777" w:rsidTr="007A69E1">
        <w:tc>
          <w:tcPr>
            <w:tcW w:w="1260" w:type="dxa"/>
          </w:tcPr>
          <w:p w14:paraId="3E38E30A" w14:textId="77777777" w:rsidR="007A69E1" w:rsidRDefault="00F14D7D">
            <w:pPr>
              <w:widowControl w:val="0"/>
              <w:pBdr>
                <w:top w:val="nil"/>
                <w:left w:val="nil"/>
                <w:bottom w:val="nil"/>
                <w:right w:val="nil"/>
                <w:between w:val="nil"/>
              </w:pBdr>
              <w:spacing w:before="240" w:line="360" w:lineRule="auto"/>
              <w:jc w:val="both"/>
              <w:rPr>
                <w:b/>
                <w:bCs/>
                <w:color w:val="000000"/>
              </w:rPr>
            </w:pPr>
            <w:proofErr w:type="spellStart"/>
            <w:r>
              <w:rPr>
                <w:b/>
                <w:bCs/>
                <w:color w:val="000000"/>
              </w:rPr>
              <w:lastRenderedPageBreak/>
              <w:t>PurposeDriven</w:t>
            </w:r>
            <w:proofErr w:type="spellEnd"/>
            <w:r>
              <w:rPr>
                <w:b/>
                <w:bCs/>
                <w:color w:val="000000"/>
              </w:rPr>
              <w:t>/Transformational</w:t>
            </w:r>
          </w:p>
        </w:tc>
        <w:tc>
          <w:tcPr>
            <w:tcW w:w="4545" w:type="dxa"/>
          </w:tcPr>
          <w:p w14:paraId="276ACD1A" w14:textId="77777777" w:rsidR="007A69E1" w:rsidRDefault="00F14D7D">
            <w:pPr>
              <w:widowControl w:val="0"/>
              <w:spacing w:before="240" w:line="360" w:lineRule="auto"/>
              <w:jc w:val="both"/>
              <w:rPr>
                <w:color w:val="000000"/>
              </w:rPr>
            </w:pPr>
            <w:r>
              <w:rPr>
                <w:color w:val="000000"/>
              </w:rPr>
              <w:t xml:space="preserve">The transformational leadership focuses </w:t>
            </w:r>
            <w:r>
              <w:rPr>
                <w:color w:val="000000"/>
              </w:rPr>
              <w:t>on motivating and inspiring employees to achieve the shared organisational goals. The goal can be achieved through vision, innovations, collaborations and continuous improvements. Directing the staff through the authority process, the transformational lead</w:t>
            </w:r>
            <w:r>
              <w:rPr>
                <w:color w:val="000000"/>
              </w:rPr>
              <w:t xml:space="preserve">ers encourage open communications by empowering the teams (Toth, 2025). </w:t>
            </w:r>
          </w:p>
        </w:tc>
        <w:tc>
          <w:tcPr>
            <w:tcW w:w="3227" w:type="dxa"/>
          </w:tcPr>
          <w:p w14:paraId="474B2973" w14:textId="77777777" w:rsidR="007A69E1" w:rsidRDefault="00F14D7D">
            <w:pPr>
              <w:widowControl w:val="0"/>
              <w:spacing w:before="240" w:line="360" w:lineRule="auto"/>
              <w:jc w:val="both"/>
              <w:rPr>
                <w:color w:val="000000"/>
              </w:rPr>
            </w:pPr>
            <w:r>
              <w:rPr>
                <w:color w:val="000000"/>
              </w:rPr>
              <w:t>The leadership strategy is more applicable as the management aims to make potential changes in the organisational culture. It is also an effective strategy to reduce burnout among hea</w:t>
            </w:r>
            <w:r>
              <w:rPr>
                <w:color w:val="000000"/>
              </w:rPr>
              <w:t xml:space="preserve">lthcare workers. 63% higher collaborative rates have been observed among multidisciplinary team members due to the adoption of transformational leadership strategies in healthcare institutions (Dib and </w:t>
            </w:r>
            <w:proofErr w:type="spellStart"/>
            <w:r>
              <w:rPr>
                <w:color w:val="000000"/>
              </w:rPr>
              <w:t>Belrhiti</w:t>
            </w:r>
            <w:proofErr w:type="spellEnd"/>
            <w:r>
              <w:rPr>
                <w:color w:val="000000"/>
              </w:rPr>
              <w:t>, 2025).</w:t>
            </w:r>
          </w:p>
          <w:p w14:paraId="2981F3CD" w14:textId="77777777" w:rsidR="007A69E1" w:rsidRDefault="007A69E1">
            <w:pPr>
              <w:widowControl w:val="0"/>
              <w:pBdr>
                <w:top w:val="nil"/>
                <w:left w:val="nil"/>
                <w:bottom w:val="nil"/>
                <w:right w:val="nil"/>
                <w:between w:val="nil"/>
              </w:pBdr>
              <w:spacing w:before="240" w:line="360" w:lineRule="auto"/>
              <w:jc w:val="both"/>
              <w:rPr>
                <w:color w:val="000000"/>
              </w:rPr>
            </w:pPr>
          </w:p>
        </w:tc>
      </w:tr>
    </w:tbl>
    <w:p w14:paraId="41C354E1" w14:textId="77777777" w:rsidR="007A69E1" w:rsidRDefault="00F14D7D">
      <w:pPr>
        <w:spacing w:before="240" w:line="360" w:lineRule="auto"/>
        <w:jc w:val="center"/>
        <w:rPr>
          <w:b/>
          <w:bCs/>
          <w:color w:val="000000"/>
        </w:rPr>
      </w:pPr>
      <w:r>
        <w:rPr>
          <w:b/>
          <w:bCs/>
          <w:color w:val="000000"/>
        </w:rPr>
        <w:t>Table 3: Leadership Theory Applicat</w:t>
      </w:r>
      <w:r>
        <w:rPr>
          <w:b/>
          <w:bCs/>
          <w:color w:val="000000"/>
        </w:rPr>
        <w:t>ion with Examples and Supporting Data</w:t>
      </w:r>
    </w:p>
    <w:p w14:paraId="7D9C0E61" w14:textId="77777777" w:rsidR="007A69E1" w:rsidRDefault="00F14D7D">
      <w:pPr>
        <w:spacing w:before="240" w:line="360" w:lineRule="auto"/>
        <w:jc w:val="center"/>
        <w:rPr>
          <w:color w:val="000000"/>
        </w:rPr>
      </w:pPr>
      <w:r>
        <w:rPr>
          <w:color w:val="000000"/>
        </w:rPr>
        <w:t>(Source: Self-developed)</w:t>
      </w:r>
    </w:p>
    <w:p w14:paraId="66E0ACDA" w14:textId="77777777" w:rsidR="007A69E1" w:rsidRDefault="00F14D7D">
      <w:pPr>
        <w:pStyle w:val="Heading3"/>
        <w:rPr>
          <w:color w:val="000000"/>
        </w:rPr>
      </w:pPr>
      <w:bookmarkStart w:id="24" w:name="_tg60p7adyh31" w:colFirst="0" w:colLast="0"/>
      <w:bookmarkEnd w:id="24"/>
      <w:r>
        <w:rPr>
          <w:color w:val="000000"/>
        </w:rPr>
        <w:lastRenderedPageBreak/>
        <w:t xml:space="preserve">2.c.3 Comparative Critical Analysis of Leadership Theories  </w:t>
      </w:r>
    </w:p>
    <w:p w14:paraId="54540CB9" w14:textId="77777777" w:rsidR="007A69E1" w:rsidRDefault="00F14D7D">
      <w:pPr>
        <w:spacing w:before="240" w:line="360" w:lineRule="auto"/>
        <w:jc w:val="both"/>
        <w:rPr>
          <w:b/>
          <w:bCs/>
          <w:i/>
          <w:iCs/>
          <w:color w:val="000000"/>
        </w:rPr>
      </w:pPr>
      <w:r>
        <w:rPr>
          <w:b/>
          <w:bCs/>
          <w:i/>
          <w:iCs/>
          <w:color w:val="000000"/>
        </w:rPr>
        <w:t xml:space="preserve"> Appropriateness of the Leadership Style </w:t>
      </w:r>
    </w:p>
    <w:p w14:paraId="3778F3C4" w14:textId="77777777" w:rsidR="007A69E1" w:rsidRDefault="00F14D7D">
      <w:pPr>
        <w:spacing w:before="240" w:line="360" w:lineRule="auto"/>
        <w:jc w:val="both"/>
        <w:rPr>
          <w:color w:val="000000"/>
        </w:rPr>
      </w:pPr>
      <w:r>
        <w:rPr>
          <w:color w:val="000000"/>
        </w:rPr>
        <w:t>The leadership approach showed in Patient X's case was insufficient to manage the complexity of medication safety. The clinical decisions were made to address the risks of bleeding and leadership failure to ensure the continuous anticoagulation therapy. Mo</w:t>
      </w:r>
      <w:r>
        <w:rPr>
          <w:color w:val="000000"/>
        </w:rPr>
        <w:t xml:space="preserve">reover, only 61.4% believed that they would be treated fairly if involved in the safety incident process (NHS England, 2025). </w:t>
      </w:r>
    </w:p>
    <w:p w14:paraId="362C88E2" w14:textId="77777777" w:rsidR="007A69E1" w:rsidRDefault="00F14D7D">
      <w:pPr>
        <w:spacing w:before="240" w:line="360" w:lineRule="auto"/>
        <w:jc w:val="center"/>
        <w:rPr>
          <w:color w:val="000000"/>
        </w:rPr>
      </w:pPr>
      <w:r>
        <w:rPr>
          <w:noProof/>
          <w:color w:val="000000"/>
        </w:rPr>
        <w:drawing>
          <wp:inline distT="114300" distB="114300" distL="114300" distR="114300" wp14:anchorId="74C593EC" wp14:editId="5AC8ADDC">
            <wp:extent cx="5731200" cy="3454400"/>
            <wp:effectExtent l="0" t="0" r="0" b="0"/>
            <wp:docPr id="1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731200" cy="3454400"/>
                    </a:xfrm>
                    <a:prstGeom prst="rect">
                      <a:avLst/>
                    </a:prstGeom>
                    <a:ln/>
                  </pic:spPr>
                </pic:pic>
              </a:graphicData>
            </a:graphic>
          </wp:inline>
        </w:drawing>
      </w:r>
    </w:p>
    <w:p w14:paraId="658C2868" w14:textId="77777777" w:rsidR="007A69E1" w:rsidRDefault="00F14D7D">
      <w:pPr>
        <w:spacing w:before="240" w:line="360" w:lineRule="auto"/>
        <w:jc w:val="center"/>
        <w:rPr>
          <w:b/>
          <w:bCs/>
          <w:color w:val="000000"/>
        </w:rPr>
      </w:pPr>
      <w:r>
        <w:rPr>
          <w:b/>
          <w:bCs/>
          <w:color w:val="000000"/>
        </w:rPr>
        <w:t>Figure 11: Patient Safety Learning's response to the NHS Staff Survey</w:t>
      </w:r>
    </w:p>
    <w:p w14:paraId="4CF7039C" w14:textId="77777777" w:rsidR="007A69E1" w:rsidRDefault="00F14D7D">
      <w:pPr>
        <w:spacing w:before="240" w:line="360" w:lineRule="auto"/>
        <w:jc w:val="center"/>
        <w:rPr>
          <w:color w:val="000000"/>
        </w:rPr>
      </w:pPr>
      <w:r>
        <w:rPr>
          <w:color w:val="000000"/>
        </w:rPr>
        <w:t>(Source: NHS England, 2025)</w:t>
      </w:r>
    </w:p>
    <w:p w14:paraId="3B524BBE" w14:textId="77777777" w:rsidR="007A69E1" w:rsidRDefault="00F14D7D">
      <w:pPr>
        <w:spacing w:before="240" w:line="360" w:lineRule="auto"/>
        <w:jc w:val="both"/>
        <w:rPr>
          <w:color w:val="000000"/>
        </w:rPr>
      </w:pPr>
      <w:r>
        <w:rPr>
          <w:color w:val="000000"/>
        </w:rPr>
        <w:t>The strong leadership could h</w:t>
      </w:r>
      <w:r>
        <w:rPr>
          <w:color w:val="000000"/>
        </w:rPr>
        <w:t>ave enhanced the communication between the emergency department, specialist teams, medical ward and nursing staff to reduce the uncertainty related to responsibility for the medication management. Higher perceived safety creates an intellectually stimulati</w:t>
      </w:r>
      <w:r>
        <w:rPr>
          <w:color w:val="000000"/>
        </w:rPr>
        <w:t>ng environment, which could lead to 12% faster identification of medication errors (</w:t>
      </w:r>
      <w:proofErr w:type="spellStart"/>
      <w:r>
        <w:rPr>
          <w:color w:val="000000"/>
        </w:rPr>
        <w:t>Kwiecień-Jaguś</w:t>
      </w:r>
      <w:proofErr w:type="spellEnd"/>
      <w:r>
        <w:rPr>
          <w:color w:val="000000"/>
        </w:rPr>
        <w:t xml:space="preserve"> </w:t>
      </w:r>
      <w:r>
        <w:rPr>
          <w:i/>
          <w:iCs/>
          <w:color w:val="000000"/>
        </w:rPr>
        <w:t>et al.</w:t>
      </w:r>
      <w:r>
        <w:rPr>
          <w:color w:val="000000"/>
        </w:rPr>
        <w:t xml:space="preserve">, 2025). </w:t>
      </w:r>
    </w:p>
    <w:p w14:paraId="5F308A38" w14:textId="77777777" w:rsidR="007A69E1" w:rsidRDefault="00F14D7D">
      <w:pPr>
        <w:spacing w:before="240" w:line="360" w:lineRule="auto"/>
        <w:jc w:val="center"/>
        <w:rPr>
          <w:color w:val="000000"/>
        </w:rPr>
      </w:pPr>
      <w:r>
        <w:rPr>
          <w:noProof/>
          <w:color w:val="000000"/>
        </w:rPr>
        <w:lastRenderedPageBreak/>
        <w:drawing>
          <wp:inline distT="114300" distB="114300" distL="114300" distR="114300" wp14:anchorId="5FC2A4C4" wp14:editId="4937D6DC">
            <wp:extent cx="5731200" cy="3454400"/>
            <wp:effectExtent l="0" t="0" r="0" b="0"/>
            <wp:docPr id="1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731200" cy="3454400"/>
                    </a:xfrm>
                    <a:prstGeom prst="rect">
                      <a:avLst/>
                    </a:prstGeom>
                    <a:ln/>
                  </pic:spPr>
                </pic:pic>
              </a:graphicData>
            </a:graphic>
          </wp:inline>
        </w:drawing>
      </w:r>
    </w:p>
    <w:p w14:paraId="64336A25" w14:textId="77777777" w:rsidR="007A69E1" w:rsidRDefault="00F14D7D">
      <w:pPr>
        <w:spacing w:before="240" w:line="360" w:lineRule="auto"/>
        <w:jc w:val="center"/>
        <w:rPr>
          <w:b/>
          <w:bCs/>
          <w:color w:val="000000"/>
        </w:rPr>
      </w:pPr>
      <w:r>
        <w:rPr>
          <w:b/>
          <w:bCs/>
          <w:color w:val="000000"/>
        </w:rPr>
        <w:t>Figure 12: Staff survey responses related to missed concerns</w:t>
      </w:r>
    </w:p>
    <w:p w14:paraId="237C0B8C" w14:textId="77777777" w:rsidR="007A69E1" w:rsidRDefault="00F14D7D">
      <w:pPr>
        <w:spacing w:before="240" w:line="360" w:lineRule="auto"/>
        <w:jc w:val="center"/>
        <w:rPr>
          <w:color w:val="000000"/>
        </w:rPr>
      </w:pPr>
      <w:r>
        <w:rPr>
          <w:color w:val="000000"/>
        </w:rPr>
        <w:t>(Source: NHS England, 2025)</w:t>
      </w:r>
    </w:p>
    <w:p w14:paraId="68D3C83B" w14:textId="77777777" w:rsidR="007A69E1" w:rsidRDefault="00F14D7D">
      <w:pPr>
        <w:spacing w:before="240" w:line="360" w:lineRule="auto"/>
        <w:jc w:val="both"/>
        <w:rPr>
          <w:b/>
          <w:bCs/>
          <w:i/>
          <w:iCs/>
          <w:color w:val="000000"/>
        </w:rPr>
      </w:pPr>
      <w:r>
        <w:rPr>
          <w:b/>
          <w:bCs/>
          <w:i/>
          <w:iCs/>
          <w:color w:val="000000"/>
        </w:rPr>
        <w:t>Reactive versus Proactive Leadership</w:t>
      </w:r>
    </w:p>
    <w:p w14:paraId="1FB57F7D" w14:textId="77777777" w:rsidR="007A69E1" w:rsidRDefault="00F14D7D">
      <w:pPr>
        <w:spacing w:before="240" w:line="360" w:lineRule="auto"/>
        <w:jc w:val="both"/>
        <w:rPr>
          <w:color w:val="000000"/>
        </w:rPr>
      </w:pPr>
      <w:r>
        <w:rPr>
          <w:color w:val="000000"/>
        </w:rPr>
        <w:t xml:space="preserve">The evidence </w:t>
      </w:r>
      <w:r>
        <w:rPr>
          <w:color w:val="000000"/>
        </w:rPr>
        <w:t>suggests that leadership in Patient X's case was mostly reactive rather than proactive. In the present case, an application of a transformational leadership strategy could have cultivated psychological safety among healthcare workers (</w:t>
      </w:r>
      <w:r>
        <w:rPr>
          <w:color w:val="000000"/>
          <w:highlight w:val="white"/>
        </w:rPr>
        <w:t xml:space="preserve">Singh </w:t>
      </w:r>
      <w:r>
        <w:rPr>
          <w:i/>
          <w:iCs/>
          <w:color w:val="000000"/>
          <w:highlight w:val="white"/>
        </w:rPr>
        <w:t>et al.,</w:t>
      </w:r>
      <w:r>
        <w:rPr>
          <w:color w:val="000000"/>
          <w:highlight w:val="white"/>
        </w:rPr>
        <w:t xml:space="preserve"> 2024)</w:t>
      </w:r>
      <w:r>
        <w:rPr>
          <w:color w:val="000000"/>
        </w:rPr>
        <w:t xml:space="preserve">. The Medication without Harm identified the anticoagulants as high-risk medicines that need the proper monitoring process (May </w:t>
      </w:r>
      <w:r>
        <w:rPr>
          <w:i/>
          <w:iCs/>
          <w:color w:val="000000"/>
        </w:rPr>
        <w:t>et al.,</w:t>
      </w:r>
      <w:r>
        <w:rPr>
          <w:color w:val="000000"/>
        </w:rPr>
        <w:t xml:space="preserve"> 2025; ABC News). A proactive leadership approach helps to develop the multidisciplinary education reviews.  This c</w:t>
      </w:r>
      <w:r>
        <w:rPr>
          <w:color w:val="000000"/>
        </w:rPr>
        <w:t xml:space="preserve">ould have enhanced the medication management by developing the communications and preventing the outcome faced by Patient X. </w:t>
      </w:r>
    </w:p>
    <w:p w14:paraId="10E8A226" w14:textId="77777777" w:rsidR="007A69E1" w:rsidRDefault="00F14D7D">
      <w:pPr>
        <w:spacing w:before="240" w:line="360" w:lineRule="auto"/>
        <w:jc w:val="center"/>
        <w:rPr>
          <w:color w:val="000000"/>
        </w:rPr>
      </w:pPr>
      <w:r>
        <w:rPr>
          <w:noProof/>
          <w:color w:val="000000"/>
        </w:rPr>
        <w:lastRenderedPageBreak/>
        <w:drawing>
          <wp:inline distT="114300" distB="114300" distL="114300" distR="114300" wp14:anchorId="7E3A7FB9" wp14:editId="2542D930">
            <wp:extent cx="4343400" cy="3695700"/>
            <wp:effectExtent l="0" t="0" r="0" b="0"/>
            <wp:docPr id="1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9"/>
                    <a:srcRect/>
                    <a:stretch>
                      <a:fillRect/>
                    </a:stretch>
                  </pic:blipFill>
                  <pic:spPr>
                    <a:xfrm>
                      <a:off x="0" y="0"/>
                      <a:ext cx="4343400" cy="3695700"/>
                    </a:xfrm>
                    <a:prstGeom prst="rect">
                      <a:avLst/>
                    </a:prstGeom>
                    <a:ln/>
                  </pic:spPr>
                </pic:pic>
              </a:graphicData>
            </a:graphic>
          </wp:inline>
        </w:drawing>
      </w:r>
    </w:p>
    <w:p w14:paraId="47A14713" w14:textId="77777777" w:rsidR="007A69E1" w:rsidRDefault="00F14D7D">
      <w:pPr>
        <w:spacing w:before="240" w:after="160" w:line="360" w:lineRule="auto"/>
        <w:jc w:val="center"/>
        <w:rPr>
          <w:b/>
          <w:bCs/>
          <w:color w:val="000000"/>
        </w:rPr>
      </w:pPr>
      <w:r>
        <w:rPr>
          <w:b/>
          <w:bCs/>
          <w:color w:val="000000"/>
        </w:rPr>
        <w:t>Figure 13: Healthcare staff burnout and the need for integrating transformational leadership</w:t>
      </w:r>
    </w:p>
    <w:p w14:paraId="11307162" w14:textId="77777777" w:rsidR="007A69E1" w:rsidRDefault="00F14D7D">
      <w:pPr>
        <w:spacing w:before="240" w:line="360" w:lineRule="auto"/>
        <w:jc w:val="center"/>
        <w:rPr>
          <w:color w:val="000000"/>
        </w:rPr>
      </w:pPr>
      <w:r>
        <w:rPr>
          <w:color w:val="000000"/>
        </w:rPr>
        <w:t>(Source: ABC News, 2025)</w:t>
      </w:r>
    </w:p>
    <w:p w14:paraId="0A7A690A" w14:textId="77777777" w:rsidR="007A69E1" w:rsidRDefault="00F14D7D">
      <w:pPr>
        <w:pStyle w:val="Heading2"/>
        <w:rPr>
          <w:color w:val="000000"/>
        </w:rPr>
      </w:pPr>
      <w:bookmarkStart w:id="25" w:name="_mrln9w7uj5i7" w:colFirst="0" w:colLast="0"/>
      <w:bookmarkEnd w:id="25"/>
      <w:r>
        <w:rPr>
          <w:color w:val="000000"/>
        </w:rPr>
        <w:t>2d. Critiq</w:t>
      </w:r>
      <w:r>
        <w:rPr>
          <w:color w:val="000000"/>
        </w:rPr>
        <w:t>ue, improvements and lessons learned</w:t>
      </w:r>
    </w:p>
    <w:p w14:paraId="151C4D19" w14:textId="77777777" w:rsidR="007A69E1" w:rsidRDefault="00F14D7D">
      <w:pPr>
        <w:pStyle w:val="Heading3"/>
      </w:pPr>
      <w:bookmarkStart w:id="26" w:name="_g37ywoze1fbe" w:colFirst="0" w:colLast="0"/>
      <w:bookmarkEnd w:id="26"/>
      <w:r>
        <w:t>2.d.1 Strengthening Medication Safety and Clinical Governance</w:t>
      </w:r>
    </w:p>
    <w:tbl>
      <w:tblPr>
        <w:tblStyle w:val="a2"/>
        <w:tblW w:w="9006"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2010"/>
        <w:gridCol w:w="3990"/>
        <w:gridCol w:w="3006"/>
      </w:tblGrid>
      <w:tr w:rsidR="007A69E1" w14:paraId="2715960F" w14:textId="77777777" w:rsidTr="007A69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0" w:type="dxa"/>
          </w:tcPr>
          <w:p w14:paraId="79C66EDA" w14:textId="77777777" w:rsidR="007A69E1" w:rsidRDefault="00F14D7D">
            <w:pPr>
              <w:widowControl w:val="0"/>
              <w:pBdr>
                <w:top w:val="nil"/>
                <w:left w:val="nil"/>
                <w:bottom w:val="nil"/>
                <w:right w:val="nil"/>
                <w:between w:val="nil"/>
              </w:pBdr>
              <w:spacing w:before="240" w:line="360" w:lineRule="auto"/>
              <w:jc w:val="center"/>
              <w:rPr>
                <w:color w:val="000000"/>
              </w:rPr>
            </w:pPr>
            <w:r>
              <w:rPr>
                <w:color w:val="000000"/>
              </w:rPr>
              <w:t>Problem categories</w:t>
            </w:r>
          </w:p>
        </w:tc>
        <w:tc>
          <w:tcPr>
            <w:tcW w:w="3990" w:type="dxa"/>
          </w:tcPr>
          <w:p w14:paraId="4C9798EE" w14:textId="77777777" w:rsidR="007A69E1" w:rsidRDefault="00F14D7D">
            <w:pPr>
              <w:widowControl w:val="0"/>
              <w:pBdr>
                <w:top w:val="nil"/>
                <w:left w:val="nil"/>
                <w:bottom w:val="nil"/>
                <w:right w:val="nil"/>
                <w:between w:val="nil"/>
              </w:pBdr>
              <w:spacing w:before="240" w:line="360" w:lineRule="auto"/>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Evidence</w:t>
            </w:r>
          </w:p>
        </w:tc>
        <w:tc>
          <w:tcPr>
            <w:tcW w:w="3006" w:type="dxa"/>
          </w:tcPr>
          <w:p w14:paraId="6ED2C67D" w14:textId="77777777" w:rsidR="007A69E1" w:rsidRDefault="00F14D7D">
            <w:pPr>
              <w:widowControl w:val="0"/>
              <w:pBdr>
                <w:top w:val="nil"/>
                <w:left w:val="nil"/>
                <w:bottom w:val="nil"/>
                <w:right w:val="nil"/>
                <w:between w:val="nil"/>
              </w:pBdr>
              <w:spacing w:before="240" w:line="360" w:lineRule="auto"/>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Improvement strategy</w:t>
            </w:r>
          </w:p>
        </w:tc>
      </w:tr>
      <w:tr w:rsidR="007A69E1" w14:paraId="2466C283" w14:textId="77777777" w:rsidTr="007A6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0" w:type="dxa"/>
          </w:tcPr>
          <w:p w14:paraId="022A7F9D"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Transition of care and handover failure</w:t>
            </w:r>
          </w:p>
        </w:tc>
        <w:tc>
          <w:tcPr>
            <w:tcW w:w="3990" w:type="dxa"/>
          </w:tcPr>
          <w:p w14:paraId="336E6C6C"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Medication discrepancies during patient handover are evident from the instance of a 10-day delay in restarting apixaban</w:t>
            </w:r>
          </w:p>
        </w:tc>
        <w:tc>
          <w:tcPr>
            <w:tcW w:w="3006" w:type="dxa"/>
          </w:tcPr>
          <w:p w14:paraId="2E424288"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Mandating structured internal transfer </w:t>
            </w:r>
          </w:p>
          <w:p w14:paraId="3EFF16FA"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Focus on documentation to identify criticality of patient types and re-checking medication i</w:t>
            </w:r>
            <w:r>
              <w:rPr>
                <w:color w:val="000000"/>
              </w:rPr>
              <w:t xml:space="preserve">ntervention </w:t>
            </w:r>
            <w:r>
              <w:rPr>
                <w:color w:val="000000"/>
              </w:rPr>
              <w:lastRenderedPageBreak/>
              <w:t>needs</w:t>
            </w:r>
          </w:p>
          <w:p w14:paraId="5B2137CE"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Sharing history of paused medication between departments to maximise patient safety</w:t>
            </w:r>
          </w:p>
        </w:tc>
      </w:tr>
      <w:tr w:rsidR="007A69E1" w14:paraId="0816D763" w14:textId="77777777" w:rsidTr="007A69E1">
        <w:tc>
          <w:tcPr>
            <w:cnfStyle w:val="001000000000" w:firstRow="0" w:lastRow="0" w:firstColumn="1" w:lastColumn="0" w:oddVBand="0" w:evenVBand="0" w:oddHBand="0" w:evenHBand="0" w:firstRowFirstColumn="0" w:firstRowLastColumn="0" w:lastRowFirstColumn="0" w:lastRowLastColumn="0"/>
            <w:tcW w:w="2010" w:type="dxa"/>
          </w:tcPr>
          <w:p w14:paraId="1540EBEA"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lastRenderedPageBreak/>
              <w:t>Poor training of staff in high-risk medication (e.g., apixaban)</w:t>
            </w:r>
          </w:p>
        </w:tc>
        <w:tc>
          <w:tcPr>
            <w:tcW w:w="3990" w:type="dxa"/>
          </w:tcPr>
          <w:p w14:paraId="76A73F0E"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Poor balance between handling the issue of clot formation and excessive bleeding can be noticed during the decision of pausing apixaban for Patient X</w:t>
            </w:r>
          </w:p>
        </w:tc>
        <w:tc>
          <w:tcPr>
            <w:tcW w:w="3006" w:type="dxa"/>
          </w:tcPr>
          <w:p w14:paraId="092AEE21"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Providing training to existing staff on medication reconciliation protocols</w:t>
            </w:r>
          </w:p>
          <w:p w14:paraId="4EFE2D26"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Implementation of clinical</w:t>
            </w:r>
            <w:r>
              <w:rPr>
                <w:color w:val="000000"/>
              </w:rPr>
              <w:t xml:space="preserve"> decision support system (CDSS) to create automated EHR alerts for clinicians to re-check high-risk medication schedules</w:t>
            </w:r>
          </w:p>
        </w:tc>
      </w:tr>
      <w:tr w:rsidR="007A69E1" w14:paraId="3AEE7418" w14:textId="77777777" w:rsidTr="007A6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0" w:type="dxa"/>
          </w:tcPr>
          <w:p w14:paraId="6F519680"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Process standardisation and documentation gaps</w:t>
            </w:r>
          </w:p>
        </w:tc>
        <w:tc>
          <w:tcPr>
            <w:tcW w:w="3990" w:type="dxa"/>
          </w:tcPr>
          <w:p w14:paraId="2807ACC7"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Fragmented documentation process and poor visibility of short-term pausing of medicatio</w:t>
            </w:r>
            <w:r>
              <w:rPr>
                <w:color w:val="000000"/>
              </w:rPr>
              <w:t>n in the emergency department</w:t>
            </w:r>
          </w:p>
        </w:tc>
        <w:tc>
          <w:tcPr>
            <w:tcW w:w="3006" w:type="dxa"/>
          </w:tcPr>
          <w:p w14:paraId="497C26EF"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Developing a centralised medical list record</w:t>
            </w:r>
            <w:r>
              <w:rPr>
                <w:color w:val="000000"/>
              </w:rPr>
              <w:br/>
              <w:t>~ Creating common dashboards to specify active versus temporarily held medications</w:t>
            </w:r>
          </w:p>
        </w:tc>
      </w:tr>
      <w:tr w:rsidR="007A69E1" w14:paraId="79EC913E" w14:textId="77777777" w:rsidTr="007A69E1">
        <w:tc>
          <w:tcPr>
            <w:cnfStyle w:val="001000000000" w:firstRow="0" w:lastRow="0" w:firstColumn="1" w:lastColumn="0" w:oddVBand="0" w:evenVBand="0" w:oddHBand="0" w:evenHBand="0" w:firstRowFirstColumn="0" w:firstRowLastColumn="0" w:lastRowFirstColumn="0" w:lastRowLastColumn="0"/>
            <w:tcW w:w="2010" w:type="dxa"/>
          </w:tcPr>
          <w:p w14:paraId="68E88B51"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Lack of holistic approach in addressing medical reconciliation</w:t>
            </w:r>
          </w:p>
        </w:tc>
        <w:tc>
          <w:tcPr>
            <w:tcW w:w="3990" w:type="dxa"/>
          </w:tcPr>
          <w:p w14:paraId="3C359105"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Instances of siloed care between</w:t>
            </w:r>
            <w:r>
              <w:rPr>
                <w:color w:val="000000"/>
              </w:rPr>
              <w:t xml:space="preserve"> emergency and general wards, negatively impacting 45% of care continuum cases</w:t>
            </w:r>
          </w:p>
        </w:tc>
        <w:tc>
          <w:tcPr>
            <w:tcW w:w="3006" w:type="dxa"/>
          </w:tcPr>
          <w:p w14:paraId="6E094A8D"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Integrating multidisciplinary safety rounds</w:t>
            </w:r>
          </w:p>
          <w:p w14:paraId="757DE5FA"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Involvement of clinical pharmacists to generate recommendations on holistic medication reconciliations</w:t>
            </w:r>
          </w:p>
        </w:tc>
      </w:tr>
    </w:tbl>
    <w:p w14:paraId="038CE73F" w14:textId="77777777" w:rsidR="007A69E1" w:rsidRDefault="00F14D7D">
      <w:pPr>
        <w:spacing w:before="240" w:line="360" w:lineRule="auto"/>
        <w:jc w:val="center"/>
        <w:rPr>
          <w:b/>
          <w:bCs/>
          <w:color w:val="000000"/>
        </w:rPr>
      </w:pPr>
      <w:r>
        <w:rPr>
          <w:b/>
          <w:bCs/>
          <w:color w:val="000000"/>
        </w:rPr>
        <w:t>Table 4: Problem-Data-Improvement analysis</w:t>
      </w:r>
    </w:p>
    <w:p w14:paraId="4F9008C5" w14:textId="77777777" w:rsidR="007A69E1" w:rsidRDefault="00F14D7D">
      <w:pPr>
        <w:spacing w:before="240" w:line="360" w:lineRule="auto"/>
        <w:jc w:val="center"/>
        <w:rPr>
          <w:b/>
          <w:bCs/>
          <w:i/>
          <w:iCs/>
          <w:color w:val="000000"/>
        </w:rPr>
      </w:pPr>
      <w:r>
        <w:rPr>
          <w:color w:val="000000"/>
        </w:rPr>
        <w:t>(Source: Self-developed)</w:t>
      </w:r>
    </w:p>
    <w:p w14:paraId="63AD3FD6" w14:textId="77777777" w:rsidR="007A69E1" w:rsidRDefault="00F14D7D">
      <w:pPr>
        <w:spacing w:before="240" w:line="360" w:lineRule="auto"/>
        <w:jc w:val="both"/>
        <w:rPr>
          <w:b/>
          <w:bCs/>
          <w:i/>
          <w:iCs/>
          <w:color w:val="000000"/>
        </w:rPr>
      </w:pPr>
      <w:r>
        <w:rPr>
          <w:b/>
          <w:bCs/>
          <w:i/>
          <w:iCs/>
          <w:color w:val="000000"/>
        </w:rPr>
        <w:lastRenderedPageBreak/>
        <w:t>KPIs for improvement strategy</w:t>
      </w:r>
    </w:p>
    <w:p w14:paraId="0876DF85" w14:textId="77777777" w:rsidR="007A69E1" w:rsidRDefault="00F14D7D">
      <w:pPr>
        <w:numPr>
          <w:ilvl w:val="0"/>
          <w:numId w:val="1"/>
        </w:numPr>
        <w:spacing w:before="240" w:line="360" w:lineRule="auto"/>
        <w:jc w:val="both"/>
        <w:rPr>
          <w:color w:val="000000"/>
        </w:rPr>
      </w:pPr>
      <w:r>
        <w:rPr>
          <w:i/>
          <w:iCs/>
          <w:color w:val="000000"/>
        </w:rPr>
        <w:t>Medication reconciliation accuracy rate</w:t>
      </w:r>
      <w:r>
        <w:rPr>
          <w:color w:val="000000"/>
        </w:rPr>
        <w:t xml:space="preserve">: Percentage of patients provided with high-risk anticoagulants so that updated medication management can be ensured (Deo </w:t>
      </w:r>
      <w:r>
        <w:rPr>
          <w:i/>
          <w:iCs/>
          <w:color w:val="000000"/>
        </w:rPr>
        <w:t>et al.</w:t>
      </w:r>
      <w:r>
        <w:rPr>
          <w:color w:val="000000"/>
        </w:rPr>
        <w:t>, 2025)</w:t>
      </w:r>
    </w:p>
    <w:p w14:paraId="53699E92" w14:textId="77777777" w:rsidR="007A69E1" w:rsidRDefault="00F14D7D">
      <w:pPr>
        <w:numPr>
          <w:ilvl w:val="0"/>
          <w:numId w:val="1"/>
        </w:numPr>
        <w:spacing w:before="240" w:line="360" w:lineRule="auto"/>
        <w:jc w:val="both"/>
        <w:rPr>
          <w:color w:val="000000"/>
        </w:rPr>
      </w:pPr>
      <w:r>
        <w:rPr>
          <w:i/>
          <w:iCs/>
          <w:color w:val="000000"/>
        </w:rPr>
        <w:t>Adherence to review prompts</w:t>
      </w:r>
      <w:r>
        <w:rPr>
          <w:color w:val="000000"/>
        </w:rPr>
        <w:t>: Percentage rise in prompts based on documented clini</w:t>
      </w:r>
      <w:r>
        <w:rPr>
          <w:color w:val="000000"/>
        </w:rPr>
        <w:t xml:space="preserve">cal action </w:t>
      </w:r>
    </w:p>
    <w:p w14:paraId="15F53C28" w14:textId="77777777" w:rsidR="007A69E1" w:rsidRDefault="00F14D7D">
      <w:pPr>
        <w:numPr>
          <w:ilvl w:val="0"/>
          <w:numId w:val="1"/>
        </w:numPr>
        <w:spacing w:before="240" w:line="360" w:lineRule="auto"/>
        <w:jc w:val="both"/>
        <w:rPr>
          <w:color w:val="000000"/>
        </w:rPr>
      </w:pPr>
      <w:r>
        <w:rPr>
          <w:i/>
          <w:iCs/>
          <w:color w:val="000000"/>
        </w:rPr>
        <w:t>Median duration of medication suspension</w:t>
      </w:r>
      <w:r>
        <w:rPr>
          <w:color w:val="000000"/>
        </w:rPr>
        <w:t>: Time-based metric on managing high-risk medication cases</w:t>
      </w:r>
    </w:p>
    <w:p w14:paraId="7C117A55" w14:textId="77777777" w:rsidR="007A69E1" w:rsidRDefault="00F14D7D">
      <w:pPr>
        <w:numPr>
          <w:ilvl w:val="0"/>
          <w:numId w:val="1"/>
        </w:numPr>
        <w:spacing w:before="240" w:line="360" w:lineRule="auto"/>
        <w:jc w:val="both"/>
        <w:rPr>
          <w:color w:val="000000"/>
        </w:rPr>
      </w:pPr>
      <w:r>
        <w:rPr>
          <w:i/>
          <w:iCs/>
          <w:color w:val="000000"/>
        </w:rPr>
        <w:t>Adverse event incident rate</w:t>
      </w:r>
      <w:r>
        <w:rPr>
          <w:color w:val="000000"/>
        </w:rPr>
        <w:t xml:space="preserve">: Identification of preventable patient harms linked to medication errors </w:t>
      </w:r>
    </w:p>
    <w:p w14:paraId="458F0ABC" w14:textId="77777777" w:rsidR="007A69E1" w:rsidRDefault="00F14D7D">
      <w:pPr>
        <w:spacing w:before="240" w:line="360" w:lineRule="auto"/>
        <w:jc w:val="both"/>
        <w:rPr>
          <w:b/>
          <w:bCs/>
          <w:i/>
          <w:iCs/>
          <w:color w:val="000000"/>
        </w:rPr>
      </w:pPr>
      <w:r>
        <w:rPr>
          <w:color w:val="000000"/>
        </w:rPr>
        <w:t>The lesson learned from the case is that ap</w:t>
      </w:r>
      <w:r>
        <w:rPr>
          <w:color w:val="000000"/>
        </w:rPr>
        <w:t>ixaban was initially paused at the emergency department, which was necessary for the patient’s (Patient X’s) safety. However, instances of application of healthcare system appraisal (HSA) tools in safe anticoagulation medication have been observed, as past</w:t>
      </w:r>
      <w:r>
        <w:rPr>
          <w:color w:val="000000"/>
        </w:rPr>
        <w:t xml:space="preserve"> clinical information about anticoagulant risk assessment of patients was not available (Week 9, Slide 4). A lack of specialist nursing or limited information access for the administrative staff lowered the efficiency of the intervention process (</w:t>
      </w:r>
      <w:proofErr w:type="spellStart"/>
      <w:r>
        <w:rPr>
          <w:color w:val="000000"/>
        </w:rPr>
        <w:t>MacIntyre</w:t>
      </w:r>
      <w:proofErr w:type="spellEnd"/>
      <w:r>
        <w:rPr>
          <w:color w:val="000000"/>
        </w:rPr>
        <w:t xml:space="preserve"> </w:t>
      </w:r>
      <w:r>
        <w:rPr>
          <w:i/>
          <w:iCs/>
          <w:color w:val="000000"/>
        </w:rPr>
        <w:t>et al.</w:t>
      </w:r>
      <w:r>
        <w:rPr>
          <w:color w:val="000000"/>
        </w:rPr>
        <w:t>, 2025). For instance, the process of referring the case to dedicated respiratory teams has been undermined.</w:t>
      </w:r>
      <w:r>
        <w:rPr>
          <w:b/>
          <w:bCs/>
          <w:i/>
          <w:iCs/>
          <w:color w:val="000000"/>
        </w:rPr>
        <w:t xml:space="preserve"> </w:t>
      </w:r>
      <w:r>
        <w:rPr>
          <w:color w:val="000000"/>
        </w:rPr>
        <w:t xml:space="preserve">The case highlighted an absence of </w:t>
      </w:r>
      <w:proofErr w:type="spellStart"/>
      <w:proofErr w:type="gramStart"/>
      <w:r>
        <w:rPr>
          <w:color w:val="000000"/>
        </w:rPr>
        <w:t>integrating‘</w:t>
      </w:r>
      <w:proofErr w:type="gramEnd"/>
      <w:r>
        <w:rPr>
          <w:color w:val="000000"/>
        </w:rPr>
        <w:t>electronic</w:t>
      </w:r>
      <w:proofErr w:type="spellEnd"/>
      <w:r>
        <w:rPr>
          <w:color w:val="000000"/>
        </w:rPr>
        <w:t xml:space="preserve"> prescribing and medication administration’ (</w:t>
      </w:r>
      <w:proofErr w:type="spellStart"/>
      <w:r>
        <w:rPr>
          <w:color w:val="000000"/>
        </w:rPr>
        <w:t>ePMA</w:t>
      </w:r>
      <w:proofErr w:type="spellEnd"/>
      <w:r>
        <w:rPr>
          <w:color w:val="000000"/>
        </w:rPr>
        <w:t xml:space="preserve">) systems with EHR portals, which </w:t>
      </w:r>
      <w:r>
        <w:rPr>
          <w:color w:val="000000"/>
        </w:rPr>
        <w:t xml:space="preserve">led to a failure to restart apixaban for Patient X (Clifford, 2025). A delay of 10 days in restarting apixaban resulted in a stroke and the patient later died due to the impact. </w:t>
      </w:r>
    </w:p>
    <w:p w14:paraId="1B9BB1E1" w14:textId="77777777" w:rsidR="007A69E1" w:rsidRDefault="00F14D7D">
      <w:pPr>
        <w:spacing w:before="240" w:line="360" w:lineRule="auto"/>
        <w:jc w:val="both"/>
        <w:rPr>
          <w:color w:val="000000"/>
        </w:rPr>
      </w:pPr>
      <w:r>
        <w:rPr>
          <w:color w:val="000000"/>
        </w:rPr>
        <w:t xml:space="preserve">The performance of patient monitoring at the healthcare organisation can be improved by adopting an ‘Anticoagulant Stewardship’ checklist to effectively track interdepartmental transfers (May </w:t>
      </w:r>
      <w:r>
        <w:rPr>
          <w:i/>
          <w:iCs/>
          <w:color w:val="000000"/>
        </w:rPr>
        <w:t>et al.</w:t>
      </w:r>
      <w:r>
        <w:rPr>
          <w:color w:val="000000"/>
        </w:rPr>
        <w:t xml:space="preserve">, 2025). Mandatory and time-bound decision prompts can be </w:t>
      </w:r>
      <w:r>
        <w:rPr>
          <w:color w:val="000000"/>
        </w:rPr>
        <w:t>integrated with EHR systems so that high-risk medication (e.g., pausing of apixaban) can be notified across medical departments. Improvement in professional service can be achieved due to standardising operations of medical, nursing and pharmacy staff so t</w:t>
      </w:r>
      <w:r>
        <w:rPr>
          <w:color w:val="000000"/>
        </w:rPr>
        <w:t>hat these stakeholders can be notified of high-risk medication triggers.</w:t>
      </w:r>
    </w:p>
    <w:p w14:paraId="3F03C793" w14:textId="77777777" w:rsidR="007A69E1" w:rsidRDefault="00F14D7D">
      <w:pPr>
        <w:pStyle w:val="Heading3"/>
      </w:pPr>
      <w:bookmarkStart w:id="27" w:name="_2baoo47prjz3" w:colFirst="0" w:colLast="0"/>
      <w:bookmarkEnd w:id="27"/>
      <w:r>
        <w:lastRenderedPageBreak/>
        <w:t>2.d.2 Improving Leadership and Multidisciplinary Communication</w:t>
      </w:r>
    </w:p>
    <w:tbl>
      <w:tblPr>
        <w:tblStyle w:val="a3"/>
        <w:tblW w:w="9006" w:type="dxa"/>
        <w:jc w:val="center"/>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2010"/>
        <w:gridCol w:w="3990"/>
        <w:gridCol w:w="3006"/>
      </w:tblGrid>
      <w:tr w:rsidR="007A69E1" w14:paraId="2AA84B3F" w14:textId="77777777" w:rsidTr="007A69E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10" w:type="dxa"/>
          </w:tcPr>
          <w:p w14:paraId="0F0C2D25" w14:textId="77777777" w:rsidR="007A69E1" w:rsidRDefault="00F14D7D">
            <w:pPr>
              <w:widowControl w:val="0"/>
              <w:pBdr>
                <w:top w:val="nil"/>
                <w:left w:val="nil"/>
                <w:bottom w:val="nil"/>
                <w:right w:val="nil"/>
                <w:between w:val="nil"/>
              </w:pBdr>
              <w:spacing w:before="240" w:line="360" w:lineRule="auto"/>
              <w:jc w:val="center"/>
              <w:rPr>
                <w:color w:val="000000"/>
              </w:rPr>
            </w:pPr>
            <w:r>
              <w:rPr>
                <w:color w:val="000000"/>
              </w:rPr>
              <w:t>Problem categories</w:t>
            </w:r>
          </w:p>
        </w:tc>
        <w:tc>
          <w:tcPr>
            <w:tcW w:w="3990" w:type="dxa"/>
          </w:tcPr>
          <w:p w14:paraId="612C96A4" w14:textId="77777777" w:rsidR="007A69E1" w:rsidRDefault="00F14D7D">
            <w:pPr>
              <w:widowControl w:val="0"/>
              <w:pBdr>
                <w:top w:val="nil"/>
                <w:left w:val="nil"/>
                <w:bottom w:val="nil"/>
                <w:right w:val="nil"/>
                <w:between w:val="nil"/>
              </w:pBdr>
              <w:spacing w:before="240" w:line="360" w:lineRule="auto"/>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Evidence</w:t>
            </w:r>
          </w:p>
        </w:tc>
        <w:tc>
          <w:tcPr>
            <w:tcW w:w="3006" w:type="dxa"/>
          </w:tcPr>
          <w:p w14:paraId="069C063F" w14:textId="77777777" w:rsidR="007A69E1" w:rsidRDefault="00F14D7D">
            <w:pPr>
              <w:widowControl w:val="0"/>
              <w:pBdr>
                <w:top w:val="nil"/>
                <w:left w:val="nil"/>
                <w:bottom w:val="nil"/>
                <w:right w:val="nil"/>
                <w:between w:val="nil"/>
              </w:pBdr>
              <w:spacing w:before="240" w:line="360" w:lineRule="auto"/>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Improvement strategy</w:t>
            </w:r>
          </w:p>
        </w:tc>
      </w:tr>
      <w:tr w:rsidR="007A69E1" w14:paraId="4112BE8C" w14:textId="77777777" w:rsidTr="007A69E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10" w:type="dxa"/>
          </w:tcPr>
          <w:p w14:paraId="155B77BF"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Gaps in policy frameworks</w:t>
            </w:r>
          </w:p>
        </w:tc>
        <w:tc>
          <w:tcPr>
            <w:tcW w:w="3990" w:type="dxa"/>
          </w:tcPr>
          <w:p w14:paraId="710D9547" w14:textId="77777777" w:rsidR="007A69E1" w:rsidRDefault="00F14D7D">
            <w:pPr>
              <w:widowControl w:val="0"/>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Inconsistent implementation of clinical protocols and systemic oversight</w:t>
            </w:r>
          </w:p>
          <w:p w14:paraId="3124BC28"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System-led failures reveal siloed communication and poor follow-up of medication interventions for Patient X</w:t>
            </w:r>
          </w:p>
        </w:tc>
        <w:tc>
          <w:tcPr>
            <w:tcW w:w="3006" w:type="dxa"/>
          </w:tcPr>
          <w:p w14:paraId="69530BA4" w14:textId="77777777" w:rsidR="007A69E1" w:rsidRDefault="00F14D7D">
            <w:pPr>
              <w:widowControl w:val="0"/>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Development of medication safety committees</w:t>
            </w:r>
          </w:p>
          <w:p w14:paraId="31F28CDD"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Standardising and enfo</w:t>
            </w:r>
            <w:r>
              <w:rPr>
                <w:color w:val="000000"/>
              </w:rPr>
              <w:t>rcing governance policies based on audits of high-risk medication practices</w:t>
            </w:r>
          </w:p>
        </w:tc>
      </w:tr>
      <w:tr w:rsidR="007A69E1" w14:paraId="2C9833F1" w14:textId="77777777" w:rsidTr="007A69E1">
        <w:trPr>
          <w:jc w:val="center"/>
        </w:trPr>
        <w:tc>
          <w:tcPr>
            <w:cnfStyle w:val="001000000000" w:firstRow="0" w:lastRow="0" w:firstColumn="1" w:lastColumn="0" w:oddVBand="0" w:evenVBand="0" w:oddHBand="0" w:evenHBand="0" w:firstRowFirstColumn="0" w:firstRowLastColumn="0" w:lastRowFirstColumn="0" w:lastRowLastColumn="0"/>
            <w:tcW w:w="2010" w:type="dxa"/>
          </w:tcPr>
          <w:p w14:paraId="0724C68C"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Inadequate safety culture</w:t>
            </w:r>
          </w:p>
        </w:tc>
        <w:tc>
          <w:tcPr>
            <w:tcW w:w="3990" w:type="dxa"/>
          </w:tcPr>
          <w:p w14:paraId="28E1997D"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Lack of critical treatment plans led to missing the process of restarting apixaban for 10 days</w:t>
            </w:r>
            <w:r>
              <w:rPr>
                <w:color w:val="000000"/>
              </w:rPr>
              <w:br/>
              <w:t xml:space="preserve">~ Restarting apixaban after a delay of 10 days led to a </w:t>
            </w:r>
            <w:r>
              <w:rPr>
                <w:color w:val="000000"/>
              </w:rPr>
              <w:t>stroke, which caused the death of Patient X</w:t>
            </w:r>
          </w:p>
          <w:p w14:paraId="71CA25D3"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Absence of multi-ward temporarily-held medication reviews</w:t>
            </w:r>
          </w:p>
        </w:tc>
        <w:tc>
          <w:tcPr>
            <w:tcW w:w="3006" w:type="dxa"/>
          </w:tcPr>
          <w:p w14:paraId="731A128D"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Developing a proactive safety culture</w:t>
            </w:r>
          </w:p>
          <w:p w14:paraId="4A4691A6"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Training on compulsory interprofessional handover</w:t>
            </w:r>
          </w:p>
          <w:p w14:paraId="104E72D6"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Reporting near-misses to improve professional learning</w:t>
            </w:r>
          </w:p>
        </w:tc>
      </w:tr>
      <w:tr w:rsidR="007A69E1" w14:paraId="1F462E30" w14:textId="77777777" w:rsidTr="007A69E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10" w:type="dxa"/>
          </w:tcPr>
          <w:p w14:paraId="660D60DE"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Workforce support failures</w:t>
            </w:r>
          </w:p>
        </w:tc>
        <w:tc>
          <w:tcPr>
            <w:tcW w:w="3990" w:type="dxa"/>
          </w:tcPr>
          <w:p w14:paraId="2A4A06F5" w14:textId="77777777" w:rsidR="007A69E1" w:rsidRDefault="00F14D7D">
            <w:pPr>
              <w:widowControl w:val="0"/>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Understaffing and high work pressure for healthcare staff reduce employee performance</w:t>
            </w:r>
          </w:p>
          <w:p w14:paraId="74F9A477"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15% higher vulnerability to medication omission errors</w:t>
            </w:r>
          </w:p>
        </w:tc>
        <w:tc>
          <w:tcPr>
            <w:tcW w:w="3006" w:type="dxa"/>
          </w:tcPr>
          <w:p w14:paraId="282763AA" w14:textId="77777777" w:rsidR="007A69E1" w:rsidRDefault="00F14D7D">
            <w:pPr>
              <w:widowControl w:val="0"/>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Mandatory competency assessment in high-risk medication</w:t>
            </w:r>
          </w:p>
          <w:p w14:paraId="0A27431C" w14:textId="77777777" w:rsidR="007A69E1" w:rsidRDefault="00F14D7D">
            <w:pPr>
              <w:widowControl w:val="0"/>
              <w:pBdr>
                <w:top w:val="nil"/>
                <w:left w:val="nil"/>
                <w:bottom w:val="nil"/>
                <w:right w:val="nil"/>
                <w:between w:val="nil"/>
              </w:pBd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Ensuring safe staffing r</w:t>
            </w:r>
            <w:r>
              <w:rPr>
                <w:color w:val="000000"/>
              </w:rPr>
              <w:t>atio (e.g., ranging between 1:2 in critical care and 1:6 in general wards)</w:t>
            </w:r>
          </w:p>
        </w:tc>
      </w:tr>
      <w:tr w:rsidR="007A69E1" w14:paraId="2FA791BE" w14:textId="77777777" w:rsidTr="007A69E1">
        <w:trPr>
          <w:jc w:val="center"/>
        </w:trPr>
        <w:tc>
          <w:tcPr>
            <w:cnfStyle w:val="001000000000" w:firstRow="0" w:lastRow="0" w:firstColumn="1" w:lastColumn="0" w:oddVBand="0" w:evenVBand="0" w:oddHBand="0" w:evenHBand="0" w:firstRowFirstColumn="0" w:firstRowLastColumn="0" w:lastRowFirstColumn="0" w:lastRowLastColumn="0"/>
            <w:tcW w:w="2010" w:type="dxa"/>
          </w:tcPr>
          <w:p w14:paraId="6266B6EF" w14:textId="77777777" w:rsidR="007A69E1" w:rsidRDefault="00F14D7D">
            <w:pPr>
              <w:widowControl w:val="0"/>
              <w:pBdr>
                <w:top w:val="nil"/>
                <w:left w:val="nil"/>
                <w:bottom w:val="nil"/>
                <w:right w:val="nil"/>
                <w:between w:val="nil"/>
              </w:pBdr>
              <w:spacing w:before="240" w:line="360" w:lineRule="auto"/>
              <w:jc w:val="both"/>
              <w:rPr>
                <w:color w:val="000000"/>
              </w:rPr>
            </w:pPr>
            <w:r>
              <w:rPr>
                <w:color w:val="000000"/>
              </w:rPr>
              <w:t xml:space="preserve">Lack of automation oversight in </w:t>
            </w:r>
            <w:r>
              <w:rPr>
                <w:color w:val="000000"/>
              </w:rPr>
              <w:lastRenderedPageBreak/>
              <w:t>healthcare governance</w:t>
            </w:r>
          </w:p>
        </w:tc>
        <w:tc>
          <w:tcPr>
            <w:tcW w:w="3990" w:type="dxa"/>
          </w:tcPr>
          <w:p w14:paraId="1984E450" w14:textId="77777777" w:rsidR="007A69E1" w:rsidRDefault="00F14D7D">
            <w:pPr>
              <w:widowControl w:val="0"/>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lastRenderedPageBreak/>
              <w:t>~ Inadequate configurations of electronic medication management (</w:t>
            </w:r>
            <w:proofErr w:type="spellStart"/>
            <w:r>
              <w:rPr>
                <w:color w:val="000000"/>
              </w:rPr>
              <w:t>eMM</w:t>
            </w:r>
            <w:proofErr w:type="spellEnd"/>
            <w:r>
              <w:rPr>
                <w:color w:val="000000"/>
              </w:rPr>
              <w:t>) systems</w:t>
            </w:r>
          </w:p>
          <w:p w14:paraId="1A37A3B6"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lastRenderedPageBreak/>
              <w:t>~ Digital divide and limited platform experience</w:t>
            </w:r>
          </w:p>
        </w:tc>
        <w:tc>
          <w:tcPr>
            <w:tcW w:w="3006" w:type="dxa"/>
          </w:tcPr>
          <w:p w14:paraId="63903E01" w14:textId="77777777" w:rsidR="007A69E1" w:rsidRDefault="00F14D7D">
            <w:pPr>
              <w:widowControl w:val="0"/>
              <w:pBdr>
                <w:top w:val="nil"/>
                <w:left w:val="nil"/>
                <w:bottom w:val="nil"/>
                <w:right w:val="nil"/>
                <w:between w:val="nil"/>
              </w:pBd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lastRenderedPageBreak/>
              <w:t xml:space="preserve">~ Integrating EHR with </w:t>
            </w:r>
            <w:proofErr w:type="spellStart"/>
            <w:r>
              <w:rPr>
                <w:color w:val="000000"/>
              </w:rPr>
              <w:t>eMM</w:t>
            </w:r>
            <w:proofErr w:type="spellEnd"/>
            <w:r>
              <w:rPr>
                <w:color w:val="000000"/>
              </w:rPr>
              <w:t xml:space="preserve"> governance</w:t>
            </w:r>
            <w:r>
              <w:rPr>
                <w:color w:val="000000"/>
              </w:rPr>
              <w:br/>
            </w:r>
            <w:r>
              <w:rPr>
                <w:color w:val="000000"/>
              </w:rPr>
              <w:t xml:space="preserve">~ Use of mandatory status </w:t>
            </w:r>
            <w:r>
              <w:rPr>
                <w:color w:val="000000"/>
              </w:rPr>
              <w:lastRenderedPageBreak/>
              <w:t xml:space="preserve">flags (e.g., ‘suspended medication’ to improve interdepartmental </w:t>
            </w:r>
            <w:proofErr w:type="spellStart"/>
            <w:r>
              <w:rPr>
                <w:color w:val="000000"/>
              </w:rPr>
              <w:t>visiblity</w:t>
            </w:r>
            <w:proofErr w:type="spellEnd"/>
            <w:r>
              <w:rPr>
                <w:color w:val="000000"/>
              </w:rPr>
              <w:t xml:space="preserve"> of medication interventions)</w:t>
            </w:r>
          </w:p>
        </w:tc>
      </w:tr>
    </w:tbl>
    <w:p w14:paraId="4A8EF6A5" w14:textId="77777777" w:rsidR="007A69E1" w:rsidRDefault="00F14D7D">
      <w:pPr>
        <w:spacing w:before="240" w:line="360" w:lineRule="auto"/>
        <w:jc w:val="center"/>
        <w:rPr>
          <w:b/>
          <w:bCs/>
          <w:color w:val="000000"/>
        </w:rPr>
      </w:pPr>
      <w:r>
        <w:rPr>
          <w:b/>
          <w:bCs/>
          <w:color w:val="000000"/>
        </w:rPr>
        <w:lastRenderedPageBreak/>
        <w:t>Table 5: Problem-Data-Improvement analysis</w:t>
      </w:r>
    </w:p>
    <w:p w14:paraId="699902DD" w14:textId="77777777" w:rsidR="007A69E1" w:rsidRDefault="00F14D7D">
      <w:pPr>
        <w:spacing w:before="240" w:line="360" w:lineRule="auto"/>
        <w:jc w:val="center"/>
        <w:rPr>
          <w:b/>
          <w:bCs/>
          <w:color w:val="000000"/>
        </w:rPr>
      </w:pPr>
      <w:r>
        <w:rPr>
          <w:color w:val="000000"/>
        </w:rPr>
        <w:t>(Source: Self-developed)</w:t>
      </w:r>
    </w:p>
    <w:p w14:paraId="2E0FB9D8" w14:textId="77777777" w:rsidR="007A69E1" w:rsidRDefault="00F14D7D">
      <w:pPr>
        <w:spacing w:before="240" w:line="360" w:lineRule="auto"/>
        <w:jc w:val="both"/>
        <w:rPr>
          <w:b/>
          <w:bCs/>
          <w:i/>
          <w:iCs/>
          <w:color w:val="000000"/>
        </w:rPr>
      </w:pPr>
      <w:r>
        <w:rPr>
          <w:b/>
          <w:bCs/>
          <w:i/>
          <w:iCs/>
          <w:color w:val="000000"/>
        </w:rPr>
        <w:t>KPIs for improvement strategy</w:t>
      </w:r>
    </w:p>
    <w:p w14:paraId="2C5959FA" w14:textId="77777777" w:rsidR="007A69E1" w:rsidRDefault="00F14D7D">
      <w:pPr>
        <w:numPr>
          <w:ilvl w:val="0"/>
          <w:numId w:val="2"/>
        </w:numPr>
        <w:spacing w:before="240" w:line="360" w:lineRule="auto"/>
        <w:jc w:val="both"/>
        <w:rPr>
          <w:color w:val="000000"/>
        </w:rPr>
      </w:pPr>
      <w:r>
        <w:rPr>
          <w:i/>
          <w:iCs/>
          <w:color w:val="000000"/>
        </w:rPr>
        <w:t>Review frequency</w:t>
      </w:r>
      <w:r>
        <w:rPr>
          <w:color w:val="000000"/>
        </w:rPr>
        <w:t>: Number of times medication decisions are reviewed every day</w:t>
      </w:r>
    </w:p>
    <w:p w14:paraId="7ADDA2BC" w14:textId="77777777" w:rsidR="007A69E1" w:rsidRDefault="00F14D7D">
      <w:pPr>
        <w:numPr>
          <w:ilvl w:val="0"/>
          <w:numId w:val="2"/>
        </w:numPr>
        <w:spacing w:before="240" w:line="360" w:lineRule="auto"/>
        <w:jc w:val="both"/>
        <w:rPr>
          <w:color w:val="000000"/>
        </w:rPr>
      </w:pPr>
      <w:r>
        <w:rPr>
          <w:i/>
          <w:iCs/>
          <w:color w:val="000000"/>
        </w:rPr>
        <w:t>Clinical governance audit compliance rate</w:t>
      </w:r>
      <w:r>
        <w:rPr>
          <w:color w:val="000000"/>
        </w:rPr>
        <w:t>: Percentage of wards that comply with quarterly audits (</w:t>
      </w:r>
      <w:proofErr w:type="spellStart"/>
      <w:r>
        <w:rPr>
          <w:color w:val="000000"/>
        </w:rPr>
        <w:t>Boadu</w:t>
      </w:r>
      <w:proofErr w:type="spellEnd"/>
      <w:r>
        <w:rPr>
          <w:color w:val="000000"/>
        </w:rPr>
        <w:t xml:space="preserve"> </w:t>
      </w:r>
      <w:r>
        <w:rPr>
          <w:i/>
          <w:iCs/>
          <w:color w:val="000000"/>
        </w:rPr>
        <w:t>et al.</w:t>
      </w:r>
      <w:r>
        <w:rPr>
          <w:color w:val="000000"/>
        </w:rPr>
        <w:t>, 2025)</w:t>
      </w:r>
    </w:p>
    <w:p w14:paraId="23B8FB1D" w14:textId="77777777" w:rsidR="007A69E1" w:rsidRDefault="00F14D7D">
      <w:pPr>
        <w:numPr>
          <w:ilvl w:val="0"/>
          <w:numId w:val="2"/>
        </w:numPr>
        <w:spacing w:before="240" w:line="360" w:lineRule="auto"/>
        <w:jc w:val="both"/>
        <w:rPr>
          <w:color w:val="000000"/>
        </w:rPr>
      </w:pPr>
      <w:r>
        <w:rPr>
          <w:i/>
          <w:iCs/>
          <w:color w:val="000000"/>
        </w:rPr>
        <w:t>Incident investigation turnaro</w:t>
      </w:r>
      <w:r>
        <w:rPr>
          <w:i/>
          <w:iCs/>
          <w:color w:val="000000"/>
        </w:rPr>
        <w:t>und time</w:t>
      </w:r>
      <w:r>
        <w:rPr>
          <w:color w:val="000000"/>
        </w:rPr>
        <w:t>: Time taken to address medication errors to maintain project equilibrium (Week 8, Slide 12)</w:t>
      </w:r>
    </w:p>
    <w:p w14:paraId="0A8641E8" w14:textId="77777777" w:rsidR="007A69E1" w:rsidRDefault="00F14D7D">
      <w:pPr>
        <w:pStyle w:val="Heading3"/>
      </w:pPr>
      <w:bookmarkStart w:id="28" w:name="_lcqqv168jkyv" w:colFirst="0" w:colLast="0"/>
      <w:bookmarkEnd w:id="28"/>
      <w:r>
        <w:rPr>
          <w:i/>
          <w:iCs/>
        </w:rPr>
        <w:t>2</w:t>
      </w:r>
      <w:r>
        <w:t>.d.3 Lessons Learned from Patient X's Case</w:t>
      </w:r>
    </w:p>
    <w:p w14:paraId="5B9B27DD" w14:textId="77777777" w:rsidR="007A69E1" w:rsidRDefault="00F14D7D">
      <w:pPr>
        <w:spacing w:before="240" w:line="360" w:lineRule="auto"/>
        <w:jc w:val="both"/>
        <w:rPr>
          <w:b/>
          <w:bCs/>
          <w:i/>
          <w:iCs/>
          <w:color w:val="000000"/>
        </w:rPr>
      </w:pPr>
      <w:r>
        <w:rPr>
          <w:color w:val="000000"/>
        </w:rPr>
        <w:t>Mismatch between demand and capacity associated with respiratory service prevented patients from receiving regu</w:t>
      </w:r>
      <w:r>
        <w:rPr>
          <w:color w:val="000000"/>
        </w:rPr>
        <w:t xml:space="preserve">lar speciality respiratory input. A lack of integration of anticoagulation medication with national healthcare guidance led to neglecting post-procedure duties of the healthcare staff (Bhatkal and Potton, 2025). A lack of local guidance on anticoagulation </w:t>
      </w:r>
      <w:r>
        <w:rPr>
          <w:color w:val="000000"/>
        </w:rPr>
        <w:t>medication has negatively impacted the management of patients’ information (</w:t>
      </w:r>
      <w:proofErr w:type="spellStart"/>
      <w:r>
        <w:rPr>
          <w:color w:val="000000"/>
        </w:rPr>
        <w:t>Castellucci</w:t>
      </w:r>
      <w:proofErr w:type="spellEnd"/>
      <w:r>
        <w:rPr>
          <w:color w:val="000000"/>
        </w:rPr>
        <w:t xml:space="preserve"> </w:t>
      </w:r>
      <w:r>
        <w:rPr>
          <w:i/>
          <w:iCs/>
          <w:color w:val="000000"/>
        </w:rPr>
        <w:t>et al.</w:t>
      </w:r>
      <w:r>
        <w:rPr>
          <w:color w:val="000000"/>
        </w:rPr>
        <w:t>, 2026).</w:t>
      </w:r>
    </w:p>
    <w:p w14:paraId="6A55272B" w14:textId="77777777" w:rsidR="007A69E1" w:rsidRDefault="00F14D7D">
      <w:pPr>
        <w:spacing w:before="240" w:line="360" w:lineRule="auto"/>
        <w:jc w:val="both"/>
        <w:rPr>
          <w:color w:val="000000"/>
        </w:rPr>
      </w:pPr>
      <w:r>
        <w:rPr>
          <w:color w:val="000000"/>
        </w:rPr>
        <w:t>Key areas of improvement included forming a clinical governance committee for medication safety so that insights from the committee can improve evidence-</w:t>
      </w:r>
      <w:r>
        <w:rPr>
          <w:color w:val="000000"/>
        </w:rPr>
        <w:t>based practices. Implementation of accountability frameworks leads to the development of clinical leadership roles to make informed, critical decisions. In considering organisational risk-governance metrics, a governance dashboard can be developed to track</w:t>
      </w:r>
      <w:r>
        <w:rPr>
          <w:color w:val="000000"/>
        </w:rPr>
        <w:t xml:space="preserve"> system risks in the current healthcare settings (Tong et al., 2026).</w:t>
      </w:r>
    </w:p>
    <w:p w14:paraId="5FCC8D50" w14:textId="77777777" w:rsidR="007A69E1" w:rsidRDefault="00F14D7D">
      <w:pPr>
        <w:pStyle w:val="Heading1"/>
      </w:pPr>
      <w:bookmarkStart w:id="29" w:name="_v14bnk2rrvh7" w:colFirst="0" w:colLast="0"/>
      <w:bookmarkEnd w:id="29"/>
      <w:r>
        <w:br w:type="page"/>
      </w:r>
      <w:r>
        <w:lastRenderedPageBreak/>
        <w:t>3. Recommendations</w:t>
      </w:r>
    </w:p>
    <w:p w14:paraId="45561718" w14:textId="77777777" w:rsidR="007A69E1" w:rsidRDefault="00F14D7D">
      <w:pPr>
        <w:pStyle w:val="Heading2"/>
      </w:pPr>
      <w:bookmarkStart w:id="30" w:name="_2k91t8fbje1k" w:colFirst="0" w:colLast="0"/>
      <w:bookmarkEnd w:id="30"/>
      <w:r>
        <w:t>Recommendation 1: Adoption of structured and standardised cross-speciality clinical handover in healthcare organisations</w:t>
      </w:r>
    </w:p>
    <w:p w14:paraId="12C0D62D" w14:textId="77777777" w:rsidR="007A69E1" w:rsidRDefault="00F14D7D">
      <w:pPr>
        <w:spacing w:before="240" w:line="360" w:lineRule="auto"/>
        <w:jc w:val="both"/>
        <w:rPr>
          <w:color w:val="000000"/>
        </w:rPr>
      </w:pPr>
      <w:r>
        <w:rPr>
          <w:color w:val="000000"/>
        </w:rPr>
        <w:t>Based on the above discussion, structured mul</w:t>
      </w:r>
      <w:r>
        <w:rPr>
          <w:color w:val="000000"/>
        </w:rPr>
        <w:t>tidisciplinary handover frameworks such as SBAR can be adopted in healthcare organisations. The recommendation can be justified as it offers an opportunity to ensure structured safety operations for each patient. It can directly address the issue of fragme</w:t>
      </w:r>
      <w:r>
        <w:rPr>
          <w:color w:val="000000"/>
        </w:rPr>
        <w:t>nted communication and contribute to 65%-70% better communication effectiveness (</w:t>
      </w:r>
      <w:proofErr w:type="spellStart"/>
      <w:r>
        <w:rPr>
          <w:color w:val="000000"/>
        </w:rPr>
        <w:t>Ghannam</w:t>
      </w:r>
      <w:proofErr w:type="spellEnd"/>
      <w:r>
        <w:rPr>
          <w:color w:val="000000"/>
        </w:rPr>
        <w:t xml:space="preserve"> </w:t>
      </w:r>
      <w:r>
        <w:rPr>
          <w:i/>
          <w:iCs/>
          <w:color w:val="000000"/>
        </w:rPr>
        <w:t xml:space="preserve">et al., </w:t>
      </w:r>
      <w:r>
        <w:rPr>
          <w:color w:val="000000"/>
        </w:rPr>
        <w:t>2025). The recommendation is targeted to enhance effectiveness of clinical communication and continuity in patient care before and after interdepartmental tran</w:t>
      </w:r>
      <w:r>
        <w:rPr>
          <w:color w:val="000000"/>
        </w:rPr>
        <w:t xml:space="preserve">sfer. As individual teams do not act in isolation, the risk of ‘decentralisation failure’ can be mitigated. </w:t>
      </w:r>
    </w:p>
    <w:p w14:paraId="0AE549C1" w14:textId="77777777" w:rsidR="007A69E1" w:rsidRDefault="00F14D7D">
      <w:pPr>
        <w:spacing w:before="240" w:line="360" w:lineRule="auto"/>
        <w:jc w:val="both"/>
        <w:rPr>
          <w:color w:val="000000"/>
        </w:rPr>
      </w:pPr>
      <w:r>
        <w:rPr>
          <w:color w:val="000000"/>
        </w:rPr>
        <w:t>In addition, the use of a structured handover process leads to higher accountability, as the present case revealed a concern of a lack of clear own</w:t>
      </w:r>
      <w:r>
        <w:rPr>
          <w:color w:val="000000"/>
        </w:rPr>
        <w:t xml:space="preserve">ership of anticoagulant management. It has enhanced the scope of medication continuity by 44%. Structured handover reduces cases of ‘forgotten’ doses or poor implementation of anticoagulation measures (McCarthy </w:t>
      </w:r>
      <w:r>
        <w:rPr>
          <w:i/>
          <w:iCs/>
          <w:color w:val="000000"/>
        </w:rPr>
        <w:t>et al.</w:t>
      </w:r>
      <w:r>
        <w:rPr>
          <w:color w:val="000000"/>
        </w:rPr>
        <w:t>, 2025). It forms the foundation of eth</w:t>
      </w:r>
      <w:r>
        <w:rPr>
          <w:color w:val="000000"/>
        </w:rPr>
        <w:t xml:space="preserve">ical governance in medical operations so that high-risk medication safety can be observed. A formalised handover of patients between departments leads to higher accountability and less ambiguous practices to enhance patient safety outcomes. </w:t>
      </w:r>
    </w:p>
    <w:p w14:paraId="194B1695" w14:textId="77777777" w:rsidR="007A69E1" w:rsidRDefault="00F14D7D">
      <w:pPr>
        <w:pStyle w:val="Heading2"/>
      </w:pPr>
      <w:bookmarkStart w:id="31" w:name="_9bohkcyyd520" w:colFirst="0" w:colLast="0"/>
      <w:bookmarkEnd w:id="31"/>
      <w:r>
        <w:t>Recommendation</w:t>
      </w:r>
      <w:r>
        <w:t xml:space="preserve"> 2: Integration of compulsory cross-disciplinary medication review at every care transition phase</w:t>
      </w:r>
    </w:p>
    <w:p w14:paraId="70ADFEB5" w14:textId="77777777" w:rsidR="007A69E1" w:rsidRDefault="00F14D7D">
      <w:pPr>
        <w:spacing w:before="240" w:line="360" w:lineRule="auto"/>
        <w:jc w:val="both"/>
        <w:rPr>
          <w:color w:val="000000"/>
        </w:rPr>
      </w:pPr>
      <w:r>
        <w:rPr>
          <w:color w:val="000000"/>
        </w:rPr>
        <w:t>An introduction of mandatory medication reconciliation is necessary to periodically review medication failures each day. Integrating mandatory verification ch</w:t>
      </w:r>
      <w:r>
        <w:rPr>
          <w:color w:val="000000"/>
        </w:rPr>
        <w:t>eckpoints across multiple healthcare transition phases leads to greater transparency in patient record management and reduces 18%-20% chances of medication omissions. It directly addresses the issue of procedural delays as found in the case of Patient X, w</w:t>
      </w:r>
      <w:r>
        <w:rPr>
          <w:color w:val="000000"/>
        </w:rPr>
        <w:t>here the process of restarting apixaban was delayed by 10 days. Use of standard techniques such as ‘incident reviews’ and ‘executive oversight’ has been recommended to improve effectiveness by 36% in monitoring performance (Priscilla, 2025). Moreover, as w</w:t>
      </w:r>
      <w:r>
        <w:rPr>
          <w:color w:val="000000"/>
        </w:rPr>
        <w:t xml:space="preserve">eak governance has been identified as a key </w:t>
      </w:r>
      <w:r>
        <w:rPr>
          <w:color w:val="000000"/>
        </w:rPr>
        <w:lastRenderedPageBreak/>
        <w:t xml:space="preserve">concern, the use of mandatory medication reconciliation techniques helped in integrating safety governance in day-to-day medical practices. </w:t>
      </w:r>
    </w:p>
    <w:p w14:paraId="5E1168E0" w14:textId="77777777" w:rsidR="007A69E1" w:rsidRDefault="00F14D7D">
      <w:pPr>
        <w:spacing w:before="240" w:line="360" w:lineRule="auto"/>
        <w:jc w:val="both"/>
        <w:rPr>
          <w:color w:val="000000"/>
        </w:rPr>
      </w:pPr>
      <w:r>
        <w:rPr>
          <w:color w:val="000000"/>
        </w:rPr>
        <w:t>Apart from that, documentation gaps have been observed in the given cas</w:t>
      </w:r>
      <w:r>
        <w:rPr>
          <w:color w:val="000000"/>
        </w:rPr>
        <w:t>e, which negatively impacted the efficiency of the intervention technique. To address the issue, mandatory medication reconciliation leads to the development of an integrated electronic prescribing system to offer real-time notifications about patient foll</w:t>
      </w:r>
      <w:r>
        <w:rPr>
          <w:color w:val="000000"/>
        </w:rPr>
        <w:t>ow-up to respective stakeholders. Also, 24% inefficiency in the decision support mechanism can be reduced with the help of the medical reconciliation technique while maximising overall outcomes of professional healthcare services (</w:t>
      </w:r>
      <w:proofErr w:type="spellStart"/>
      <w:r>
        <w:rPr>
          <w:color w:val="000000"/>
        </w:rPr>
        <w:t>Almadani</w:t>
      </w:r>
      <w:proofErr w:type="spellEnd"/>
      <w:r>
        <w:rPr>
          <w:color w:val="000000"/>
        </w:rPr>
        <w:t xml:space="preserve"> </w:t>
      </w:r>
      <w:r>
        <w:rPr>
          <w:i/>
          <w:iCs/>
          <w:color w:val="000000"/>
        </w:rPr>
        <w:t>et al.</w:t>
      </w:r>
      <w:r>
        <w:rPr>
          <w:color w:val="000000"/>
        </w:rPr>
        <w:t xml:space="preserve">, 2025). </w:t>
      </w:r>
    </w:p>
    <w:p w14:paraId="5CF154C8" w14:textId="77777777" w:rsidR="007A69E1" w:rsidRDefault="00F14D7D">
      <w:pPr>
        <w:spacing w:before="240" w:line="360" w:lineRule="auto"/>
        <w:jc w:val="center"/>
        <w:rPr>
          <w:color w:val="000000"/>
        </w:rPr>
      </w:pPr>
      <w:r>
        <w:rPr>
          <w:noProof/>
          <w:color w:val="000000"/>
        </w:rPr>
        <w:drawing>
          <wp:inline distT="0" distB="0" distL="0" distR="0" wp14:anchorId="1092DF61" wp14:editId="6D905704">
            <wp:extent cx="5486400" cy="3200400"/>
            <wp:effectExtent l="0" t="1905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14E5CB7" w14:textId="77777777" w:rsidR="007A69E1" w:rsidRDefault="00F14D7D">
      <w:pPr>
        <w:spacing w:before="240" w:line="360" w:lineRule="auto"/>
        <w:jc w:val="center"/>
        <w:rPr>
          <w:b/>
          <w:bCs/>
          <w:color w:val="000000"/>
        </w:rPr>
      </w:pPr>
      <w:r>
        <w:rPr>
          <w:b/>
          <w:bCs/>
          <w:color w:val="000000"/>
        </w:rPr>
        <w:t>Figure 14: Key recommendations</w:t>
      </w:r>
    </w:p>
    <w:p w14:paraId="2647AD14" w14:textId="77777777" w:rsidR="007A69E1" w:rsidRDefault="00F14D7D">
      <w:pPr>
        <w:spacing w:before="240" w:line="360" w:lineRule="auto"/>
        <w:jc w:val="center"/>
        <w:rPr>
          <w:color w:val="000000"/>
        </w:rPr>
      </w:pPr>
      <w:r>
        <w:rPr>
          <w:color w:val="000000"/>
        </w:rPr>
        <w:t>(Source: Self-developed)</w:t>
      </w:r>
    </w:p>
    <w:p w14:paraId="26C78E84" w14:textId="77777777" w:rsidR="007A69E1" w:rsidRDefault="00F14D7D">
      <w:pPr>
        <w:pStyle w:val="Heading2"/>
      </w:pPr>
      <w:bookmarkStart w:id="32" w:name="_yawsvv233149" w:colFirst="0" w:colLast="0"/>
      <w:bookmarkEnd w:id="32"/>
      <w:r>
        <w:t>Recommendation 3: Providing comprehensive, multi-professional training to medical staff on anticoagulation safety guidelines</w:t>
      </w:r>
    </w:p>
    <w:p w14:paraId="50B324E9" w14:textId="77777777" w:rsidR="007A69E1" w:rsidRDefault="00F14D7D">
      <w:pPr>
        <w:spacing w:before="240" w:line="360" w:lineRule="auto"/>
        <w:jc w:val="both"/>
        <w:rPr>
          <w:color w:val="000000"/>
        </w:rPr>
      </w:pPr>
      <w:r>
        <w:rPr>
          <w:color w:val="000000"/>
        </w:rPr>
        <w:t>Multidisciplinary training sessions have been recommended to increase sta</w:t>
      </w:r>
      <w:r>
        <w:rPr>
          <w:color w:val="000000"/>
        </w:rPr>
        <w:t xml:space="preserve">ff awareness of anticoagulation safety protocols. It is expected to develop the foundation of risk analysis in terms of clotting risks, bleeding risks and procedural delays. A shift from rigid training methods </w:t>
      </w:r>
      <w:r>
        <w:rPr>
          <w:color w:val="000000"/>
        </w:rPr>
        <w:lastRenderedPageBreak/>
        <w:t>to high-alert anticoagulation management is ne</w:t>
      </w:r>
      <w:r>
        <w:rPr>
          <w:color w:val="000000"/>
        </w:rPr>
        <w:t xml:space="preserve">cessary to enhance team efficiency in addressing critical procedural intervention cases. For instance, transformational leadership approaches are applied to train staff in situational awareness, where they can anticipate key gaps in patient management and </w:t>
      </w:r>
      <w:r>
        <w:rPr>
          <w:color w:val="000000"/>
        </w:rPr>
        <w:t>double-check them to increase efficiency in patient safety by 43% (</w:t>
      </w:r>
      <w:proofErr w:type="spellStart"/>
      <w:r>
        <w:rPr>
          <w:color w:val="000000"/>
        </w:rPr>
        <w:t>Chandanani</w:t>
      </w:r>
      <w:proofErr w:type="spellEnd"/>
      <w:r>
        <w:rPr>
          <w:color w:val="000000"/>
        </w:rPr>
        <w:t xml:space="preserve"> </w:t>
      </w:r>
      <w:r>
        <w:rPr>
          <w:i/>
          <w:iCs/>
          <w:color w:val="000000"/>
        </w:rPr>
        <w:t xml:space="preserve">et al., </w:t>
      </w:r>
      <w:r>
        <w:rPr>
          <w:color w:val="000000"/>
        </w:rPr>
        <w:t xml:space="preserve">2025). </w:t>
      </w:r>
    </w:p>
    <w:p w14:paraId="039BD903" w14:textId="77777777" w:rsidR="007A69E1" w:rsidRDefault="00F14D7D">
      <w:pPr>
        <w:spacing w:before="240" w:line="360" w:lineRule="auto"/>
        <w:jc w:val="both"/>
        <w:rPr>
          <w:color w:val="000000"/>
        </w:rPr>
      </w:pPr>
      <w:r>
        <w:rPr>
          <w:color w:val="000000"/>
        </w:rPr>
        <w:t>In addition, rapid correction of safety culture gaps can be achieved due to the adoption of providing multidisciplinary training to healthcare workers. Use of shared accountability has been standardised to make improvements in the organisational safety cul</w:t>
      </w:r>
      <w:r>
        <w:rPr>
          <w:color w:val="000000"/>
        </w:rPr>
        <w:t xml:space="preserve">ture. In the training process, scenario-based simulation is recommended so that teams can develop 36% faster standardised response to paused medication protocols (as found in the case of Patient X) (Harrington </w:t>
      </w:r>
      <w:r>
        <w:rPr>
          <w:i/>
          <w:iCs/>
          <w:color w:val="000000"/>
        </w:rPr>
        <w:t>et al.</w:t>
      </w:r>
      <w:r>
        <w:rPr>
          <w:color w:val="000000"/>
        </w:rPr>
        <w:t>, 2026). Clarification of roles and resp</w:t>
      </w:r>
      <w:r>
        <w:rPr>
          <w:color w:val="000000"/>
        </w:rPr>
        <w:t>onsibilities prevents missing out on restarting apixaban or other key interventions in high-risk medications. Use of interactive decision support tools has also created a scope of holistic improvement in hospital safety governance.</w:t>
      </w:r>
    </w:p>
    <w:p w14:paraId="0CE0FDD1" w14:textId="77777777" w:rsidR="007A69E1" w:rsidRDefault="00F14D7D">
      <w:pPr>
        <w:pStyle w:val="Heading1"/>
      </w:pPr>
      <w:bookmarkStart w:id="33" w:name="_n8w6r078vwyx" w:colFirst="0" w:colLast="0"/>
      <w:bookmarkEnd w:id="33"/>
      <w:r>
        <w:t>4. Conclusion</w:t>
      </w:r>
    </w:p>
    <w:p w14:paraId="2E75F778" w14:textId="77777777" w:rsidR="007A69E1" w:rsidRDefault="00F14D7D">
      <w:pPr>
        <w:spacing w:before="240" w:line="360" w:lineRule="auto"/>
        <w:jc w:val="both"/>
        <w:rPr>
          <w:color w:val="000000"/>
        </w:rPr>
      </w:pPr>
      <w:r>
        <w:rPr>
          <w:color w:val="000000"/>
        </w:rPr>
        <w:t>In conclus</w:t>
      </w:r>
      <w:r>
        <w:rPr>
          <w:color w:val="000000"/>
        </w:rPr>
        <w:t>ion, it can be said that the case study analysis revealed a case of structural failures in hospital management, which can be linked to poor leadership design. As observed from Tannenbaum and Schmidt's continuum analysis, an over-reliance on hierarchical st</w:t>
      </w:r>
      <w:r>
        <w:rPr>
          <w:color w:val="000000"/>
        </w:rPr>
        <w:t>ructure has been responsible for the 10-day medication pause. It directly impacted the patient’s death within 2 more days of restarting apixaban after the pause. An absence of shared vision for patient safety negatively affected transformational engagement</w:t>
      </w:r>
      <w:r>
        <w:rPr>
          <w:color w:val="000000"/>
        </w:rPr>
        <w:t xml:space="preserve"> in the mentioned case study. Other limitations of leadership included diffusion of responsibility, as a communication error led to decentralisation failure for Patient X. </w:t>
      </w:r>
    </w:p>
    <w:p w14:paraId="7EA38770" w14:textId="77777777" w:rsidR="007A69E1" w:rsidRDefault="00F14D7D">
      <w:pPr>
        <w:spacing w:before="240" w:line="360" w:lineRule="auto"/>
        <w:jc w:val="both"/>
        <w:rPr>
          <w:color w:val="000000"/>
        </w:rPr>
      </w:pPr>
      <w:r>
        <w:rPr>
          <w:color w:val="000000"/>
        </w:rPr>
        <w:t>System weaknesses have been identified as a lack of systems thinking in the organis</w:t>
      </w:r>
      <w:r>
        <w:rPr>
          <w:color w:val="000000"/>
        </w:rPr>
        <w:t>ational design, which has led to fragmentation of care. Poor communication between the emergency department and the general ward negatively impacted patient safety. A lack of automated mechanisms leads to the development of safety nets, which can be expect</w:t>
      </w:r>
      <w:r>
        <w:rPr>
          <w:color w:val="000000"/>
        </w:rPr>
        <w:t xml:space="preserve">ed as a standard practice in high-risk medication protocols. A clearly visible case of failure in interdepartmental integration indicated poor connection between disparate workflows, which reduced the efficiency of follow-up practices. </w:t>
      </w:r>
    </w:p>
    <w:p w14:paraId="628FD383" w14:textId="77777777" w:rsidR="007A69E1" w:rsidRDefault="00F14D7D">
      <w:pPr>
        <w:spacing w:before="240" w:line="360" w:lineRule="auto"/>
        <w:jc w:val="both"/>
        <w:rPr>
          <w:color w:val="000000"/>
        </w:rPr>
      </w:pPr>
      <w:r>
        <w:rPr>
          <w:color w:val="000000"/>
        </w:rPr>
        <w:lastRenderedPageBreak/>
        <w:t xml:space="preserve">In analysing the influence of governance and leadership on outcomes, it can be said that the report revealed a governance oversight gap. For instance, systemic risks have not been audited at the organisational design level, which indicated poor management </w:t>
      </w:r>
      <w:r>
        <w:rPr>
          <w:color w:val="000000"/>
        </w:rPr>
        <w:t>of preventable deaths. Poor psychological safety and lack of multidisciplinary training in the healthcare organisation highlighted the need for structured patient handovers/transfers between departments.</w:t>
      </w:r>
    </w:p>
    <w:p w14:paraId="42B2444C" w14:textId="77777777" w:rsidR="007A69E1" w:rsidRDefault="00F14D7D">
      <w:pPr>
        <w:spacing w:before="240" w:line="360" w:lineRule="auto"/>
        <w:jc w:val="both"/>
        <w:rPr>
          <w:color w:val="000000"/>
        </w:rPr>
      </w:pPr>
      <w:r>
        <w:rPr>
          <w:color w:val="000000"/>
        </w:rPr>
        <w:t>The recommendations have been provided to fulfil the</w:t>
      </w:r>
      <w:r>
        <w:rPr>
          <w:color w:val="000000"/>
        </w:rPr>
        <w:t xml:space="preserve"> requirements of systems thinking to suggest better mitigation techniques than individual-focused interventions. For example, a mandatory medical reconciliation technique has been recommended so that the organisation/industry implements a holistic interven</w:t>
      </w:r>
      <w:r>
        <w:rPr>
          <w:color w:val="000000"/>
        </w:rPr>
        <w:t xml:space="preserve">tion technique to enhance the professional effectiveness of healthcare services. </w:t>
      </w:r>
    </w:p>
    <w:p w14:paraId="4BF2ED2D" w14:textId="77777777" w:rsidR="007A69E1" w:rsidRDefault="00F14D7D">
      <w:pPr>
        <w:spacing w:before="240" w:line="360" w:lineRule="auto"/>
        <w:jc w:val="both"/>
        <w:rPr>
          <w:color w:val="000000"/>
        </w:rPr>
      </w:pPr>
      <w:r>
        <w:br w:type="page"/>
      </w:r>
    </w:p>
    <w:p w14:paraId="4181C1D2" w14:textId="77777777" w:rsidR="007A69E1" w:rsidRDefault="00F14D7D">
      <w:pPr>
        <w:pStyle w:val="Heading1"/>
      </w:pPr>
      <w:bookmarkStart w:id="34" w:name="_n4nc8tnyk3np" w:colFirst="0" w:colLast="0"/>
      <w:bookmarkEnd w:id="34"/>
      <w:r>
        <w:lastRenderedPageBreak/>
        <w:t xml:space="preserve">References </w:t>
      </w:r>
    </w:p>
    <w:p w14:paraId="29F57367"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ABC News (2025). </w:t>
      </w:r>
      <w:r>
        <w:rPr>
          <w:i/>
          <w:iCs/>
          <w:color w:val="000000"/>
        </w:rPr>
        <w:t>Health care workers report increase in burnout, harassment since the COVID pandemic: CDC</w:t>
      </w:r>
      <w:r>
        <w:rPr>
          <w:color w:val="000000"/>
        </w:rPr>
        <w:t xml:space="preserve">. [online] ABC News. Available at: </w:t>
      </w:r>
      <w:hyperlink r:id="rId25">
        <w:r>
          <w:rPr>
            <w:color w:val="000000"/>
            <w:u w:val="single"/>
          </w:rPr>
          <w:t>https://abcnews.com/Health/health-care-workers-report-increase-burnout-harassment-covid/story?id=104250554</w:t>
        </w:r>
      </w:hyperlink>
      <w:r>
        <w:rPr>
          <w:color w:val="000000"/>
        </w:rPr>
        <w:t xml:space="preserve"> (Accessed on: 5/07/2026)</w:t>
      </w:r>
    </w:p>
    <w:p w14:paraId="4858EF4A"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Al </w:t>
      </w:r>
      <w:proofErr w:type="spellStart"/>
      <w:r>
        <w:rPr>
          <w:color w:val="000000"/>
        </w:rPr>
        <w:t>Rowily</w:t>
      </w:r>
      <w:proofErr w:type="spellEnd"/>
      <w:r>
        <w:rPr>
          <w:color w:val="000000"/>
        </w:rPr>
        <w:t xml:space="preserve">, A., </w:t>
      </w:r>
      <w:proofErr w:type="spellStart"/>
      <w:r>
        <w:rPr>
          <w:color w:val="000000"/>
        </w:rPr>
        <w:t>Alo</w:t>
      </w:r>
      <w:r>
        <w:rPr>
          <w:color w:val="000000"/>
        </w:rPr>
        <w:t>udah</w:t>
      </w:r>
      <w:proofErr w:type="spellEnd"/>
      <w:r>
        <w:rPr>
          <w:color w:val="000000"/>
        </w:rPr>
        <w:t xml:space="preserve">, N., Jalal, Z., </w:t>
      </w:r>
      <w:proofErr w:type="spellStart"/>
      <w:r>
        <w:rPr>
          <w:color w:val="000000"/>
        </w:rPr>
        <w:t>Abutaleb</w:t>
      </w:r>
      <w:proofErr w:type="spellEnd"/>
      <w:r>
        <w:rPr>
          <w:color w:val="000000"/>
        </w:rPr>
        <w:t xml:space="preserve">, M., Baraka, M. and </w:t>
      </w:r>
      <w:proofErr w:type="spellStart"/>
      <w:r>
        <w:rPr>
          <w:color w:val="000000"/>
        </w:rPr>
        <w:t>Paudyal</w:t>
      </w:r>
      <w:proofErr w:type="spellEnd"/>
      <w:r>
        <w:rPr>
          <w:color w:val="000000"/>
        </w:rPr>
        <w:t>, V., (2023). Medication errors in relation to direct-acting oral anticoagulants: a qualitative study of pharmacists’ views and experiences. </w:t>
      </w:r>
      <w:r>
        <w:rPr>
          <w:i/>
          <w:iCs/>
          <w:color w:val="000000"/>
        </w:rPr>
        <w:t>International Journal of Clinical Pharmacy</w:t>
      </w:r>
      <w:r>
        <w:rPr>
          <w:color w:val="000000"/>
        </w:rPr>
        <w:t>, </w:t>
      </w:r>
      <w:r>
        <w:rPr>
          <w:i/>
          <w:iCs/>
          <w:color w:val="000000"/>
        </w:rPr>
        <w:t>45</w:t>
      </w:r>
      <w:r>
        <w:rPr>
          <w:color w:val="000000"/>
        </w:rPr>
        <w:t>(3), pp.681-</w:t>
      </w:r>
      <w:r>
        <w:rPr>
          <w:color w:val="000000"/>
        </w:rPr>
        <w:t xml:space="preserve">688. </w:t>
      </w:r>
      <w:hyperlink r:id="rId26">
        <w:r>
          <w:rPr>
            <w:color w:val="000000"/>
            <w:u w:val="single"/>
          </w:rPr>
          <w:t>https://doi.org/10.1007/s11096-023-01555-3</w:t>
        </w:r>
      </w:hyperlink>
    </w:p>
    <w:p w14:paraId="16E0BE8E" w14:textId="77777777" w:rsidR="007A69E1" w:rsidRDefault="00F14D7D">
      <w:pPr>
        <w:spacing w:before="240" w:after="240" w:line="360" w:lineRule="auto"/>
        <w:jc w:val="both"/>
        <w:rPr>
          <w:color w:val="000000"/>
        </w:rPr>
      </w:pPr>
      <w:proofErr w:type="spellStart"/>
      <w:r>
        <w:rPr>
          <w:color w:val="000000"/>
        </w:rPr>
        <w:t>Almadani</w:t>
      </w:r>
      <w:proofErr w:type="spellEnd"/>
      <w:r>
        <w:rPr>
          <w:color w:val="000000"/>
        </w:rPr>
        <w:t xml:space="preserve">, B., </w:t>
      </w:r>
      <w:proofErr w:type="spellStart"/>
      <w:r>
        <w:rPr>
          <w:color w:val="000000"/>
        </w:rPr>
        <w:t>Kaisar</w:t>
      </w:r>
      <w:proofErr w:type="spellEnd"/>
      <w:r>
        <w:rPr>
          <w:color w:val="000000"/>
        </w:rPr>
        <w:t xml:space="preserve">, H., </w:t>
      </w:r>
      <w:proofErr w:type="spellStart"/>
      <w:r>
        <w:rPr>
          <w:color w:val="000000"/>
        </w:rPr>
        <w:t>Thoker</w:t>
      </w:r>
      <w:proofErr w:type="spellEnd"/>
      <w:r>
        <w:rPr>
          <w:color w:val="000000"/>
        </w:rPr>
        <w:t xml:space="preserve">, I.R. and Aliyu, F. (2025). A Systematic Survey of Distributed Decision Support Systems in Healthcare. </w:t>
      </w:r>
      <w:r>
        <w:rPr>
          <w:i/>
          <w:iCs/>
          <w:color w:val="000000"/>
        </w:rPr>
        <w:t>Systems</w:t>
      </w:r>
      <w:r>
        <w:rPr>
          <w:color w:val="000000"/>
        </w:rPr>
        <w:t>, [</w:t>
      </w:r>
      <w:r>
        <w:rPr>
          <w:color w:val="000000"/>
        </w:rPr>
        <w:t>online] 13(3), p.157. doi:10.3390/systems13030157.</w:t>
      </w:r>
    </w:p>
    <w:p w14:paraId="46FB0ACD" w14:textId="77777777" w:rsidR="007A69E1" w:rsidRDefault="00F14D7D">
      <w:pPr>
        <w:pBdr>
          <w:top w:val="nil"/>
          <w:left w:val="nil"/>
          <w:bottom w:val="nil"/>
          <w:right w:val="nil"/>
          <w:between w:val="nil"/>
        </w:pBdr>
        <w:spacing w:before="240" w:after="160" w:line="360" w:lineRule="auto"/>
        <w:jc w:val="both"/>
        <w:rPr>
          <w:color w:val="000000"/>
        </w:rPr>
      </w:pPr>
      <w:proofErr w:type="spellStart"/>
      <w:r>
        <w:rPr>
          <w:color w:val="000000"/>
        </w:rPr>
        <w:t>Alrowily</w:t>
      </w:r>
      <w:proofErr w:type="spellEnd"/>
      <w:r>
        <w:rPr>
          <w:color w:val="000000"/>
        </w:rPr>
        <w:t xml:space="preserve">, A., </w:t>
      </w:r>
      <w:proofErr w:type="spellStart"/>
      <w:r>
        <w:rPr>
          <w:color w:val="000000"/>
        </w:rPr>
        <w:t>Alfaraidy</w:t>
      </w:r>
      <w:proofErr w:type="spellEnd"/>
      <w:r>
        <w:rPr>
          <w:color w:val="000000"/>
        </w:rPr>
        <w:t xml:space="preserve">, K., Almutairi, S., </w:t>
      </w:r>
      <w:proofErr w:type="spellStart"/>
      <w:r>
        <w:rPr>
          <w:color w:val="000000"/>
        </w:rPr>
        <w:t>Alamri</w:t>
      </w:r>
      <w:proofErr w:type="spellEnd"/>
      <w:r>
        <w:rPr>
          <w:color w:val="000000"/>
        </w:rPr>
        <w:t xml:space="preserve">, A., </w:t>
      </w:r>
      <w:proofErr w:type="spellStart"/>
      <w:r>
        <w:rPr>
          <w:color w:val="000000"/>
        </w:rPr>
        <w:t>Alrowily</w:t>
      </w:r>
      <w:proofErr w:type="spellEnd"/>
      <w:r>
        <w:rPr>
          <w:color w:val="000000"/>
        </w:rPr>
        <w:t xml:space="preserve">, W., </w:t>
      </w:r>
      <w:proofErr w:type="spellStart"/>
      <w:r>
        <w:rPr>
          <w:color w:val="000000"/>
        </w:rPr>
        <w:t>Abutaleb</w:t>
      </w:r>
      <w:proofErr w:type="spellEnd"/>
      <w:r>
        <w:rPr>
          <w:color w:val="000000"/>
        </w:rPr>
        <w:t xml:space="preserve">, M., </w:t>
      </w:r>
      <w:proofErr w:type="spellStart"/>
      <w:r>
        <w:rPr>
          <w:color w:val="000000"/>
        </w:rPr>
        <w:t>Zaitoun</w:t>
      </w:r>
      <w:proofErr w:type="spellEnd"/>
      <w:r>
        <w:rPr>
          <w:color w:val="000000"/>
        </w:rPr>
        <w:t xml:space="preserve">, M., </w:t>
      </w:r>
      <w:proofErr w:type="spellStart"/>
      <w:r>
        <w:rPr>
          <w:color w:val="000000"/>
        </w:rPr>
        <w:t>Sarawi</w:t>
      </w:r>
      <w:proofErr w:type="spellEnd"/>
      <w:r>
        <w:rPr>
          <w:color w:val="000000"/>
        </w:rPr>
        <w:t xml:space="preserve">, W. and </w:t>
      </w:r>
      <w:proofErr w:type="spellStart"/>
      <w:r>
        <w:rPr>
          <w:color w:val="000000"/>
        </w:rPr>
        <w:t>Aljead</w:t>
      </w:r>
      <w:proofErr w:type="spellEnd"/>
      <w:r>
        <w:rPr>
          <w:color w:val="000000"/>
        </w:rPr>
        <w:t>, M. (2024). High-risk Medication errors: Insight from the UK National Reporting and Le</w:t>
      </w:r>
      <w:r>
        <w:rPr>
          <w:color w:val="000000"/>
        </w:rPr>
        <w:t xml:space="preserve">arning System. </w:t>
      </w:r>
      <w:r>
        <w:rPr>
          <w:i/>
          <w:iCs/>
          <w:color w:val="000000"/>
        </w:rPr>
        <w:t>Exploratory Research in Clinical and Social Pharmacy</w:t>
      </w:r>
      <w:r>
        <w:rPr>
          <w:color w:val="000000"/>
        </w:rPr>
        <w:t xml:space="preserve">, [online] 17(100531), p.100531. </w:t>
      </w:r>
      <w:proofErr w:type="gramStart"/>
      <w:r>
        <w:rPr>
          <w:color w:val="000000"/>
        </w:rPr>
        <w:t>doi:10.1016/j.rcsop</w:t>
      </w:r>
      <w:proofErr w:type="gramEnd"/>
      <w:r>
        <w:rPr>
          <w:color w:val="000000"/>
        </w:rPr>
        <w:t>.2024.100531.</w:t>
      </w:r>
    </w:p>
    <w:p w14:paraId="27DA43AC" w14:textId="77777777" w:rsidR="007A69E1" w:rsidRDefault="00F14D7D">
      <w:pPr>
        <w:pBdr>
          <w:top w:val="nil"/>
          <w:left w:val="nil"/>
          <w:bottom w:val="nil"/>
          <w:right w:val="nil"/>
          <w:between w:val="nil"/>
        </w:pBdr>
        <w:spacing w:before="240" w:after="240" w:line="360" w:lineRule="auto"/>
        <w:jc w:val="both"/>
        <w:rPr>
          <w:color w:val="000000"/>
        </w:rPr>
      </w:pPr>
      <w:r>
        <w:rPr>
          <w:color w:val="000000"/>
        </w:rPr>
        <w:t>Bhatkal, S. and Potton, E. (2025). 168 Improving pleural procedure safety and coding through standardised documentation: Th</w:t>
      </w:r>
      <w:r>
        <w:rPr>
          <w:color w:val="000000"/>
        </w:rPr>
        <w:t xml:space="preserve">e experience of a UK district general hospital. </w:t>
      </w:r>
      <w:r>
        <w:rPr>
          <w:i/>
          <w:iCs/>
          <w:color w:val="000000"/>
        </w:rPr>
        <w:t>168 Improving pleural procedure safety and coding through standardised documentation: The experience of a UK district general hospital</w:t>
      </w:r>
      <w:r>
        <w:rPr>
          <w:color w:val="000000"/>
        </w:rPr>
        <w:t xml:space="preserve">, [online] </w:t>
      </w:r>
      <w:proofErr w:type="gramStart"/>
      <w:r>
        <w:rPr>
          <w:color w:val="000000"/>
        </w:rPr>
        <w:t>pp.A</w:t>
      </w:r>
      <w:proofErr w:type="gramEnd"/>
      <w:r>
        <w:rPr>
          <w:color w:val="000000"/>
        </w:rPr>
        <w:t>123-A124. doi:10.1136/bmjoq-2025-qshu.168. </w:t>
      </w:r>
    </w:p>
    <w:p w14:paraId="7B62F838" w14:textId="77777777" w:rsidR="007A69E1" w:rsidRDefault="00F14D7D">
      <w:pPr>
        <w:pBdr>
          <w:top w:val="nil"/>
          <w:left w:val="nil"/>
          <w:bottom w:val="nil"/>
          <w:right w:val="nil"/>
          <w:between w:val="nil"/>
        </w:pBdr>
        <w:spacing w:before="240" w:after="240" w:line="360" w:lineRule="auto"/>
        <w:jc w:val="both"/>
        <w:rPr>
          <w:color w:val="000000"/>
        </w:rPr>
      </w:pPr>
      <w:proofErr w:type="spellStart"/>
      <w:r>
        <w:rPr>
          <w:color w:val="000000"/>
        </w:rPr>
        <w:t>Boadu</w:t>
      </w:r>
      <w:proofErr w:type="spellEnd"/>
      <w:r>
        <w:rPr>
          <w:color w:val="000000"/>
        </w:rPr>
        <w:t xml:space="preserve">, R.O., </w:t>
      </w:r>
      <w:proofErr w:type="spellStart"/>
      <w:r>
        <w:rPr>
          <w:color w:val="000000"/>
        </w:rPr>
        <w:t>Wi</w:t>
      </w:r>
      <w:r>
        <w:rPr>
          <w:color w:val="000000"/>
        </w:rPr>
        <w:t>reko</w:t>
      </w:r>
      <w:proofErr w:type="spellEnd"/>
      <w:r>
        <w:rPr>
          <w:color w:val="000000"/>
        </w:rPr>
        <w:t xml:space="preserve"> </w:t>
      </w:r>
      <w:proofErr w:type="spellStart"/>
      <w:r>
        <w:rPr>
          <w:color w:val="000000"/>
        </w:rPr>
        <w:t>Adu</w:t>
      </w:r>
      <w:proofErr w:type="spellEnd"/>
      <w:r>
        <w:rPr>
          <w:color w:val="000000"/>
        </w:rPr>
        <w:t xml:space="preserve">, V., Okyere </w:t>
      </w:r>
      <w:proofErr w:type="spellStart"/>
      <w:r>
        <w:rPr>
          <w:color w:val="000000"/>
        </w:rPr>
        <w:t>Boadu</w:t>
      </w:r>
      <w:proofErr w:type="spellEnd"/>
      <w:r>
        <w:rPr>
          <w:color w:val="000000"/>
        </w:rPr>
        <w:t xml:space="preserve">, K.A., Ibrahim, B., </w:t>
      </w:r>
      <w:proofErr w:type="spellStart"/>
      <w:r>
        <w:rPr>
          <w:color w:val="000000"/>
        </w:rPr>
        <w:t>Akey</w:t>
      </w:r>
      <w:proofErr w:type="spellEnd"/>
      <w:r>
        <w:rPr>
          <w:color w:val="000000"/>
        </w:rPr>
        <w:t xml:space="preserve">, P., </w:t>
      </w:r>
      <w:proofErr w:type="spellStart"/>
      <w:r>
        <w:rPr>
          <w:color w:val="000000"/>
        </w:rPr>
        <w:t>Amishadas</w:t>
      </w:r>
      <w:proofErr w:type="spellEnd"/>
      <w:r>
        <w:rPr>
          <w:color w:val="000000"/>
        </w:rPr>
        <w:t xml:space="preserve"> Mensah, A., </w:t>
      </w:r>
      <w:proofErr w:type="spellStart"/>
      <w:r>
        <w:rPr>
          <w:color w:val="000000"/>
        </w:rPr>
        <w:t>Adzakpah</w:t>
      </w:r>
      <w:proofErr w:type="spellEnd"/>
      <w:r>
        <w:rPr>
          <w:color w:val="000000"/>
        </w:rPr>
        <w:t xml:space="preserve">, G. and </w:t>
      </w:r>
      <w:proofErr w:type="spellStart"/>
      <w:r>
        <w:rPr>
          <w:color w:val="000000"/>
        </w:rPr>
        <w:t>Kumasenu</w:t>
      </w:r>
      <w:proofErr w:type="spellEnd"/>
      <w:r>
        <w:rPr>
          <w:color w:val="000000"/>
        </w:rPr>
        <w:t xml:space="preserve"> Mensah, N. (2025). Examine frameworks policies and strategies for effective information governance in healthcare organizations. </w:t>
      </w:r>
      <w:proofErr w:type="spellStart"/>
      <w:r>
        <w:rPr>
          <w:i/>
          <w:iCs/>
          <w:color w:val="000000"/>
        </w:rPr>
        <w:t>PloS</w:t>
      </w:r>
      <w:proofErr w:type="spellEnd"/>
      <w:r>
        <w:rPr>
          <w:i/>
          <w:iCs/>
          <w:color w:val="000000"/>
        </w:rPr>
        <w:t xml:space="preserve"> one</w:t>
      </w:r>
      <w:r>
        <w:rPr>
          <w:color w:val="000000"/>
        </w:rPr>
        <w:t>, [online] 20(7</w:t>
      </w:r>
      <w:r>
        <w:rPr>
          <w:color w:val="000000"/>
        </w:rPr>
        <w:t xml:space="preserve">), p.e0327496. </w:t>
      </w:r>
      <w:proofErr w:type="gramStart"/>
      <w:r>
        <w:rPr>
          <w:color w:val="000000"/>
        </w:rPr>
        <w:t>doi:10.1371/journal.pone</w:t>
      </w:r>
      <w:proofErr w:type="gramEnd"/>
      <w:r>
        <w:rPr>
          <w:color w:val="000000"/>
        </w:rPr>
        <w:t>.0327496. </w:t>
      </w:r>
    </w:p>
    <w:p w14:paraId="1ED97B46" w14:textId="77777777" w:rsidR="007A69E1" w:rsidRDefault="00F14D7D">
      <w:pPr>
        <w:pBdr>
          <w:top w:val="nil"/>
          <w:left w:val="nil"/>
          <w:bottom w:val="nil"/>
          <w:right w:val="nil"/>
          <w:between w:val="nil"/>
        </w:pBdr>
        <w:spacing w:before="240" w:after="160" w:line="360" w:lineRule="auto"/>
        <w:jc w:val="both"/>
        <w:rPr>
          <w:color w:val="000000"/>
        </w:rPr>
      </w:pPr>
      <w:proofErr w:type="spellStart"/>
      <w:r>
        <w:rPr>
          <w:color w:val="000000"/>
        </w:rPr>
        <w:t>Castellucci</w:t>
      </w:r>
      <w:proofErr w:type="spellEnd"/>
      <w:r>
        <w:rPr>
          <w:color w:val="000000"/>
        </w:rPr>
        <w:t xml:space="preserve">, L.A., Chen, V.M., Kovacs, M.J., </w:t>
      </w:r>
      <w:proofErr w:type="spellStart"/>
      <w:r>
        <w:rPr>
          <w:color w:val="000000"/>
        </w:rPr>
        <w:t>Lazo-Langner</w:t>
      </w:r>
      <w:proofErr w:type="spellEnd"/>
      <w:r>
        <w:rPr>
          <w:color w:val="000000"/>
        </w:rPr>
        <w:t xml:space="preserve">, A., Greenstreet, P., Kahn, S., </w:t>
      </w:r>
      <w:proofErr w:type="spellStart"/>
      <w:r>
        <w:rPr>
          <w:color w:val="000000"/>
        </w:rPr>
        <w:t>Côté</w:t>
      </w:r>
      <w:proofErr w:type="spellEnd"/>
      <w:r>
        <w:rPr>
          <w:color w:val="000000"/>
        </w:rPr>
        <w:t xml:space="preserve">, B., Schulman, S., de Wit, K., </w:t>
      </w:r>
      <w:proofErr w:type="spellStart"/>
      <w:r>
        <w:rPr>
          <w:color w:val="000000"/>
        </w:rPr>
        <w:t>Douketis</w:t>
      </w:r>
      <w:proofErr w:type="spellEnd"/>
      <w:r>
        <w:rPr>
          <w:color w:val="000000"/>
        </w:rPr>
        <w:t xml:space="preserve">, J., </w:t>
      </w:r>
      <w:proofErr w:type="spellStart"/>
      <w:r>
        <w:rPr>
          <w:color w:val="000000"/>
        </w:rPr>
        <w:t>Suryanarayan</w:t>
      </w:r>
      <w:proofErr w:type="spellEnd"/>
      <w:r>
        <w:rPr>
          <w:color w:val="000000"/>
        </w:rPr>
        <w:t xml:space="preserve">, D., Wan, T., Yeo, E., Le </w:t>
      </w:r>
      <w:proofErr w:type="spellStart"/>
      <w:r>
        <w:rPr>
          <w:color w:val="000000"/>
        </w:rPr>
        <w:t>Templier</w:t>
      </w:r>
      <w:proofErr w:type="spellEnd"/>
      <w:r>
        <w:rPr>
          <w:color w:val="000000"/>
        </w:rPr>
        <w:t xml:space="preserve">, G., Tran, H.A., Willcox, A., Crowther, H.J., Prasad, R., </w:t>
      </w:r>
      <w:proofErr w:type="spellStart"/>
      <w:r>
        <w:rPr>
          <w:color w:val="000000"/>
        </w:rPr>
        <w:t>Shivakumar</w:t>
      </w:r>
      <w:proofErr w:type="spellEnd"/>
      <w:r>
        <w:rPr>
          <w:color w:val="000000"/>
        </w:rPr>
        <w:t xml:space="preserve">, S., Umana, E., Ni </w:t>
      </w:r>
      <w:proofErr w:type="spellStart"/>
      <w:r>
        <w:rPr>
          <w:color w:val="000000"/>
        </w:rPr>
        <w:t>Ainle</w:t>
      </w:r>
      <w:proofErr w:type="spellEnd"/>
      <w:r>
        <w:rPr>
          <w:color w:val="000000"/>
        </w:rPr>
        <w:t xml:space="preserve">, F., Tritschler, T., Barco, S., </w:t>
      </w:r>
      <w:proofErr w:type="spellStart"/>
      <w:r>
        <w:rPr>
          <w:color w:val="000000"/>
        </w:rPr>
        <w:t>Galanaud</w:t>
      </w:r>
      <w:proofErr w:type="spellEnd"/>
      <w:r>
        <w:rPr>
          <w:color w:val="000000"/>
        </w:rPr>
        <w:t xml:space="preserve">, J.-P., </w:t>
      </w:r>
      <w:proofErr w:type="spellStart"/>
      <w:r>
        <w:rPr>
          <w:color w:val="000000"/>
        </w:rPr>
        <w:t>Blondon</w:t>
      </w:r>
      <w:proofErr w:type="spellEnd"/>
      <w:r>
        <w:rPr>
          <w:color w:val="000000"/>
        </w:rPr>
        <w:t xml:space="preserve">, M., Baumann </w:t>
      </w:r>
      <w:proofErr w:type="spellStart"/>
      <w:r>
        <w:rPr>
          <w:color w:val="000000"/>
        </w:rPr>
        <w:t>Kreuziger</w:t>
      </w:r>
      <w:proofErr w:type="spellEnd"/>
      <w:r>
        <w:rPr>
          <w:color w:val="000000"/>
        </w:rPr>
        <w:t xml:space="preserve">, L., </w:t>
      </w:r>
      <w:proofErr w:type="spellStart"/>
      <w:r>
        <w:rPr>
          <w:color w:val="000000"/>
        </w:rPr>
        <w:t>Solymoss</w:t>
      </w:r>
      <w:proofErr w:type="spellEnd"/>
      <w:r>
        <w:rPr>
          <w:color w:val="000000"/>
        </w:rPr>
        <w:t>, S., Kearon, C., Thomas, E., Ramsay, T., Le Gal, G., Rodger, M. and COBRRA Trial Investigators (2026). Bleeding Risk with Apixaban vs. R</w:t>
      </w:r>
      <w:r>
        <w:rPr>
          <w:color w:val="000000"/>
        </w:rPr>
        <w:t xml:space="preserve">ivaroxaban in Acute Venous </w:t>
      </w:r>
      <w:r>
        <w:rPr>
          <w:color w:val="000000"/>
        </w:rPr>
        <w:lastRenderedPageBreak/>
        <w:t xml:space="preserve">Thromboembolism. </w:t>
      </w:r>
      <w:r>
        <w:rPr>
          <w:i/>
          <w:iCs/>
          <w:color w:val="000000"/>
        </w:rPr>
        <w:t>The New England journal of medicine</w:t>
      </w:r>
      <w:r>
        <w:rPr>
          <w:color w:val="000000"/>
        </w:rPr>
        <w:t xml:space="preserve">, [online] 394(11), pp.1051–1060. doi:10.1056/NEJMoa2510703. </w:t>
      </w:r>
    </w:p>
    <w:p w14:paraId="185AFAE2" w14:textId="77777777" w:rsidR="007A69E1" w:rsidRDefault="00F14D7D">
      <w:pPr>
        <w:spacing w:before="240" w:after="240" w:line="360" w:lineRule="auto"/>
        <w:jc w:val="both"/>
        <w:rPr>
          <w:color w:val="000000"/>
        </w:rPr>
      </w:pPr>
      <w:proofErr w:type="spellStart"/>
      <w:r>
        <w:rPr>
          <w:color w:val="000000"/>
        </w:rPr>
        <w:t>Chandanani</w:t>
      </w:r>
      <w:proofErr w:type="spellEnd"/>
      <w:r>
        <w:rPr>
          <w:color w:val="000000"/>
        </w:rPr>
        <w:t>, M., Laidlaw, A. and Brown, C. (2025). Extended reality and computer-based simulation for teaching situa</w:t>
      </w:r>
      <w:r>
        <w:rPr>
          <w:color w:val="000000"/>
        </w:rPr>
        <w:t xml:space="preserve">tional awareness in undergraduate health professions education: A scoping review. </w:t>
      </w:r>
      <w:r>
        <w:rPr>
          <w:i/>
          <w:iCs/>
          <w:color w:val="000000"/>
        </w:rPr>
        <w:t>Advances in Simulation</w:t>
      </w:r>
      <w:r>
        <w:rPr>
          <w:color w:val="000000"/>
        </w:rPr>
        <w:t>, 10(1). doi:10.1186/s41077-025-00343-5.</w:t>
      </w:r>
    </w:p>
    <w:p w14:paraId="75576A65"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Charles, A.M., </w:t>
      </w:r>
      <w:proofErr w:type="spellStart"/>
      <w:r>
        <w:rPr>
          <w:color w:val="000000"/>
        </w:rPr>
        <w:t>Calist</w:t>
      </w:r>
      <w:proofErr w:type="spellEnd"/>
      <w:r>
        <w:rPr>
          <w:color w:val="000000"/>
        </w:rPr>
        <w:t xml:space="preserve">, S.A. and </w:t>
      </w:r>
      <w:proofErr w:type="spellStart"/>
      <w:r>
        <w:rPr>
          <w:color w:val="000000"/>
        </w:rPr>
        <w:t>Omary</w:t>
      </w:r>
      <w:proofErr w:type="spellEnd"/>
      <w:r>
        <w:rPr>
          <w:color w:val="000000"/>
        </w:rPr>
        <w:t xml:space="preserve"> </w:t>
      </w:r>
      <w:proofErr w:type="spellStart"/>
      <w:r>
        <w:rPr>
          <w:color w:val="000000"/>
        </w:rPr>
        <w:t>Magasha</w:t>
      </w:r>
      <w:proofErr w:type="spellEnd"/>
      <w:r>
        <w:rPr>
          <w:color w:val="000000"/>
        </w:rPr>
        <w:t xml:space="preserve">, Y. (2025). </w:t>
      </w:r>
      <w:r>
        <w:rPr>
          <w:i/>
          <w:iCs/>
          <w:color w:val="000000"/>
        </w:rPr>
        <w:t>Navigating the Paradox of Decentralization by Devolut</w:t>
      </w:r>
      <w:r>
        <w:rPr>
          <w:i/>
          <w:iCs/>
          <w:color w:val="000000"/>
        </w:rPr>
        <w:t>ion: An Evaluation of Public Healthcare Service Delivery in Developing Countries</w:t>
      </w:r>
      <w:r>
        <w:rPr>
          <w:color w:val="000000"/>
        </w:rPr>
        <w:t xml:space="preserve">. [online] Mnma.ac.tz. Available at: </w:t>
      </w:r>
      <w:hyperlink r:id="rId27">
        <w:r>
          <w:rPr>
            <w:color w:val="000000"/>
            <w:u w:val="single"/>
          </w:rPr>
          <w:t>https://ir.mnma.ac.tz/handle/123456789/270</w:t>
        </w:r>
      </w:hyperlink>
      <w:r>
        <w:rPr>
          <w:color w:val="000000"/>
        </w:rPr>
        <w:t xml:space="preserve"> (Accessed on: 13/07/2026)</w:t>
      </w:r>
    </w:p>
    <w:p w14:paraId="35998AAB" w14:textId="77777777" w:rsidR="007A69E1" w:rsidRDefault="00F14D7D">
      <w:pPr>
        <w:pBdr>
          <w:top w:val="nil"/>
          <w:left w:val="nil"/>
          <w:bottom w:val="nil"/>
          <w:right w:val="nil"/>
          <w:between w:val="nil"/>
        </w:pBdr>
        <w:spacing w:before="240" w:after="240" w:line="360" w:lineRule="auto"/>
        <w:jc w:val="both"/>
        <w:rPr>
          <w:color w:val="000000"/>
        </w:rPr>
      </w:pPr>
      <w:r>
        <w:rPr>
          <w:color w:val="000000"/>
        </w:rPr>
        <w:t>Clifford</w:t>
      </w:r>
      <w:r>
        <w:rPr>
          <w:color w:val="000000"/>
        </w:rPr>
        <w:t xml:space="preserve">, D. (2025). </w:t>
      </w:r>
      <w:r>
        <w:rPr>
          <w:i/>
          <w:iCs/>
          <w:color w:val="000000"/>
        </w:rPr>
        <w:t>Electronic prescribing impact on hospital pharmacy inpatient medication review prioritisation</w:t>
      </w:r>
      <w:r>
        <w:rPr>
          <w:color w:val="000000"/>
        </w:rPr>
        <w:t xml:space="preserve">. [online] STAX. Available at: </w:t>
      </w:r>
      <w:hyperlink r:id="rId28">
        <w:r>
          <w:rPr>
            <w:color w:val="000000"/>
            <w:u w:val="single"/>
          </w:rPr>
          <w:t>https://stax.strath.ac.uk/concern/theses/zk51vh39</w:t>
        </w:r>
        <w:r>
          <w:rPr>
            <w:color w:val="000000"/>
            <w:u w:val="single"/>
          </w:rPr>
          <w:t>d</w:t>
        </w:r>
      </w:hyperlink>
      <w:r>
        <w:rPr>
          <w:color w:val="000000"/>
        </w:rPr>
        <w:t xml:space="preserve"> (Accessed: 14/07/2026)</w:t>
      </w:r>
    </w:p>
    <w:p w14:paraId="5E69A433" w14:textId="77777777" w:rsidR="007A69E1" w:rsidRDefault="00F14D7D">
      <w:pPr>
        <w:spacing w:before="240" w:line="360" w:lineRule="auto"/>
        <w:jc w:val="both"/>
        <w:rPr>
          <w:color w:val="000000"/>
        </w:rPr>
      </w:pPr>
      <w:r>
        <w:rPr>
          <w:color w:val="000000"/>
        </w:rPr>
        <w:t xml:space="preserve">CQC, (2025). </w:t>
      </w:r>
      <w:r>
        <w:rPr>
          <w:i/>
          <w:iCs/>
          <w:color w:val="000000"/>
        </w:rPr>
        <w:t>State of Care 2024/</w:t>
      </w:r>
      <w:proofErr w:type="gramStart"/>
      <w:r>
        <w:rPr>
          <w:i/>
          <w:iCs/>
          <w:color w:val="000000"/>
        </w:rPr>
        <w:t>25 .</w:t>
      </w:r>
      <w:proofErr w:type="gramEnd"/>
      <w:r>
        <w:rPr>
          <w:color w:val="000000"/>
        </w:rPr>
        <w:t xml:space="preserve"> Available at: </w:t>
      </w:r>
      <w:hyperlink r:id="rId29">
        <w:r>
          <w:rPr>
            <w:color w:val="000000"/>
            <w:u w:val="single"/>
          </w:rPr>
          <w:t>https://www.cqc.org.uk/publications</w:t>
        </w:r>
      </w:hyperlink>
      <w:r>
        <w:rPr>
          <w:color w:val="000000"/>
        </w:rPr>
        <w:t xml:space="preserve">  [Accessed: 25/06/2026]</w:t>
      </w:r>
    </w:p>
    <w:p w14:paraId="15CD2FD1" w14:textId="77777777" w:rsidR="007A69E1" w:rsidRDefault="00F14D7D">
      <w:pPr>
        <w:pBdr>
          <w:top w:val="nil"/>
          <w:left w:val="nil"/>
          <w:bottom w:val="nil"/>
          <w:right w:val="nil"/>
          <w:between w:val="nil"/>
        </w:pBdr>
        <w:spacing w:before="240" w:after="240" w:line="360" w:lineRule="auto"/>
        <w:jc w:val="both"/>
        <w:rPr>
          <w:color w:val="000000"/>
        </w:rPr>
      </w:pPr>
      <w:r>
        <w:rPr>
          <w:color w:val="000000"/>
        </w:rPr>
        <w:t xml:space="preserve">Deo, R.C., </w:t>
      </w:r>
      <w:proofErr w:type="spellStart"/>
      <w:r>
        <w:rPr>
          <w:color w:val="000000"/>
        </w:rPr>
        <w:t>Goto</w:t>
      </w:r>
      <w:proofErr w:type="spellEnd"/>
      <w:r>
        <w:rPr>
          <w:color w:val="000000"/>
        </w:rPr>
        <w:t xml:space="preserve">, S., Jain, T., Meier, S. and Patel, R. (2025). A conversational artificial intelligence agent for medication reconciliation and review. </w:t>
      </w:r>
      <w:proofErr w:type="spellStart"/>
      <w:r>
        <w:rPr>
          <w:i/>
          <w:iCs/>
          <w:color w:val="000000"/>
        </w:rPr>
        <w:t>medRxiv</w:t>
      </w:r>
      <w:proofErr w:type="spellEnd"/>
      <w:r>
        <w:rPr>
          <w:i/>
          <w:iCs/>
          <w:color w:val="000000"/>
        </w:rPr>
        <w:t xml:space="preserve"> (Cold Spring </w:t>
      </w:r>
      <w:proofErr w:type="spellStart"/>
      <w:r>
        <w:rPr>
          <w:i/>
          <w:iCs/>
          <w:color w:val="000000"/>
        </w:rPr>
        <w:t>Harbor</w:t>
      </w:r>
      <w:proofErr w:type="spellEnd"/>
      <w:r>
        <w:rPr>
          <w:i/>
          <w:iCs/>
          <w:color w:val="000000"/>
        </w:rPr>
        <w:t xml:space="preserve"> Laboratory)</w:t>
      </w:r>
      <w:r>
        <w:rPr>
          <w:color w:val="000000"/>
        </w:rPr>
        <w:t>. doi:10.1101/2025.06.16.25329719.</w:t>
      </w:r>
    </w:p>
    <w:p w14:paraId="7BB01EFE" w14:textId="77777777" w:rsidR="007A69E1" w:rsidRDefault="00F14D7D">
      <w:pPr>
        <w:pBdr>
          <w:top w:val="nil"/>
          <w:left w:val="nil"/>
          <w:bottom w:val="nil"/>
          <w:right w:val="nil"/>
          <w:between w:val="nil"/>
        </w:pBdr>
        <w:spacing w:before="240" w:after="160" w:line="360" w:lineRule="auto"/>
        <w:jc w:val="both"/>
        <w:rPr>
          <w:color w:val="000000"/>
        </w:rPr>
      </w:pPr>
      <w:proofErr w:type="spellStart"/>
      <w:r>
        <w:rPr>
          <w:color w:val="000000"/>
        </w:rPr>
        <w:t>Förster</w:t>
      </w:r>
      <w:proofErr w:type="spellEnd"/>
      <w:r>
        <w:rPr>
          <w:color w:val="000000"/>
        </w:rPr>
        <w:t>, K. and Strauss, T. (2</w:t>
      </w:r>
      <w:r>
        <w:rPr>
          <w:color w:val="000000"/>
        </w:rPr>
        <w:t xml:space="preserve">025). Decentralised machine learning in healthcare and life sciences: Applying the technology acceptance model. </w:t>
      </w:r>
      <w:r>
        <w:rPr>
          <w:i/>
          <w:iCs/>
          <w:color w:val="000000"/>
        </w:rPr>
        <w:t>Telematics and Informatics Reports</w:t>
      </w:r>
      <w:r>
        <w:rPr>
          <w:color w:val="000000"/>
        </w:rPr>
        <w:t xml:space="preserve">, [online] 18, p.100198. </w:t>
      </w:r>
      <w:proofErr w:type="gramStart"/>
      <w:r>
        <w:rPr>
          <w:color w:val="000000"/>
        </w:rPr>
        <w:t>doi:10.1016/j.teler</w:t>
      </w:r>
      <w:proofErr w:type="gramEnd"/>
      <w:r>
        <w:rPr>
          <w:color w:val="000000"/>
        </w:rPr>
        <w:t>.2025.100198.</w:t>
      </w:r>
    </w:p>
    <w:p w14:paraId="2EA1EDB6" w14:textId="77777777" w:rsidR="007A69E1" w:rsidRDefault="00F14D7D">
      <w:pPr>
        <w:spacing w:before="240" w:after="240" w:line="360" w:lineRule="auto"/>
        <w:jc w:val="both"/>
        <w:rPr>
          <w:color w:val="000000"/>
        </w:rPr>
      </w:pPr>
      <w:proofErr w:type="spellStart"/>
      <w:r>
        <w:rPr>
          <w:color w:val="000000"/>
        </w:rPr>
        <w:t>Ghannam</w:t>
      </w:r>
      <w:proofErr w:type="spellEnd"/>
      <w:r>
        <w:rPr>
          <w:color w:val="000000"/>
        </w:rPr>
        <w:t xml:space="preserve">, D., </w:t>
      </w:r>
      <w:proofErr w:type="spellStart"/>
      <w:r>
        <w:rPr>
          <w:color w:val="000000"/>
        </w:rPr>
        <w:t>Angelé-Halgand</w:t>
      </w:r>
      <w:proofErr w:type="spellEnd"/>
      <w:r>
        <w:rPr>
          <w:color w:val="000000"/>
        </w:rPr>
        <w:t xml:space="preserve">, N. and Michèle </w:t>
      </w:r>
      <w:proofErr w:type="spellStart"/>
      <w:r>
        <w:rPr>
          <w:color w:val="000000"/>
        </w:rPr>
        <w:t>Kosremelli-Asmar</w:t>
      </w:r>
      <w:proofErr w:type="spellEnd"/>
      <w:r>
        <w:rPr>
          <w:color w:val="000000"/>
        </w:rPr>
        <w:t xml:space="preserve"> (2025). Fragmentation of healthcare systems: Challenges through patients’ eyes. </w:t>
      </w:r>
      <w:r>
        <w:rPr>
          <w:i/>
          <w:iCs/>
          <w:color w:val="000000"/>
        </w:rPr>
        <w:t>International Journal of Qualitative Studies on Health and Well-Being</w:t>
      </w:r>
      <w:r>
        <w:rPr>
          <w:color w:val="000000"/>
        </w:rPr>
        <w:t>, 20(1), pp.2598719–2598719. doi:10.1080/17482</w:t>
      </w:r>
      <w:r>
        <w:rPr>
          <w:color w:val="000000"/>
        </w:rPr>
        <w:t>631.2025.2598719.</w:t>
      </w:r>
    </w:p>
    <w:p w14:paraId="15292747" w14:textId="77777777" w:rsidR="007A69E1" w:rsidRDefault="00F14D7D">
      <w:pPr>
        <w:spacing w:before="240" w:after="240" w:line="360" w:lineRule="auto"/>
        <w:jc w:val="both"/>
        <w:rPr>
          <w:color w:val="000000"/>
        </w:rPr>
      </w:pPr>
      <w:r>
        <w:rPr>
          <w:color w:val="000000"/>
        </w:rPr>
        <w:t xml:space="preserve">Harrington, D.W., Orozco, Y., </w:t>
      </w:r>
      <w:proofErr w:type="spellStart"/>
      <w:r>
        <w:rPr>
          <w:color w:val="000000"/>
        </w:rPr>
        <w:t>Schertzer</w:t>
      </w:r>
      <w:proofErr w:type="spellEnd"/>
      <w:r>
        <w:rPr>
          <w:color w:val="000000"/>
        </w:rPr>
        <w:t xml:space="preserve">, K. and Simon, L.V. (2026). </w:t>
      </w:r>
      <w:r>
        <w:rPr>
          <w:i/>
          <w:iCs/>
          <w:color w:val="000000"/>
        </w:rPr>
        <w:t>Designing a Simulation Scenario</w:t>
      </w:r>
      <w:r>
        <w:rPr>
          <w:color w:val="000000"/>
        </w:rPr>
        <w:t xml:space="preserve">. [online] </w:t>
      </w:r>
      <w:proofErr w:type="spellStart"/>
      <w:r>
        <w:rPr>
          <w:color w:val="000000"/>
        </w:rPr>
        <w:t>Ncbibooks</w:t>
      </w:r>
      <w:proofErr w:type="spellEnd"/>
      <w:r>
        <w:rPr>
          <w:color w:val="000000"/>
        </w:rPr>
        <w:t xml:space="preserve">. Available at: </w:t>
      </w:r>
      <w:hyperlink r:id="rId30">
        <w:r>
          <w:rPr>
            <w:color w:val="000000"/>
            <w:u w:val="single"/>
          </w:rPr>
          <w:t>https://www.ncbi.nlm.</w:t>
        </w:r>
        <w:r>
          <w:rPr>
            <w:color w:val="000000"/>
            <w:u w:val="single"/>
          </w:rPr>
          <w:t>nih.gov/books/n/statpearls/article-63807/</w:t>
        </w:r>
      </w:hyperlink>
      <w:r>
        <w:rPr>
          <w:color w:val="000000"/>
        </w:rPr>
        <w:t xml:space="preserve"> (Accessed: 22/07/2026)</w:t>
      </w:r>
    </w:p>
    <w:p w14:paraId="66D47F32" w14:textId="77777777" w:rsidR="007A69E1" w:rsidRDefault="00F14D7D">
      <w:pPr>
        <w:pBdr>
          <w:top w:val="nil"/>
          <w:left w:val="nil"/>
          <w:bottom w:val="nil"/>
          <w:right w:val="nil"/>
          <w:between w:val="nil"/>
        </w:pBdr>
        <w:spacing w:before="240" w:after="160" w:line="360" w:lineRule="auto"/>
        <w:jc w:val="both"/>
        <w:rPr>
          <w:color w:val="000000"/>
        </w:rPr>
      </w:pPr>
      <w:r>
        <w:rPr>
          <w:color w:val="000000"/>
        </w:rPr>
        <w:lastRenderedPageBreak/>
        <w:t xml:space="preserve">HIPAA, (2026). </w:t>
      </w:r>
      <w:r>
        <w:rPr>
          <w:i/>
          <w:iCs/>
          <w:color w:val="000000"/>
        </w:rPr>
        <w:t>Effects of Poor Communication in Healthcare</w:t>
      </w:r>
      <w:r>
        <w:rPr>
          <w:color w:val="000000"/>
        </w:rPr>
        <w:t>. Available at:</w:t>
      </w:r>
      <w:hyperlink r:id="rId31">
        <w:r>
          <w:rPr>
            <w:color w:val="000000"/>
          </w:rPr>
          <w:t xml:space="preserve"> </w:t>
        </w:r>
      </w:hyperlink>
      <w:r>
        <w:rPr>
          <w:color w:val="000000"/>
        </w:rPr>
        <w:t xml:space="preserve">  </w:t>
      </w:r>
      <w:hyperlink r:id="rId32">
        <w:r>
          <w:rPr>
            <w:color w:val="000000"/>
            <w:u w:val="single"/>
          </w:rPr>
          <w:t>https://www.hipaajournal.com/effects-of-poor-communication-in-healthcare/ (Accessed</w:t>
        </w:r>
      </w:hyperlink>
      <w:r>
        <w:rPr>
          <w:color w:val="000000"/>
        </w:rPr>
        <w:t xml:space="preserve"> on: 15/07/2026)</w:t>
      </w:r>
    </w:p>
    <w:p w14:paraId="0120880B" w14:textId="77777777" w:rsidR="007A69E1" w:rsidRDefault="00F14D7D">
      <w:pPr>
        <w:spacing w:before="240" w:line="360" w:lineRule="auto"/>
        <w:jc w:val="both"/>
        <w:rPr>
          <w:color w:val="000000"/>
        </w:rPr>
      </w:pPr>
      <w:r>
        <w:rPr>
          <w:color w:val="000000"/>
        </w:rPr>
        <w:t>HSSIB, (2025). The impact</w:t>
      </w:r>
      <w:r>
        <w:rPr>
          <w:color w:val="000000"/>
        </w:rPr>
        <w:t xml:space="preserve"> of staff fatigue on patient safety. Available at: </w:t>
      </w:r>
      <w:hyperlink r:id="rId33">
        <w:r>
          <w:rPr>
            <w:color w:val="000000"/>
            <w:u w:val="single"/>
          </w:rPr>
          <w:t>https://www.hssib.org.uk/patient-safety-investigations/the-impac</w:t>
        </w:r>
        <w:r>
          <w:rPr>
            <w:color w:val="000000"/>
            <w:u w:val="single"/>
          </w:rPr>
          <w:t>t-of-staff-fatigue-on-patient-safety/investigation-report</w:t>
        </w:r>
      </w:hyperlink>
      <w:r>
        <w:rPr>
          <w:color w:val="000000"/>
        </w:rPr>
        <w:t xml:space="preserve">  [Accessed on: 10/07/2026]</w:t>
      </w:r>
    </w:p>
    <w:p w14:paraId="580FD088" w14:textId="77777777" w:rsidR="007A69E1" w:rsidRDefault="00F14D7D">
      <w:pPr>
        <w:spacing w:before="240" w:line="360" w:lineRule="auto"/>
        <w:jc w:val="both"/>
        <w:rPr>
          <w:color w:val="000000"/>
        </w:rPr>
      </w:pPr>
      <w:r>
        <w:rPr>
          <w:color w:val="000000"/>
        </w:rPr>
        <w:t xml:space="preserve">Hughes, M., (2026). </w:t>
      </w:r>
      <w:r>
        <w:rPr>
          <w:i/>
          <w:iCs/>
          <w:color w:val="000000"/>
        </w:rPr>
        <w:t>‘NHS Staff Survey national results 2025’.</w:t>
      </w:r>
      <w:r>
        <w:rPr>
          <w:color w:val="000000"/>
        </w:rPr>
        <w:t xml:space="preserve"> Available at: </w:t>
      </w:r>
      <w:hyperlink r:id="rId34">
        <w:r>
          <w:rPr>
            <w:color w:val="000000"/>
            <w:u w:val="single"/>
          </w:rPr>
          <w:t>https://www.pslhub.org/learn/culture/nhs-staff-survey-national-results-2025-12-march-2026-r14180/</w:t>
        </w:r>
      </w:hyperlink>
      <w:r>
        <w:rPr>
          <w:color w:val="000000"/>
        </w:rPr>
        <w:t xml:space="preserve"> [Accessed: 21/07/2026]</w:t>
      </w:r>
    </w:p>
    <w:p w14:paraId="71BFD6A2" w14:textId="77777777" w:rsidR="007A69E1" w:rsidRDefault="00F14D7D">
      <w:pPr>
        <w:spacing w:before="240" w:line="360" w:lineRule="auto"/>
        <w:jc w:val="both"/>
        <w:rPr>
          <w:color w:val="000000"/>
        </w:rPr>
      </w:pPr>
      <w:r>
        <w:rPr>
          <w:color w:val="000000"/>
        </w:rPr>
        <w:t xml:space="preserve">IHI, (2026). </w:t>
      </w:r>
      <w:r>
        <w:rPr>
          <w:i/>
          <w:iCs/>
          <w:color w:val="000000"/>
        </w:rPr>
        <w:t xml:space="preserve">Driving Healthcare Forward Through Transformative Improvement </w:t>
      </w:r>
      <w:proofErr w:type="gramStart"/>
      <w:r>
        <w:rPr>
          <w:i/>
          <w:iCs/>
          <w:color w:val="000000"/>
        </w:rPr>
        <w:t>Science .</w:t>
      </w:r>
      <w:proofErr w:type="gramEnd"/>
      <w:r>
        <w:rPr>
          <w:color w:val="000000"/>
        </w:rPr>
        <w:t xml:space="preserve"> Available at: </w:t>
      </w:r>
      <w:hyperlink r:id="rId35">
        <w:r>
          <w:rPr>
            <w:color w:val="000000"/>
            <w:u w:val="single"/>
          </w:rPr>
          <w:t>https://www.ihi.org/</w:t>
        </w:r>
      </w:hyperlink>
      <w:r>
        <w:rPr>
          <w:color w:val="000000"/>
        </w:rPr>
        <w:t xml:space="preserve">  [Accessed: </w:t>
      </w:r>
      <w:r>
        <w:t>1</w:t>
      </w:r>
      <w:r>
        <w:rPr>
          <w:color w:val="000000"/>
        </w:rPr>
        <w:t>0/07/2026]</w:t>
      </w:r>
    </w:p>
    <w:p w14:paraId="6799F95D"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Imperial, (2026). </w:t>
      </w:r>
      <w:r>
        <w:rPr>
          <w:i/>
          <w:iCs/>
          <w:color w:val="000000"/>
        </w:rPr>
        <w:t>Norway leads the world in patient safety – the UK ranks 21st</w:t>
      </w:r>
      <w:r>
        <w:rPr>
          <w:color w:val="000000"/>
        </w:rPr>
        <w:t>. Available at:</w:t>
      </w:r>
      <w:hyperlink r:id="rId36">
        <w:r>
          <w:rPr>
            <w:color w:val="000000"/>
          </w:rPr>
          <w:t xml:space="preserve"> </w:t>
        </w:r>
      </w:hyperlink>
      <w:r>
        <w:rPr>
          <w:color w:val="000000"/>
        </w:rPr>
        <w:t xml:space="preserve"> </w:t>
      </w:r>
      <w:hyperlink r:id="rId37">
        <w:r>
          <w:rPr>
            <w:color w:val="000000"/>
            <w:u w:val="single"/>
          </w:rPr>
          <w:t>https://www.imperial.ac.uk/news/articles/global-healt</w:t>
        </w:r>
        <w:r>
          <w:rPr>
            <w:color w:val="000000"/>
            <w:u w:val="single"/>
          </w:rPr>
          <w:t>h-innovation/2026/norway-leads-the-world-in-patient-safety--the-uk-ranks-21st-/</w:t>
        </w:r>
      </w:hyperlink>
      <w:r>
        <w:rPr>
          <w:color w:val="000000"/>
        </w:rPr>
        <w:t xml:space="preserve"> (Accessed on: 05/07/2026)</w:t>
      </w:r>
    </w:p>
    <w:p w14:paraId="19005003" w14:textId="77777777" w:rsidR="007A69E1" w:rsidRDefault="00F14D7D">
      <w:pPr>
        <w:spacing w:before="240" w:line="360" w:lineRule="auto"/>
        <w:jc w:val="both"/>
        <w:rPr>
          <w:color w:val="000000"/>
        </w:rPr>
      </w:pPr>
      <w:proofErr w:type="spellStart"/>
      <w:r>
        <w:rPr>
          <w:color w:val="000000"/>
        </w:rPr>
        <w:t>KingsFund</w:t>
      </w:r>
      <w:proofErr w:type="spellEnd"/>
      <w:r>
        <w:rPr>
          <w:color w:val="000000"/>
        </w:rPr>
        <w:t xml:space="preserve">, (2025). What does the NHS Staff Survey 2024 really tell </w:t>
      </w:r>
      <w:proofErr w:type="gramStart"/>
      <w:r>
        <w:rPr>
          <w:color w:val="000000"/>
        </w:rPr>
        <w:t>us?.</w:t>
      </w:r>
      <w:proofErr w:type="gramEnd"/>
      <w:r>
        <w:rPr>
          <w:color w:val="000000"/>
        </w:rPr>
        <w:t xml:space="preserve"> Available at: </w:t>
      </w:r>
      <w:hyperlink r:id="rId38">
        <w:r>
          <w:rPr>
            <w:color w:val="000000"/>
            <w:u w:val="single"/>
          </w:rPr>
          <w:t>https://www.kingsfund.org.uk/insight-and-analysis/blogs/nhs-staff-survey-2024-tell-us</w:t>
        </w:r>
      </w:hyperlink>
      <w:r>
        <w:rPr>
          <w:color w:val="000000"/>
        </w:rPr>
        <w:t>. [Accessed on: 15/07/2026]</w:t>
      </w:r>
    </w:p>
    <w:p w14:paraId="3C0A33CB" w14:textId="77777777" w:rsidR="007A69E1" w:rsidRDefault="00F14D7D">
      <w:pPr>
        <w:pBdr>
          <w:top w:val="nil"/>
          <w:left w:val="nil"/>
          <w:bottom w:val="nil"/>
          <w:right w:val="nil"/>
          <w:between w:val="nil"/>
        </w:pBdr>
        <w:spacing w:before="240" w:after="160" w:line="360" w:lineRule="auto"/>
        <w:jc w:val="both"/>
        <w:rPr>
          <w:color w:val="000000"/>
        </w:rPr>
      </w:pPr>
      <w:proofErr w:type="spellStart"/>
      <w:r>
        <w:rPr>
          <w:color w:val="000000"/>
        </w:rPr>
        <w:t>Kludacz-Alessandri</w:t>
      </w:r>
      <w:proofErr w:type="spellEnd"/>
      <w:r>
        <w:rPr>
          <w:color w:val="000000"/>
        </w:rPr>
        <w:t xml:space="preserve">, M., </w:t>
      </w:r>
      <w:proofErr w:type="spellStart"/>
      <w:r>
        <w:rPr>
          <w:color w:val="000000"/>
        </w:rPr>
        <w:t>Hawrysz</w:t>
      </w:r>
      <w:proofErr w:type="spellEnd"/>
      <w:r>
        <w:rPr>
          <w:color w:val="000000"/>
        </w:rPr>
        <w:t xml:space="preserve">, L., </w:t>
      </w:r>
      <w:proofErr w:type="spellStart"/>
      <w:r>
        <w:rPr>
          <w:color w:val="000000"/>
        </w:rPr>
        <w:t>Żak</w:t>
      </w:r>
      <w:proofErr w:type="spellEnd"/>
      <w:r>
        <w:rPr>
          <w:color w:val="000000"/>
        </w:rPr>
        <w:t>, K. and Zhang, W. (2025). The impact of digital transformatio</w:t>
      </w:r>
      <w:r>
        <w:rPr>
          <w:color w:val="000000"/>
        </w:rPr>
        <w:t xml:space="preserve">nal leadership on digital intensity among primary healthcare entities: A moderated mediation model. </w:t>
      </w:r>
      <w:r>
        <w:rPr>
          <w:i/>
          <w:iCs/>
          <w:color w:val="000000"/>
        </w:rPr>
        <w:t>BMC Health Services Research</w:t>
      </w:r>
      <w:r>
        <w:rPr>
          <w:color w:val="000000"/>
        </w:rPr>
        <w:t>, 25(1). doi:10.1186/s12913-025-12283-x.</w:t>
      </w:r>
    </w:p>
    <w:p w14:paraId="6E71CF21" w14:textId="77777777" w:rsidR="007A69E1" w:rsidRDefault="00F14D7D">
      <w:pPr>
        <w:pBdr>
          <w:top w:val="nil"/>
          <w:left w:val="nil"/>
          <w:bottom w:val="nil"/>
          <w:right w:val="nil"/>
          <w:between w:val="nil"/>
        </w:pBdr>
        <w:spacing w:before="240" w:after="160" w:line="360" w:lineRule="auto"/>
        <w:jc w:val="both"/>
        <w:rPr>
          <w:color w:val="000000"/>
        </w:rPr>
      </w:pPr>
      <w:proofErr w:type="spellStart"/>
      <w:r>
        <w:rPr>
          <w:color w:val="000000"/>
        </w:rPr>
        <w:t>Kwiecień-Jaguś</w:t>
      </w:r>
      <w:proofErr w:type="spellEnd"/>
      <w:r>
        <w:rPr>
          <w:color w:val="000000"/>
        </w:rPr>
        <w:t xml:space="preserve">, K., </w:t>
      </w:r>
      <w:proofErr w:type="spellStart"/>
      <w:r>
        <w:rPr>
          <w:color w:val="000000"/>
        </w:rPr>
        <w:t>Mędrzycka-Dąbrowska</w:t>
      </w:r>
      <w:proofErr w:type="spellEnd"/>
      <w:r>
        <w:rPr>
          <w:color w:val="000000"/>
        </w:rPr>
        <w:t xml:space="preserve">, W. and </w:t>
      </w:r>
      <w:proofErr w:type="spellStart"/>
      <w:r>
        <w:rPr>
          <w:color w:val="000000"/>
        </w:rPr>
        <w:t>Kopeć</w:t>
      </w:r>
      <w:proofErr w:type="spellEnd"/>
      <w:r>
        <w:rPr>
          <w:color w:val="000000"/>
        </w:rPr>
        <w:t>, M. (2025). Understanding Medicat</w:t>
      </w:r>
      <w:r>
        <w:rPr>
          <w:color w:val="000000"/>
        </w:rPr>
        <w:t xml:space="preserve">ion Errors in Intensive Care Settings and Operating Rooms—A Systematic Review. </w:t>
      </w:r>
      <w:proofErr w:type="spellStart"/>
      <w:r>
        <w:rPr>
          <w:i/>
          <w:iCs/>
          <w:color w:val="000000"/>
        </w:rPr>
        <w:t>Medicina</w:t>
      </w:r>
      <w:proofErr w:type="spellEnd"/>
      <w:r>
        <w:rPr>
          <w:color w:val="000000"/>
        </w:rPr>
        <w:t>, [online] 61(3), p.369. doi:10.3390/medicina61030369.</w:t>
      </w:r>
    </w:p>
    <w:p w14:paraId="1F2423C5" w14:textId="77777777" w:rsidR="007A69E1" w:rsidRDefault="00F14D7D">
      <w:pPr>
        <w:spacing w:before="240" w:after="240" w:line="360" w:lineRule="auto"/>
        <w:jc w:val="both"/>
        <w:rPr>
          <w:color w:val="000000"/>
        </w:rPr>
      </w:pPr>
      <w:proofErr w:type="spellStart"/>
      <w:r>
        <w:rPr>
          <w:color w:val="000000"/>
        </w:rPr>
        <w:t>MacIntyre</w:t>
      </w:r>
      <w:proofErr w:type="spellEnd"/>
      <w:r>
        <w:rPr>
          <w:color w:val="000000"/>
        </w:rPr>
        <w:t xml:space="preserve">, C.R., </w:t>
      </w:r>
      <w:proofErr w:type="spellStart"/>
      <w:r>
        <w:rPr>
          <w:color w:val="000000"/>
        </w:rPr>
        <w:t>Chughtai</w:t>
      </w:r>
      <w:proofErr w:type="spellEnd"/>
      <w:r>
        <w:rPr>
          <w:color w:val="000000"/>
        </w:rPr>
        <w:t xml:space="preserve">, A.A., </w:t>
      </w:r>
      <w:proofErr w:type="spellStart"/>
      <w:r>
        <w:rPr>
          <w:color w:val="000000"/>
        </w:rPr>
        <w:t>Kunasekaran</w:t>
      </w:r>
      <w:proofErr w:type="spellEnd"/>
      <w:r>
        <w:rPr>
          <w:color w:val="000000"/>
        </w:rPr>
        <w:t xml:space="preserve">, M., </w:t>
      </w:r>
      <w:proofErr w:type="spellStart"/>
      <w:r>
        <w:rPr>
          <w:color w:val="000000"/>
        </w:rPr>
        <w:t>Tawfiq</w:t>
      </w:r>
      <w:proofErr w:type="spellEnd"/>
      <w:r>
        <w:rPr>
          <w:color w:val="000000"/>
        </w:rPr>
        <w:t>, E. and Greenhalgh, T. (2025). The role of masks and resp</w:t>
      </w:r>
      <w:r>
        <w:rPr>
          <w:color w:val="000000"/>
        </w:rPr>
        <w:t xml:space="preserve">irators in preventing respiratory infections in healthcare and community settings. </w:t>
      </w:r>
      <w:r>
        <w:rPr>
          <w:i/>
          <w:iCs/>
          <w:color w:val="000000"/>
        </w:rPr>
        <w:t>BMJ</w:t>
      </w:r>
      <w:r>
        <w:rPr>
          <w:color w:val="000000"/>
        </w:rPr>
        <w:t>, [online] p.e078573. doi:10.1136/bmj-2023-078573.</w:t>
      </w:r>
    </w:p>
    <w:p w14:paraId="487CFCEE" w14:textId="77777777" w:rsidR="007A69E1" w:rsidRDefault="00F14D7D">
      <w:pPr>
        <w:pBdr>
          <w:top w:val="nil"/>
          <w:left w:val="nil"/>
          <w:bottom w:val="nil"/>
          <w:right w:val="nil"/>
          <w:between w:val="nil"/>
        </w:pBdr>
        <w:spacing w:before="240" w:after="160" w:line="360" w:lineRule="auto"/>
        <w:jc w:val="both"/>
        <w:rPr>
          <w:color w:val="000000"/>
        </w:rPr>
      </w:pPr>
      <w:r>
        <w:rPr>
          <w:color w:val="000000"/>
        </w:rPr>
        <w:lastRenderedPageBreak/>
        <w:t xml:space="preserve">May, J.E., Allen, A.L., Samuelson, B.T., O’Connor, C., Sylvester, K.W. and </w:t>
      </w:r>
      <w:proofErr w:type="spellStart"/>
      <w:r>
        <w:rPr>
          <w:color w:val="000000"/>
        </w:rPr>
        <w:t>Kaatz</w:t>
      </w:r>
      <w:proofErr w:type="spellEnd"/>
      <w:r>
        <w:rPr>
          <w:color w:val="000000"/>
        </w:rPr>
        <w:t xml:space="preserve">, S. (2025). Safe and effective anticoagulation use: Case studies in anticoagulation stewardship. </w:t>
      </w:r>
      <w:r>
        <w:rPr>
          <w:i/>
          <w:iCs/>
          <w:color w:val="000000"/>
        </w:rPr>
        <w:t>Journal of Thrombosis and Haemostasis</w:t>
      </w:r>
      <w:r>
        <w:rPr>
          <w:color w:val="000000"/>
        </w:rPr>
        <w:t xml:space="preserve">. </w:t>
      </w:r>
      <w:proofErr w:type="gramStart"/>
      <w:r>
        <w:rPr>
          <w:color w:val="000000"/>
        </w:rPr>
        <w:t>doi:10.1016/j.jtha</w:t>
      </w:r>
      <w:proofErr w:type="gramEnd"/>
      <w:r>
        <w:rPr>
          <w:color w:val="000000"/>
        </w:rPr>
        <w:t>.2024.11.024.</w:t>
      </w:r>
    </w:p>
    <w:p w14:paraId="7E00116C" w14:textId="77777777" w:rsidR="007A69E1" w:rsidRDefault="00F14D7D">
      <w:pPr>
        <w:spacing w:before="240" w:after="240" w:line="360" w:lineRule="auto"/>
        <w:jc w:val="both"/>
        <w:rPr>
          <w:color w:val="000000"/>
        </w:rPr>
      </w:pPr>
      <w:r>
        <w:rPr>
          <w:color w:val="000000"/>
        </w:rPr>
        <w:t>McCarth</w:t>
      </w:r>
      <w:r>
        <w:rPr>
          <w:color w:val="000000"/>
        </w:rPr>
        <w:t xml:space="preserve">y, S., </w:t>
      </w:r>
      <w:proofErr w:type="spellStart"/>
      <w:r>
        <w:rPr>
          <w:color w:val="000000"/>
        </w:rPr>
        <w:t>Motala</w:t>
      </w:r>
      <w:proofErr w:type="spellEnd"/>
      <w:r>
        <w:rPr>
          <w:color w:val="000000"/>
        </w:rPr>
        <w:t xml:space="preserve">, A., Lawson, E. and </w:t>
      </w:r>
      <w:proofErr w:type="spellStart"/>
      <w:r>
        <w:rPr>
          <w:color w:val="000000"/>
        </w:rPr>
        <w:t>Shekelle</w:t>
      </w:r>
      <w:proofErr w:type="spellEnd"/>
      <w:r>
        <w:rPr>
          <w:color w:val="000000"/>
        </w:rPr>
        <w:t xml:space="preserve">, P.G. (2025). Use of structured handoff protocols for within-hospital unit transitions: A systematic review from Making Healthcare Safer IV. </w:t>
      </w:r>
      <w:r>
        <w:rPr>
          <w:i/>
          <w:iCs/>
          <w:color w:val="000000"/>
        </w:rPr>
        <w:t>BMJ Quality &amp; Safety</w:t>
      </w:r>
      <w:r>
        <w:rPr>
          <w:color w:val="000000"/>
        </w:rPr>
        <w:t xml:space="preserve">, </w:t>
      </w:r>
      <w:proofErr w:type="gramStart"/>
      <w:r>
        <w:rPr>
          <w:color w:val="000000"/>
        </w:rPr>
        <w:t>pp.bmjqs</w:t>
      </w:r>
      <w:proofErr w:type="gramEnd"/>
      <w:r>
        <w:rPr>
          <w:color w:val="000000"/>
        </w:rPr>
        <w:t>-2024–018385. doi:10.1136/bmjqs-2024-01838</w:t>
      </w:r>
      <w:r>
        <w:rPr>
          <w:color w:val="000000"/>
        </w:rPr>
        <w:t>5.</w:t>
      </w:r>
    </w:p>
    <w:p w14:paraId="63A949B4" w14:textId="77777777" w:rsidR="007A69E1" w:rsidRDefault="00F14D7D">
      <w:pPr>
        <w:spacing w:before="240" w:line="360" w:lineRule="auto"/>
        <w:jc w:val="both"/>
        <w:rPr>
          <w:color w:val="000000"/>
        </w:rPr>
      </w:pPr>
      <w:r>
        <w:rPr>
          <w:color w:val="000000"/>
        </w:rPr>
        <w:t xml:space="preserve">NHS England, (2025b). Patient Safety Event Data Quarterly Publication. Available at: </w:t>
      </w:r>
      <w:hyperlink r:id="rId39">
        <w:r>
          <w:rPr>
            <w:color w:val="000000"/>
            <w:u w:val="single"/>
          </w:rPr>
          <w:t>https://www.england.nhs.uk/statistics/statistical-work-a</w:t>
        </w:r>
        <w:r>
          <w:rPr>
            <w:color w:val="000000"/>
            <w:u w:val="single"/>
          </w:rPr>
          <w:t>reas/patient-safety-data/2025-26/q1/</w:t>
        </w:r>
      </w:hyperlink>
      <w:r>
        <w:rPr>
          <w:color w:val="000000"/>
        </w:rPr>
        <w:t xml:space="preserve"> [Accessed: 20/07/2026]</w:t>
      </w:r>
    </w:p>
    <w:p w14:paraId="707D66C3"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NHS, (2024). </w:t>
      </w:r>
      <w:r>
        <w:rPr>
          <w:i/>
          <w:iCs/>
          <w:color w:val="000000"/>
        </w:rPr>
        <w:t>How does communication affect patient safety? Protocol for a systematic review and logic model</w:t>
      </w:r>
      <w:r>
        <w:rPr>
          <w:color w:val="000000"/>
        </w:rPr>
        <w:t>. Available at:</w:t>
      </w:r>
      <w:hyperlink r:id="rId40">
        <w:r>
          <w:rPr>
            <w:color w:val="000000"/>
          </w:rPr>
          <w:t xml:space="preserve"> </w:t>
        </w:r>
      </w:hyperlink>
      <w:r>
        <w:rPr>
          <w:color w:val="000000"/>
        </w:rPr>
        <w:t xml:space="preserve"> </w:t>
      </w:r>
      <w:hyperlink r:id="rId41">
        <w:r>
          <w:rPr>
            <w:color w:val="000000"/>
            <w:u w:val="single"/>
          </w:rPr>
          <w:t>https://pmc.ncbi.nlm.nih.gov/articles/PMC11131125/</w:t>
        </w:r>
      </w:hyperlink>
      <w:r>
        <w:rPr>
          <w:color w:val="000000"/>
        </w:rPr>
        <w:t xml:space="preserve"> (Accessed on: 05/07/2026)</w:t>
      </w:r>
    </w:p>
    <w:p w14:paraId="15DC4805" w14:textId="77777777" w:rsidR="007A69E1" w:rsidRDefault="00F14D7D">
      <w:pPr>
        <w:spacing w:before="240" w:line="360" w:lineRule="auto"/>
        <w:jc w:val="both"/>
        <w:rPr>
          <w:color w:val="000000"/>
        </w:rPr>
      </w:pPr>
      <w:r>
        <w:rPr>
          <w:color w:val="000000"/>
        </w:rPr>
        <w:t>NHS, England, (2025a). ‘</w:t>
      </w:r>
      <w:r>
        <w:rPr>
          <w:i/>
          <w:iCs/>
          <w:color w:val="000000"/>
        </w:rPr>
        <w:t>Patient Safety E</w:t>
      </w:r>
      <w:r>
        <w:rPr>
          <w:i/>
          <w:iCs/>
          <w:color w:val="000000"/>
        </w:rPr>
        <w:t>vent Data Quarterly Publication’</w:t>
      </w:r>
      <w:r>
        <w:rPr>
          <w:color w:val="000000"/>
        </w:rPr>
        <w:t xml:space="preserve">. Available at: </w:t>
      </w:r>
      <w:hyperlink r:id="rId42">
        <w:r>
          <w:rPr>
            <w:color w:val="000000"/>
            <w:u w:val="single"/>
          </w:rPr>
          <w:t>https://www.england.nhs.uk/statistics/statistical-work-areas/patient-safety-data/2025-26/q1/</w:t>
        </w:r>
      </w:hyperlink>
      <w:r>
        <w:rPr>
          <w:color w:val="000000"/>
        </w:rPr>
        <w:t xml:space="preserve"> [Ac</w:t>
      </w:r>
      <w:r>
        <w:rPr>
          <w:color w:val="000000"/>
        </w:rPr>
        <w:t xml:space="preserve">cessed: </w:t>
      </w:r>
      <w:r>
        <w:t>17</w:t>
      </w:r>
      <w:r>
        <w:rPr>
          <w:color w:val="000000"/>
        </w:rPr>
        <w:t>/07/2026]</w:t>
      </w:r>
    </w:p>
    <w:p w14:paraId="3EC3A0FD"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OECD, (2022). </w:t>
      </w:r>
      <w:r>
        <w:rPr>
          <w:i/>
          <w:iCs/>
          <w:color w:val="000000"/>
        </w:rPr>
        <w:t>The economics of medication safety</w:t>
      </w:r>
      <w:r>
        <w:rPr>
          <w:color w:val="000000"/>
        </w:rPr>
        <w:t>. Available at:</w:t>
      </w:r>
      <w:hyperlink r:id="rId43">
        <w:r>
          <w:rPr>
            <w:color w:val="000000"/>
          </w:rPr>
          <w:t xml:space="preserve"> </w:t>
        </w:r>
      </w:hyperlink>
      <w:r>
        <w:rPr>
          <w:color w:val="000000"/>
        </w:rPr>
        <w:t xml:space="preserve"> </w:t>
      </w:r>
      <w:hyperlink r:id="rId44">
        <w:r>
          <w:rPr>
            <w:color w:val="000000"/>
            <w:u w:val="single"/>
          </w:rPr>
          <w:t>https://www.oecd.org/en/publications/the-economics-of-medication-safety_9a933261-en.html</w:t>
        </w:r>
      </w:hyperlink>
      <w:r>
        <w:rPr>
          <w:color w:val="000000"/>
        </w:rPr>
        <w:t xml:space="preserve"> (Accessed on: 5/07/2026)</w:t>
      </w:r>
    </w:p>
    <w:p w14:paraId="7203D416"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Patel, R.H. and </w:t>
      </w:r>
      <w:proofErr w:type="spellStart"/>
      <w:r>
        <w:rPr>
          <w:color w:val="000000"/>
        </w:rPr>
        <w:t>Boster</w:t>
      </w:r>
      <w:proofErr w:type="spellEnd"/>
      <w:r>
        <w:rPr>
          <w:color w:val="000000"/>
        </w:rPr>
        <w:t>, J., (2025). Medical Error Prevention and</w:t>
      </w:r>
      <w:r>
        <w:rPr>
          <w:color w:val="000000"/>
        </w:rPr>
        <w:t xml:space="preserve"> Root Cause Analysis. In </w:t>
      </w:r>
      <w:proofErr w:type="spellStart"/>
      <w:r>
        <w:rPr>
          <w:i/>
          <w:iCs/>
          <w:color w:val="000000"/>
        </w:rPr>
        <w:t>StatPearls</w:t>
      </w:r>
      <w:proofErr w:type="spellEnd"/>
      <w:r>
        <w:rPr>
          <w:i/>
          <w:iCs/>
          <w:color w:val="000000"/>
        </w:rPr>
        <w:t xml:space="preserve"> [Internet]</w:t>
      </w:r>
      <w:r>
        <w:rPr>
          <w:color w:val="000000"/>
        </w:rPr>
        <w:t xml:space="preserve">. </w:t>
      </w:r>
      <w:proofErr w:type="spellStart"/>
      <w:r>
        <w:rPr>
          <w:color w:val="000000"/>
        </w:rPr>
        <w:t>StatPearls</w:t>
      </w:r>
      <w:proofErr w:type="spellEnd"/>
      <w:r>
        <w:rPr>
          <w:color w:val="000000"/>
        </w:rPr>
        <w:t xml:space="preserve"> Publishing. </w:t>
      </w:r>
      <w:hyperlink r:id="rId45">
        <w:r>
          <w:rPr>
            <w:color w:val="000000"/>
            <w:u w:val="single"/>
          </w:rPr>
          <w:t>https://www.ncbi.nlm.nih.gov/sites/books/NBK570638/</w:t>
        </w:r>
      </w:hyperlink>
    </w:p>
    <w:p w14:paraId="17EC4974" w14:textId="77777777" w:rsidR="007A69E1" w:rsidRDefault="00F14D7D">
      <w:pPr>
        <w:spacing w:before="240" w:after="240" w:line="360" w:lineRule="auto"/>
        <w:jc w:val="both"/>
        <w:rPr>
          <w:color w:val="000000"/>
        </w:rPr>
      </w:pPr>
      <w:r>
        <w:rPr>
          <w:color w:val="000000"/>
        </w:rPr>
        <w:t xml:space="preserve">Priscilla, I. (2025). </w:t>
      </w:r>
      <w:r>
        <w:rPr>
          <w:i/>
          <w:iCs/>
          <w:color w:val="000000"/>
        </w:rPr>
        <w:t>Staff Education on Medication Reconcilia</w:t>
      </w:r>
      <w:r>
        <w:rPr>
          <w:i/>
          <w:iCs/>
          <w:color w:val="000000"/>
        </w:rPr>
        <w:t>tion</w:t>
      </w:r>
      <w:r>
        <w:rPr>
          <w:color w:val="000000"/>
        </w:rPr>
        <w:t xml:space="preserve">. [online] </w:t>
      </w:r>
      <w:proofErr w:type="spellStart"/>
      <w:r>
        <w:rPr>
          <w:color w:val="000000"/>
        </w:rPr>
        <w:t>ScholarWorks</w:t>
      </w:r>
      <w:proofErr w:type="spellEnd"/>
      <w:r>
        <w:rPr>
          <w:color w:val="000000"/>
        </w:rPr>
        <w:t xml:space="preserve">. Available at: </w:t>
      </w:r>
      <w:hyperlink r:id="rId46">
        <w:r>
          <w:rPr>
            <w:color w:val="000000"/>
            <w:u w:val="single"/>
          </w:rPr>
          <w:t>https://scholarworks.waldenu.edu/dissertations/17699/</w:t>
        </w:r>
      </w:hyperlink>
      <w:r>
        <w:rPr>
          <w:color w:val="000000"/>
        </w:rPr>
        <w:t xml:space="preserve">  (Accessed: 4/07/2026)</w:t>
      </w:r>
    </w:p>
    <w:p w14:paraId="5ECAAB8C" w14:textId="77777777" w:rsidR="007A69E1" w:rsidRDefault="00F14D7D">
      <w:pPr>
        <w:spacing w:before="240" w:line="360" w:lineRule="auto"/>
        <w:jc w:val="both"/>
        <w:rPr>
          <w:color w:val="000000"/>
        </w:rPr>
      </w:pPr>
      <w:proofErr w:type="spellStart"/>
      <w:r>
        <w:rPr>
          <w:color w:val="000000"/>
          <w:highlight w:val="white"/>
        </w:rPr>
        <w:t>Raycheva</w:t>
      </w:r>
      <w:proofErr w:type="spellEnd"/>
      <w:r>
        <w:rPr>
          <w:color w:val="000000"/>
          <w:highlight w:val="white"/>
        </w:rPr>
        <w:t xml:space="preserve">, R., Pavlova, P. and </w:t>
      </w:r>
      <w:proofErr w:type="spellStart"/>
      <w:r>
        <w:rPr>
          <w:color w:val="000000"/>
          <w:highlight w:val="white"/>
        </w:rPr>
        <w:t>Dimova</w:t>
      </w:r>
      <w:proofErr w:type="spellEnd"/>
      <w:r>
        <w:rPr>
          <w:color w:val="000000"/>
          <w:highlight w:val="white"/>
        </w:rPr>
        <w:t>, R., (2024). Evaluation of</w:t>
      </w:r>
      <w:r>
        <w:rPr>
          <w:color w:val="000000"/>
          <w:highlight w:val="white"/>
        </w:rPr>
        <w:t xml:space="preserve"> psychosocial work environment among healthcare professionals in cardiac care units. </w:t>
      </w:r>
      <w:r>
        <w:rPr>
          <w:i/>
          <w:iCs/>
          <w:color w:val="000000"/>
          <w:highlight w:val="white"/>
        </w:rPr>
        <w:t>Folia Medica</w:t>
      </w:r>
      <w:r>
        <w:rPr>
          <w:color w:val="000000"/>
          <w:highlight w:val="white"/>
        </w:rPr>
        <w:t>, </w:t>
      </w:r>
      <w:r>
        <w:rPr>
          <w:i/>
          <w:iCs/>
          <w:color w:val="000000"/>
          <w:highlight w:val="white"/>
        </w:rPr>
        <w:t>66</w:t>
      </w:r>
      <w:r>
        <w:rPr>
          <w:color w:val="000000"/>
          <w:highlight w:val="white"/>
        </w:rPr>
        <w:t xml:space="preserve">(6), pp.884-894. </w:t>
      </w:r>
      <w:hyperlink r:id="rId47">
        <w:r>
          <w:rPr>
            <w:color w:val="000000"/>
            <w:highlight w:val="white"/>
            <w:u w:val="single"/>
          </w:rPr>
          <w:t>https://foliamedica.bg/article/131663/download/pdf/</w:t>
        </w:r>
      </w:hyperlink>
      <w:r>
        <w:rPr>
          <w:color w:val="000000"/>
          <w:highlight w:val="white"/>
        </w:rPr>
        <w:t xml:space="preserve"> </w:t>
      </w:r>
    </w:p>
    <w:p w14:paraId="202413D8" w14:textId="77777777" w:rsidR="007A69E1" w:rsidRDefault="00F14D7D">
      <w:pPr>
        <w:spacing w:before="240" w:line="360" w:lineRule="auto"/>
        <w:jc w:val="both"/>
        <w:rPr>
          <w:color w:val="000000"/>
        </w:rPr>
      </w:pPr>
      <w:r>
        <w:rPr>
          <w:color w:val="000000"/>
          <w:highlight w:val="white"/>
        </w:rPr>
        <w:t xml:space="preserve">Russ, S., </w:t>
      </w:r>
      <w:proofErr w:type="spellStart"/>
      <w:r>
        <w:rPr>
          <w:color w:val="000000"/>
          <w:highlight w:val="white"/>
        </w:rPr>
        <w:t>Perazzo</w:t>
      </w:r>
      <w:proofErr w:type="spellEnd"/>
      <w:r>
        <w:rPr>
          <w:color w:val="000000"/>
          <w:highlight w:val="white"/>
        </w:rPr>
        <w:t xml:space="preserve">, M.F. and </w:t>
      </w:r>
      <w:proofErr w:type="spellStart"/>
      <w:r>
        <w:rPr>
          <w:color w:val="000000"/>
          <w:highlight w:val="white"/>
        </w:rPr>
        <w:t>Petrides</w:t>
      </w:r>
      <w:proofErr w:type="spellEnd"/>
      <w:r>
        <w:rPr>
          <w:color w:val="000000"/>
          <w:highlight w:val="white"/>
        </w:rPr>
        <w:t>, K.V., (2023). The role of trait emotional intelligence in healthcare leadership. In </w:t>
      </w:r>
      <w:r>
        <w:rPr>
          <w:i/>
          <w:iCs/>
          <w:color w:val="000000"/>
          <w:highlight w:val="white"/>
        </w:rPr>
        <w:t>Research handbook on leadership in healthcare</w:t>
      </w:r>
      <w:r>
        <w:rPr>
          <w:color w:val="000000"/>
          <w:highlight w:val="white"/>
        </w:rPr>
        <w:t> (pp. 188-203). Edward Elgar Publish</w:t>
      </w:r>
      <w:r>
        <w:rPr>
          <w:color w:val="000000"/>
          <w:highlight w:val="white"/>
        </w:rPr>
        <w:t xml:space="preserve">ing. </w:t>
      </w:r>
      <w:hyperlink r:id="rId48">
        <w:r>
          <w:rPr>
            <w:color w:val="000000"/>
            <w:highlight w:val="white"/>
            <w:u w:val="single"/>
          </w:rPr>
          <w:t>https://psychometriclab.com/wp-</w:t>
        </w:r>
        <w:r>
          <w:rPr>
            <w:color w:val="000000"/>
            <w:highlight w:val="white"/>
            <w:u w:val="single"/>
          </w:rPr>
          <w:lastRenderedPageBreak/>
          <w:t>content/uploads/2023/10/EEP_11_CHAM_C011_docbook_new_indd_Leadership-in-Heal</w:t>
        </w:r>
        <w:r>
          <w:rPr>
            <w:color w:val="000000"/>
            <w:highlight w:val="white"/>
            <w:u w:val="single"/>
          </w:rPr>
          <w:t>thcare_proofs.pdf</w:t>
        </w:r>
      </w:hyperlink>
      <w:r>
        <w:rPr>
          <w:color w:val="000000"/>
          <w:highlight w:val="white"/>
        </w:rPr>
        <w:t xml:space="preserve"> </w:t>
      </w:r>
    </w:p>
    <w:p w14:paraId="231A1438" w14:textId="77777777" w:rsidR="007A69E1" w:rsidRDefault="00F14D7D">
      <w:pPr>
        <w:spacing w:before="240" w:line="360" w:lineRule="auto"/>
        <w:jc w:val="both"/>
        <w:rPr>
          <w:color w:val="000000"/>
        </w:rPr>
      </w:pPr>
      <w:r>
        <w:rPr>
          <w:color w:val="000000"/>
          <w:highlight w:val="white"/>
        </w:rPr>
        <w:t>Singh, P.K., Singh, S., Kumari, V. and Tiwari, M., (2024). Navigating healthcare leadership: Theories, challenges, and practical insights for the future. </w:t>
      </w:r>
      <w:r>
        <w:rPr>
          <w:i/>
          <w:iCs/>
          <w:color w:val="000000"/>
          <w:highlight w:val="white"/>
        </w:rPr>
        <w:t>Journal of postgraduate medicine</w:t>
      </w:r>
      <w:r>
        <w:rPr>
          <w:color w:val="000000"/>
          <w:highlight w:val="white"/>
        </w:rPr>
        <w:t>, </w:t>
      </w:r>
      <w:r>
        <w:rPr>
          <w:i/>
          <w:iCs/>
          <w:color w:val="000000"/>
          <w:highlight w:val="white"/>
        </w:rPr>
        <w:t>70</w:t>
      </w:r>
      <w:r>
        <w:rPr>
          <w:color w:val="000000"/>
          <w:highlight w:val="white"/>
        </w:rPr>
        <w:t xml:space="preserve">(4), pp.232-241. </w:t>
      </w:r>
      <w:hyperlink r:id="rId49">
        <w:r>
          <w:rPr>
            <w:color w:val="000000"/>
            <w:highlight w:val="white"/>
            <w:u w:val="single"/>
          </w:rPr>
          <w:t>https://pmc.ncbi.nlm.nih.gov/articles/PMC11722716/</w:t>
        </w:r>
      </w:hyperlink>
      <w:r>
        <w:rPr>
          <w:color w:val="000000"/>
          <w:highlight w:val="white"/>
        </w:rPr>
        <w:t xml:space="preserve"> </w:t>
      </w:r>
    </w:p>
    <w:p w14:paraId="3A867E83"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The Guardian, (2026). </w:t>
      </w:r>
      <w:r>
        <w:rPr>
          <w:i/>
          <w:iCs/>
          <w:color w:val="000000"/>
        </w:rPr>
        <w:t>One in three NHS doctors so tired their ability to treat patients is affected, survey finds</w:t>
      </w:r>
      <w:r>
        <w:rPr>
          <w:color w:val="000000"/>
        </w:rPr>
        <w:t>. Available at:</w:t>
      </w:r>
      <w:hyperlink r:id="rId50">
        <w:r>
          <w:rPr>
            <w:color w:val="000000"/>
          </w:rPr>
          <w:t xml:space="preserve"> </w:t>
        </w:r>
      </w:hyperlink>
      <w:r>
        <w:rPr>
          <w:color w:val="000000"/>
        </w:rPr>
        <w:t xml:space="preserve"> </w:t>
      </w:r>
      <w:hyperlink r:id="rId51">
        <w:r>
          <w:rPr>
            <w:color w:val="000000"/>
            <w:u w:val="single"/>
          </w:rPr>
          <w:t>https://www.theguardian.com/society/2025/mar/03/one-in-three-nhs-doctors-so-tired-their-ability-to-treat-patients-is-affected-survey-finds</w:t>
        </w:r>
      </w:hyperlink>
      <w:r>
        <w:rPr>
          <w:color w:val="000000"/>
        </w:rPr>
        <w:t xml:space="preserve"> (Accessed on:  5/07/2026)</w:t>
      </w:r>
    </w:p>
    <w:p w14:paraId="54B03D15" w14:textId="77777777" w:rsidR="007A69E1" w:rsidRDefault="00F14D7D">
      <w:pPr>
        <w:spacing w:before="240" w:after="240" w:line="360" w:lineRule="auto"/>
        <w:jc w:val="both"/>
        <w:rPr>
          <w:color w:val="000000"/>
        </w:rPr>
      </w:pPr>
      <w:r>
        <w:rPr>
          <w:color w:val="000000"/>
        </w:rPr>
        <w:t xml:space="preserve">Tong, R.R., Suh, J.M., Cheshire, L. and </w:t>
      </w:r>
      <w:proofErr w:type="spellStart"/>
      <w:r>
        <w:rPr>
          <w:color w:val="000000"/>
        </w:rPr>
        <w:t>Naccarella</w:t>
      </w:r>
      <w:proofErr w:type="spellEnd"/>
      <w:r>
        <w:rPr>
          <w:color w:val="000000"/>
        </w:rPr>
        <w:t xml:space="preserve">, L. (2026). Risk Governance in </w:t>
      </w:r>
      <w:r>
        <w:rPr>
          <w:color w:val="000000"/>
        </w:rPr>
        <w:t xml:space="preserve">Clinical Education for Healthcare Students: A Scoping Review. </w:t>
      </w:r>
      <w:r>
        <w:rPr>
          <w:i/>
          <w:iCs/>
          <w:color w:val="000000"/>
        </w:rPr>
        <w:t>The Clinical Teacher</w:t>
      </w:r>
      <w:r>
        <w:rPr>
          <w:color w:val="000000"/>
        </w:rPr>
        <w:t>, [online] 23(2). doi:10.1111/tct.70355.</w:t>
      </w:r>
    </w:p>
    <w:p w14:paraId="08243223" w14:textId="77777777" w:rsidR="007A69E1" w:rsidRDefault="00F14D7D">
      <w:pPr>
        <w:pBdr>
          <w:top w:val="nil"/>
          <w:left w:val="nil"/>
          <w:bottom w:val="nil"/>
          <w:right w:val="nil"/>
          <w:between w:val="nil"/>
        </w:pBdr>
        <w:spacing w:before="240" w:after="160" w:line="360" w:lineRule="auto"/>
        <w:jc w:val="both"/>
        <w:rPr>
          <w:color w:val="000000"/>
        </w:rPr>
      </w:pPr>
      <w:r>
        <w:rPr>
          <w:color w:val="000000"/>
        </w:rPr>
        <w:t xml:space="preserve">Toth (2025). </w:t>
      </w:r>
      <w:r>
        <w:rPr>
          <w:i/>
          <w:iCs/>
          <w:color w:val="000000"/>
        </w:rPr>
        <w:t xml:space="preserve">LEADERSHIP THEORIES AND MODELS IN TODAY’S PERSPECTIVES Editor: </w:t>
      </w:r>
      <w:proofErr w:type="spellStart"/>
      <w:r>
        <w:rPr>
          <w:i/>
          <w:iCs/>
          <w:color w:val="000000"/>
        </w:rPr>
        <w:t>Ildikó</w:t>
      </w:r>
      <w:proofErr w:type="spellEnd"/>
      <w:r>
        <w:rPr>
          <w:i/>
          <w:iCs/>
          <w:color w:val="000000"/>
        </w:rPr>
        <w:t xml:space="preserve"> </w:t>
      </w:r>
      <w:proofErr w:type="spellStart"/>
      <w:r>
        <w:rPr>
          <w:i/>
          <w:iCs/>
          <w:color w:val="000000"/>
        </w:rPr>
        <w:t>Rudnák</w:t>
      </w:r>
      <w:proofErr w:type="spellEnd"/>
      <w:r>
        <w:rPr>
          <w:color w:val="000000"/>
        </w:rPr>
        <w:t xml:space="preserve">. [online] Available at: </w:t>
      </w:r>
      <w:hyperlink r:id="rId52" w:anchor="page=94">
        <w:r>
          <w:rPr>
            <w:color w:val="000000"/>
            <w:u w:val="single"/>
          </w:rPr>
          <w:t>https://press.mater.uni-mate.hu/443/6/Leadership_Theories_2025.pdf#page=94</w:t>
        </w:r>
      </w:hyperlink>
      <w:r>
        <w:rPr>
          <w:color w:val="000000"/>
        </w:rPr>
        <w:t xml:space="preserve"> (Accessed on: 7/07/2026)</w:t>
      </w:r>
    </w:p>
    <w:p w14:paraId="6FA42494" w14:textId="77777777" w:rsidR="007A69E1" w:rsidRDefault="00F14D7D">
      <w:pPr>
        <w:spacing w:before="240" w:line="360" w:lineRule="auto"/>
        <w:jc w:val="both"/>
        <w:rPr>
          <w:color w:val="000000"/>
        </w:rPr>
      </w:pPr>
      <w:r>
        <w:rPr>
          <w:color w:val="000000"/>
          <w:highlight w:val="white"/>
        </w:rPr>
        <w:t>Wang, X., Liu, Y., Peng, Z., Li, B., Liang, Q., Liao, S., and Liu, M. (2024)</w:t>
      </w:r>
      <w:r>
        <w:rPr>
          <w:color w:val="000000"/>
          <w:highlight w:val="white"/>
        </w:rPr>
        <w:t>. Situational leadership theory in nursing management: a scoping review. </w:t>
      </w:r>
      <w:r>
        <w:rPr>
          <w:i/>
          <w:iCs/>
          <w:color w:val="000000"/>
          <w:highlight w:val="white"/>
        </w:rPr>
        <w:t>BMC nursing</w:t>
      </w:r>
      <w:r>
        <w:rPr>
          <w:color w:val="000000"/>
          <w:highlight w:val="white"/>
        </w:rPr>
        <w:t>, </w:t>
      </w:r>
      <w:r>
        <w:rPr>
          <w:i/>
          <w:iCs/>
          <w:color w:val="000000"/>
          <w:highlight w:val="white"/>
        </w:rPr>
        <w:t>23</w:t>
      </w:r>
      <w:r>
        <w:rPr>
          <w:color w:val="000000"/>
          <w:highlight w:val="white"/>
        </w:rPr>
        <w:t xml:space="preserve">(1), 930. </w:t>
      </w:r>
      <w:hyperlink r:id="rId53">
        <w:r>
          <w:rPr>
            <w:color w:val="000000"/>
            <w:highlight w:val="white"/>
            <w:u w:val="single"/>
          </w:rPr>
          <w:t>https://doi.org/10.1186/s12912-024-02582-9</w:t>
        </w:r>
      </w:hyperlink>
    </w:p>
    <w:p w14:paraId="071C46FE" w14:textId="77777777" w:rsidR="007A69E1" w:rsidRDefault="00F14D7D">
      <w:pPr>
        <w:pBdr>
          <w:top w:val="nil"/>
          <w:left w:val="nil"/>
          <w:bottom w:val="nil"/>
          <w:right w:val="nil"/>
          <w:between w:val="nil"/>
        </w:pBdr>
        <w:spacing w:before="240" w:after="160" w:line="360" w:lineRule="auto"/>
        <w:jc w:val="both"/>
        <w:rPr>
          <w:color w:val="000000"/>
        </w:rPr>
      </w:pPr>
      <w:proofErr w:type="gramStart"/>
      <w:r>
        <w:rPr>
          <w:color w:val="000000"/>
        </w:rPr>
        <w:t>WHO, (2023).</w:t>
      </w:r>
      <w:proofErr w:type="gramEnd"/>
      <w:r>
        <w:rPr>
          <w:color w:val="000000"/>
        </w:rPr>
        <w:t xml:space="preserve"> </w:t>
      </w:r>
      <w:r>
        <w:rPr>
          <w:i/>
          <w:iCs/>
          <w:color w:val="000000"/>
        </w:rPr>
        <w:t>Patient Safety</w:t>
      </w:r>
      <w:r>
        <w:rPr>
          <w:color w:val="000000"/>
        </w:rPr>
        <w:t>. Available at:</w:t>
      </w:r>
      <w:hyperlink r:id="rId54">
        <w:r>
          <w:rPr>
            <w:color w:val="000000"/>
          </w:rPr>
          <w:t xml:space="preserve"> </w:t>
        </w:r>
      </w:hyperlink>
      <w:r>
        <w:rPr>
          <w:color w:val="000000"/>
        </w:rPr>
        <w:t xml:space="preserve"> </w:t>
      </w:r>
      <w:hyperlink r:id="rId55">
        <w:r>
          <w:rPr>
            <w:color w:val="000000"/>
            <w:u w:val="single"/>
          </w:rPr>
          <w:t>https://www.who.int/news-room/fact-sheets</w:t>
        </w:r>
        <w:r>
          <w:rPr>
            <w:color w:val="000000"/>
            <w:u w:val="single"/>
          </w:rPr>
          <w:t>/detail/patient-safety</w:t>
        </w:r>
      </w:hyperlink>
      <w:r>
        <w:rPr>
          <w:color w:val="000000"/>
        </w:rPr>
        <w:t xml:space="preserve"> (Accessed on: 15/07/2026)</w:t>
      </w:r>
    </w:p>
    <w:sectPr w:rsidR="007A69E1">
      <w:headerReference w:type="even" r:id="rId56"/>
      <w:headerReference w:type="default" r:id="rId57"/>
      <w:footerReference w:type="even" r:id="rId58"/>
      <w:footerReference w:type="default" r:id="rId59"/>
      <w:headerReference w:type="first" r:id="rId60"/>
      <w:footerReference w:type="first" r:id="rId6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43809" w14:textId="77777777" w:rsidR="00F14D7D" w:rsidRDefault="00F14D7D">
      <w:pPr>
        <w:spacing w:line="240" w:lineRule="auto"/>
      </w:pPr>
      <w:r>
        <w:separator/>
      </w:r>
    </w:p>
  </w:endnote>
  <w:endnote w:type="continuationSeparator" w:id="0">
    <w:p w14:paraId="703617FE" w14:textId="77777777" w:rsidR="00F14D7D" w:rsidRDefault="00F14D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20000287" w:usb1="00000000" w:usb2="00000000" w:usb3="00000000" w:csb0="0000019F" w:csb1="00000000"/>
    <w:embedRegular r:id="rId1" w:fontKey="{F51D8FDC-F6BC-4568-BB8C-8DC420923A6B}"/>
  </w:font>
  <w:font w:name="Calibri">
    <w:panose1 w:val="020F0502020204030204"/>
    <w:charset w:val="00"/>
    <w:family w:val="swiss"/>
    <w:pitch w:val="variable"/>
    <w:sig w:usb0="E1002AFF" w:usb1="4000ACFF" w:usb2="00000009" w:usb3="00000000" w:csb0="000001FF" w:csb1="00000000"/>
    <w:embedRegular r:id="rId2" w:fontKey="{FD586553-D04A-4FB7-BDD5-F11EAFBB6D6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2AA62" w14:textId="77777777" w:rsidR="007A69E1" w:rsidRDefault="007A69E1">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2803E" w14:textId="77777777" w:rsidR="007A69E1" w:rsidRDefault="00F14D7D">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706B57">
      <w:rPr>
        <w:noProof/>
        <w:color w:val="000000"/>
        <w:sz w:val="20"/>
        <w:szCs w:val="20"/>
      </w:rPr>
      <w:t>1</w:t>
    </w:r>
    <w:r>
      <w:rPr>
        <w:color w:val="000000"/>
        <w:sz w:val="20"/>
        <w:szCs w:val="20"/>
      </w:rPr>
      <w:fldChar w:fldCharType="end"/>
    </w:r>
  </w:p>
  <w:p w14:paraId="19CE8E09" w14:textId="77777777" w:rsidR="007A69E1" w:rsidRDefault="007A69E1">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F35AB" w14:textId="77777777" w:rsidR="007A69E1" w:rsidRDefault="007A69E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F689E" w14:textId="77777777" w:rsidR="00F14D7D" w:rsidRDefault="00F14D7D">
      <w:pPr>
        <w:spacing w:line="240" w:lineRule="auto"/>
      </w:pPr>
      <w:r>
        <w:separator/>
      </w:r>
    </w:p>
  </w:footnote>
  <w:footnote w:type="continuationSeparator" w:id="0">
    <w:p w14:paraId="634E3C24" w14:textId="77777777" w:rsidR="00F14D7D" w:rsidRDefault="00F14D7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A97B2" w14:textId="77777777" w:rsidR="007A69E1" w:rsidRDefault="007A69E1">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C3B30" w14:textId="77777777" w:rsidR="007A69E1" w:rsidRDefault="00F14D7D">
    <w:pPr>
      <w:pBdr>
        <w:top w:val="nil"/>
        <w:left w:val="nil"/>
        <w:bottom w:val="nil"/>
        <w:right w:val="nil"/>
        <w:between w:val="nil"/>
      </w:pBdr>
      <w:tabs>
        <w:tab w:val="center" w:pos="4513"/>
        <w:tab w:val="right" w:pos="9026"/>
      </w:tabs>
      <w:spacing w:line="240" w:lineRule="auto"/>
      <w:rPr>
        <w:color w:val="000000"/>
      </w:rPr>
    </w:pPr>
    <w:r>
      <w:rPr>
        <w:noProof/>
        <w:color w:val="000000"/>
      </w:rPr>
      <w:drawing>
        <wp:inline distT="0" distB="0" distL="0" distR="0" wp14:anchorId="6FDD10F3" wp14:editId="0EE01B2A">
          <wp:extent cx="2171888" cy="967824"/>
          <wp:effectExtent l="0" t="0" r="0" b="0"/>
          <wp:docPr id="1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
                  <a:srcRect/>
                  <a:stretch>
                    <a:fillRect/>
                  </a:stretch>
                </pic:blipFill>
                <pic:spPr>
                  <a:xfrm>
                    <a:off x="0" y="0"/>
                    <a:ext cx="2171888" cy="967824"/>
                  </a:xfrm>
                  <a:prstGeom prst="rect">
                    <a:avLst/>
                  </a:prstGeom>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7FF7A" w14:textId="77777777" w:rsidR="007A69E1" w:rsidRDefault="007A69E1">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63F"/>
    <w:multiLevelType w:val="multilevel"/>
    <w:tmpl w:val="109EE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986397"/>
    <w:multiLevelType w:val="multilevel"/>
    <w:tmpl w:val="E43A1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0B6294"/>
    <w:multiLevelType w:val="multilevel"/>
    <w:tmpl w:val="32960C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9E1"/>
    <w:rsid w:val="005800B3"/>
    <w:rsid w:val="00706B57"/>
    <w:rsid w:val="007A69E1"/>
    <w:rsid w:val="00C13EDA"/>
    <w:rsid w:val="00F14D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AC936"/>
  <w15:docId w15:val="{C26ABC96-C631-44EF-81BC-1F77EB871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bCs/>
      <w:color w:val="0D0D0D"/>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b/>
      <w:bCs/>
      <w:sz w:val="26"/>
      <w:szCs w:val="26"/>
    </w:rPr>
  </w:style>
  <w:style w:type="paragraph" w:styleId="Heading3">
    <w:name w:val="heading 3"/>
    <w:basedOn w:val="Normal"/>
    <w:next w:val="Normal"/>
    <w:uiPriority w:val="9"/>
    <w:unhideWhenUsed/>
    <w:qFormat/>
    <w:pPr>
      <w:keepNext/>
      <w:keepLines/>
      <w:spacing w:before="320" w:after="80" w:line="360" w:lineRule="auto"/>
      <w:jc w:val="both"/>
      <w:outlineLvl w:val="2"/>
    </w:pPr>
    <w:rPr>
      <w:b/>
      <w:bCs/>
      <w:color w:val="0D0D0D"/>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customStyle="1" w:styleId="a0">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DBE5F1"/>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F81BD"/>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F81BD"/>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F81BD"/>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F81BD"/>
      </w:tcPr>
    </w:tblStylePr>
    <w:tblStylePr w:type="band1Vert">
      <w:tblPr/>
      <w:tcPr>
        <w:shd w:val="clear" w:color="auto" w:fill="B8CCE4"/>
      </w:tcPr>
    </w:tblStylePr>
    <w:tblStylePr w:type="band1Horz">
      <w:tblPr/>
      <w:tcPr>
        <w:shd w:val="clear" w:color="auto" w:fill="B8CCE4"/>
      </w:tcPr>
    </w:tblStylePr>
  </w:style>
  <w:style w:type="table" w:customStyle="1" w:styleId="a1">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FDE9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79646"/>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79646"/>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79646"/>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79646"/>
      </w:tcPr>
    </w:tblStylePr>
    <w:tblStylePr w:type="band1Vert">
      <w:tblPr/>
      <w:tcPr>
        <w:shd w:val="clear" w:color="auto" w:fill="FBD4B4"/>
      </w:tcPr>
    </w:tblStylePr>
    <w:tblStylePr w:type="band1Horz">
      <w:tblPr/>
      <w:tcPr>
        <w:shd w:val="clear" w:color="auto" w:fill="FBD4B4"/>
      </w:tcPr>
    </w:tblStylePr>
  </w:style>
  <w:style w:type="table" w:customStyle="1" w:styleId="a2">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customStyle="1" w:styleId="a3">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FDE9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79646"/>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79646"/>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79646"/>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79646"/>
      </w:tcPr>
    </w:tblStylePr>
    <w:tblStylePr w:type="band1Vert">
      <w:tblPr/>
      <w:tcPr>
        <w:shd w:val="clear" w:color="auto" w:fill="FBD4B4"/>
      </w:tcPr>
    </w:tblStylePr>
    <w:tblStylePr w:type="band1Horz">
      <w:tblPr/>
      <w:tcPr>
        <w:shd w:val="clear" w:color="auto" w:fill="FBD4B4"/>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07/s11096-023-01555-3" TargetMode="External"/><Relationship Id="rId39" Type="http://schemas.openxmlformats.org/officeDocument/2006/relationships/hyperlink" Target="https://www.england.nhs.uk/statistics/statistical-work-areas/patient-safety-data/2025-26/q1/" TargetMode="External"/><Relationship Id="rId21" Type="http://schemas.openxmlformats.org/officeDocument/2006/relationships/diagramLayout" Target="diagrams/layout1.xml"/><Relationship Id="rId34" Type="http://schemas.openxmlformats.org/officeDocument/2006/relationships/hyperlink" Target="https://www.pslhub.org/learn/culture/nhs-staff-survey-national-results-2025-12-march-2026-r14180/" TargetMode="External"/><Relationship Id="rId42" Type="http://schemas.openxmlformats.org/officeDocument/2006/relationships/hyperlink" Target="https://www.england.nhs.uk/statistics/statistical-work-areas/patient-safety-data/2025-26/q1/" TargetMode="External"/><Relationship Id="rId47" Type="http://schemas.openxmlformats.org/officeDocument/2006/relationships/hyperlink" Target="https://foliamedica.bg/article/131663/download/pdf/" TargetMode="External"/><Relationship Id="rId50" Type="http://schemas.openxmlformats.org/officeDocument/2006/relationships/hyperlink" Target="https://www.deloitte.com/us/en/about/press-room/deloitte-report-winning-organizations-will-build-the-human-advantage.html" TargetMode="External"/><Relationship Id="rId55" Type="http://schemas.openxmlformats.org/officeDocument/2006/relationships/hyperlink" Target="https://www.who.int/news-room/fact-sheets/detail/patient-safety"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qc.org.uk/publications" TargetMode="External"/><Relationship Id="rId11" Type="http://schemas.openxmlformats.org/officeDocument/2006/relationships/image" Target="media/image4.png"/><Relationship Id="rId24" Type="http://schemas.microsoft.com/office/2007/relationships/diagramDrawing" Target="diagrams/drawing1.xml"/><Relationship Id="rId32" Type="http://schemas.openxmlformats.org/officeDocument/2006/relationships/hyperlink" Target="https://www.hipaajournal.com/effects-of-poor-communication-in-healthcare/%20(Accessed" TargetMode="External"/><Relationship Id="rId37" Type="http://schemas.openxmlformats.org/officeDocument/2006/relationships/hyperlink" Target="https://www.imperial.ac.uk/news/articles/global-health-innovation/2026/norway-leads-the-world-in-patient-safety--the-uk-ranks-21st-/" TargetMode="External"/><Relationship Id="rId40" Type="http://schemas.openxmlformats.org/officeDocument/2006/relationships/hyperlink" Target="https://www.deloitte.com/us/en/about/press-room/deloitte-report-winning-organizations-will-build-the-human-advantage.html" TargetMode="External"/><Relationship Id="rId45" Type="http://schemas.openxmlformats.org/officeDocument/2006/relationships/hyperlink" Target="https://www.ncbi.nlm.nih.gov/sites/books/NBK570638/" TargetMode="External"/><Relationship Id="rId53" Type="http://schemas.openxmlformats.org/officeDocument/2006/relationships/hyperlink" Target="https://doi.org/10.1186/s12912-024-02582-9"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footer" Target="footer3.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diagramQuickStyle" Target="diagrams/quickStyle1.xml"/><Relationship Id="rId27" Type="http://schemas.openxmlformats.org/officeDocument/2006/relationships/hyperlink" Target="https://ir.mnma.ac.tz/handle/123456789/270" TargetMode="External"/><Relationship Id="rId30" Type="http://schemas.openxmlformats.org/officeDocument/2006/relationships/hyperlink" Target="https://www.ncbi.nlm.nih.gov/books/n/statpearls/article-63807/" TargetMode="External"/><Relationship Id="rId35" Type="http://schemas.openxmlformats.org/officeDocument/2006/relationships/hyperlink" Target="https://www.ihi.org/" TargetMode="External"/><Relationship Id="rId43" Type="http://schemas.openxmlformats.org/officeDocument/2006/relationships/hyperlink" Target="https://www.deloitte.com/us/en/about/press-room/deloitte-report-winning-organizations-will-build-the-human-advantage.html" TargetMode="External"/><Relationship Id="rId48" Type="http://schemas.openxmlformats.org/officeDocument/2006/relationships/hyperlink" Target="https://psychometriclab.com/wp-content/uploads/2023/10/EEP_11_CHAM_C011_docbook_new_indd_Leadership-in-Healthcare_proofs.pdf"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theguardian.com/society/2025/mar/03/one-in-three-nhs-doctors-so-tired-their-ability-to-treat-patients-is-affected-survey-find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bcnews.com/Health/health-care-workers-report-increase-burnout-harassment-covid/story?id=104250554" TargetMode="External"/><Relationship Id="rId33" Type="http://schemas.openxmlformats.org/officeDocument/2006/relationships/hyperlink" Target="https://www.hssib.org.uk/patient-safety-investigations/the-impact-of-staff-fatigue-on-patient-safety/investigation-report" TargetMode="External"/><Relationship Id="rId38" Type="http://schemas.openxmlformats.org/officeDocument/2006/relationships/hyperlink" Target="https://www.kingsfund.org.uk/insight-and-analysis/blogs/nhs-staff-survey-2024-tell-us" TargetMode="External"/><Relationship Id="rId46" Type="http://schemas.openxmlformats.org/officeDocument/2006/relationships/hyperlink" Target="https://scholarworks.waldenu.edu/dissertations/17699/" TargetMode="External"/><Relationship Id="rId59" Type="http://schemas.openxmlformats.org/officeDocument/2006/relationships/footer" Target="footer2.xml"/><Relationship Id="rId20" Type="http://schemas.openxmlformats.org/officeDocument/2006/relationships/diagramData" Target="diagrams/data1.xml"/><Relationship Id="rId41" Type="http://schemas.openxmlformats.org/officeDocument/2006/relationships/hyperlink" Target="https://pmc.ncbi.nlm.nih.gov/articles/PMC11131125/" TargetMode="External"/><Relationship Id="rId54" Type="http://schemas.openxmlformats.org/officeDocument/2006/relationships/hyperlink" Target="https://www.deloitte.com/us/en/about/press-room/deloitte-report-winning-organizations-will-build-the-human-advantage.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Colors" Target="diagrams/colors1.xml"/><Relationship Id="rId28" Type="http://schemas.openxmlformats.org/officeDocument/2006/relationships/hyperlink" Target="https://stax.strath.ac.uk/concern/theses/zk51vh39d" TargetMode="External"/><Relationship Id="rId36" Type="http://schemas.openxmlformats.org/officeDocument/2006/relationships/hyperlink" Target="https://www.deloitte.com/us/en/about/press-room/deloitte-report-winning-organizations-will-build-the-human-advantage.html" TargetMode="External"/><Relationship Id="rId49" Type="http://schemas.openxmlformats.org/officeDocument/2006/relationships/hyperlink" Target="https://pmc.ncbi.nlm.nih.gov/articles/PMC11722716/" TargetMode="External"/><Relationship Id="rId57" Type="http://schemas.openxmlformats.org/officeDocument/2006/relationships/header" Target="header2.xml"/><Relationship Id="rId10" Type="http://schemas.openxmlformats.org/officeDocument/2006/relationships/image" Target="media/image3.png"/><Relationship Id="rId31" Type="http://schemas.openxmlformats.org/officeDocument/2006/relationships/hyperlink" Target="https://www.deloitte.com/us/en/about/press-room/deloitte-report-winning-organizations-will-build-the-human-advantage.html" TargetMode="External"/><Relationship Id="rId44" Type="http://schemas.openxmlformats.org/officeDocument/2006/relationships/hyperlink" Target="https://www.oecd.org/en/publications/the-economics-of-medication-safety_9a933261-en.html" TargetMode="External"/><Relationship Id="rId52" Type="http://schemas.openxmlformats.org/officeDocument/2006/relationships/hyperlink" Target="https://press.mater.uni-mate.hu/443/6/Leadership_Theories_2025.pdf" TargetMode="External"/><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2.xml.rels><?xml version="1.0" encoding="UTF-8" standalone="yes"?>
<Relationships xmlns="http://schemas.openxmlformats.org/package/2006/relationships"><Relationship Id="rId1"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913666-1BDA-4263-9E5A-4E8CE9981467}" type="doc">
      <dgm:prSet loTypeId="urn:microsoft.com/office/officeart/2005/8/layout/list1" loCatId="list" qsTypeId="urn:microsoft.com/office/officeart/2005/8/quickstyle/simple2" qsCatId="simple" csTypeId="urn:microsoft.com/office/officeart/2005/8/colors/colorful4" csCatId="colorful" phldr="1"/>
      <dgm:spPr/>
      <dgm:t>
        <a:bodyPr/>
        <a:lstStyle/>
        <a:p>
          <a:endParaRPr lang="en-US"/>
        </a:p>
      </dgm:t>
    </dgm:pt>
    <dgm:pt modelId="{D45AA15C-F02F-47C7-8A60-99500882440C}">
      <dgm:prSet phldrT="[Text]" custT="1"/>
      <dgm:spPr/>
      <dgm:t>
        <a:bodyPr/>
        <a:lstStyle/>
        <a:p>
          <a:r>
            <a:rPr lang="en-IN" sz="1200" b="1" i="1">
              <a:latin typeface="Arial" panose="020B0604020202020204" pitchFamily="34" charset="0"/>
              <a:cs typeface="Arial" panose="020B0604020202020204" pitchFamily="34" charset="0"/>
            </a:rPr>
            <a:t>Adoption of structured and standardised cross-speciality clinical handover in healthcare organisations</a:t>
          </a:r>
          <a:endParaRPr lang="en-US" sz="1200">
            <a:latin typeface="Arial" panose="020B0604020202020204" pitchFamily="34" charset="0"/>
            <a:cs typeface="Arial" panose="020B0604020202020204" pitchFamily="34" charset="0"/>
          </a:endParaRPr>
        </a:p>
      </dgm:t>
    </dgm:pt>
    <dgm:pt modelId="{38372522-5802-4B01-9184-CA00F44B3DA5}" type="parTrans" cxnId="{5AD8DD55-6F4F-45C4-8405-2AD8789F78B2}">
      <dgm:prSet/>
      <dgm:spPr/>
      <dgm:t>
        <a:bodyPr/>
        <a:lstStyle/>
        <a:p>
          <a:endParaRPr lang="en-US"/>
        </a:p>
      </dgm:t>
    </dgm:pt>
    <dgm:pt modelId="{8A31D479-9660-4AA6-BD4E-9123AB387771}" type="sibTrans" cxnId="{5AD8DD55-6F4F-45C4-8405-2AD8789F78B2}">
      <dgm:prSet/>
      <dgm:spPr/>
      <dgm:t>
        <a:bodyPr/>
        <a:lstStyle/>
        <a:p>
          <a:endParaRPr lang="en-US"/>
        </a:p>
      </dgm:t>
    </dgm:pt>
    <dgm:pt modelId="{E72B543A-38DF-4DA0-8399-73CDCA834EF7}">
      <dgm:prSet phldrT="[Text]" custT="1"/>
      <dgm:spPr/>
      <dgm:t>
        <a:bodyPr/>
        <a:lstStyle/>
        <a:p>
          <a:r>
            <a:rPr lang="en-IN" sz="1200" b="1" i="1">
              <a:latin typeface="Arial" panose="020B0604020202020204" pitchFamily="34" charset="0"/>
              <a:cs typeface="Arial" panose="020B0604020202020204" pitchFamily="34" charset="0"/>
            </a:rPr>
            <a:t>Integration of compulsory cross-disciplinary medication review at every care transition phase</a:t>
          </a:r>
          <a:endParaRPr lang="en-US" sz="1200">
            <a:latin typeface="Arial" panose="020B0604020202020204" pitchFamily="34" charset="0"/>
            <a:cs typeface="Arial" panose="020B0604020202020204" pitchFamily="34" charset="0"/>
          </a:endParaRPr>
        </a:p>
      </dgm:t>
    </dgm:pt>
    <dgm:pt modelId="{B07BA5A7-EA48-42BB-9028-1C039B5417B3}" type="parTrans" cxnId="{58435A23-0643-49C2-9FBC-DFE86EAC45D4}">
      <dgm:prSet/>
      <dgm:spPr/>
      <dgm:t>
        <a:bodyPr/>
        <a:lstStyle/>
        <a:p>
          <a:endParaRPr lang="en-US"/>
        </a:p>
      </dgm:t>
    </dgm:pt>
    <dgm:pt modelId="{50339D53-3531-4006-B2F5-5CEC00EB1084}" type="sibTrans" cxnId="{58435A23-0643-49C2-9FBC-DFE86EAC45D4}">
      <dgm:prSet/>
      <dgm:spPr/>
      <dgm:t>
        <a:bodyPr/>
        <a:lstStyle/>
        <a:p>
          <a:endParaRPr lang="en-US"/>
        </a:p>
      </dgm:t>
    </dgm:pt>
    <dgm:pt modelId="{905767EB-2825-4ED7-ADFD-D11094184E38}">
      <dgm:prSet phldrT="[Text]" custT="1"/>
      <dgm:spPr/>
      <dgm:t>
        <a:bodyPr/>
        <a:lstStyle/>
        <a:p>
          <a:r>
            <a:rPr lang="en-IN" sz="1200" b="1" i="1">
              <a:latin typeface="Arial" panose="020B0604020202020204" pitchFamily="34" charset="0"/>
              <a:cs typeface="Arial" panose="020B0604020202020204" pitchFamily="34" charset="0"/>
            </a:rPr>
            <a:t>Providing comprehensive, multi-professional training to medical staff on anticoagulation safety guidelines</a:t>
          </a:r>
          <a:endParaRPr lang="en-US" sz="1200">
            <a:latin typeface="Arial" panose="020B0604020202020204" pitchFamily="34" charset="0"/>
            <a:cs typeface="Arial" panose="020B0604020202020204" pitchFamily="34" charset="0"/>
          </a:endParaRPr>
        </a:p>
      </dgm:t>
    </dgm:pt>
    <dgm:pt modelId="{5DCB17EC-EC9F-4634-B455-38D4E84CBB0C}" type="parTrans" cxnId="{9D7F2045-608E-4D6F-9E31-698E169A1246}">
      <dgm:prSet/>
      <dgm:spPr/>
      <dgm:t>
        <a:bodyPr/>
        <a:lstStyle/>
        <a:p>
          <a:endParaRPr lang="en-US"/>
        </a:p>
      </dgm:t>
    </dgm:pt>
    <dgm:pt modelId="{C6752D1F-C558-4FE6-9CF9-1AD3914E46F6}" type="sibTrans" cxnId="{9D7F2045-608E-4D6F-9E31-698E169A1246}">
      <dgm:prSet/>
      <dgm:spPr/>
      <dgm:t>
        <a:bodyPr/>
        <a:lstStyle/>
        <a:p>
          <a:endParaRPr lang="en-US"/>
        </a:p>
      </dgm:t>
    </dgm:pt>
    <dgm:pt modelId="{2804D5F3-874C-4D21-9620-1E3F1FB76B28}" type="pres">
      <dgm:prSet presAssocID="{19913666-1BDA-4263-9E5A-4E8CE9981467}" presName="linear" presStyleCnt="0">
        <dgm:presLayoutVars>
          <dgm:dir/>
          <dgm:animLvl val="lvl"/>
          <dgm:resizeHandles val="exact"/>
        </dgm:presLayoutVars>
      </dgm:prSet>
      <dgm:spPr/>
    </dgm:pt>
    <dgm:pt modelId="{3344BF58-28F0-4FA9-A66E-3A8A2A0EB337}" type="pres">
      <dgm:prSet presAssocID="{D45AA15C-F02F-47C7-8A60-99500882440C}" presName="parentLin" presStyleCnt="0"/>
      <dgm:spPr/>
    </dgm:pt>
    <dgm:pt modelId="{87468B44-463F-44FF-99C2-31A872C8CB00}" type="pres">
      <dgm:prSet presAssocID="{D45AA15C-F02F-47C7-8A60-99500882440C}" presName="parentLeftMargin" presStyleLbl="node1" presStyleIdx="0" presStyleCnt="3"/>
      <dgm:spPr/>
    </dgm:pt>
    <dgm:pt modelId="{45402D8C-61FF-4768-AC2B-FB8EBB3529B8}" type="pres">
      <dgm:prSet presAssocID="{D45AA15C-F02F-47C7-8A60-99500882440C}" presName="parentText" presStyleLbl="node1" presStyleIdx="0" presStyleCnt="3">
        <dgm:presLayoutVars>
          <dgm:chMax val="0"/>
          <dgm:bulletEnabled val="1"/>
        </dgm:presLayoutVars>
      </dgm:prSet>
      <dgm:spPr/>
    </dgm:pt>
    <dgm:pt modelId="{580D2603-9804-4AEA-97FE-A44151A32AB3}" type="pres">
      <dgm:prSet presAssocID="{D45AA15C-F02F-47C7-8A60-99500882440C}" presName="negativeSpace" presStyleCnt="0"/>
      <dgm:spPr/>
    </dgm:pt>
    <dgm:pt modelId="{78CCE30C-3678-4352-9467-FD629449A92E}" type="pres">
      <dgm:prSet presAssocID="{D45AA15C-F02F-47C7-8A60-99500882440C}" presName="childText" presStyleLbl="conFgAcc1" presStyleIdx="0" presStyleCnt="3">
        <dgm:presLayoutVars>
          <dgm:bulletEnabled val="1"/>
        </dgm:presLayoutVars>
      </dgm:prSet>
      <dgm:spPr/>
    </dgm:pt>
    <dgm:pt modelId="{30BD8AA1-708F-4F9A-AA9E-F921B00D7E3E}" type="pres">
      <dgm:prSet presAssocID="{8A31D479-9660-4AA6-BD4E-9123AB387771}" presName="spaceBetweenRectangles" presStyleCnt="0"/>
      <dgm:spPr/>
    </dgm:pt>
    <dgm:pt modelId="{419CB526-A6B8-4B9C-BC53-F74AFBBA77CD}" type="pres">
      <dgm:prSet presAssocID="{E72B543A-38DF-4DA0-8399-73CDCA834EF7}" presName="parentLin" presStyleCnt="0"/>
      <dgm:spPr/>
    </dgm:pt>
    <dgm:pt modelId="{714194DE-B3E6-44DC-9CD8-5F8D94CD34A7}" type="pres">
      <dgm:prSet presAssocID="{E72B543A-38DF-4DA0-8399-73CDCA834EF7}" presName="parentLeftMargin" presStyleLbl="node1" presStyleIdx="0" presStyleCnt="3"/>
      <dgm:spPr/>
    </dgm:pt>
    <dgm:pt modelId="{336564E4-3718-42F6-875E-893E69D31E09}" type="pres">
      <dgm:prSet presAssocID="{E72B543A-38DF-4DA0-8399-73CDCA834EF7}" presName="parentText" presStyleLbl="node1" presStyleIdx="1" presStyleCnt="3">
        <dgm:presLayoutVars>
          <dgm:chMax val="0"/>
          <dgm:bulletEnabled val="1"/>
        </dgm:presLayoutVars>
      </dgm:prSet>
      <dgm:spPr/>
    </dgm:pt>
    <dgm:pt modelId="{446292DA-8426-44F4-9090-2251BA107DEB}" type="pres">
      <dgm:prSet presAssocID="{E72B543A-38DF-4DA0-8399-73CDCA834EF7}" presName="negativeSpace" presStyleCnt="0"/>
      <dgm:spPr/>
    </dgm:pt>
    <dgm:pt modelId="{4600300F-9356-4900-B994-869B2A4C2467}" type="pres">
      <dgm:prSet presAssocID="{E72B543A-38DF-4DA0-8399-73CDCA834EF7}" presName="childText" presStyleLbl="conFgAcc1" presStyleIdx="1" presStyleCnt="3">
        <dgm:presLayoutVars>
          <dgm:bulletEnabled val="1"/>
        </dgm:presLayoutVars>
      </dgm:prSet>
      <dgm:spPr/>
    </dgm:pt>
    <dgm:pt modelId="{2F0D6C38-20E8-49EA-9519-556AAC5F2267}" type="pres">
      <dgm:prSet presAssocID="{50339D53-3531-4006-B2F5-5CEC00EB1084}" presName="spaceBetweenRectangles" presStyleCnt="0"/>
      <dgm:spPr/>
    </dgm:pt>
    <dgm:pt modelId="{76A6B68D-EBE3-4980-B798-670D78507B24}" type="pres">
      <dgm:prSet presAssocID="{905767EB-2825-4ED7-ADFD-D11094184E38}" presName="parentLin" presStyleCnt="0"/>
      <dgm:spPr/>
    </dgm:pt>
    <dgm:pt modelId="{694927E8-9184-4F95-B335-744C50ADF0FF}" type="pres">
      <dgm:prSet presAssocID="{905767EB-2825-4ED7-ADFD-D11094184E38}" presName="parentLeftMargin" presStyleLbl="node1" presStyleIdx="1" presStyleCnt="3"/>
      <dgm:spPr/>
    </dgm:pt>
    <dgm:pt modelId="{BEF1098B-50F3-4452-9125-91EDB19CCED1}" type="pres">
      <dgm:prSet presAssocID="{905767EB-2825-4ED7-ADFD-D11094184E38}" presName="parentText" presStyleLbl="node1" presStyleIdx="2" presStyleCnt="3">
        <dgm:presLayoutVars>
          <dgm:chMax val="0"/>
          <dgm:bulletEnabled val="1"/>
        </dgm:presLayoutVars>
      </dgm:prSet>
      <dgm:spPr/>
    </dgm:pt>
    <dgm:pt modelId="{8F17B4F0-7A88-4756-AF3C-34BDA9CB7AA6}" type="pres">
      <dgm:prSet presAssocID="{905767EB-2825-4ED7-ADFD-D11094184E38}" presName="negativeSpace" presStyleCnt="0"/>
      <dgm:spPr/>
    </dgm:pt>
    <dgm:pt modelId="{0933331E-E696-48B5-A06E-44A53F17C1FD}" type="pres">
      <dgm:prSet presAssocID="{905767EB-2825-4ED7-ADFD-D11094184E38}" presName="childText" presStyleLbl="conFgAcc1" presStyleIdx="2" presStyleCnt="3">
        <dgm:presLayoutVars>
          <dgm:bulletEnabled val="1"/>
        </dgm:presLayoutVars>
      </dgm:prSet>
      <dgm:spPr/>
    </dgm:pt>
  </dgm:ptLst>
  <dgm:cxnLst>
    <dgm:cxn modelId="{E4775A02-2DDE-466E-998F-CBBB32965F2C}" type="presOf" srcId="{D45AA15C-F02F-47C7-8A60-99500882440C}" destId="{45402D8C-61FF-4768-AC2B-FB8EBB3529B8}" srcOrd="1" destOrd="0" presId="urn:microsoft.com/office/officeart/2005/8/layout/list1"/>
    <dgm:cxn modelId="{58435A23-0643-49C2-9FBC-DFE86EAC45D4}" srcId="{19913666-1BDA-4263-9E5A-4E8CE9981467}" destId="{E72B543A-38DF-4DA0-8399-73CDCA834EF7}" srcOrd="1" destOrd="0" parTransId="{B07BA5A7-EA48-42BB-9028-1C039B5417B3}" sibTransId="{50339D53-3531-4006-B2F5-5CEC00EB1084}"/>
    <dgm:cxn modelId="{9D7F2045-608E-4D6F-9E31-698E169A1246}" srcId="{19913666-1BDA-4263-9E5A-4E8CE9981467}" destId="{905767EB-2825-4ED7-ADFD-D11094184E38}" srcOrd="2" destOrd="0" parTransId="{5DCB17EC-EC9F-4634-B455-38D4E84CBB0C}" sibTransId="{C6752D1F-C558-4FE6-9CF9-1AD3914E46F6}"/>
    <dgm:cxn modelId="{5AD8DD55-6F4F-45C4-8405-2AD8789F78B2}" srcId="{19913666-1BDA-4263-9E5A-4E8CE9981467}" destId="{D45AA15C-F02F-47C7-8A60-99500882440C}" srcOrd="0" destOrd="0" parTransId="{38372522-5802-4B01-9184-CA00F44B3DA5}" sibTransId="{8A31D479-9660-4AA6-BD4E-9123AB387771}"/>
    <dgm:cxn modelId="{3CBDFE56-A836-4775-84EE-A44B766A1BF9}" type="presOf" srcId="{19913666-1BDA-4263-9E5A-4E8CE9981467}" destId="{2804D5F3-874C-4D21-9620-1E3F1FB76B28}" srcOrd="0" destOrd="0" presId="urn:microsoft.com/office/officeart/2005/8/layout/list1"/>
    <dgm:cxn modelId="{B73BCD86-C4FA-4403-8AA6-2E5FD9AD850A}" type="presOf" srcId="{E72B543A-38DF-4DA0-8399-73CDCA834EF7}" destId="{714194DE-B3E6-44DC-9CD8-5F8D94CD34A7}" srcOrd="0" destOrd="0" presId="urn:microsoft.com/office/officeart/2005/8/layout/list1"/>
    <dgm:cxn modelId="{703EA38B-DF58-4B37-85B4-7B19C55589CC}" type="presOf" srcId="{E72B543A-38DF-4DA0-8399-73CDCA834EF7}" destId="{336564E4-3718-42F6-875E-893E69D31E09}" srcOrd="1" destOrd="0" presId="urn:microsoft.com/office/officeart/2005/8/layout/list1"/>
    <dgm:cxn modelId="{506E31A4-B88C-4917-B6D2-C0FD9FB3D7BB}" type="presOf" srcId="{905767EB-2825-4ED7-ADFD-D11094184E38}" destId="{694927E8-9184-4F95-B335-744C50ADF0FF}" srcOrd="0" destOrd="0" presId="urn:microsoft.com/office/officeart/2005/8/layout/list1"/>
    <dgm:cxn modelId="{F5DD81C7-50DA-4377-84EC-3063B2124472}" type="presOf" srcId="{D45AA15C-F02F-47C7-8A60-99500882440C}" destId="{87468B44-463F-44FF-99C2-31A872C8CB00}" srcOrd="0" destOrd="0" presId="urn:microsoft.com/office/officeart/2005/8/layout/list1"/>
    <dgm:cxn modelId="{9233CEE8-6516-4FFF-8C8E-0712532C79CF}" type="presOf" srcId="{905767EB-2825-4ED7-ADFD-D11094184E38}" destId="{BEF1098B-50F3-4452-9125-91EDB19CCED1}" srcOrd="1" destOrd="0" presId="urn:microsoft.com/office/officeart/2005/8/layout/list1"/>
    <dgm:cxn modelId="{2EB40DAB-B87B-4B74-AC30-C7CE29E357C6}" type="presParOf" srcId="{2804D5F3-874C-4D21-9620-1E3F1FB76B28}" destId="{3344BF58-28F0-4FA9-A66E-3A8A2A0EB337}" srcOrd="0" destOrd="0" presId="urn:microsoft.com/office/officeart/2005/8/layout/list1"/>
    <dgm:cxn modelId="{18A23F05-93DC-453A-A747-E62C97B9FC85}" type="presParOf" srcId="{3344BF58-28F0-4FA9-A66E-3A8A2A0EB337}" destId="{87468B44-463F-44FF-99C2-31A872C8CB00}" srcOrd="0" destOrd="0" presId="urn:microsoft.com/office/officeart/2005/8/layout/list1"/>
    <dgm:cxn modelId="{B3A7CAB8-8CBA-4A65-86FD-21BBDC8F9C2E}" type="presParOf" srcId="{3344BF58-28F0-4FA9-A66E-3A8A2A0EB337}" destId="{45402D8C-61FF-4768-AC2B-FB8EBB3529B8}" srcOrd="1" destOrd="0" presId="urn:microsoft.com/office/officeart/2005/8/layout/list1"/>
    <dgm:cxn modelId="{2E316223-77DF-4634-93A7-B90D88B022C9}" type="presParOf" srcId="{2804D5F3-874C-4D21-9620-1E3F1FB76B28}" destId="{580D2603-9804-4AEA-97FE-A44151A32AB3}" srcOrd="1" destOrd="0" presId="urn:microsoft.com/office/officeart/2005/8/layout/list1"/>
    <dgm:cxn modelId="{42EB5542-DF09-46E2-9E80-4DBCA533DB8A}" type="presParOf" srcId="{2804D5F3-874C-4D21-9620-1E3F1FB76B28}" destId="{78CCE30C-3678-4352-9467-FD629449A92E}" srcOrd="2" destOrd="0" presId="urn:microsoft.com/office/officeart/2005/8/layout/list1"/>
    <dgm:cxn modelId="{D280919E-8FB6-4ABD-B18E-9953E4401D30}" type="presParOf" srcId="{2804D5F3-874C-4D21-9620-1E3F1FB76B28}" destId="{30BD8AA1-708F-4F9A-AA9E-F921B00D7E3E}" srcOrd="3" destOrd="0" presId="urn:microsoft.com/office/officeart/2005/8/layout/list1"/>
    <dgm:cxn modelId="{139798D2-2FA9-497E-9EC6-594A63315C6A}" type="presParOf" srcId="{2804D5F3-874C-4D21-9620-1E3F1FB76B28}" destId="{419CB526-A6B8-4B9C-BC53-F74AFBBA77CD}" srcOrd="4" destOrd="0" presId="urn:microsoft.com/office/officeart/2005/8/layout/list1"/>
    <dgm:cxn modelId="{82A4973D-6E70-4C65-A2D5-00C9DFA203A8}" type="presParOf" srcId="{419CB526-A6B8-4B9C-BC53-F74AFBBA77CD}" destId="{714194DE-B3E6-44DC-9CD8-5F8D94CD34A7}" srcOrd="0" destOrd="0" presId="urn:microsoft.com/office/officeart/2005/8/layout/list1"/>
    <dgm:cxn modelId="{0B622944-ED75-49C5-8442-0D939529D81B}" type="presParOf" srcId="{419CB526-A6B8-4B9C-BC53-F74AFBBA77CD}" destId="{336564E4-3718-42F6-875E-893E69D31E09}" srcOrd="1" destOrd="0" presId="urn:microsoft.com/office/officeart/2005/8/layout/list1"/>
    <dgm:cxn modelId="{CA0D0834-265A-4FEF-B392-8E7376B60027}" type="presParOf" srcId="{2804D5F3-874C-4D21-9620-1E3F1FB76B28}" destId="{446292DA-8426-44F4-9090-2251BA107DEB}" srcOrd="5" destOrd="0" presId="urn:microsoft.com/office/officeart/2005/8/layout/list1"/>
    <dgm:cxn modelId="{0A8CB866-2980-4D7E-BB49-1CFE8081519C}" type="presParOf" srcId="{2804D5F3-874C-4D21-9620-1E3F1FB76B28}" destId="{4600300F-9356-4900-B994-869B2A4C2467}" srcOrd="6" destOrd="0" presId="urn:microsoft.com/office/officeart/2005/8/layout/list1"/>
    <dgm:cxn modelId="{8A19581A-8111-4096-8E6A-C05B861EB468}" type="presParOf" srcId="{2804D5F3-874C-4D21-9620-1E3F1FB76B28}" destId="{2F0D6C38-20E8-49EA-9519-556AAC5F2267}" srcOrd="7" destOrd="0" presId="urn:microsoft.com/office/officeart/2005/8/layout/list1"/>
    <dgm:cxn modelId="{3A3B27D5-EBE7-4BFC-8236-C9DDEC3FF64E}" type="presParOf" srcId="{2804D5F3-874C-4D21-9620-1E3F1FB76B28}" destId="{76A6B68D-EBE3-4980-B798-670D78507B24}" srcOrd="8" destOrd="0" presId="urn:microsoft.com/office/officeart/2005/8/layout/list1"/>
    <dgm:cxn modelId="{3EB5B8D2-8B45-4BD7-A45E-21ACE3105D60}" type="presParOf" srcId="{76A6B68D-EBE3-4980-B798-670D78507B24}" destId="{694927E8-9184-4F95-B335-744C50ADF0FF}" srcOrd="0" destOrd="0" presId="urn:microsoft.com/office/officeart/2005/8/layout/list1"/>
    <dgm:cxn modelId="{FEEC62F1-652A-4FCB-BE6C-76D45CC0D20C}" type="presParOf" srcId="{76A6B68D-EBE3-4980-B798-670D78507B24}" destId="{BEF1098B-50F3-4452-9125-91EDB19CCED1}" srcOrd="1" destOrd="0" presId="urn:microsoft.com/office/officeart/2005/8/layout/list1"/>
    <dgm:cxn modelId="{AFE0F324-9C47-4552-B28B-41BA94134F17}" type="presParOf" srcId="{2804D5F3-874C-4D21-9620-1E3F1FB76B28}" destId="{8F17B4F0-7A88-4756-AF3C-34BDA9CB7AA6}" srcOrd="9" destOrd="0" presId="urn:microsoft.com/office/officeart/2005/8/layout/list1"/>
    <dgm:cxn modelId="{6C283BAF-9E43-4890-8CD7-51D397A2DC3E}" type="presParOf" srcId="{2804D5F3-874C-4D21-9620-1E3F1FB76B28}" destId="{0933331E-E696-48B5-A06E-44A53F17C1FD}" srcOrd="10" destOrd="0" presId="urn:microsoft.com/office/officeart/2005/8/layout/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CCE30C-3678-4352-9467-FD629449A92E}">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5402D8C-61FF-4768-AC2B-FB8EBB3529B8}">
      <dsp:nvSpPr>
        <dsp:cNvPr id="0" name=""/>
        <dsp:cNvSpPr/>
      </dsp:nvSpPr>
      <dsp:spPr>
        <a:xfrm>
          <a:off x="274320" y="32040"/>
          <a:ext cx="3840480" cy="708480"/>
        </a:xfrm>
        <a:prstGeom prst="round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i="1" kern="1200">
              <a:latin typeface="Arial" panose="020B0604020202020204" pitchFamily="34" charset="0"/>
              <a:cs typeface="Arial" panose="020B0604020202020204" pitchFamily="34" charset="0"/>
            </a:rPr>
            <a:t>Adoption of structured and standardised cross-speciality clinical handover in healthcare organisations</a:t>
          </a:r>
          <a:endParaRPr lang="en-US" sz="1200" kern="1200">
            <a:latin typeface="Arial" panose="020B0604020202020204" pitchFamily="34" charset="0"/>
            <a:cs typeface="Arial" panose="020B0604020202020204" pitchFamily="34" charset="0"/>
          </a:endParaRPr>
        </a:p>
      </dsp:txBody>
      <dsp:txXfrm>
        <a:off x="308905" y="66625"/>
        <a:ext cx="3771310" cy="639310"/>
      </dsp:txXfrm>
    </dsp:sp>
    <dsp:sp modelId="{4600300F-9356-4900-B994-869B2A4C2467}">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sp>
    <dsp:sp modelId="{336564E4-3718-42F6-875E-893E69D31E09}">
      <dsp:nvSpPr>
        <dsp:cNvPr id="0" name=""/>
        <dsp:cNvSpPr/>
      </dsp:nvSpPr>
      <dsp:spPr>
        <a:xfrm>
          <a:off x="274320" y="1120680"/>
          <a:ext cx="3840480" cy="708480"/>
        </a:xfrm>
        <a:prstGeom prst="roundRect">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i="1" kern="1200">
              <a:latin typeface="Arial" panose="020B0604020202020204" pitchFamily="34" charset="0"/>
              <a:cs typeface="Arial" panose="020B0604020202020204" pitchFamily="34" charset="0"/>
            </a:rPr>
            <a:t>Integration of compulsory cross-disciplinary medication review at every care transition phase</a:t>
          </a:r>
          <a:endParaRPr lang="en-US" sz="1200" kern="1200">
            <a:latin typeface="Arial" panose="020B0604020202020204" pitchFamily="34" charset="0"/>
            <a:cs typeface="Arial" panose="020B0604020202020204" pitchFamily="34" charset="0"/>
          </a:endParaRPr>
        </a:p>
      </dsp:txBody>
      <dsp:txXfrm>
        <a:off x="308905" y="1155265"/>
        <a:ext cx="3771310" cy="639310"/>
      </dsp:txXfrm>
    </dsp:sp>
    <dsp:sp modelId="{0933331E-E696-48B5-A06E-44A53F17C1FD}">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BEF1098B-50F3-4452-9125-91EDB19CCED1}">
      <dsp:nvSpPr>
        <dsp:cNvPr id="0" name=""/>
        <dsp:cNvSpPr/>
      </dsp:nvSpPr>
      <dsp:spPr>
        <a:xfrm>
          <a:off x="274320" y="2209320"/>
          <a:ext cx="3840480" cy="708480"/>
        </a:xfrm>
        <a:prstGeom prst="roundRect">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i="1" kern="1200">
              <a:latin typeface="Arial" panose="020B0604020202020204" pitchFamily="34" charset="0"/>
              <a:cs typeface="Arial" panose="020B0604020202020204" pitchFamily="34" charset="0"/>
            </a:rPr>
            <a:t>Providing comprehensive, multi-professional training to medical staff on anticoagulation safety guidelines</a:t>
          </a:r>
          <a:endParaRPr lang="en-US" sz="1200" kern="1200">
            <a:latin typeface="Arial" panose="020B0604020202020204" pitchFamily="34" charset="0"/>
            <a:cs typeface="Arial" panose="020B0604020202020204" pitchFamily="34"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C87A9E-E6C7-49DD-867C-A6D3C5867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8002</Words>
  <Characters>45614</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Tank Shivangi</dc:creator>
  <cp:lastModifiedBy>Tank Shivangi</cp:lastModifiedBy>
  <cp:revision>2</cp:revision>
  <dcterms:created xsi:type="dcterms:W3CDTF">2026-08-10T13:01:00Z</dcterms:created>
  <dcterms:modified xsi:type="dcterms:W3CDTF">2026-08-10T13:01:00Z</dcterms:modified>
</cp:coreProperties>
</file>