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88CA5" w14:textId="77777777" w:rsidR="00AF1065" w:rsidRDefault="00AF1065">
      <w:pPr>
        <w:tabs>
          <w:tab w:val="left" w:pos="720"/>
        </w:tabs>
        <w:ind w:left="720" w:hanging="360"/>
        <w:jc w:val="center"/>
        <w:rPr>
          <w:rFonts w:ascii="Arial" w:hAnsi="Arial" w:cs="Arial"/>
          <w:b/>
          <w:bCs/>
          <w:color w:val="002060"/>
          <w:sz w:val="48"/>
          <w:szCs w:val="48"/>
          <w:lang w:val="en-US"/>
        </w:rPr>
      </w:pPr>
    </w:p>
    <w:p w14:paraId="2148721B" w14:textId="77777777" w:rsidR="00AF1065" w:rsidRDefault="00000000">
      <w:pPr>
        <w:tabs>
          <w:tab w:val="left" w:pos="720"/>
        </w:tabs>
        <w:ind w:left="720" w:hanging="360"/>
        <w:jc w:val="center"/>
        <w:rPr>
          <w:rFonts w:ascii="Arial" w:hAnsi="Arial" w:cs="Arial"/>
          <w:b/>
          <w:bCs/>
          <w:color w:val="002060"/>
          <w:sz w:val="48"/>
          <w:szCs w:val="48"/>
          <w:lang w:val="en-US"/>
        </w:rPr>
      </w:pPr>
      <w:r>
        <w:rPr>
          <w:noProof/>
        </w:rPr>
        <w:drawing>
          <wp:inline distT="0" distB="0" distL="0" distR="0" wp14:anchorId="705D5EDF" wp14:editId="490D7AC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34E3951" w14:textId="77777777" w:rsidR="00AF1065" w:rsidRDefault="00000000">
      <w:pPr>
        <w:tabs>
          <w:tab w:val="left" w:pos="720"/>
        </w:tabs>
        <w:ind w:left="720" w:hanging="360"/>
        <w:jc w:val="center"/>
        <w:rPr>
          <w:rFonts w:ascii="Arial" w:hAnsi="Arial" w:cs="Arial"/>
          <w:b/>
          <w:bCs/>
          <w:color w:val="002060"/>
          <w:sz w:val="48"/>
          <w:szCs w:val="48"/>
          <w:lang w:val="en-US"/>
        </w:rPr>
      </w:pPr>
      <w:r>
        <w:rPr>
          <w:rFonts w:ascii="Arial" w:hAnsi="Arial" w:cs="Arial"/>
          <w:b/>
          <w:bCs/>
          <w:color w:val="002060"/>
          <w:sz w:val="48"/>
          <w:szCs w:val="48"/>
          <w:lang w:val="en-US"/>
        </w:rPr>
        <w:t>Component 1: Online Portfolio of Set Exercises</w:t>
      </w:r>
    </w:p>
    <w:p w14:paraId="1AF9CB85" w14:textId="77777777" w:rsidR="00AF1065" w:rsidRDefault="00AF1065">
      <w:pPr>
        <w:tabs>
          <w:tab w:val="left" w:pos="720"/>
        </w:tabs>
        <w:ind w:left="720" w:hanging="360"/>
        <w:jc w:val="center"/>
        <w:rPr>
          <w:rFonts w:ascii="Arial" w:hAnsi="Arial" w:cs="Arial"/>
          <w:b/>
          <w:bCs/>
          <w:color w:val="002060"/>
          <w:sz w:val="48"/>
          <w:szCs w:val="48"/>
        </w:rPr>
      </w:pPr>
    </w:p>
    <w:p w14:paraId="02B693FC" w14:textId="77777777" w:rsidR="00004947" w:rsidRPr="00004947" w:rsidRDefault="00000000" w:rsidP="00004947">
      <w:pPr>
        <w:numPr>
          <w:ilvl w:val="0"/>
          <w:numId w:val="1"/>
        </w:numPr>
        <w:jc w:val="both"/>
        <w:rPr>
          <w:rFonts w:ascii="Arial" w:hAnsi="Arial" w:cs="Arial"/>
          <w:lang w:val="en-US"/>
        </w:rPr>
      </w:pPr>
      <w:r>
        <w:rPr>
          <w:rFonts w:ascii="Arial" w:hAnsi="Arial" w:cs="Arial"/>
          <w:lang w:val="en-US"/>
        </w:rPr>
        <w:t>Student Name</w:t>
      </w:r>
      <w:r w:rsidR="00004947">
        <w:rPr>
          <w:rFonts w:ascii="Arial" w:hAnsi="Arial" w:cs="Arial"/>
          <w:lang w:val="en-US"/>
        </w:rPr>
        <w:t xml:space="preserve">: </w:t>
      </w:r>
      <w:r w:rsidR="00004947" w:rsidRPr="00004947">
        <w:rPr>
          <w:rFonts w:ascii="Arial" w:hAnsi="Arial" w:cs="Arial"/>
          <w:lang w:val="en-US"/>
        </w:rPr>
        <w:t>ANISA ALI</w:t>
      </w:r>
    </w:p>
    <w:p w14:paraId="5BEB1D6B" w14:textId="4616FB8E" w:rsidR="00AF1065" w:rsidRPr="00004947" w:rsidRDefault="00000000" w:rsidP="00004947">
      <w:pPr>
        <w:numPr>
          <w:ilvl w:val="0"/>
          <w:numId w:val="1"/>
        </w:numPr>
        <w:jc w:val="both"/>
        <w:rPr>
          <w:rFonts w:ascii="Arial" w:hAnsi="Arial" w:cs="Arial"/>
          <w:lang w:val="en-US"/>
        </w:rPr>
      </w:pPr>
      <w:r>
        <w:rPr>
          <w:rFonts w:ascii="Arial" w:hAnsi="Arial" w:cs="Arial"/>
          <w:lang w:val="en-US"/>
        </w:rPr>
        <w:t>Student Number</w:t>
      </w:r>
      <w:r w:rsidR="00004947">
        <w:rPr>
          <w:rFonts w:ascii="Arial" w:hAnsi="Arial" w:cs="Arial"/>
          <w:lang w:val="en-US"/>
        </w:rPr>
        <w:t xml:space="preserve">: </w:t>
      </w:r>
      <w:r w:rsidR="00004947" w:rsidRPr="00004947">
        <w:rPr>
          <w:rFonts w:ascii="Arial" w:hAnsi="Arial" w:cs="Arial"/>
          <w:lang w:val="en-US"/>
        </w:rPr>
        <w:t>2427959</w:t>
      </w:r>
    </w:p>
    <w:p w14:paraId="65D46B69" w14:textId="77777777" w:rsidR="00AF1065" w:rsidRDefault="00000000">
      <w:pPr>
        <w:numPr>
          <w:ilvl w:val="0"/>
          <w:numId w:val="1"/>
        </w:numPr>
        <w:jc w:val="both"/>
        <w:rPr>
          <w:rFonts w:ascii="Arial" w:hAnsi="Arial" w:cs="Arial"/>
          <w:lang w:val="en-US"/>
        </w:rPr>
      </w:pPr>
      <w:r>
        <w:rPr>
          <w:rFonts w:ascii="Arial" w:hAnsi="Arial" w:cs="Arial"/>
          <w:lang w:val="en-US"/>
        </w:rPr>
        <w:t>BMHP5014 – Changemakers: Creativity and Value Creation</w:t>
      </w:r>
    </w:p>
    <w:p w14:paraId="2129774F" w14:textId="77777777" w:rsidR="00AF1065" w:rsidRDefault="00000000">
      <w:pPr>
        <w:numPr>
          <w:ilvl w:val="0"/>
          <w:numId w:val="1"/>
        </w:numPr>
        <w:jc w:val="both"/>
        <w:rPr>
          <w:rFonts w:ascii="Arial" w:hAnsi="Arial" w:cs="Arial"/>
          <w:lang w:val="en-US"/>
        </w:rPr>
      </w:pPr>
      <w:r>
        <w:rPr>
          <w:rFonts w:ascii="Arial" w:hAnsi="Arial" w:cs="Arial"/>
          <w:lang w:val="en-US"/>
        </w:rPr>
        <w:t>Component 1: Online Portfolio of Set Exercises</w:t>
      </w:r>
    </w:p>
    <w:p w14:paraId="01531AD0" w14:textId="77777777" w:rsidR="00AF1065" w:rsidRDefault="00AF1065">
      <w:pPr>
        <w:jc w:val="both"/>
        <w:rPr>
          <w:rFonts w:ascii="Arial" w:hAnsi="Arial" w:cs="Arial"/>
          <w:lang w:val="en-US"/>
        </w:rPr>
      </w:pPr>
    </w:p>
    <w:p w14:paraId="6C3848DE" w14:textId="77777777" w:rsidR="00AF1065" w:rsidRDefault="00000000">
      <w:pPr>
        <w:jc w:val="both"/>
        <w:rPr>
          <w:rFonts w:ascii="Arial" w:hAnsi="Arial" w:cs="Arial"/>
          <w:b/>
          <w:bCs/>
          <w:lang w:val="en-US"/>
        </w:rPr>
      </w:pPr>
      <w:r>
        <w:rPr>
          <w:rFonts w:ascii="Arial" w:hAnsi="Arial" w:cs="Arial"/>
          <w:b/>
          <w:bCs/>
          <w:lang w:val="en-US"/>
        </w:rPr>
        <w:br w:type="page"/>
      </w:r>
    </w:p>
    <w:sdt>
      <w:sdtPr>
        <w:rPr>
          <w:rFonts w:asciiTheme="minorHAnsi" w:eastAsiaTheme="minorHAnsi" w:hAnsiTheme="minorHAnsi" w:cstheme="minorBidi"/>
          <w:color w:val="auto"/>
          <w:kern w:val="2"/>
          <w:sz w:val="22"/>
          <w:szCs w:val="22"/>
          <w:lang w:val="en-GB"/>
          <w14:ligatures w14:val="standardContextual"/>
        </w:rPr>
        <w:id w:val="973806592"/>
        <w:docPartObj>
          <w:docPartGallery w:val="Table of Contents"/>
          <w:docPartUnique/>
        </w:docPartObj>
      </w:sdtPr>
      <w:sdtEndPr>
        <w:rPr>
          <w:b/>
          <w:bCs/>
        </w:rPr>
      </w:sdtEndPr>
      <w:sdtContent>
        <w:p w14:paraId="46506C67" w14:textId="77777777" w:rsidR="00AF1065" w:rsidRDefault="00000000">
          <w:pPr>
            <w:pStyle w:val="TOCHeading1"/>
          </w:pPr>
          <w:r>
            <w:rPr>
              <w:b/>
              <w:bCs/>
            </w:rPr>
            <w:t>Table of Contents</w:t>
          </w:r>
        </w:p>
        <w:p w14:paraId="165B8543" w14:textId="77777777" w:rsidR="00AF1065" w:rsidRDefault="00000000">
          <w:pPr>
            <w:pStyle w:val="TOC1"/>
            <w:tabs>
              <w:tab w:val="right" w:leader="dot" w:pos="9350"/>
            </w:tabs>
            <w:rPr>
              <w:rFonts w:eastAsiaTheme="minorEastAsia"/>
              <w:sz w:val="24"/>
              <w:szCs w:val="24"/>
              <w:lang w:val="en-US"/>
            </w:rPr>
          </w:pPr>
          <w:r>
            <w:fldChar w:fldCharType="begin"/>
          </w:r>
          <w:r>
            <w:instrText xml:space="preserve"> TOC \o "1-3" \h \z \u </w:instrText>
          </w:r>
          <w:r>
            <w:fldChar w:fldCharType="separate"/>
          </w:r>
          <w:hyperlink w:anchor="_Toc233388543" w:history="1">
            <w:r w:rsidR="00AF1065">
              <w:rPr>
                <w:rStyle w:val="Hyperlink"/>
                <w:lang w:val="en-US"/>
              </w:rPr>
              <w:t>Task 1: Concept Map</w:t>
            </w:r>
            <w:r w:rsidR="00AF1065">
              <w:tab/>
            </w:r>
            <w:r w:rsidR="00AF1065">
              <w:fldChar w:fldCharType="begin"/>
            </w:r>
            <w:r w:rsidR="00AF1065">
              <w:instrText xml:space="preserve"> PAGEREF _Toc233388543 \h </w:instrText>
            </w:r>
            <w:r w:rsidR="00AF1065">
              <w:fldChar w:fldCharType="separate"/>
            </w:r>
            <w:r w:rsidR="00AF1065">
              <w:t>3</w:t>
            </w:r>
            <w:r w:rsidR="00AF1065">
              <w:fldChar w:fldCharType="end"/>
            </w:r>
          </w:hyperlink>
        </w:p>
        <w:p w14:paraId="501406A6" w14:textId="77777777" w:rsidR="00AF1065" w:rsidRDefault="00AF1065">
          <w:pPr>
            <w:pStyle w:val="TOC1"/>
            <w:tabs>
              <w:tab w:val="right" w:leader="dot" w:pos="9350"/>
            </w:tabs>
            <w:rPr>
              <w:rFonts w:eastAsiaTheme="minorEastAsia"/>
              <w:sz w:val="24"/>
              <w:szCs w:val="24"/>
              <w:lang w:val="en-US"/>
            </w:rPr>
          </w:pPr>
          <w:hyperlink w:anchor="_Toc233388544" w:history="1">
            <w:r>
              <w:rPr>
                <w:rStyle w:val="Hyperlink"/>
                <w:lang w:val="en-US"/>
              </w:rPr>
              <w:t>Task 2: Reflection on the Paperclip Activity (Gibbs Cycle)</w:t>
            </w:r>
            <w:r>
              <w:tab/>
            </w:r>
            <w:r>
              <w:fldChar w:fldCharType="begin"/>
            </w:r>
            <w:r>
              <w:instrText xml:space="preserve"> PAGEREF _Toc233388544 \h </w:instrText>
            </w:r>
            <w:r>
              <w:fldChar w:fldCharType="separate"/>
            </w:r>
            <w:r>
              <w:t>4</w:t>
            </w:r>
            <w:r>
              <w:fldChar w:fldCharType="end"/>
            </w:r>
          </w:hyperlink>
        </w:p>
        <w:p w14:paraId="2B4FE7B2" w14:textId="77777777" w:rsidR="00AF1065" w:rsidRDefault="00AF1065">
          <w:pPr>
            <w:pStyle w:val="TOC1"/>
            <w:tabs>
              <w:tab w:val="right" w:leader="dot" w:pos="9350"/>
            </w:tabs>
            <w:rPr>
              <w:rFonts w:eastAsiaTheme="minorEastAsia"/>
              <w:sz w:val="24"/>
              <w:szCs w:val="24"/>
              <w:lang w:val="en-US"/>
            </w:rPr>
          </w:pPr>
          <w:hyperlink w:anchor="_Toc233388545" w:history="1">
            <w:r>
              <w:rPr>
                <w:rStyle w:val="Hyperlink"/>
                <w:lang w:val="en-US"/>
              </w:rPr>
              <w:t>Task 3: UK Innovation Case Study – NHS Talking Therapies Digital Transformation</w:t>
            </w:r>
            <w:r>
              <w:tab/>
            </w:r>
            <w:r>
              <w:fldChar w:fldCharType="begin"/>
            </w:r>
            <w:r>
              <w:instrText xml:space="preserve"> PAGEREF _Toc233388545 \h </w:instrText>
            </w:r>
            <w:r>
              <w:fldChar w:fldCharType="separate"/>
            </w:r>
            <w:r>
              <w:t>5</w:t>
            </w:r>
            <w:r>
              <w:fldChar w:fldCharType="end"/>
            </w:r>
          </w:hyperlink>
        </w:p>
        <w:p w14:paraId="337865E4" w14:textId="77777777" w:rsidR="00AF1065" w:rsidRDefault="00AF1065">
          <w:pPr>
            <w:pStyle w:val="TOC1"/>
            <w:tabs>
              <w:tab w:val="right" w:leader="dot" w:pos="9350"/>
            </w:tabs>
            <w:rPr>
              <w:rFonts w:eastAsiaTheme="minorEastAsia"/>
              <w:sz w:val="24"/>
              <w:szCs w:val="24"/>
              <w:lang w:val="en-US"/>
            </w:rPr>
          </w:pPr>
          <w:hyperlink w:anchor="_Toc233388546" w:history="1">
            <w:r>
              <w:rPr>
                <w:rStyle w:val="Hyperlink"/>
                <w:lang w:val="en-US"/>
              </w:rPr>
              <w:t>Task 4: Research Task – Mental Health Access Inequality</w:t>
            </w:r>
            <w:r>
              <w:tab/>
            </w:r>
            <w:r>
              <w:fldChar w:fldCharType="begin"/>
            </w:r>
            <w:r>
              <w:instrText xml:space="preserve"> PAGEREF _Toc233388546 \h </w:instrText>
            </w:r>
            <w:r>
              <w:fldChar w:fldCharType="separate"/>
            </w:r>
            <w:r>
              <w:t>6</w:t>
            </w:r>
            <w:r>
              <w:fldChar w:fldCharType="end"/>
            </w:r>
          </w:hyperlink>
        </w:p>
        <w:p w14:paraId="2CE9A795" w14:textId="77777777" w:rsidR="00AF1065" w:rsidRDefault="00AF1065">
          <w:pPr>
            <w:pStyle w:val="TOC1"/>
            <w:tabs>
              <w:tab w:val="right" w:leader="dot" w:pos="9350"/>
            </w:tabs>
            <w:rPr>
              <w:rFonts w:eastAsiaTheme="minorEastAsia"/>
              <w:sz w:val="24"/>
              <w:szCs w:val="24"/>
              <w:lang w:val="en-US"/>
            </w:rPr>
          </w:pPr>
          <w:hyperlink w:anchor="_Toc233388547" w:history="1">
            <w:r>
              <w:rPr>
                <w:rStyle w:val="Hyperlink"/>
                <w:lang w:val="en-US"/>
              </w:rPr>
              <w:t>Task 5: Podcast Script – MindConnect Innovation Pitch</w:t>
            </w:r>
            <w:r>
              <w:tab/>
            </w:r>
            <w:r>
              <w:fldChar w:fldCharType="begin"/>
            </w:r>
            <w:r>
              <w:instrText xml:space="preserve"> PAGEREF _Toc233388547 \h </w:instrText>
            </w:r>
            <w:r>
              <w:fldChar w:fldCharType="separate"/>
            </w:r>
            <w:r>
              <w:t>7</w:t>
            </w:r>
            <w:r>
              <w:fldChar w:fldCharType="end"/>
            </w:r>
          </w:hyperlink>
        </w:p>
        <w:p w14:paraId="1ACECB1C" w14:textId="77777777" w:rsidR="00AF1065" w:rsidRDefault="00AF1065">
          <w:pPr>
            <w:pStyle w:val="TOC1"/>
            <w:tabs>
              <w:tab w:val="right" w:leader="dot" w:pos="9350"/>
            </w:tabs>
            <w:rPr>
              <w:rFonts w:eastAsiaTheme="minorEastAsia"/>
              <w:sz w:val="24"/>
              <w:szCs w:val="24"/>
              <w:lang w:val="en-US"/>
            </w:rPr>
          </w:pPr>
          <w:hyperlink w:anchor="_Toc233388548" w:history="1">
            <w:r>
              <w:rPr>
                <w:rStyle w:val="Hyperlink"/>
                <w:lang w:val="en-US"/>
              </w:rPr>
              <w:t>Task 6: NHS Leadership Framework – Critical Analysis</w:t>
            </w:r>
            <w:r>
              <w:tab/>
            </w:r>
            <w:r>
              <w:fldChar w:fldCharType="begin"/>
            </w:r>
            <w:r>
              <w:instrText xml:space="preserve"> PAGEREF _Toc233388548 \h </w:instrText>
            </w:r>
            <w:r>
              <w:fldChar w:fldCharType="separate"/>
            </w:r>
            <w:r>
              <w:t>7</w:t>
            </w:r>
            <w:r>
              <w:fldChar w:fldCharType="end"/>
            </w:r>
          </w:hyperlink>
        </w:p>
        <w:p w14:paraId="0A52ABB2" w14:textId="77777777" w:rsidR="00AF1065" w:rsidRDefault="00AF1065">
          <w:pPr>
            <w:pStyle w:val="TOC1"/>
            <w:tabs>
              <w:tab w:val="right" w:leader="dot" w:pos="9350"/>
            </w:tabs>
            <w:rPr>
              <w:rFonts w:eastAsiaTheme="minorEastAsia"/>
              <w:sz w:val="24"/>
              <w:szCs w:val="24"/>
              <w:lang w:val="en-US"/>
            </w:rPr>
          </w:pPr>
          <w:hyperlink w:anchor="_Toc233388549" w:history="1">
            <w:r>
              <w:rPr>
                <w:rStyle w:val="Hyperlink"/>
                <w:lang w:val="en-US"/>
              </w:rPr>
              <w:t>Task 7: Reflective Journal</w:t>
            </w:r>
            <w:r>
              <w:tab/>
            </w:r>
            <w:r>
              <w:fldChar w:fldCharType="begin"/>
            </w:r>
            <w:r>
              <w:instrText xml:space="preserve"> PAGEREF _Toc233388549 \h </w:instrText>
            </w:r>
            <w:r>
              <w:fldChar w:fldCharType="separate"/>
            </w:r>
            <w:r>
              <w:t>8</w:t>
            </w:r>
            <w:r>
              <w:fldChar w:fldCharType="end"/>
            </w:r>
          </w:hyperlink>
        </w:p>
        <w:p w14:paraId="209179D2" w14:textId="77777777" w:rsidR="00AF1065" w:rsidRDefault="00AF1065">
          <w:pPr>
            <w:pStyle w:val="TOC1"/>
            <w:tabs>
              <w:tab w:val="right" w:leader="dot" w:pos="9350"/>
            </w:tabs>
            <w:rPr>
              <w:rFonts w:eastAsiaTheme="minorEastAsia"/>
              <w:sz w:val="24"/>
              <w:szCs w:val="24"/>
              <w:lang w:val="en-US"/>
            </w:rPr>
          </w:pPr>
          <w:hyperlink w:anchor="_Toc233388550" w:history="1">
            <w:r>
              <w:rPr>
                <w:rStyle w:val="Hyperlink"/>
                <w:rFonts w:eastAsia="Arial Nova"/>
              </w:rPr>
              <w:t>Reference List</w:t>
            </w:r>
            <w:r>
              <w:tab/>
            </w:r>
            <w:r>
              <w:fldChar w:fldCharType="begin"/>
            </w:r>
            <w:r>
              <w:instrText xml:space="preserve"> PAGEREF _Toc233388550 \h </w:instrText>
            </w:r>
            <w:r>
              <w:fldChar w:fldCharType="separate"/>
            </w:r>
            <w:r>
              <w:t>10</w:t>
            </w:r>
            <w:r>
              <w:fldChar w:fldCharType="end"/>
            </w:r>
          </w:hyperlink>
        </w:p>
        <w:p w14:paraId="07FB42F0" w14:textId="77777777" w:rsidR="00AF1065" w:rsidRDefault="00000000">
          <w:r>
            <w:rPr>
              <w:b/>
              <w:bCs/>
            </w:rPr>
            <w:fldChar w:fldCharType="end"/>
          </w:r>
        </w:p>
      </w:sdtContent>
    </w:sdt>
    <w:p w14:paraId="4D4395E7" w14:textId="77777777" w:rsidR="00AF1065" w:rsidRDefault="00000000">
      <w:pPr>
        <w:rPr>
          <w:rFonts w:ascii="Arial" w:hAnsi="Arial" w:cs="Arial"/>
          <w:b/>
          <w:bCs/>
          <w:lang w:val="en-US"/>
        </w:rPr>
      </w:pPr>
      <w:r>
        <w:rPr>
          <w:rFonts w:ascii="Arial" w:hAnsi="Arial" w:cs="Arial"/>
          <w:b/>
          <w:bCs/>
          <w:lang w:val="en-US"/>
        </w:rPr>
        <w:br w:type="page"/>
      </w:r>
    </w:p>
    <w:p w14:paraId="34DA98E8" w14:textId="77777777" w:rsidR="00AF1065" w:rsidRDefault="00000000">
      <w:pPr>
        <w:pStyle w:val="Heading1"/>
        <w:rPr>
          <w:lang w:val="en-US"/>
        </w:rPr>
      </w:pPr>
      <w:bookmarkStart w:id="0" w:name="_Toc233388543"/>
      <w:r>
        <w:rPr>
          <w:lang w:val="en-US"/>
        </w:rPr>
        <w:lastRenderedPageBreak/>
        <w:t>Task 1: Concept Map</w:t>
      </w:r>
      <w:bookmarkEnd w:id="0"/>
    </w:p>
    <w:p w14:paraId="5C5FEA1E" w14:textId="77777777" w:rsidR="00B56DC9" w:rsidRPr="00B56DC9" w:rsidRDefault="00B56DC9" w:rsidP="00B56DC9">
      <w:pPr>
        <w:jc w:val="center"/>
        <w:rPr>
          <w:rFonts w:ascii="Arial" w:hAnsi="Arial" w:cs="Arial"/>
          <w:b/>
          <w:bCs/>
          <w:sz w:val="24"/>
          <w:szCs w:val="24"/>
          <w:lang w:val="en-US"/>
        </w:rPr>
      </w:pPr>
      <w:bookmarkStart w:id="1" w:name="_Toc233388544"/>
      <w:r w:rsidRPr="00B56DC9">
        <w:rPr>
          <w:rFonts w:ascii="Arial" w:hAnsi="Arial" w:cs="Arial"/>
          <w:b/>
          <w:bCs/>
          <w:noProof/>
          <w:sz w:val="24"/>
          <w:szCs w:val="24"/>
          <w:lang w:val="en-US"/>
        </w:rPr>
        <w:drawing>
          <wp:inline distT="0" distB="0" distL="0" distR="0" wp14:anchorId="6313CC51" wp14:editId="099235BE">
            <wp:extent cx="5311140" cy="3261585"/>
            <wp:effectExtent l="0" t="0" r="3810" b="0"/>
            <wp:docPr id="1491290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290583" name=""/>
                    <pic:cNvPicPr/>
                  </pic:nvPicPr>
                  <pic:blipFill>
                    <a:blip r:embed="rId9"/>
                    <a:stretch>
                      <a:fillRect/>
                    </a:stretch>
                  </pic:blipFill>
                  <pic:spPr>
                    <a:xfrm>
                      <a:off x="0" y="0"/>
                      <a:ext cx="5317993" cy="3265793"/>
                    </a:xfrm>
                    <a:prstGeom prst="rect">
                      <a:avLst/>
                    </a:prstGeom>
                  </pic:spPr>
                </pic:pic>
              </a:graphicData>
            </a:graphic>
          </wp:inline>
        </w:drawing>
      </w:r>
    </w:p>
    <w:p w14:paraId="66A55E55" w14:textId="77777777" w:rsidR="00B56DC9" w:rsidRPr="00BE53BF" w:rsidRDefault="00B56DC9" w:rsidP="00BE53BF">
      <w:pPr>
        <w:jc w:val="both"/>
        <w:rPr>
          <w:rFonts w:ascii="Arial" w:hAnsi="Arial" w:cs="Arial"/>
          <w:lang w:val="en-US"/>
        </w:rPr>
      </w:pPr>
      <w:r w:rsidRPr="00BE53BF">
        <w:rPr>
          <w:rFonts w:ascii="Arial" w:hAnsi="Arial" w:cs="Arial"/>
          <w:b/>
          <w:bCs/>
          <w:lang w:val="en-US"/>
        </w:rPr>
        <w:t>Creativity: Human-</w:t>
      </w:r>
      <w:proofErr w:type="spellStart"/>
      <w:r w:rsidRPr="00BE53BF">
        <w:rPr>
          <w:rFonts w:ascii="Arial" w:hAnsi="Arial" w:cs="Arial"/>
          <w:b/>
          <w:bCs/>
          <w:lang w:val="en-US"/>
        </w:rPr>
        <w:t>Centred</w:t>
      </w:r>
      <w:proofErr w:type="spellEnd"/>
      <w:r w:rsidRPr="00BE53BF">
        <w:rPr>
          <w:rFonts w:ascii="Arial" w:hAnsi="Arial" w:cs="Arial"/>
          <w:b/>
          <w:bCs/>
          <w:lang w:val="en-US"/>
        </w:rPr>
        <w:t xml:space="preserve"> Design</w:t>
      </w:r>
    </w:p>
    <w:p w14:paraId="7120D01F" w14:textId="77777777" w:rsidR="00B56DC9" w:rsidRPr="00BE53BF" w:rsidRDefault="00B56DC9" w:rsidP="00BE53BF">
      <w:pPr>
        <w:jc w:val="both"/>
        <w:rPr>
          <w:rFonts w:ascii="Arial" w:hAnsi="Arial" w:cs="Arial"/>
          <w:lang w:val="en-US"/>
        </w:rPr>
      </w:pPr>
      <w:r w:rsidRPr="00BE53BF">
        <w:rPr>
          <w:rFonts w:ascii="Arial" w:hAnsi="Arial" w:cs="Arial"/>
          <w:lang w:val="en-US"/>
        </w:rPr>
        <w:t>Human-</w:t>
      </w:r>
      <w:proofErr w:type="spellStart"/>
      <w:r w:rsidRPr="00BE53BF">
        <w:rPr>
          <w:rFonts w:ascii="Arial" w:hAnsi="Arial" w:cs="Arial"/>
          <w:lang w:val="en-US"/>
        </w:rPr>
        <w:t>centred</w:t>
      </w:r>
      <w:proofErr w:type="spellEnd"/>
      <w:r w:rsidRPr="00BE53BF">
        <w:rPr>
          <w:rFonts w:ascii="Arial" w:hAnsi="Arial" w:cs="Arial"/>
          <w:lang w:val="en-US"/>
        </w:rPr>
        <w:t xml:space="preserve"> design is a creative method of problem-solving with the patient, family and health care professional at the </w:t>
      </w:r>
      <w:proofErr w:type="spellStart"/>
      <w:r w:rsidRPr="00BE53BF">
        <w:rPr>
          <w:rFonts w:ascii="Arial" w:hAnsi="Arial" w:cs="Arial"/>
          <w:lang w:val="en-US"/>
        </w:rPr>
        <w:t>centre</w:t>
      </w:r>
      <w:proofErr w:type="spellEnd"/>
      <w:r w:rsidRPr="00BE53BF">
        <w:rPr>
          <w:rFonts w:ascii="Arial" w:hAnsi="Arial" w:cs="Arial"/>
          <w:lang w:val="en-US"/>
        </w:rPr>
        <w:t xml:space="preserve"> (Levander et al., 2023). It provides knowledge about users' experiences, needs and challenges, contributing to the development of practical and patient-</w:t>
      </w:r>
      <w:proofErr w:type="spellStart"/>
      <w:r w:rsidRPr="00BE53BF">
        <w:rPr>
          <w:rFonts w:ascii="Arial" w:hAnsi="Arial" w:cs="Arial"/>
          <w:lang w:val="en-US"/>
        </w:rPr>
        <w:t>centred</w:t>
      </w:r>
      <w:proofErr w:type="spellEnd"/>
      <w:r w:rsidRPr="00BE53BF">
        <w:rPr>
          <w:rFonts w:ascii="Arial" w:hAnsi="Arial" w:cs="Arial"/>
          <w:lang w:val="en-US"/>
        </w:rPr>
        <w:t xml:space="preserve"> solutions, instead of classical service models (Levander et al., 2023). This creativity helps </w:t>
      </w:r>
      <w:proofErr w:type="spellStart"/>
      <w:r w:rsidRPr="00BE53BF">
        <w:rPr>
          <w:rFonts w:ascii="Arial" w:hAnsi="Arial" w:cs="Arial"/>
          <w:lang w:val="en-US"/>
        </w:rPr>
        <w:t>organisations</w:t>
      </w:r>
      <w:proofErr w:type="spellEnd"/>
      <w:r w:rsidRPr="00BE53BF">
        <w:rPr>
          <w:rFonts w:ascii="Arial" w:hAnsi="Arial" w:cs="Arial"/>
          <w:lang w:val="en-US"/>
        </w:rPr>
        <w:t xml:space="preserve"> to reimagine care pathways and create new, and novel, services that better meet complex health and social care needs.</w:t>
      </w:r>
    </w:p>
    <w:p w14:paraId="12DD2F06" w14:textId="77777777" w:rsidR="00B56DC9" w:rsidRPr="00BE53BF" w:rsidRDefault="00B56DC9" w:rsidP="00BE53BF">
      <w:pPr>
        <w:jc w:val="both"/>
        <w:rPr>
          <w:rFonts w:ascii="Arial" w:hAnsi="Arial" w:cs="Arial"/>
          <w:b/>
          <w:bCs/>
          <w:lang w:val="en-US"/>
        </w:rPr>
      </w:pPr>
      <w:r w:rsidRPr="00BE53BF">
        <w:rPr>
          <w:rFonts w:ascii="Arial" w:hAnsi="Arial" w:cs="Arial"/>
          <w:b/>
          <w:bCs/>
          <w:lang w:val="en-US"/>
        </w:rPr>
        <w:t>Innovation and Value Creation</w:t>
      </w:r>
    </w:p>
    <w:p w14:paraId="4A61B319" w14:textId="77777777" w:rsidR="00B56DC9" w:rsidRPr="00BE53BF" w:rsidRDefault="00B56DC9" w:rsidP="00BE53BF">
      <w:pPr>
        <w:jc w:val="both"/>
        <w:rPr>
          <w:rFonts w:ascii="Arial" w:hAnsi="Arial" w:cs="Arial"/>
          <w:lang w:val="en-US"/>
        </w:rPr>
      </w:pPr>
      <w:r w:rsidRPr="00BE53BF">
        <w:rPr>
          <w:rFonts w:ascii="Arial" w:hAnsi="Arial" w:cs="Arial"/>
          <w:lang w:val="en-US"/>
        </w:rPr>
        <w:t>Applying human-</w:t>
      </w:r>
      <w:proofErr w:type="spellStart"/>
      <w:r w:rsidRPr="00BE53BF">
        <w:rPr>
          <w:rFonts w:ascii="Arial" w:hAnsi="Arial" w:cs="Arial"/>
          <w:lang w:val="en-US"/>
        </w:rPr>
        <w:t>centred</w:t>
      </w:r>
      <w:proofErr w:type="spellEnd"/>
      <w:r w:rsidRPr="00BE53BF">
        <w:rPr>
          <w:rFonts w:ascii="Arial" w:hAnsi="Arial" w:cs="Arial"/>
          <w:lang w:val="en-US"/>
        </w:rPr>
        <w:t xml:space="preserve"> design drives innovation through the creation of </w:t>
      </w:r>
      <w:proofErr w:type="spellStart"/>
      <w:r w:rsidRPr="00BE53BF">
        <w:rPr>
          <w:rFonts w:ascii="Arial" w:hAnsi="Arial" w:cs="Arial"/>
          <w:lang w:val="en-US"/>
        </w:rPr>
        <w:t>personalised</w:t>
      </w:r>
      <w:proofErr w:type="spellEnd"/>
      <w:r w:rsidRPr="00BE53BF">
        <w:rPr>
          <w:rFonts w:ascii="Arial" w:hAnsi="Arial" w:cs="Arial"/>
          <w:lang w:val="en-US"/>
        </w:rPr>
        <w:t xml:space="preserve"> care models, digital health technologies and integrated services (</w:t>
      </w:r>
      <w:proofErr w:type="spellStart"/>
      <w:r w:rsidRPr="00BE53BF">
        <w:rPr>
          <w:rFonts w:ascii="Arial" w:hAnsi="Arial" w:cs="Arial"/>
          <w:lang w:val="en-US"/>
        </w:rPr>
        <w:t>Tzimourta</w:t>
      </w:r>
      <w:proofErr w:type="spellEnd"/>
      <w:r w:rsidRPr="00BE53BF">
        <w:rPr>
          <w:rFonts w:ascii="Arial" w:hAnsi="Arial" w:cs="Arial"/>
          <w:lang w:val="en-US"/>
        </w:rPr>
        <w:t xml:space="preserve">, 2025). These innovations add value by delivering a better patient experience, better health outcomes, improved service efficiency and reduced unnecessary resource use. Improved workforce productivity and reduced health inequalities and more sustainable healthcare systems are also benefits for </w:t>
      </w:r>
      <w:proofErr w:type="spellStart"/>
      <w:r w:rsidRPr="00BE53BF">
        <w:rPr>
          <w:rFonts w:ascii="Arial" w:hAnsi="Arial" w:cs="Arial"/>
          <w:lang w:val="en-US"/>
        </w:rPr>
        <w:t>organisations</w:t>
      </w:r>
      <w:proofErr w:type="spellEnd"/>
      <w:r w:rsidRPr="00BE53BF">
        <w:rPr>
          <w:rFonts w:ascii="Arial" w:hAnsi="Arial" w:cs="Arial"/>
          <w:lang w:val="en-US"/>
        </w:rPr>
        <w:t xml:space="preserve"> and for society (</w:t>
      </w:r>
      <w:proofErr w:type="spellStart"/>
      <w:r w:rsidRPr="00BE53BF">
        <w:rPr>
          <w:rFonts w:ascii="Arial" w:hAnsi="Arial" w:cs="Arial"/>
          <w:lang w:val="en-US"/>
        </w:rPr>
        <w:t>Kosiol</w:t>
      </w:r>
      <w:proofErr w:type="spellEnd"/>
      <w:r w:rsidRPr="00BE53BF">
        <w:rPr>
          <w:rFonts w:ascii="Arial" w:hAnsi="Arial" w:cs="Arial"/>
          <w:lang w:val="en-US"/>
        </w:rPr>
        <w:t xml:space="preserve"> et al., 2024).</w:t>
      </w:r>
    </w:p>
    <w:p w14:paraId="2120AF95" w14:textId="77777777" w:rsidR="00B56DC9" w:rsidRPr="00BE53BF" w:rsidRDefault="00B56DC9" w:rsidP="00BE53BF">
      <w:pPr>
        <w:jc w:val="both"/>
        <w:rPr>
          <w:rFonts w:ascii="Arial" w:hAnsi="Arial" w:cs="Arial"/>
          <w:b/>
          <w:bCs/>
          <w:lang w:val="en-US"/>
        </w:rPr>
      </w:pPr>
      <w:r w:rsidRPr="00BE53BF">
        <w:rPr>
          <w:rFonts w:ascii="Arial" w:hAnsi="Arial" w:cs="Arial"/>
          <w:b/>
          <w:bCs/>
          <w:lang w:val="en-US"/>
        </w:rPr>
        <w:t>Health and Social Care Improvement</w:t>
      </w:r>
    </w:p>
    <w:p w14:paraId="0A256054" w14:textId="7DFCB760" w:rsidR="00B56DC9" w:rsidRPr="00BE53BF" w:rsidRDefault="00B56DC9" w:rsidP="00BE53BF">
      <w:pPr>
        <w:jc w:val="both"/>
        <w:rPr>
          <w:rFonts w:ascii="Arial" w:hAnsi="Arial" w:cs="Arial"/>
          <w:lang w:val="en-US"/>
        </w:rPr>
      </w:pPr>
      <w:r w:rsidRPr="00BE53BF">
        <w:rPr>
          <w:rFonts w:ascii="Arial" w:hAnsi="Arial" w:cs="Arial"/>
          <w:lang w:val="en-US"/>
        </w:rPr>
        <w:t xml:space="preserve">Human </w:t>
      </w:r>
      <w:proofErr w:type="spellStart"/>
      <w:r w:rsidRPr="00BE53BF">
        <w:rPr>
          <w:rFonts w:ascii="Arial" w:hAnsi="Arial" w:cs="Arial"/>
          <w:lang w:val="en-US"/>
        </w:rPr>
        <w:t>centred</w:t>
      </w:r>
      <w:proofErr w:type="spellEnd"/>
      <w:r w:rsidRPr="00BE53BF">
        <w:rPr>
          <w:rFonts w:ascii="Arial" w:hAnsi="Arial" w:cs="Arial"/>
          <w:lang w:val="en-US"/>
        </w:rPr>
        <w:t xml:space="preserve"> design plays a role in continuous improvement as it involves ensuring innovations are directly addressing needs of patients and the community. This leads to better quality, accessible, and coordinated care which improves patient satisfaction and </w:t>
      </w:r>
      <w:proofErr w:type="spellStart"/>
      <w:r w:rsidRPr="00BE53BF">
        <w:rPr>
          <w:rFonts w:ascii="Arial" w:hAnsi="Arial" w:cs="Arial"/>
          <w:lang w:val="en-US"/>
        </w:rPr>
        <w:t>organisational</w:t>
      </w:r>
      <w:proofErr w:type="spellEnd"/>
      <w:r w:rsidRPr="00BE53BF">
        <w:rPr>
          <w:rFonts w:ascii="Arial" w:hAnsi="Arial" w:cs="Arial"/>
          <w:lang w:val="en-US"/>
        </w:rPr>
        <w:t xml:space="preserve"> quality and performance. Innovative ideas, carried out in practice, transform health services to be more responsive, preventive and sustainable, and show how creativity can be the basis for innovation, value creation and long-term health and social care improvement (Byers, 2017).</w:t>
      </w:r>
    </w:p>
    <w:p w14:paraId="669731E5" w14:textId="4A6E7257" w:rsidR="00AF1065" w:rsidRDefault="00000000">
      <w:pPr>
        <w:pStyle w:val="Heading1"/>
        <w:rPr>
          <w:lang w:val="en-US"/>
        </w:rPr>
      </w:pPr>
      <w:r>
        <w:rPr>
          <w:lang w:val="en-US"/>
        </w:rPr>
        <w:lastRenderedPageBreak/>
        <w:t>Task 2: Reflection on the Paperclip Activity (Gibbs Cycle)</w:t>
      </w:r>
      <w:bookmarkEnd w:id="1"/>
    </w:p>
    <w:p w14:paraId="51621E3E" w14:textId="77777777" w:rsidR="00AF1065" w:rsidRDefault="00000000">
      <w:pPr>
        <w:jc w:val="center"/>
        <w:rPr>
          <w:rFonts w:ascii="Arial" w:hAnsi="Arial" w:cs="Arial"/>
          <w:b/>
          <w:bCs/>
          <w:lang w:val="en-US"/>
        </w:rPr>
      </w:pPr>
      <w:r>
        <w:rPr>
          <w:rFonts w:ascii="Arial" w:hAnsi="Arial" w:cs="Arial"/>
          <w:b/>
          <w:bCs/>
          <w:noProof/>
          <w:lang w:val="en-US"/>
        </w:rPr>
        <w:drawing>
          <wp:inline distT="0" distB="0" distL="0" distR="0" wp14:anchorId="47175D0C" wp14:editId="66597245">
            <wp:extent cx="4148455" cy="3116580"/>
            <wp:effectExtent l="0" t="0" r="4445" b="7620"/>
            <wp:docPr id="201340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0531" name="Picture 1"/>
                    <pic:cNvPicPr>
                      <a:picLocks noChangeAspect="1"/>
                    </pic:cNvPicPr>
                  </pic:nvPicPr>
                  <pic:blipFill>
                    <a:blip r:embed="rId10"/>
                    <a:stretch>
                      <a:fillRect/>
                    </a:stretch>
                  </pic:blipFill>
                  <pic:spPr>
                    <a:xfrm>
                      <a:off x="0" y="0"/>
                      <a:ext cx="4157035" cy="3122947"/>
                    </a:xfrm>
                    <a:prstGeom prst="rect">
                      <a:avLst/>
                    </a:prstGeom>
                  </pic:spPr>
                </pic:pic>
              </a:graphicData>
            </a:graphic>
          </wp:inline>
        </w:drawing>
      </w:r>
    </w:p>
    <w:p w14:paraId="3C2F1A9F" w14:textId="77777777" w:rsidR="00AF1065" w:rsidRDefault="00000000">
      <w:pPr>
        <w:jc w:val="both"/>
        <w:rPr>
          <w:rFonts w:ascii="Arial" w:hAnsi="Arial" w:cs="Arial"/>
          <w:lang w:val="en-US"/>
        </w:rPr>
      </w:pPr>
      <w:r>
        <w:rPr>
          <w:rFonts w:ascii="Arial" w:hAnsi="Arial" w:cs="Arial"/>
          <w:b/>
          <w:bCs/>
          <w:lang w:val="en-US"/>
        </w:rPr>
        <w:t>Description:</w:t>
      </w:r>
      <w:r>
        <w:rPr>
          <w:rFonts w:ascii="Arial" w:hAnsi="Arial" w:cs="Arial"/>
          <w:lang w:val="en-US"/>
        </w:rPr>
        <w:t xml:space="preserve"> During the paperclip activity, the common object was a paperclip, and 30 minutes were given to find as many uses as possible (Galli and New, 2022). I thought at first that there really was only one or two ways to use it, but it was soon put to the test.</w:t>
      </w:r>
    </w:p>
    <w:p w14:paraId="761D2764" w14:textId="77777777" w:rsidR="00AF1065" w:rsidRDefault="00000000">
      <w:pPr>
        <w:jc w:val="both"/>
        <w:rPr>
          <w:rFonts w:ascii="Arial" w:hAnsi="Arial" w:cs="Arial"/>
          <w:lang w:val="en-US"/>
        </w:rPr>
      </w:pPr>
      <w:r>
        <w:rPr>
          <w:rFonts w:ascii="Arial" w:hAnsi="Arial" w:cs="Arial"/>
          <w:b/>
          <w:bCs/>
          <w:lang w:val="en-US"/>
        </w:rPr>
        <w:t>Feelings:</w:t>
      </w:r>
      <w:r>
        <w:rPr>
          <w:rFonts w:ascii="Arial" w:hAnsi="Arial" w:cs="Arial"/>
          <w:lang w:val="en-US"/>
        </w:rPr>
        <w:t xml:space="preserve"> I felt unsure, as I had a hard time imagining the paperclip doing anything other than its usual task. The more ideas that came up the more confident I became, and the more I saw that I could question things and explore other points of view, the more creative I became.</w:t>
      </w:r>
    </w:p>
    <w:p w14:paraId="577D1B2B" w14:textId="77777777" w:rsidR="00AF1065" w:rsidRDefault="00000000">
      <w:pPr>
        <w:jc w:val="both"/>
        <w:rPr>
          <w:rFonts w:ascii="Arial" w:hAnsi="Arial" w:cs="Arial"/>
          <w:lang w:val="en-US"/>
        </w:rPr>
      </w:pPr>
      <w:r>
        <w:rPr>
          <w:rFonts w:ascii="Arial" w:hAnsi="Arial" w:cs="Arial"/>
          <w:b/>
          <w:bCs/>
          <w:lang w:val="en-US"/>
        </w:rPr>
        <w:t>Evaluation:</w:t>
      </w:r>
      <w:r>
        <w:rPr>
          <w:rFonts w:ascii="Arial" w:hAnsi="Arial" w:cs="Arial"/>
          <w:lang w:val="en-US"/>
        </w:rPr>
        <w:t xml:space="preserve"> The activity promoted divergent thinking, which led to a variety of different options and assumptions (</w:t>
      </w:r>
      <w:proofErr w:type="spellStart"/>
      <w:r>
        <w:rPr>
          <w:rFonts w:ascii="Arial" w:hAnsi="Arial" w:cs="Arial"/>
          <w:lang w:val="en-US"/>
        </w:rPr>
        <w:t>Kalargiros</w:t>
      </w:r>
      <w:proofErr w:type="spellEnd"/>
      <w:r>
        <w:rPr>
          <w:rFonts w:ascii="Arial" w:hAnsi="Arial" w:cs="Arial"/>
          <w:lang w:val="en-US"/>
        </w:rPr>
        <w:t xml:space="preserve"> and Manning, 2015). But I also knew that not every creative idea was feasible or useful, especially in health care environments, where it is crucial for ideas to be feasible.</w:t>
      </w:r>
    </w:p>
    <w:p w14:paraId="75881390" w14:textId="77777777" w:rsidR="00AF1065" w:rsidRDefault="00000000">
      <w:pPr>
        <w:jc w:val="both"/>
        <w:rPr>
          <w:rFonts w:ascii="Arial" w:hAnsi="Arial" w:cs="Arial"/>
          <w:lang w:val="en-US"/>
        </w:rPr>
      </w:pPr>
      <w:r>
        <w:rPr>
          <w:rFonts w:ascii="Arial" w:hAnsi="Arial" w:cs="Arial"/>
          <w:b/>
          <w:bCs/>
          <w:lang w:val="en-US"/>
        </w:rPr>
        <w:t>Reflection:</w:t>
      </w:r>
      <w:r>
        <w:rPr>
          <w:rFonts w:ascii="Arial" w:hAnsi="Arial" w:cs="Arial"/>
          <w:lang w:val="en-US"/>
        </w:rPr>
        <w:t xml:space="preserve"> This exercise was a demonstration of the need for a balance between divergent thinking and convergent thinking in order to be innovative. Convergent thinking involves review of ideas by reviewing evidence, feasibility, patient safety, ethical, financial and regulatory aspects. In the NHS, where resources are scarce these innovations need to be </w:t>
      </w:r>
      <w:proofErr w:type="spellStart"/>
      <w:r>
        <w:rPr>
          <w:rFonts w:ascii="Arial" w:hAnsi="Arial" w:cs="Arial"/>
          <w:lang w:val="en-US"/>
        </w:rPr>
        <w:t>prioritised</w:t>
      </w:r>
      <w:proofErr w:type="spellEnd"/>
      <w:r>
        <w:rPr>
          <w:rFonts w:ascii="Arial" w:hAnsi="Arial" w:cs="Arial"/>
          <w:lang w:val="en-US"/>
        </w:rPr>
        <w:t xml:space="preserve"> based on impact and sustainability as well.</w:t>
      </w:r>
    </w:p>
    <w:p w14:paraId="00637E71" w14:textId="77777777" w:rsidR="00AF1065" w:rsidRDefault="00000000">
      <w:pPr>
        <w:jc w:val="both"/>
        <w:rPr>
          <w:rFonts w:ascii="Arial" w:hAnsi="Arial" w:cs="Arial"/>
          <w:lang w:val="en-US"/>
        </w:rPr>
      </w:pPr>
      <w:r>
        <w:rPr>
          <w:rFonts w:ascii="Arial" w:hAnsi="Arial" w:cs="Arial"/>
          <w:lang w:val="en-US"/>
        </w:rPr>
        <w:t>C</w:t>
      </w:r>
      <w:r>
        <w:rPr>
          <w:rFonts w:ascii="Arial" w:hAnsi="Arial" w:cs="Arial"/>
          <w:b/>
          <w:bCs/>
          <w:lang w:val="en-US"/>
        </w:rPr>
        <w:t>onclusion:</w:t>
      </w:r>
      <w:r>
        <w:rPr>
          <w:rFonts w:ascii="Arial" w:hAnsi="Arial" w:cs="Arial"/>
          <w:lang w:val="en-US"/>
        </w:rPr>
        <w:t xml:space="preserve"> I found that for successful innovation, creativity and critical evaluation have to be brought together. When there is too much deviation, one may end up coming up with unrealistic solutions, but too much convergence may limit innovation (Stein &amp; Harper 2011).</w:t>
      </w:r>
    </w:p>
    <w:p w14:paraId="03F663BC" w14:textId="77777777" w:rsidR="00AF1065" w:rsidRDefault="00000000">
      <w:pPr>
        <w:jc w:val="both"/>
        <w:rPr>
          <w:rFonts w:ascii="Arial" w:hAnsi="Arial" w:cs="Arial"/>
          <w:lang w:val="en-US"/>
        </w:rPr>
      </w:pPr>
      <w:r>
        <w:rPr>
          <w:rFonts w:ascii="Arial" w:hAnsi="Arial" w:cs="Arial"/>
          <w:b/>
          <w:bCs/>
          <w:lang w:val="en-US"/>
        </w:rPr>
        <w:t>Action Plan:</w:t>
      </w:r>
      <w:r>
        <w:rPr>
          <w:rFonts w:ascii="Arial" w:hAnsi="Arial" w:cs="Arial"/>
          <w:lang w:val="en-US"/>
        </w:rPr>
        <w:t xml:space="preserve"> For future projects, as with </w:t>
      </w:r>
      <w:proofErr w:type="spellStart"/>
      <w:r>
        <w:rPr>
          <w:rFonts w:ascii="Arial" w:hAnsi="Arial" w:cs="Arial"/>
          <w:lang w:val="en-US"/>
        </w:rPr>
        <w:t>MindConnect</w:t>
      </w:r>
      <w:proofErr w:type="spellEnd"/>
      <w:r>
        <w:rPr>
          <w:rFonts w:ascii="Arial" w:hAnsi="Arial" w:cs="Arial"/>
          <w:lang w:val="en-US"/>
        </w:rPr>
        <w:t>, I will use creative thinking along with evidence-based evaluation. I will consult with stakeholders, factor in accessibility, patient safety, sustainability, and NHS needs to provide value for service users whilst being practical and implementable as digital mental health solutions.</w:t>
      </w:r>
    </w:p>
    <w:p w14:paraId="1E5CDCFF" w14:textId="77777777" w:rsidR="00AF1065" w:rsidRDefault="00000000">
      <w:pPr>
        <w:pStyle w:val="Heading1"/>
        <w:rPr>
          <w:lang w:val="en-US"/>
        </w:rPr>
      </w:pPr>
      <w:bookmarkStart w:id="2" w:name="_Toc233388545"/>
      <w:r>
        <w:rPr>
          <w:lang w:val="en-US"/>
        </w:rPr>
        <w:lastRenderedPageBreak/>
        <w:t>Task 3: UK Innovation Case Study – NHS Talking Therapies Digital Transformation</w:t>
      </w:r>
      <w:bookmarkEnd w:id="2"/>
    </w:p>
    <w:p w14:paraId="6B96DF3D" w14:textId="77777777" w:rsidR="00AF1065" w:rsidRDefault="00000000">
      <w:pPr>
        <w:jc w:val="both"/>
        <w:rPr>
          <w:rFonts w:ascii="Arial" w:hAnsi="Arial" w:cs="Arial"/>
          <w:b/>
          <w:bCs/>
          <w:lang w:val="en-US"/>
        </w:rPr>
      </w:pPr>
      <w:r>
        <w:rPr>
          <w:rFonts w:ascii="Arial" w:hAnsi="Arial" w:cs="Arial"/>
          <w:b/>
          <w:bCs/>
          <w:lang w:val="en-US"/>
        </w:rPr>
        <w:t>Context</w:t>
      </w:r>
    </w:p>
    <w:p w14:paraId="15FF0E74" w14:textId="77777777" w:rsidR="00AF1065" w:rsidRDefault="00000000">
      <w:pPr>
        <w:jc w:val="both"/>
        <w:rPr>
          <w:rFonts w:ascii="Arial" w:hAnsi="Arial" w:cs="Arial"/>
          <w:lang w:val="en-US"/>
        </w:rPr>
      </w:pPr>
      <w:r>
        <w:rPr>
          <w:rFonts w:ascii="Arial" w:hAnsi="Arial" w:cs="Arial"/>
          <w:lang w:val="en-US"/>
        </w:rPr>
        <w:t>Anxiety and depression have become more common in the UK, leading to a growing need for mental health services in the NHS, which has highlighted the ongoing capacity challenges and waiting times. Established in-person services are no longer adequate to address needs of a population and this policy need calls for scalable and preventative services to address needs (Wainberg et al., 2017). Digital transformation has thus been embraced as a way to enhance access whilst keeping the system sustainable.</w:t>
      </w:r>
    </w:p>
    <w:p w14:paraId="74DA2791" w14:textId="77777777" w:rsidR="00AF1065" w:rsidRDefault="00000000">
      <w:pPr>
        <w:jc w:val="both"/>
        <w:rPr>
          <w:rFonts w:ascii="Arial" w:hAnsi="Arial" w:cs="Arial"/>
          <w:b/>
          <w:bCs/>
          <w:lang w:val="en-US"/>
        </w:rPr>
      </w:pPr>
      <w:r>
        <w:rPr>
          <w:rFonts w:ascii="Arial" w:hAnsi="Arial" w:cs="Arial"/>
          <w:b/>
          <w:bCs/>
          <w:lang w:val="en-US"/>
        </w:rPr>
        <w:t>Innovation</w:t>
      </w:r>
    </w:p>
    <w:p w14:paraId="702CE50D" w14:textId="77777777" w:rsidR="00AF1065" w:rsidRDefault="00000000">
      <w:pPr>
        <w:jc w:val="both"/>
        <w:rPr>
          <w:rFonts w:ascii="Arial" w:hAnsi="Arial" w:cs="Arial"/>
          <w:lang w:val="en-US"/>
        </w:rPr>
      </w:pPr>
      <w:r>
        <w:rPr>
          <w:rFonts w:ascii="Arial" w:hAnsi="Arial" w:cs="Arial"/>
          <w:lang w:val="en-US"/>
        </w:rPr>
        <w:t>NHS Talking Therapies combines digitally-supported pathways to refer people to therapy, self-assessment tools online, remote therapy sessions and digitally facilitated triage. These factors minimize the need for face-to-face visits and simplify entry into services. This is not a single technology, but integration of digital processes throughout assessment, referral, and treatment in the architecture of services. The proposed system-level redesign is to enhance the responsiveness and increase the throughput for a managed health service in limited NHS resources.</w:t>
      </w:r>
    </w:p>
    <w:p w14:paraId="055C1BD6" w14:textId="77777777" w:rsidR="00AF1065" w:rsidRDefault="00000000">
      <w:pPr>
        <w:jc w:val="both"/>
        <w:rPr>
          <w:rFonts w:ascii="Arial" w:hAnsi="Arial" w:cs="Arial"/>
          <w:b/>
          <w:bCs/>
          <w:lang w:val="en-US"/>
        </w:rPr>
      </w:pPr>
      <w:r>
        <w:rPr>
          <w:rFonts w:ascii="Arial" w:hAnsi="Arial" w:cs="Arial"/>
          <w:b/>
          <w:bCs/>
          <w:lang w:val="en-US"/>
        </w:rPr>
        <w:t>Creativity Element</w:t>
      </w:r>
    </w:p>
    <w:p w14:paraId="39A49AD0" w14:textId="77777777" w:rsidR="00AF1065" w:rsidRDefault="00000000">
      <w:pPr>
        <w:jc w:val="both"/>
        <w:rPr>
          <w:rFonts w:ascii="Arial" w:hAnsi="Arial" w:cs="Arial"/>
          <w:lang w:val="en-US"/>
        </w:rPr>
      </w:pPr>
      <w:r>
        <w:rPr>
          <w:rFonts w:ascii="Arial" w:hAnsi="Arial" w:cs="Arial"/>
          <w:lang w:val="en-US"/>
        </w:rPr>
        <w:t>Key creativity is the rethinking of care delivery; not the development of new clinical interventions. Access is reimagined as a geographically accessible, provider-</w:t>
      </w:r>
      <w:proofErr w:type="spellStart"/>
      <w:r>
        <w:rPr>
          <w:rFonts w:ascii="Arial" w:hAnsi="Arial" w:cs="Arial"/>
          <w:lang w:val="en-US"/>
        </w:rPr>
        <w:t>centred</w:t>
      </w:r>
      <w:proofErr w:type="spellEnd"/>
      <w:r>
        <w:rPr>
          <w:rFonts w:ascii="Arial" w:hAnsi="Arial" w:cs="Arial"/>
          <w:lang w:val="en-US"/>
        </w:rPr>
        <w:t xml:space="preserve"> pathway to a user-</w:t>
      </w:r>
      <w:proofErr w:type="spellStart"/>
      <w:r>
        <w:rPr>
          <w:rFonts w:ascii="Arial" w:hAnsi="Arial" w:cs="Arial"/>
          <w:lang w:val="en-US"/>
        </w:rPr>
        <w:t>centred</w:t>
      </w:r>
      <w:proofErr w:type="spellEnd"/>
      <w:r>
        <w:rPr>
          <w:rFonts w:ascii="Arial" w:hAnsi="Arial" w:cs="Arial"/>
          <w:lang w:val="en-US"/>
        </w:rPr>
        <w:t xml:space="preserve"> digital pathway. Human-</w:t>
      </w:r>
      <w:proofErr w:type="spellStart"/>
      <w:r>
        <w:rPr>
          <w:rFonts w:ascii="Arial" w:hAnsi="Arial" w:cs="Arial"/>
          <w:lang w:val="en-US"/>
        </w:rPr>
        <w:t>centred</w:t>
      </w:r>
      <w:proofErr w:type="spellEnd"/>
      <w:r>
        <w:rPr>
          <w:rFonts w:ascii="Arial" w:hAnsi="Arial" w:cs="Arial"/>
          <w:lang w:val="en-US"/>
        </w:rPr>
        <w:t xml:space="preserve"> design principles improve the accessibility, autonomy and early engagement aspects (</w:t>
      </w:r>
      <w:proofErr w:type="spellStart"/>
      <w:r>
        <w:rPr>
          <w:rFonts w:ascii="Arial" w:hAnsi="Arial" w:cs="Arial"/>
          <w:lang w:val="en-US"/>
        </w:rPr>
        <w:t>Tzimourta</w:t>
      </w:r>
      <w:proofErr w:type="spellEnd"/>
      <w:r>
        <w:rPr>
          <w:rFonts w:ascii="Arial" w:hAnsi="Arial" w:cs="Arial"/>
          <w:lang w:val="en-US"/>
        </w:rPr>
        <w:t>, 2025). But some assumptions about digital literacy, access to technology, and user trust are contained within this reframing. So, in this context creativity is not 'neutral', because it can exclude those with less digital capacity.</w:t>
      </w:r>
    </w:p>
    <w:p w14:paraId="7AD3EEA2" w14:textId="77777777" w:rsidR="00AF1065" w:rsidRDefault="00000000">
      <w:pPr>
        <w:jc w:val="both"/>
        <w:rPr>
          <w:rFonts w:ascii="Arial" w:hAnsi="Arial" w:cs="Arial"/>
          <w:b/>
          <w:bCs/>
          <w:lang w:val="en-US"/>
        </w:rPr>
      </w:pPr>
      <w:r>
        <w:rPr>
          <w:rFonts w:ascii="Arial" w:hAnsi="Arial" w:cs="Arial"/>
          <w:b/>
          <w:bCs/>
          <w:lang w:val="en-US"/>
        </w:rPr>
        <w:t>Value Creation</w:t>
      </w:r>
    </w:p>
    <w:p w14:paraId="2F76AB39" w14:textId="77777777" w:rsidR="00AF1065" w:rsidRDefault="00000000">
      <w:pPr>
        <w:jc w:val="both"/>
        <w:rPr>
          <w:rFonts w:ascii="Arial" w:hAnsi="Arial" w:cs="Arial"/>
          <w:lang w:val="en-US"/>
        </w:rPr>
      </w:pPr>
      <w:r>
        <w:rPr>
          <w:rFonts w:ascii="Arial" w:hAnsi="Arial" w:cs="Arial"/>
          <w:lang w:val="en-US"/>
        </w:rPr>
        <w:t>Value is achieved at an individual patient level in shorter access, greater flexibility and less stigma for seeking support. A prior engagement may be more beneficial, especially in mild to moderate cases.</w:t>
      </w:r>
    </w:p>
    <w:p w14:paraId="7693729C" w14:textId="77777777" w:rsidR="00AF1065" w:rsidRDefault="00000000">
      <w:pPr>
        <w:jc w:val="both"/>
        <w:rPr>
          <w:rFonts w:ascii="Arial" w:hAnsi="Arial" w:cs="Arial"/>
          <w:lang w:val="en-US"/>
        </w:rPr>
      </w:pPr>
      <w:r>
        <w:rPr>
          <w:rFonts w:ascii="Arial" w:hAnsi="Arial" w:cs="Arial"/>
          <w:lang w:val="en-US"/>
        </w:rPr>
        <w:t>At the NHS level, value is created by creation of capacity, reduction of administrative burden and improvement in operational efficiency. Efficiencies, however, might actually be due to redistribution, not reduction in demand: Digital triage can create visibility of unmet need (Alamoudi et al., 2025).</w:t>
      </w:r>
    </w:p>
    <w:p w14:paraId="11A0C0C3" w14:textId="77777777" w:rsidR="00AF1065" w:rsidRDefault="00000000">
      <w:pPr>
        <w:jc w:val="both"/>
        <w:rPr>
          <w:rFonts w:ascii="Arial" w:hAnsi="Arial" w:cs="Arial"/>
          <w:lang w:val="en-US"/>
        </w:rPr>
      </w:pPr>
      <w:r>
        <w:rPr>
          <w:rFonts w:ascii="Arial" w:hAnsi="Arial" w:cs="Arial"/>
          <w:lang w:val="en-US"/>
        </w:rPr>
        <w:t>At the societal level, early intervention can have a long-term impact of less economic burden and productivity losses from untreated mental illness, depending on the length of engagement in the different populations.</w:t>
      </w:r>
    </w:p>
    <w:p w14:paraId="5F0FB681" w14:textId="77777777" w:rsidR="00AF1065" w:rsidRDefault="00000000">
      <w:pPr>
        <w:pStyle w:val="Heading1"/>
        <w:rPr>
          <w:lang w:val="en-US"/>
        </w:rPr>
      </w:pPr>
      <w:bookmarkStart w:id="3" w:name="_Toc233388546"/>
      <w:r>
        <w:rPr>
          <w:lang w:val="en-US"/>
        </w:rPr>
        <w:lastRenderedPageBreak/>
        <w:t>Task 4: Research Task – Mental Health Access Inequality</w:t>
      </w:r>
      <w:bookmarkEnd w:id="3"/>
    </w:p>
    <w:p w14:paraId="78D95F82" w14:textId="77777777" w:rsidR="00AF1065" w:rsidRDefault="00000000">
      <w:pPr>
        <w:jc w:val="both"/>
        <w:rPr>
          <w:rFonts w:ascii="Arial" w:hAnsi="Arial" w:cs="Arial"/>
          <w:b/>
          <w:bCs/>
          <w:lang w:val="en-US"/>
        </w:rPr>
      </w:pPr>
      <w:r>
        <w:rPr>
          <w:rFonts w:ascii="Arial" w:hAnsi="Arial" w:cs="Arial"/>
          <w:b/>
          <w:bCs/>
          <w:lang w:val="en-US"/>
        </w:rPr>
        <w:t>Article 1: Structural Barriers to Access</w:t>
      </w:r>
    </w:p>
    <w:p w14:paraId="4631E69A" w14:textId="182F6520" w:rsidR="00AF1065" w:rsidRDefault="00000000">
      <w:pPr>
        <w:jc w:val="both"/>
        <w:rPr>
          <w:rFonts w:ascii="Arial" w:hAnsi="Arial" w:cs="Arial"/>
          <w:lang w:val="en-US"/>
        </w:rPr>
      </w:pPr>
      <w:r>
        <w:rPr>
          <w:rFonts w:ascii="Arial" w:hAnsi="Arial" w:cs="Arial"/>
          <w:lang w:val="en-US"/>
        </w:rPr>
        <w:t>The first set of literature focuses on the structural nature of the problem of access to mental health services. There are a number of key challenges that impact on the timeliness and responsiveness of the system, such as the length of time children wait to access interventions, workforce pressures, and the poor connectivity between services</w:t>
      </w:r>
      <w:r w:rsidR="00B56DC9">
        <w:rPr>
          <w:rFonts w:ascii="Arial" w:hAnsi="Arial" w:cs="Arial"/>
          <w:lang w:val="en-US"/>
        </w:rPr>
        <w:t xml:space="preserve"> (</w:t>
      </w:r>
      <w:r w:rsidR="00B56DC9">
        <w:rPr>
          <w:rFonts w:ascii="Arial" w:hAnsi="Arial" w:cs="Arial"/>
          <w:i/>
          <w:iCs/>
          <w:lang w:val="en-US"/>
        </w:rPr>
        <w:t>2024/25 Priorities and Operational Planning Guidance</w:t>
      </w:r>
      <w:r w:rsidR="00B56DC9">
        <w:rPr>
          <w:rFonts w:ascii="Arial" w:hAnsi="Arial" w:cs="Arial"/>
          <w:lang w:val="en-US"/>
        </w:rPr>
        <w:t xml:space="preserve"> by</w:t>
      </w:r>
      <w:r>
        <w:rPr>
          <w:rFonts w:ascii="Arial" w:hAnsi="Arial" w:cs="Arial"/>
          <w:lang w:val="en-US"/>
        </w:rPr>
        <w:t xml:space="preserve"> NHS England, 2024). These limitations indicate that unmet need is not only a result of people's help seeking behavior, but is also part of the limitations of system capacity. This means, from a system thinking viewpoint, that some level of demand is exceeding the supply in a manner that is being reproduced within the </w:t>
      </w:r>
      <w:proofErr w:type="spellStart"/>
      <w:r>
        <w:rPr>
          <w:rFonts w:ascii="Arial" w:hAnsi="Arial" w:cs="Arial"/>
          <w:lang w:val="en-US"/>
        </w:rPr>
        <w:t>organisation</w:t>
      </w:r>
      <w:proofErr w:type="spellEnd"/>
      <w:r>
        <w:rPr>
          <w:rFonts w:ascii="Arial" w:hAnsi="Arial" w:cs="Arial"/>
          <w:lang w:val="en-US"/>
        </w:rPr>
        <w:t xml:space="preserve"> through inefficiencies, not necessarily in service delivery.</w:t>
      </w:r>
    </w:p>
    <w:p w14:paraId="03687CD6" w14:textId="77777777" w:rsidR="00AF1065" w:rsidRDefault="00000000">
      <w:pPr>
        <w:jc w:val="both"/>
        <w:rPr>
          <w:rFonts w:ascii="Arial" w:hAnsi="Arial" w:cs="Arial"/>
          <w:b/>
          <w:bCs/>
          <w:lang w:val="en-US"/>
        </w:rPr>
      </w:pPr>
      <w:r>
        <w:rPr>
          <w:rFonts w:ascii="Arial" w:hAnsi="Arial" w:cs="Arial"/>
          <w:b/>
          <w:bCs/>
          <w:lang w:val="en-US"/>
        </w:rPr>
        <w:t xml:space="preserve">Article 2: </w:t>
      </w:r>
      <w:proofErr w:type="spellStart"/>
      <w:r>
        <w:rPr>
          <w:rFonts w:ascii="Arial" w:hAnsi="Arial" w:cs="Arial"/>
          <w:b/>
          <w:bCs/>
          <w:lang w:val="en-US"/>
        </w:rPr>
        <w:t>Behavioural</w:t>
      </w:r>
      <w:proofErr w:type="spellEnd"/>
      <w:r>
        <w:rPr>
          <w:rFonts w:ascii="Arial" w:hAnsi="Arial" w:cs="Arial"/>
          <w:b/>
          <w:bCs/>
          <w:lang w:val="en-US"/>
        </w:rPr>
        <w:t xml:space="preserve"> and Psychological Barriers</w:t>
      </w:r>
    </w:p>
    <w:p w14:paraId="5A89DDE1" w14:textId="4EDBA225" w:rsidR="00AF1065" w:rsidRPr="00B56DC9" w:rsidRDefault="00000000">
      <w:pPr>
        <w:jc w:val="both"/>
        <w:rPr>
          <w:rFonts w:ascii="Arial" w:hAnsi="Arial" w:cs="Arial"/>
          <w:lang w:val="en-US"/>
        </w:rPr>
      </w:pPr>
      <w:r w:rsidRPr="00B56DC9">
        <w:rPr>
          <w:rFonts w:ascii="Arial" w:hAnsi="Arial" w:cs="Arial"/>
          <w:lang w:val="en-US"/>
        </w:rPr>
        <w:t xml:space="preserve">The second body of literature focuses on young people's help-seeking </w:t>
      </w:r>
      <w:proofErr w:type="spellStart"/>
      <w:r w:rsidRPr="00B56DC9">
        <w:rPr>
          <w:rFonts w:ascii="Arial" w:hAnsi="Arial" w:cs="Arial"/>
          <w:lang w:val="en-US"/>
        </w:rPr>
        <w:t>behaviour</w:t>
      </w:r>
      <w:proofErr w:type="spellEnd"/>
      <w:r w:rsidRPr="00B56DC9">
        <w:rPr>
          <w:rFonts w:ascii="Arial" w:hAnsi="Arial" w:cs="Arial"/>
          <w:lang w:val="en-US"/>
        </w:rPr>
        <w:t xml:space="preserve"> as an important factor in access. However, delayed engagement is influenced by various factors, including fear of judgement, lack of mental health literacy, and limited knowledge about the availability of services and distrust in formal systems (</w:t>
      </w:r>
      <w:r w:rsidR="00B56DC9" w:rsidRPr="00B56DC9">
        <w:rPr>
          <w:rFonts w:ascii="Arial" w:hAnsi="Arial" w:cs="Arial"/>
          <w:lang w:val="en-US"/>
        </w:rPr>
        <w:t xml:space="preserve">Mental health literacy and the </w:t>
      </w:r>
      <w:proofErr w:type="spellStart"/>
      <w:r w:rsidR="00B56DC9" w:rsidRPr="00B56DC9">
        <w:rPr>
          <w:rFonts w:ascii="Arial" w:hAnsi="Arial" w:cs="Arial"/>
          <w:lang w:val="en-US"/>
        </w:rPr>
        <w:t>stigmatisation</w:t>
      </w:r>
      <w:proofErr w:type="spellEnd"/>
      <w:r w:rsidR="00B56DC9" w:rsidRPr="00B56DC9">
        <w:rPr>
          <w:rFonts w:ascii="Arial" w:hAnsi="Arial" w:cs="Arial"/>
          <w:lang w:val="en-US"/>
        </w:rPr>
        <w:t xml:space="preserve"> and discrimination of individuals affected by mental illnesses in China: a scoping review by </w:t>
      </w:r>
      <w:r w:rsidRPr="00B56DC9">
        <w:rPr>
          <w:rFonts w:ascii="Arial" w:hAnsi="Arial" w:cs="Arial"/>
          <w:lang w:val="en-US"/>
        </w:rPr>
        <w:t>Zhang et al., 2025). This evidence helps to redefine the issue of access inequality by indicating that access to services is only part of the problem, and that even if services do exist, they may not be used because of psychological and social barriers.</w:t>
      </w:r>
    </w:p>
    <w:p w14:paraId="7611ED28" w14:textId="77777777" w:rsidR="00AF1065" w:rsidRDefault="00000000">
      <w:pPr>
        <w:jc w:val="both"/>
        <w:rPr>
          <w:rFonts w:ascii="Arial" w:hAnsi="Arial" w:cs="Arial"/>
          <w:lang w:val="en-US"/>
        </w:rPr>
      </w:pPr>
      <w:r w:rsidRPr="00B56DC9">
        <w:rPr>
          <w:rFonts w:ascii="Arial" w:hAnsi="Arial" w:cs="Arial"/>
          <w:lang w:val="en-US"/>
        </w:rPr>
        <w:t xml:space="preserve">There are two sources of mental health access inequality: structural and </w:t>
      </w:r>
      <w:proofErr w:type="spellStart"/>
      <w:r w:rsidRPr="00B56DC9">
        <w:rPr>
          <w:rFonts w:ascii="Arial" w:hAnsi="Arial" w:cs="Arial"/>
          <w:lang w:val="en-US"/>
        </w:rPr>
        <w:t>behavioural</w:t>
      </w:r>
      <w:proofErr w:type="spellEnd"/>
      <w:r w:rsidRPr="00B56DC9">
        <w:rPr>
          <w:rFonts w:ascii="Arial" w:hAnsi="Arial" w:cs="Arial"/>
          <w:lang w:val="en-US"/>
        </w:rPr>
        <w:t xml:space="preserve">. Article 1 focuses on the supply side which includes workforce shortages and long waiting lists, whilst Article 2 focuses on the demand side, including disengagement and low trust. Uptake is not just about capacity building, and engaging is not enough to address system barriers. In this sense, access must be seen as a systems problem, where access is related to design and </w:t>
      </w:r>
      <w:proofErr w:type="spellStart"/>
      <w:r w:rsidRPr="00B56DC9">
        <w:rPr>
          <w:rFonts w:ascii="Arial" w:hAnsi="Arial" w:cs="Arial"/>
          <w:lang w:val="en-US"/>
        </w:rPr>
        <w:t>behaviour</w:t>
      </w:r>
      <w:proofErr w:type="spellEnd"/>
      <w:r w:rsidRPr="00B56DC9">
        <w:rPr>
          <w:rFonts w:ascii="Arial" w:hAnsi="Arial" w:cs="Arial"/>
          <w:lang w:val="en-US"/>
        </w:rPr>
        <w:t xml:space="preserve">. To prevent exacerbating inequalities, digital tools such as </w:t>
      </w:r>
      <w:proofErr w:type="spellStart"/>
      <w:r w:rsidRPr="00B56DC9">
        <w:rPr>
          <w:rFonts w:ascii="Arial" w:hAnsi="Arial" w:cs="Arial"/>
          <w:lang w:val="en-US"/>
        </w:rPr>
        <w:t>MindConnect</w:t>
      </w:r>
      <w:proofErr w:type="spellEnd"/>
      <w:r w:rsidRPr="00B56DC9">
        <w:rPr>
          <w:rFonts w:ascii="Arial" w:hAnsi="Arial" w:cs="Arial"/>
          <w:lang w:val="en-US"/>
        </w:rPr>
        <w:t xml:space="preserve"> need to tackle both infrastructure and engagement.</w:t>
      </w:r>
    </w:p>
    <w:p w14:paraId="28C4115E" w14:textId="77777777" w:rsidR="00AF1065" w:rsidRDefault="00000000">
      <w:pPr>
        <w:pStyle w:val="Heading1"/>
        <w:rPr>
          <w:lang w:val="en-US"/>
        </w:rPr>
      </w:pPr>
      <w:bookmarkStart w:id="4" w:name="_Toc233388547"/>
      <w:r>
        <w:rPr>
          <w:lang w:val="en-US"/>
        </w:rPr>
        <w:t xml:space="preserve">Task 5: Podcast Script – </w:t>
      </w:r>
      <w:proofErr w:type="spellStart"/>
      <w:r>
        <w:rPr>
          <w:lang w:val="en-US"/>
        </w:rPr>
        <w:t>MindConnect</w:t>
      </w:r>
      <w:proofErr w:type="spellEnd"/>
      <w:r>
        <w:rPr>
          <w:lang w:val="en-US"/>
        </w:rPr>
        <w:t xml:space="preserve"> Innovation Pitch</w:t>
      </w:r>
      <w:bookmarkEnd w:id="4"/>
      <w:r>
        <w:rPr>
          <w:lang w:val="en-US"/>
        </w:rPr>
        <w:t xml:space="preserve"> </w:t>
      </w:r>
    </w:p>
    <w:bookmarkStart w:id="5" w:name="_Toc233388548"/>
    <w:p w14:paraId="339AC3E4" w14:textId="6F3E5F59" w:rsidR="00BE53BF" w:rsidRPr="007370DA" w:rsidRDefault="007370DA" w:rsidP="007370DA">
      <w:pPr>
        <w:rPr>
          <w:lang w:val="en-US"/>
        </w:rPr>
      </w:pPr>
      <w:r>
        <w:rPr>
          <w:lang w:val="en-US"/>
        </w:rPr>
        <w:object w:dxaOrig="4776" w:dyaOrig="816" w14:anchorId="6418E94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8.8pt;height:40.8pt" o:ole="">
            <v:imagedata r:id="rId11" o:title=""/>
          </v:shape>
          <o:OLEObject Type="Embed" ProgID="Package" ShapeID="_x0000_i1025" DrawAspect="Content" ObjectID="_1844675175" r:id="rId12"/>
        </w:object>
      </w:r>
    </w:p>
    <w:p w14:paraId="5359D7C5" w14:textId="77777777" w:rsidR="00BE53BF" w:rsidRPr="00BE53BF" w:rsidRDefault="00BE53BF" w:rsidP="00BE53BF">
      <w:pPr>
        <w:jc w:val="both"/>
        <w:rPr>
          <w:rFonts w:ascii="Arial" w:hAnsi="Arial" w:cs="Arial"/>
          <w:lang w:val="en-US"/>
        </w:rPr>
      </w:pPr>
      <w:r w:rsidRPr="00BE53BF">
        <w:rPr>
          <w:rFonts w:ascii="Arial" w:hAnsi="Arial" w:cs="Arial"/>
          <w:lang w:val="en-US"/>
        </w:rPr>
        <w:t xml:space="preserve">Good morning, everyone. I'm pleased to bring you to </w:t>
      </w:r>
      <w:proofErr w:type="spellStart"/>
      <w:r w:rsidRPr="00BE53BF">
        <w:rPr>
          <w:rFonts w:ascii="Arial" w:hAnsi="Arial" w:cs="Arial"/>
          <w:lang w:val="en-US"/>
        </w:rPr>
        <w:t>MindConnect</w:t>
      </w:r>
      <w:proofErr w:type="spellEnd"/>
      <w:r w:rsidRPr="00BE53BF">
        <w:rPr>
          <w:rFonts w:ascii="Arial" w:hAnsi="Arial" w:cs="Arial"/>
          <w:lang w:val="en-US"/>
        </w:rPr>
        <w:t>, a digital innovation aimed at enhancing early mental health support to young people in the United Kingdom. One in six children and young people have a mental health condition that can be diagnosed at any point in time (NHS England, 2023). Yet, delays in receiving support can lead to poorer mental health, admission to a crisis service and long term social and economic impacts.</w:t>
      </w:r>
    </w:p>
    <w:p w14:paraId="38B78785" w14:textId="77777777" w:rsidR="00BE53BF" w:rsidRPr="00BE53BF" w:rsidRDefault="00BE53BF" w:rsidP="00BE53BF">
      <w:pPr>
        <w:jc w:val="both"/>
        <w:rPr>
          <w:rFonts w:ascii="Arial" w:hAnsi="Arial" w:cs="Arial"/>
          <w:lang w:val="en-US"/>
        </w:rPr>
      </w:pPr>
      <w:r w:rsidRPr="00BE53BF">
        <w:rPr>
          <w:rFonts w:ascii="Arial" w:hAnsi="Arial" w:cs="Arial"/>
          <w:lang w:val="en-US"/>
        </w:rPr>
        <w:lastRenderedPageBreak/>
        <w:t>The current mental health system tends to be reactive with assistance only being provided when things get very bad (Gautam et al., 2024). Poor access to early intervention leads to deterioration of many young people whilst awaiting assessment or treatment, putting pressure on NHS services.</w:t>
      </w:r>
    </w:p>
    <w:p w14:paraId="73D6C2D1" w14:textId="77777777" w:rsidR="00BE53BF" w:rsidRPr="00BE53BF" w:rsidRDefault="00BE53BF" w:rsidP="00BE53BF">
      <w:pPr>
        <w:jc w:val="both"/>
        <w:rPr>
          <w:rFonts w:ascii="Arial" w:hAnsi="Arial" w:cs="Arial"/>
          <w:lang w:val="en-US"/>
        </w:rPr>
      </w:pPr>
      <w:proofErr w:type="spellStart"/>
      <w:r w:rsidRPr="00BE53BF">
        <w:rPr>
          <w:rFonts w:ascii="Arial" w:hAnsi="Arial" w:cs="Arial"/>
          <w:lang w:val="en-US"/>
        </w:rPr>
        <w:t>MindConnect</w:t>
      </w:r>
      <w:proofErr w:type="spellEnd"/>
      <w:r w:rsidRPr="00BE53BF">
        <w:rPr>
          <w:rFonts w:ascii="Arial" w:hAnsi="Arial" w:cs="Arial"/>
          <w:lang w:val="en-US"/>
        </w:rPr>
        <w:t xml:space="preserve"> helps to solve this by creating a digital platform to encourage early intervention, prevention, and easily accessible support. The platform provides </w:t>
      </w:r>
      <w:proofErr w:type="spellStart"/>
      <w:r w:rsidRPr="00BE53BF">
        <w:rPr>
          <w:rFonts w:ascii="Arial" w:hAnsi="Arial" w:cs="Arial"/>
          <w:lang w:val="en-US"/>
        </w:rPr>
        <w:t>self evaluation</w:t>
      </w:r>
      <w:proofErr w:type="spellEnd"/>
      <w:r w:rsidRPr="00BE53BF">
        <w:rPr>
          <w:rFonts w:ascii="Arial" w:hAnsi="Arial" w:cs="Arial"/>
          <w:lang w:val="en-US"/>
        </w:rPr>
        <w:t xml:space="preserve"> and </w:t>
      </w:r>
      <w:proofErr w:type="spellStart"/>
      <w:proofErr w:type="gramStart"/>
      <w:r w:rsidRPr="00BE53BF">
        <w:rPr>
          <w:rFonts w:ascii="Arial" w:hAnsi="Arial" w:cs="Arial"/>
          <w:lang w:val="en-US"/>
        </w:rPr>
        <w:t>self help</w:t>
      </w:r>
      <w:proofErr w:type="spellEnd"/>
      <w:proofErr w:type="gramEnd"/>
      <w:r w:rsidRPr="00BE53BF">
        <w:rPr>
          <w:rFonts w:ascii="Arial" w:hAnsi="Arial" w:cs="Arial"/>
          <w:lang w:val="en-US"/>
        </w:rPr>
        <w:t xml:space="preserve"> resources, accurate information, signposting to local services and starting help before reaching a crisis.</w:t>
      </w:r>
    </w:p>
    <w:p w14:paraId="10FCD366" w14:textId="77777777" w:rsidR="00BE53BF" w:rsidRPr="00BE53BF" w:rsidRDefault="00BE53BF" w:rsidP="00BE53BF">
      <w:pPr>
        <w:jc w:val="both"/>
        <w:rPr>
          <w:rFonts w:ascii="Arial" w:hAnsi="Arial" w:cs="Arial"/>
          <w:lang w:val="en-US"/>
        </w:rPr>
      </w:pPr>
      <w:r w:rsidRPr="00BE53BF">
        <w:rPr>
          <w:rFonts w:ascii="Arial" w:hAnsi="Arial" w:cs="Arial"/>
          <w:lang w:val="en-US"/>
        </w:rPr>
        <w:t>There are multiple stakeholders in this innovation. Support is better made available to young people earlier, is more flexible, and less stigmatizing. The NHS sees less demand for services and the resources are used more efficiently. Better educational results are also great for society, as are higher participation rates in the labor force, and reduced long-term healthcare costs (Böheim et al., 2023).</w:t>
      </w:r>
    </w:p>
    <w:p w14:paraId="4E46B31D" w14:textId="77777777" w:rsidR="00BE53BF" w:rsidRPr="00BE53BF" w:rsidRDefault="00BE53BF" w:rsidP="00BE53BF">
      <w:pPr>
        <w:jc w:val="both"/>
        <w:rPr>
          <w:rFonts w:ascii="Arial" w:hAnsi="Arial" w:cs="Arial"/>
          <w:lang w:val="en-US"/>
        </w:rPr>
      </w:pPr>
      <w:proofErr w:type="gramStart"/>
      <w:r w:rsidRPr="00BE53BF">
        <w:rPr>
          <w:rFonts w:ascii="Arial" w:hAnsi="Arial" w:cs="Arial"/>
          <w:lang w:val="en-US"/>
        </w:rPr>
        <w:t>But,</w:t>
      </w:r>
      <w:proofErr w:type="gramEnd"/>
      <w:r w:rsidRPr="00BE53BF">
        <w:rPr>
          <w:rFonts w:ascii="Arial" w:hAnsi="Arial" w:cs="Arial"/>
          <w:lang w:val="en-US"/>
        </w:rPr>
        <w:t xml:space="preserve"> there are some challenges, such as digital exclusion, safeguarding issues, and the protection of sensitive mental health data.</w:t>
      </w:r>
    </w:p>
    <w:p w14:paraId="4041F859" w14:textId="77777777" w:rsidR="00BE53BF" w:rsidRDefault="00BE53BF" w:rsidP="00BE53BF">
      <w:pPr>
        <w:jc w:val="both"/>
        <w:rPr>
          <w:rFonts w:ascii="Arial" w:hAnsi="Arial" w:cs="Arial"/>
          <w:lang w:val="en-US"/>
        </w:rPr>
      </w:pPr>
      <w:r w:rsidRPr="00BE53BF">
        <w:rPr>
          <w:rFonts w:ascii="Arial" w:hAnsi="Arial" w:cs="Arial"/>
          <w:lang w:val="en-US"/>
        </w:rPr>
        <w:t xml:space="preserve">Overall, </w:t>
      </w:r>
      <w:proofErr w:type="spellStart"/>
      <w:r w:rsidRPr="00BE53BF">
        <w:rPr>
          <w:rFonts w:ascii="Arial" w:hAnsi="Arial" w:cs="Arial"/>
          <w:lang w:val="en-US"/>
        </w:rPr>
        <w:t>MindConnect</w:t>
      </w:r>
      <w:proofErr w:type="spellEnd"/>
      <w:r w:rsidRPr="00BE53BF">
        <w:rPr>
          <w:rFonts w:ascii="Arial" w:hAnsi="Arial" w:cs="Arial"/>
          <w:lang w:val="en-US"/>
        </w:rPr>
        <w:t xml:space="preserve"> moves mental health care from a crisis response to a prevention model with a more accessible, sustainable and person </w:t>
      </w:r>
      <w:proofErr w:type="spellStart"/>
      <w:r w:rsidRPr="00BE53BF">
        <w:rPr>
          <w:rFonts w:ascii="Arial" w:hAnsi="Arial" w:cs="Arial"/>
          <w:lang w:val="en-US"/>
        </w:rPr>
        <w:t>centred</w:t>
      </w:r>
      <w:proofErr w:type="spellEnd"/>
      <w:r w:rsidRPr="00BE53BF">
        <w:rPr>
          <w:rFonts w:ascii="Arial" w:hAnsi="Arial" w:cs="Arial"/>
          <w:lang w:val="en-US"/>
        </w:rPr>
        <w:t xml:space="preserve"> system.</w:t>
      </w:r>
    </w:p>
    <w:p w14:paraId="04DB041D" w14:textId="175F5B65" w:rsidR="00AF1065" w:rsidRPr="00BE53BF" w:rsidRDefault="00000000" w:rsidP="00BE53BF">
      <w:pPr>
        <w:jc w:val="both"/>
        <w:rPr>
          <w:rFonts w:ascii="Arial" w:hAnsi="Arial" w:cs="Arial"/>
          <w:lang w:val="en-US"/>
        </w:rPr>
      </w:pPr>
      <w:r w:rsidRPr="00BE53BF">
        <w:rPr>
          <w:rFonts w:ascii="Arial" w:hAnsi="Arial" w:cs="Arial"/>
          <w:lang w:val="en-US"/>
        </w:rPr>
        <w:br/>
      </w:r>
      <w:r>
        <w:rPr>
          <w:lang w:val="en-US"/>
        </w:rPr>
        <w:br/>
      </w:r>
      <w:r w:rsidRPr="00BE53BF">
        <w:rPr>
          <w:rStyle w:val="Heading1Char"/>
          <w:lang w:val="en-US"/>
        </w:rPr>
        <w:t>Task 6: NHS Leadership Framework – Critical Analysis</w:t>
      </w:r>
      <w:bookmarkEnd w:id="5"/>
    </w:p>
    <w:p w14:paraId="61399284" w14:textId="77777777" w:rsidR="00AF1065" w:rsidRDefault="00000000">
      <w:pPr>
        <w:jc w:val="both"/>
        <w:rPr>
          <w:rFonts w:ascii="Arial" w:hAnsi="Arial" w:cs="Arial"/>
          <w:b/>
          <w:bCs/>
          <w:lang w:val="en-US"/>
        </w:rPr>
      </w:pPr>
      <w:r>
        <w:rPr>
          <w:rFonts w:ascii="Arial" w:hAnsi="Arial" w:cs="Arial"/>
          <w:b/>
          <w:bCs/>
          <w:lang w:val="en-US"/>
        </w:rPr>
        <w:t>Part A: Leadership and Innovation in the NHS</w:t>
      </w:r>
    </w:p>
    <w:p w14:paraId="78B6C4D1" w14:textId="77777777" w:rsidR="00AF1065" w:rsidRDefault="00000000">
      <w:pPr>
        <w:jc w:val="both"/>
        <w:rPr>
          <w:rFonts w:ascii="Arial" w:hAnsi="Arial" w:cs="Arial"/>
          <w:lang w:val="en-US"/>
        </w:rPr>
      </w:pPr>
      <w:r>
        <w:rPr>
          <w:rFonts w:ascii="Arial" w:hAnsi="Arial" w:cs="Arial"/>
          <w:lang w:val="en-US"/>
        </w:rPr>
        <w:t xml:space="preserve">Inspiring shared purpose, leading with care, evaluating information and influencing for results are all part of the NHS Healthcare Leadership Model (NHS Leadership Academy, 2025). Its value is as a means of innovative activity in complex systems. It's not that they don't have ideas, it's that they face barriers to innovation within the </w:t>
      </w:r>
      <w:proofErr w:type="spellStart"/>
      <w:r>
        <w:rPr>
          <w:rFonts w:ascii="Arial" w:hAnsi="Arial" w:cs="Arial"/>
          <w:lang w:val="en-US"/>
        </w:rPr>
        <w:t>organisation's</w:t>
      </w:r>
      <w:proofErr w:type="spellEnd"/>
      <w:r>
        <w:rPr>
          <w:rFonts w:ascii="Arial" w:hAnsi="Arial" w:cs="Arial"/>
          <w:lang w:val="en-US"/>
        </w:rPr>
        <w:t xml:space="preserve"> culture, culture, culture.</w:t>
      </w:r>
    </w:p>
    <w:p w14:paraId="16A9713A" w14:textId="77777777" w:rsidR="00AF1065" w:rsidRDefault="00000000">
      <w:pPr>
        <w:jc w:val="both"/>
        <w:rPr>
          <w:rFonts w:ascii="Arial" w:hAnsi="Arial" w:cs="Arial"/>
          <w:lang w:val="en-US"/>
        </w:rPr>
      </w:pPr>
      <w:r>
        <w:rPr>
          <w:rFonts w:ascii="Arial" w:hAnsi="Arial" w:cs="Arial"/>
          <w:lang w:val="en-US"/>
        </w:rPr>
        <w:t xml:space="preserve">The importance of culture is that it is necessary to not allow for experimentation and change, especially in a risk-averse environment. Multidisciplinary teams need direction and vision to make strategic objectives clearer. Psychological safety is a condition in which staff can speak up about practice without the risk of blame, especially in </w:t>
      </w:r>
      <w:proofErr w:type="gramStart"/>
      <w:r>
        <w:rPr>
          <w:rFonts w:ascii="Arial" w:hAnsi="Arial" w:cs="Arial"/>
          <w:lang w:val="en-US"/>
        </w:rPr>
        <w:t>high risk</w:t>
      </w:r>
      <w:proofErr w:type="gramEnd"/>
      <w:r>
        <w:rPr>
          <w:rFonts w:ascii="Arial" w:hAnsi="Arial" w:cs="Arial"/>
          <w:lang w:val="en-US"/>
        </w:rPr>
        <w:t xml:space="preserve"> environments (Fukami, 2023). Collaboration is the sharing of knowledge and skills from disparate services. In the absence of these, innovations do not scale or impact.</w:t>
      </w:r>
    </w:p>
    <w:p w14:paraId="7D6975BD" w14:textId="77777777" w:rsidR="00AF1065" w:rsidRDefault="00000000">
      <w:pPr>
        <w:jc w:val="both"/>
        <w:rPr>
          <w:rFonts w:ascii="Arial" w:hAnsi="Arial" w:cs="Arial"/>
          <w:lang w:val="en-US"/>
        </w:rPr>
      </w:pPr>
      <w:r>
        <w:rPr>
          <w:rFonts w:ascii="Arial" w:hAnsi="Arial" w:cs="Arial"/>
          <w:lang w:val="en-US"/>
        </w:rPr>
        <w:t>The framework ignores the structural constraints, however, like funding pressures and lack of workforce. The systemic barriers that affect innovative capacity mean that implementation problems can't be fixed with leadership alone. This is an overstatement of individual responsibility in limited systems.</w:t>
      </w:r>
    </w:p>
    <w:p w14:paraId="51D6D24A" w14:textId="77777777" w:rsidR="00AF1065" w:rsidRDefault="00000000">
      <w:pPr>
        <w:jc w:val="both"/>
        <w:rPr>
          <w:rFonts w:ascii="Arial" w:hAnsi="Arial" w:cs="Arial"/>
          <w:b/>
          <w:bCs/>
          <w:lang w:val="en-US"/>
        </w:rPr>
      </w:pPr>
      <w:r>
        <w:rPr>
          <w:rFonts w:ascii="Arial" w:hAnsi="Arial" w:cs="Arial"/>
          <w:b/>
          <w:bCs/>
          <w:lang w:val="en-US"/>
        </w:rPr>
        <w:t>Part B: Getting the Team Involved</w:t>
      </w:r>
    </w:p>
    <w:p w14:paraId="394E39D3" w14:textId="77777777" w:rsidR="00AF1065" w:rsidRDefault="00000000">
      <w:pPr>
        <w:jc w:val="both"/>
        <w:rPr>
          <w:rFonts w:ascii="Arial" w:hAnsi="Arial" w:cs="Arial"/>
          <w:lang w:val="en-US"/>
        </w:rPr>
      </w:pPr>
      <w:r>
        <w:rPr>
          <w:rFonts w:ascii="Arial" w:hAnsi="Arial" w:cs="Arial"/>
          <w:lang w:val="en-US"/>
        </w:rPr>
        <w:t xml:space="preserve">Innovation is fostered by participation, co-production and shared ownership in the “Engaging the Team” domain. Well empowered staff will be more likely to think of ideas and test them. </w:t>
      </w:r>
      <w:r>
        <w:rPr>
          <w:rFonts w:ascii="Arial" w:hAnsi="Arial" w:cs="Arial"/>
          <w:lang w:val="en-US"/>
        </w:rPr>
        <w:lastRenderedPageBreak/>
        <w:t>Psychological safety promotes unconventional thinking without fear of negative consequences (Ito et al., 2022).</w:t>
      </w:r>
    </w:p>
    <w:p w14:paraId="090D1E6F" w14:textId="77777777" w:rsidR="00AF1065" w:rsidRDefault="00000000">
      <w:pPr>
        <w:jc w:val="both"/>
        <w:rPr>
          <w:rFonts w:ascii="Arial" w:hAnsi="Arial" w:cs="Arial"/>
          <w:lang w:val="en-US"/>
        </w:rPr>
      </w:pPr>
      <w:r>
        <w:rPr>
          <w:rFonts w:ascii="Arial" w:hAnsi="Arial" w:cs="Arial"/>
          <w:lang w:val="en-US"/>
        </w:rPr>
        <w:t xml:space="preserve">Innovation and patient safety and governance, however, are not without their challenges for NHS </w:t>
      </w:r>
      <w:proofErr w:type="spellStart"/>
      <w:r>
        <w:rPr>
          <w:rFonts w:ascii="Arial" w:hAnsi="Arial" w:cs="Arial"/>
          <w:lang w:val="en-US"/>
        </w:rPr>
        <w:t>organisations</w:t>
      </w:r>
      <w:proofErr w:type="spellEnd"/>
      <w:r>
        <w:rPr>
          <w:rFonts w:ascii="Arial" w:hAnsi="Arial" w:cs="Arial"/>
          <w:lang w:val="en-US"/>
        </w:rPr>
        <w:t>. This can cause a friction between experimentation and risk control - between holding systems accountable and enhancing services.</w:t>
      </w:r>
    </w:p>
    <w:p w14:paraId="57554670" w14:textId="77777777" w:rsidR="00AF1065" w:rsidRDefault="00000000">
      <w:pPr>
        <w:jc w:val="both"/>
        <w:rPr>
          <w:rFonts w:ascii="Arial" w:hAnsi="Arial" w:cs="Arial"/>
          <w:lang w:val="en-US"/>
        </w:rPr>
      </w:pPr>
      <w:r>
        <w:rPr>
          <w:rFonts w:ascii="Arial" w:hAnsi="Arial" w:cs="Arial"/>
          <w:lang w:val="en-US"/>
        </w:rPr>
        <w:t xml:space="preserve">The implementation of </w:t>
      </w:r>
      <w:proofErr w:type="spellStart"/>
      <w:r>
        <w:rPr>
          <w:rFonts w:ascii="Arial" w:hAnsi="Arial" w:cs="Arial"/>
          <w:lang w:val="en-US"/>
        </w:rPr>
        <w:t>MindConnect</w:t>
      </w:r>
      <w:proofErr w:type="spellEnd"/>
      <w:r>
        <w:rPr>
          <w:rFonts w:ascii="Arial" w:hAnsi="Arial" w:cs="Arial"/>
          <w:lang w:val="en-US"/>
        </w:rPr>
        <w:t xml:space="preserve"> would involve working across multiple disciplines involving both clinicians and service users. If this is not compatible, then innovation may be technically successful but may not have a real service impact.</w:t>
      </w:r>
    </w:p>
    <w:p w14:paraId="7D7C26C7" w14:textId="77777777" w:rsidR="00AF1065" w:rsidRDefault="00000000">
      <w:pPr>
        <w:pStyle w:val="Heading1"/>
        <w:rPr>
          <w:lang w:val="en-US"/>
        </w:rPr>
      </w:pPr>
      <w:bookmarkStart w:id="6" w:name="_Toc233388549"/>
      <w:r>
        <w:rPr>
          <w:lang w:val="en-US"/>
        </w:rPr>
        <w:t>Task 7: Reflective Journal</w:t>
      </w:r>
      <w:bookmarkEnd w:id="6"/>
    </w:p>
    <w:p w14:paraId="1EE8964F" w14:textId="77777777" w:rsidR="00AF1065" w:rsidRDefault="00000000">
      <w:pPr>
        <w:jc w:val="both"/>
        <w:rPr>
          <w:rFonts w:ascii="Arial" w:hAnsi="Arial" w:cs="Arial"/>
          <w:b/>
          <w:bCs/>
          <w:lang w:val="en-US"/>
        </w:rPr>
      </w:pPr>
      <w:r>
        <w:rPr>
          <w:rFonts w:ascii="Arial" w:hAnsi="Arial" w:cs="Arial"/>
          <w:b/>
          <w:bCs/>
          <w:lang w:val="en-US"/>
        </w:rPr>
        <w:t>Before Module</w:t>
      </w:r>
    </w:p>
    <w:p w14:paraId="5BDB0B78" w14:textId="77777777" w:rsidR="00AF1065" w:rsidRDefault="00000000">
      <w:pPr>
        <w:jc w:val="both"/>
        <w:rPr>
          <w:rFonts w:ascii="Arial" w:hAnsi="Arial" w:cs="Arial"/>
          <w:lang w:val="en-US"/>
        </w:rPr>
      </w:pPr>
      <w:r>
        <w:rPr>
          <w:rFonts w:ascii="Arial" w:hAnsi="Arial" w:cs="Arial"/>
          <w:lang w:val="en-US"/>
        </w:rPr>
        <w:t xml:space="preserve">Prior to this module I thought creativity was a more artistic quality, of little use to me in my clinical and </w:t>
      </w:r>
      <w:proofErr w:type="spellStart"/>
      <w:r>
        <w:rPr>
          <w:rFonts w:ascii="Arial" w:hAnsi="Arial" w:cs="Arial"/>
          <w:lang w:val="en-US"/>
        </w:rPr>
        <w:t>organisational</w:t>
      </w:r>
      <w:proofErr w:type="spellEnd"/>
      <w:r>
        <w:rPr>
          <w:rFonts w:ascii="Arial" w:hAnsi="Arial" w:cs="Arial"/>
          <w:lang w:val="en-US"/>
        </w:rPr>
        <w:t xml:space="preserve"> healthcare practice. I thought that innovations were primarily centered around technologies, and didn't really think much about the role that service design or system processes played in the improvement.</w:t>
      </w:r>
    </w:p>
    <w:p w14:paraId="7D53F253" w14:textId="77777777" w:rsidR="00AF1065" w:rsidRDefault="00000000">
      <w:pPr>
        <w:jc w:val="both"/>
        <w:rPr>
          <w:rFonts w:ascii="Arial" w:hAnsi="Arial" w:cs="Arial"/>
          <w:b/>
          <w:bCs/>
          <w:lang w:val="en-US"/>
        </w:rPr>
      </w:pPr>
      <w:r>
        <w:rPr>
          <w:rFonts w:ascii="Arial" w:hAnsi="Arial" w:cs="Arial"/>
          <w:b/>
          <w:bCs/>
          <w:lang w:val="en-US"/>
        </w:rPr>
        <w:t>During Module</w:t>
      </w:r>
    </w:p>
    <w:p w14:paraId="18846466" w14:textId="77777777" w:rsidR="00AF1065" w:rsidRDefault="00000000">
      <w:pPr>
        <w:jc w:val="both"/>
        <w:rPr>
          <w:rFonts w:ascii="Arial" w:hAnsi="Arial" w:cs="Arial"/>
          <w:lang w:val="en-US"/>
        </w:rPr>
      </w:pPr>
      <w:r>
        <w:rPr>
          <w:rFonts w:ascii="Arial" w:hAnsi="Arial" w:cs="Arial"/>
          <w:lang w:val="en-US"/>
        </w:rPr>
        <w:t xml:space="preserve">I thought there had been a major paradigm shift. I see creativity now as a process of problem solving and reframing complex healthcare problems in a structured manner. Innovation is not only about generating ideas, </w:t>
      </w:r>
      <w:proofErr w:type="gramStart"/>
      <w:r>
        <w:rPr>
          <w:rFonts w:ascii="Arial" w:hAnsi="Arial" w:cs="Arial"/>
          <w:lang w:val="en-US"/>
        </w:rPr>
        <w:t>it's</w:t>
      </w:r>
      <w:proofErr w:type="gramEnd"/>
      <w:r>
        <w:rPr>
          <w:rFonts w:ascii="Arial" w:hAnsi="Arial" w:cs="Arial"/>
          <w:lang w:val="en-US"/>
        </w:rPr>
        <w:t xml:space="preserve"> about applying solutions in limited systems. Furthermore, value is not </w:t>
      </w:r>
      <w:proofErr w:type="spellStart"/>
      <w:r>
        <w:rPr>
          <w:rFonts w:ascii="Arial" w:hAnsi="Arial" w:cs="Arial"/>
          <w:lang w:val="en-US"/>
        </w:rPr>
        <w:t>standardised</w:t>
      </w:r>
      <w:proofErr w:type="spellEnd"/>
      <w:r>
        <w:rPr>
          <w:rFonts w:ascii="Arial" w:hAnsi="Arial" w:cs="Arial"/>
          <w:lang w:val="en-US"/>
        </w:rPr>
        <w:t xml:space="preserve">, but depends on the stakeholder – it is different for patients, practitioners, NHS </w:t>
      </w:r>
      <w:proofErr w:type="spellStart"/>
      <w:r>
        <w:rPr>
          <w:rFonts w:ascii="Arial" w:hAnsi="Arial" w:cs="Arial"/>
          <w:lang w:val="en-US"/>
        </w:rPr>
        <w:t>organisations</w:t>
      </w:r>
      <w:proofErr w:type="spellEnd"/>
      <w:r>
        <w:rPr>
          <w:rFonts w:ascii="Arial" w:hAnsi="Arial" w:cs="Arial"/>
          <w:lang w:val="en-US"/>
        </w:rPr>
        <w:t>, and society. (Datta Burton et al., 2021)</w:t>
      </w:r>
    </w:p>
    <w:p w14:paraId="2A0C557A" w14:textId="77777777" w:rsidR="00AF1065" w:rsidRDefault="00000000">
      <w:pPr>
        <w:jc w:val="both"/>
        <w:rPr>
          <w:rFonts w:ascii="Arial" w:hAnsi="Arial" w:cs="Arial"/>
          <w:b/>
          <w:bCs/>
          <w:lang w:val="en-US"/>
        </w:rPr>
      </w:pPr>
      <w:r>
        <w:rPr>
          <w:rFonts w:ascii="Arial" w:hAnsi="Arial" w:cs="Arial"/>
          <w:b/>
          <w:bCs/>
          <w:lang w:val="en-US"/>
        </w:rPr>
        <w:t>Professional Impact</w:t>
      </w:r>
    </w:p>
    <w:p w14:paraId="3637FA8B" w14:textId="77777777" w:rsidR="00AF1065" w:rsidRDefault="00000000">
      <w:pPr>
        <w:jc w:val="both"/>
        <w:rPr>
          <w:rFonts w:ascii="Arial" w:hAnsi="Arial" w:cs="Arial"/>
          <w:lang w:val="en-US"/>
        </w:rPr>
      </w:pPr>
      <w:r>
        <w:rPr>
          <w:rFonts w:ascii="Arial" w:hAnsi="Arial" w:cs="Arial"/>
          <w:lang w:val="en-US"/>
        </w:rPr>
        <w:t>The learning has influenced my thinking on healthcare improvement. Today I learned that innovative solutions that are sustainable must be more than just cool, but must involve ethical governance, involve stakeholder and create measurable value. If these are missing, even good innovations can face an ineffective rollout or a disproportionate effect on some groups.</w:t>
      </w:r>
    </w:p>
    <w:p w14:paraId="1C937C71" w14:textId="77777777" w:rsidR="00AF1065" w:rsidRDefault="00000000">
      <w:pPr>
        <w:jc w:val="both"/>
        <w:rPr>
          <w:rFonts w:ascii="Arial" w:hAnsi="Arial" w:cs="Arial"/>
          <w:b/>
          <w:bCs/>
          <w:lang w:val="en-US"/>
        </w:rPr>
      </w:pPr>
      <w:r>
        <w:rPr>
          <w:rFonts w:ascii="Arial" w:hAnsi="Arial" w:cs="Arial"/>
          <w:b/>
          <w:bCs/>
          <w:lang w:val="en-US"/>
        </w:rPr>
        <w:t>Future Practice</w:t>
      </w:r>
    </w:p>
    <w:p w14:paraId="6119BBA3" w14:textId="77777777" w:rsidR="00AF1065" w:rsidRDefault="00000000">
      <w:pPr>
        <w:jc w:val="both"/>
        <w:rPr>
          <w:rFonts w:ascii="Arial" w:hAnsi="Arial" w:cs="Arial"/>
          <w:lang w:val="en-US"/>
        </w:rPr>
      </w:pPr>
      <w:r>
        <w:rPr>
          <w:rFonts w:ascii="Arial" w:hAnsi="Arial" w:cs="Arial"/>
          <w:lang w:val="en-US"/>
        </w:rPr>
        <w:t xml:space="preserve">Future practice will involve using a leadership perspective on service improvement with a focus on </w:t>
      </w:r>
      <w:proofErr w:type="gramStart"/>
      <w:r>
        <w:rPr>
          <w:rFonts w:ascii="Arial" w:hAnsi="Arial" w:cs="Arial"/>
          <w:lang w:val="en-US"/>
        </w:rPr>
        <w:t>evidence based</w:t>
      </w:r>
      <w:proofErr w:type="gramEnd"/>
      <w:r>
        <w:rPr>
          <w:rFonts w:ascii="Arial" w:hAnsi="Arial" w:cs="Arial"/>
          <w:lang w:val="en-US"/>
        </w:rPr>
        <w:t xml:space="preserve"> decision making, working collaboratively and systems thinking. I will also be mindful of assessing innovation in a way that takes an equity lens, making sure that the innovation creates value for all groups, not just deepens inequities.</w:t>
      </w:r>
    </w:p>
    <w:p w14:paraId="33404C15" w14:textId="77777777" w:rsidR="00AF1065" w:rsidRDefault="00000000">
      <w:pPr>
        <w:jc w:val="both"/>
        <w:rPr>
          <w:rFonts w:ascii="Arial" w:hAnsi="Arial" w:cs="Arial"/>
          <w:lang w:val="en-US"/>
        </w:rPr>
      </w:pPr>
      <w:r>
        <w:rPr>
          <w:rFonts w:ascii="Arial" w:hAnsi="Arial" w:cs="Arial"/>
          <w:lang w:val="en-US"/>
        </w:rPr>
        <w:br w:type="page"/>
      </w:r>
    </w:p>
    <w:p w14:paraId="44B3A2BC" w14:textId="77777777" w:rsidR="00AF1065" w:rsidRDefault="00000000">
      <w:pPr>
        <w:pStyle w:val="Heading1"/>
        <w:rPr>
          <w:rFonts w:eastAsia="Arial Nova"/>
        </w:rPr>
      </w:pPr>
      <w:bookmarkStart w:id="7" w:name="_Toc233388550"/>
      <w:r>
        <w:rPr>
          <w:rFonts w:eastAsia="Arial Nova"/>
        </w:rPr>
        <w:lastRenderedPageBreak/>
        <w:t>Reference List</w:t>
      </w:r>
      <w:bookmarkEnd w:id="7"/>
    </w:p>
    <w:p w14:paraId="7F09E977" w14:textId="77777777" w:rsidR="00BE53BF" w:rsidRDefault="00BE53BF" w:rsidP="00BE53BF">
      <w:pPr>
        <w:jc w:val="both"/>
        <w:rPr>
          <w:rFonts w:ascii="Arial" w:hAnsi="Arial" w:cs="Arial"/>
          <w:lang w:val="en-US"/>
        </w:rPr>
      </w:pPr>
      <w:r w:rsidRPr="002428B6">
        <w:rPr>
          <w:rFonts w:ascii="Arial" w:hAnsi="Arial" w:cs="Arial"/>
          <w:lang w:val="en-US"/>
        </w:rPr>
        <w:t xml:space="preserve">Alamoudi, A., </w:t>
      </w:r>
      <w:proofErr w:type="spellStart"/>
      <w:r w:rsidRPr="002428B6">
        <w:rPr>
          <w:rFonts w:ascii="Arial" w:hAnsi="Arial" w:cs="Arial"/>
          <w:lang w:val="en-US"/>
        </w:rPr>
        <w:t>Kontopantelis</w:t>
      </w:r>
      <w:proofErr w:type="spellEnd"/>
      <w:r w:rsidRPr="002428B6">
        <w:rPr>
          <w:rFonts w:ascii="Arial" w:hAnsi="Arial" w:cs="Arial"/>
          <w:lang w:val="en-US"/>
        </w:rPr>
        <w:t xml:space="preserve">, E., </w:t>
      </w:r>
      <w:proofErr w:type="spellStart"/>
      <w:r w:rsidRPr="002428B6">
        <w:rPr>
          <w:rFonts w:ascii="Arial" w:hAnsi="Arial" w:cs="Arial"/>
          <w:lang w:val="en-US"/>
        </w:rPr>
        <w:t>Zghebi</w:t>
      </w:r>
      <w:proofErr w:type="spellEnd"/>
      <w:r w:rsidRPr="002428B6">
        <w:rPr>
          <w:rFonts w:ascii="Arial" w:hAnsi="Arial" w:cs="Arial"/>
          <w:lang w:val="en-US"/>
        </w:rPr>
        <w:t xml:space="preserve">, S. and Brown, B. (2025). AI Triage in Primary Care: Building Safer and More Equitable Real-World Evidence (Preprint). </w:t>
      </w:r>
      <w:r w:rsidRPr="002428B6">
        <w:rPr>
          <w:rFonts w:ascii="Arial" w:hAnsi="Arial" w:cs="Arial"/>
          <w:i/>
          <w:iCs/>
          <w:lang w:val="en-US"/>
        </w:rPr>
        <w:t>Journal of Medical Internet Research</w:t>
      </w:r>
      <w:r w:rsidRPr="002428B6">
        <w:rPr>
          <w:rFonts w:ascii="Arial" w:hAnsi="Arial" w:cs="Arial"/>
          <w:lang w:val="en-US"/>
        </w:rPr>
        <w:t xml:space="preserve">. </w:t>
      </w:r>
      <w:proofErr w:type="spellStart"/>
      <w:r>
        <w:rPr>
          <w:rFonts w:ascii="Arial" w:hAnsi="Arial" w:cs="Arial"/>
          <w:lang w:val="en-US"/>
        </w:rPr>
        <w:t>doi</w:t>
      </w:r>
      <w:proofErr w:type="spellEnd"/>
      <w:r>
        <w:rPr>
          <w:rFonts w:ascii="Arial" w:hAnsi="Arial" w:cs="Arial"/>
          <w:lang w:val="en-US"/>
        </w:rPr>
        <w:t xml:space="preserve">: </w:t>
      </w:r>
      <w:hyperlink r:id="rId13" w:history="1">
        <w:r w:rsidRPr="00027CC4">
          <w:rPr>
            <w:rStyle w:val="Hyperlink"/>
            <w:rFonts w:ascii="Arial" w:hAnsi="Arial" w:cs="Arial"/>
            <w:lang w:val="en-US"/>
          </w:rPr>
          <w:t>https://doi.org/10.2196/88396</w:t>
        </w:r>
      </w:hyperlink>
      <w:r w:rsidRPr="002428B6">
        <w:rPr>
          <w:rFonts w:ascii="Arial" w:hAnsi="Arial" w:cs="Arial"/>
          <w:lang w:val="en-US"/>
        </w:rPr>
        <w:t>.</w:t>
      </w:r>
    </w:p>
    <w:p w14:paraId="3A4E71F7" w14:textId="77777777" w:rsidR="00BE53BF" w:rsidRPr="00E1752E" w:rsidRDefault="00BE53BF" w:rsidP="00BE53BF">
      <w:pPr>
        <w:jc w:val="both"/>
        <w:rPr>
          <w:rFonts w:ascii="Arial" w:hAnsi="Arial" w:cs="Arial"/>
          <w:lang w:val="en-US"/>
        </w:rPr>
      </w:pPr>
      <w:r w:rsidRPr="00E1752E">
        <w:rPr>
          <w:rFonts w:ascii="Arial" w:hAnsi="Arial" w:cs="Arial"/>
          <w:lang w:val="en-US"/>
        </w:rPr>
        <w:t xml:space="preserve">Böheim, R., Horvath, T., Leoni, T. and </w:t>
      </w:r>
      <w:proofErr w:type="spellStart"/>
      <w:r w:rsidRPr="00E1752E">
        <w:rPr>
          <w:rFonts w:ascii="Arial" w:hAnsi="Arial" w:cs="Arial"/>
          <w:lang w:val="en-US"/>
        </w:rPr>
        <w:t>Spielauer</w:t>
      </w:r>
      <w:proofErr w:type="spellEnd"/>
      <w:r w:rsidRPr="00E1752E">
        <w:rPr>
          <w:rFonts w:ascii="Arial" w:hAnsi="Arial" w:cs="Arial"/>
          <w:lang w:val="en-US"/>
        </w:rPr>
        <w:t xml:space="preserve">, M. (2023). The Impact of Health and Education on Labor Force Participation in Aging Societies: Projections for the United States and Germany from Dynamic Microsimulations. </w:t>
      </w:r>
      <w:r w:rsidRPr="00E1752E">
        <w:rPr>
          <w:rFonts w:ascii="Arial" w:hAnsi="Arial" w:cs="Arial"/>
          <w:i/>
          <w:iCs/>
          <w:lang w:val="en-US"/>
        </w:rPr>
        <w:t>Population Research and Policy Review</w:t>
      </w:r>
      <w:r w:rsidRPr="00E1752E">
        <w:rPr>
          <w:rFonts w:ascii="Arial" w:hAnsi="Arial" w:cs="Arial"/>
          <w:lang w:val="en-US"/>
        </w:rPr>
        <w:t xml:space="preserve">, 42(3). </w:t>
      </w:r>
      <w:proofErr w:type="spellStart"/>
      <w:proofErr w:type="gramStart"/>
      <w:r w:rsidRPr="00E1752E">
        <w:rPr>
          <w:rFonts w:ascii="Arial" w:hAnsi="Arial" w:cs="Arial"/>
          <w:lang w:val="en-US"/>
        </w:rPr>
        <w:t>doi:https</w:t>
      </w:r>
      <w:proofErr w:type="spellEnd"/>
      <w:r w:rsidRPr="00E1752E">
        <w:rPr>
          <w:rFonts w:ascii="Arial" w:hAnsi="Arial" w:cs="Arial"/>
          <w:lang w:val="en-US"/>
        </w:rPr>
        <w:t>://doi.org/10.1007/s11113-023-09781-3</w:t>
      </w:r>
      <w:proofErr w:type="gramEnd"/>
      <w:r w:rsidRPr="00E1752E">
        <w:rPr>
          <w:rFonts w:ascii="Arial" w:hAnsi="Arial" w:cs="Arial"/>
          <w:lang w:val="en-US"/>
        </w:rPr>
        <w:t>.</w:t>
      </w:r>
    </w:p>
    <w:p w14:paraId="6E76F4C2" w14:textId="77777777" w:rsidR="00BE53BF" w:rsidRDefault="00BE53BF" w:rsidP="00BE53BF">
      <w:pPr>
        <w:jc w:val="both"/>
        <w:rPr>
          <w:rFonts w:ascii="Arial" w:hAnsi="Arial" w:cs="Arial"/>
          <w:lang w:val="en-US"/>
        </w:rPr>
      </w:pPr>
      <w:r w:rsidRPr="002428B6">
        <w:rPr>
          <w:rFonts w:ascii="Arial" w:hAnsi="Arial" w:cs="Arial"/>
          <w:lang w:val="en-US"/>
        </w:rPr>
        <w:t xml:space="preserve">Byers (2017). </w:t>
      </w:r>
      <w:r w:rsidRPr="002428B6">
        <w:rPr>
          <w:rFonts w:ascii="Arial" w:hAnsi="Arial" w:cs="Arial"/>
          <w:i/>
          <w:iCs/>
          <w:lang w:val="en-US"/>
        </w:rPr>
        <w:t>(PDF) Creativity, Innovation, and Change</w:t>
      </w:r>
      <w:r w:rsidRPr="002428B6">
        <w:rPr>
          <w:rFonts w:ascii="Arial" w:hAnsi="Arial" w:cs="Arial"/>
          <w:lang w:val="en-US"/>
        </w:rPr>
        <w:t xml:space="preserve">. [online] ResearchGate. Available at: </w:t>
      </w:r>
      <w:hyperlink r:id="rId14" w:history="1">
        <w:r w:rsidRPr="00027CC4">
          <w:rPr>
            <w:rStyle w:val="Hyperlink"/>
            <w:rFonts w:ascii="Arial" w:hAnsi="Arial" w:cs="Arial"/>
            <w:lang w:val="en-US"/>
          </w:rPr>
          <w:t>https://www.researchgate.net/publication/317567620_Creativity_Innovation_and_Change</w:t>
        </w:r>
      </w:hyperlink>
      <w:r w:rsidRPr="002428B6">
        <w:rPr>
          <w:rFonts w:ascii="Arial" w:hAnsi="Arial" w:cs="Arial"/>
          <w:lang w:val="en-US"/>
        </w:rPr>
        <w:t>.</w:t>
      </w:r>
    </w:p>
    <w:p w14:paraId="6498A31F" w14:textId="77777777" w:rsidR="00BE53BF" w:rsidRDefault="00BE53BF" w:rsidP="00BE53BF">
      <w:pPr>
        <w:jc w:val="both"/>
        <w:rPr>
          <w:rFonts w:ascii="Arial" w:hAnsi="Arial" w:cs="Arial"/>
          <w:lang w:val="en-US"/>
        </w:rPr>
      </w:pPr>
      <w:r w:rsidRPr="002428B6">
        <w:rPr>
          <w:rFonts w:ascii="Arial" w:hAnsi="Arial" w:cs="Arial"/>
          <w:lang w:val="en-US"/>
        </w:rPr>
        <w:t xml:space="preserve">Datta Burton, S., Kieslich, K., Paul, K.T., Samuel, G. and </w:t>
      </w:r>
      <w:proofErr w:type="spellStart"/>
      <w:r w:rsidRPr="002428B6">
        <w:rPr>
          <w:rFonts w:ascii="Arial" w:hAnsi="Arial" w:cs="Arial"/>
          <w:lang w:val="en-US"/>
        </w:rPr>
        <w:t>Prainsack</w:t>
      </w:r>
      <w:proofErr w:type="spellEnd"/>
      <w:r w:rsidRPr="002428B6">
        <w:rPr>
          <w:rFonts w:ascii="Arial" w:hAnsi="Arial" w:cs="Arial"/>
          <w:lang w:val="en-US"/>
        </w:rPr>
        <w:t xml:space="preserve">, B. (2021). Rethinking value construction in biomedicine and healthcare. </w:t>
      </w:r>
      <w:proofErr w:type="spellStart"/>
      <w:r w:rsidRPr="002428B6">
        <w:rPr>
          <w:rFonts w:ascii="Arial" w:hAnsi="Arial" w:cs="Arial"/>
          <w:i/>
          <w:iCs/>
          <w:lang w:val="en-US"/>
        </w:rPr>
        <w:t>BioSocieties</w:t>
      </w:r>
      <w:proofErr w:type="spellEnd"/>
      <w:r w:rsidRPr="002428B6">
        <w:rPr>
          <w:rFonts w:ascii="Arial" w:hAnsi="Arial" w:cs="Arial"/>
          <w:lang w:val="en-US"/>
        </w:rPr>
        <w:t xml:space="preserve">. </w:t>
      </w:r>
      <w:proofErr w:type="spellStart"/>
      <w:r>
        <w:rPr>
          <w:rFonts w:ascii="Arial" w:hAnsi="Arial" w:cs="Arial"/>
          <w:lang w:val="en-US"/>
        </w:rPr>
        <w:t>doi</w:t>
      </w:r>
      <w:proofErr w:type="spellEnd"/>
      <w:r>
        <w:rPr>
          <w:rFonts w:ascii="Arial" w:hAnsi="Arial" w:cs="Arial"/>
          <w:lang w:val="en-US"/>
        </w:rPr>
        <w:t xml:space="preserve">: </w:t>
      </w:r>
      <w:hyperlink r:id="rId15" w:history="1">
        <w:r w:rsidRPr="00027CC4">
          <w:rPr>
            <w:rStyle w:val="Hyperlink"/>
            <w:rFonts w:ascii="Arial" w:hAnsi="Arial" w:cs="Arial"/>
            <w:lang w:val="en-US"/>
          </w:rPr>
          <w:t>https://doi.org/10.1057/s41292-020-00220-6</w:t>
        </w:r>
      </w:hyperlink>
      <w:r w:rsidRPr="002428B6">
        <w:rPr>
          <w:rFonts w:ascii="Arial" w:hAnsi="Arial" w:cs="Arial"/>
          <w:lang w:val="en-US"/>
        </w:rPr>
        <w:t>.</w:t>
      </w:r>
    </w:p>
    <w:p w14:paraId="4EB6C4C9" w14:textId="77777777" w:rsidR="00BE53BF" w:rsidRDefault="00BE53BF" w:rsidP="00BE53BF">
      <w:pPr>
        <w:jc w:val="both"/>
        <w:rPr>
          <w:rFonts w:ascii="Arial" w:hAnsi="Arial" w:cs="Arial"/>
          <w:lang w:val="en-US"/>
        </w:rPr>
      </w:pPr>
      <w:r w:rsidRPr="002428B6">
        <w:rPr>
          <w:rFonts w:ascii="Arial" w:hAnsi="Arial" w:cs="Arial"/>
          <w:lang w:val="en-US"/>
        </w:rPr>
        <w:t xml:space="preserve">Fukami, T. (2023). Patient engagement with psychological safety. </w:t>
      </w:r>
      <w:r w:rsidRPr="002428B6">
        <w:rPr>
          <w:rFonts w:ascii="Arial" w:hAnsi="Arial" w:cs="Arial"/>
          <w:i/>
          <w:iCs/>
          <w:lang w:val="en-US"/>
        </w:rPr>
        <w:t>Dialogues in Health</w:t>
      </w:r>
      <w:r w:rsidRPr="002428B6">
        <w:rPr>
          <w:rFonts w:ascii="Arial" w:hAnsi="Arial" w:cs="Arial"/>
          <w:lang w:val="en-US"/>
        </w:rPr>
        <w:t xml:space="preserve">, 3, pp.100153–100153. </w:t>
      </w:r>
      <w:proofErr w:type="spellStart"/>
      <w:r>
        <w:rPr>
          <w:rFonts w:ascii="Arial" w:hAnsi="Arial" w:cs="Arial"/>
          <w:lang w:val="en-US"/>
        </w:rPr>
        <w:t>doi</w:t>
      </w:r>
      <w:proofErr w:type="spellEnd"/>
      <w:r>
        <w:rPr>
          <w:rFonts w:ascii="Arial" w:hAnsi="Arial" w:cs="Arial"/>
          <w:lang w:val="en-US"/>
        </w:rPr>
        <w:t xml:space="preserve">: </w:t>
      </w:r>
      <w:hyperlink r:id="rId16" w:history="1">
        <w:r w:rsidRPr="00027CC4">
          <w:rPr>
            <w:rStyle w:val="Hyperlink"/>
            <w:rFonts w:ascii="Arial" w:hAnsi="Arial" w:cs="Arial"/>
            <w:lang w:val="en-US"/>
          </w:rPr>
          <w:t>https://doi.org/10.1016/j.dialog.2023.100153</w:t>
        </w:r>
      </w:hyperlink>
      <w:r w:rsidRPr="002428B6">
        <w:rPr>
          <w:rFonts w:ascii="Arial" w:hAnsi="Arial" w:cs="Arial"/>
          <w:lang w:val="en-US"/>
        </w:rPr>
        <w:t>.</w:t>
      </w:r>
    </w:p>
    <w:p w14:paraId="54A83BC5" w14:textId="77777777" w:rsidR="00BE53BF" w:rsidRDefault="00BE53BF" w:rsidP="00BE53BF">
      <w:pPr>
        <w:jc w:val="both"/>
        <w:rPr>
          <w:rFonts w:ascii="Arial" w:hAnsi="Arial" w:cs="Arial"/>
          <w:lang w:val="en-US"/>
        </w:rPr>
      </w:pPr>
      <w:r w:rsidRPr="002428B6">
        <w:rPr>
          <w:rFonts w:ascii="Arial" w:hAnsi="Arial" w:cs="Arial"/>
          <w:lang w:val="en-US"/>
        </w:rPr>
        <w:t xml:space="preserve">Galli, F. and New, K. (2022). </w:t>
      </w:r>
      <w:r w:rsidRPr="002428B6">
        <w:rPr>
          <w:rFonts w:ascii="Arial" w:hAnsi="Arial" w:cs="Arial"/>
          <w:i/>
          <w:iCs/>
          <w:lang w:val="en-US"/>
        </w:rPr>
        <w:t>Gibbs’ cycle review. Emotions as a part of the cycle</w:t>
      </w:r>
      <w:r w:rsidRPr="002428B6">
        <w:rPr>
          <w:rFonts w:ascii="Arial" w:hAnsi="Arial" w:cs="Arial"/>
          <w:lang w:val="en-US"/>
        </w:rPr>
        <w:t xml:space="preserve">. [online] ResearchGate. Available at: </w:t>
      </w:r>
      <w:hyperlink r:id="rId17" w:history="1">
        <w:r w:rsidRPr="005E150A">
          <w:rPr>
            <w:rStyle w:val="Hyperlink"/>
            <w:rFonts w:ascii="Arial" w:hAnsi="Arial" w:cs="Arial"/>
            <w:lang w:val="en-US"/>
          </w:rPr>
          <w:t>https://www.researchgate.net/publication/366459771_Gibbs</w:t>
        </w:r>
      </w:hyperlink>
      <w:r w:rsidRPr="002428B6">
        <w:rPr>
          <w:rFonts w:ascii="Arial" w:hAnsi="Arial" w:cs="Arial"/>
          <w:lang w:val="en-US"/>
        </w:rPr>
        <w:t>.</w:t>
      </w:r>
    </w:p>
    <w:p w14:paraId="5509CBDB" w14:textId="77777777" w:rsidR="00BE53BF" w:rsidRDefault="00BE53BF" w:rsidP="00BE53BF">
      <w:pPr>
        <w:jc w:val="both"/>
        <w:rPr>
          <w:rFonts w:ascii="Arial" w:hAnsi="Arial" w:cs="Arial"/>
          <w:lang w:val="en-US"/>
        </w:rPr>
      </w:pPr>
      <w:r w:rsidRPr="00E1752E">
        <w:rPr>
          <w:rFonts w:ascii="Arial" w:hAnsi="Arial" w:cs="Arial"/>
          <w:lang w:val="en-US"/>
        </w:rPr>
        <w:t xml:space="preserve">Gautam, S., Jain, A., Chaudhary, J., Gautam, M., Gaur, M. and Grover, S. (2024). Concept of Mental Health and Mental well-being, it’s Determinants and Coping Strategies. </w:t>
      </w:r>
      <w:r w:rsidRPr="00E1752E">
        <w:rPr>
          <w:rFonts w:ascii="Arial" w:hAnsi="Arial" w:cs="Arial"/>
          <w:i/>
          <w:iCs/>
          <w:lang w:val="en-US"/>
        </w:rPr>
        <w:t>Indian Journal of Psychiatry</w:t>
      </w:r>
      <w:r w:rsidRPr="00E1752E">
        <w:rPr>
          <w:rFonts w:ascii="Arial" w:hAnsi="Arial" w:cs="Arial"/>
          <w:lang w:val="en-US"/>
        </w:rPr>
        <w:t xml:space="preserve">, [online] 66(Suppl 2), </w:t>
      </w:r>
      <w:proofErr w:type="gramStart"/>
      <w:r w:rsidRPr="00E1752E">
        <w:rPr>
          <w:rFonts w:ascii="Arial" w:hAnsi="Arial" w:cs="Arial"/>
          <w:lang w:val="en-US"/>
        </w:rPr>
        <w:t>pp.S</w:t>
      </w:r>
      <w:proofErr w:type="gramEnd"/>
      <w:r w:rsidRPr="00E1752E">
        <w:rPr>
          <w:rFonts w:ascii="Arial" w:hAnsi="Arial" w:cs="Arial"/>
          <w:lang w:val="en-US"/>
        </w:rPr>
        <w:t xml:space="preserve">231–S244. </w:t>
      </w:r>
      <w:proofErr w:type="spellStart"/>
      <w:r w:rsidRPr="00E1752E">
        <w:rPr>
          <w:rFonts w:ascii="Arial" w:hAnsi="Arial" w:cs="Arial"/>
          <w:lang w:val="en-US"/>
        </w:rPr>
        <w:t>doi</w:t>
      </w:r>
      <w:proofErr w:type="spellEnd"/>
      <w:r w:rsidRPr="00E1752E">
        <w:rPr>
          <w:rFonts w:ascii="Arial" w:hAnsi="Arial" w:cs="Arial"/>
          <w:lang w:val="en-US"/>
        </w:rPr>
        <w:t>:</w:t>
      </w:r>
      <w:r>
        <w:rPr>
          <w:rFonts w:ascii="Arial" w:hAnsi="Arial" w:cs="Arial"/>
          <w:lang w:val="en-US"/>
        </w:rPr>
        <w:t xml:space="preserve"> </w:t>
      </w:r>
      <w:hyperlink r:id="rId18" w:history="1">
        <w:r w:rsidRPr="005E150A">
          <w:rPr>
            <w:rStyle w:val="Hyperlink"/>
            <w:rFonts w:ascii="Arial" w:hAnsi="Arial" w:cs="Arial"/>
            <w:lang w:val="en-US"/>
          </w:rPr>
          <w:t>https://doi.org/10.4103/indianjpsychiatry.indianjpsychiatry_707_23</w:t>
        </w:r>
      </w:hyperlink>
      <w:r w:rsidRPr="00E1752E">
        <w:rPr>
          <w:rFonts w:ascii="Arial" w:hAnsi="Arial" w:cs="Arial"/>
          <w:lang w:val="en-US"/>
        </w:rPr>
        <w:t>.</w:t>
      </w:r>
    </w:p>
    <w:p w14:paraId="73DE81D9" w14:textId="77777777" w:rsidR="00BE53BF" w:rsidRDefault="00BE53BF" w:rsidP="00BE53BF">
      <w:pPr>
        <w:jc w:val="both"/>
        <w:rPr>
          <w:rFonts w:ascii="Arial" w:hAnsi="Arial" w:cs="Arial"/>
          <w:lang w:val="en-US"/>
        </w:rPr>
      </w:pPr>
      <w:r w:rsidRPr="002428B6">
        <w:rPr>
          <w:rFonts w:ascii="Arial" w:hAnsi="Arial" w:cs="Arial"/>
          <w:lang w:val="en-US"/>
        </w:rPr>
        <w:t xml:space="preserve">Ito, A., Sato, K., Yumoto, Y., Sasaki, M. and Ogata, Y. (2022). A concept analysis of psychological safety: Further understanding for application to health care. </w:t>
      </w:r>
      <w:r w:rsidRPr="002428B6">
        <w:rPr>
          <w:rFonts w:ascii="Arial" w:hAnsi="Arial" w:cs="Arial"/>
          <w:i/>
          <w:iCs/>
          <w:lang w:val="en-US"/>
        </w:rPr>
        <w:t>ProQuest</w:t>
      </w:r>
      <w:r w:rsidRPr="002428B6">
        <w:rPr>
          <w:rFonts w:ascii="Arial" w:hAnsi="Arial" w:cs="Arial"/>
          <w:lang w:val="en-US"/>
        </w:rPr>
        <w:t xml:space="preserve">, [online] 9(1), pp.467–489. </w:t>
      </w:r>
      <w:proofErr w:type="spellStart"/>
      <w:r>
        <w:rPr>
          <w:rFonts w:ascii="Arial" w:hAnsi="Arial" w:cs="Arial"/>
          <w:lang w:val="en-US"/>
        </w:rPr>
        <w:t>doi</w:t>
      </w:r>
      <w:proofErr w:type="spellEnd"/>
      <w:r>
        <w:rPr>
          <w:rFonts w:ascii="Arial" w:hAnsi="Arial" w:cs="Arial"/>
          <w:lang w:val="en-US"/>
        </w:rPr>
        <w:t xml:space="preserve">: </w:t>
      </w:r>
      <w:hyperlink r:id="rId19" w:history="1">
        <w:r w:rsidRPr="00027CC4">
          <w:rPr>
            <w:rStyle w:val="Hyperlink"/>
            <w:rFonts w:ascii="Arial" w:hAnsi="Arial" w:cs="Arial"/>
            <w:lang w:val="en-US"/>
          </w:rPr>
          <w:t>https://doi.org/10.1002/nop2.1086</w:t>
        </w:r>
      </w:hyperlink>
      <w:r w:rsidRPr="002428B6">
        <w:rPr>
          <w:rFonts w:ascii="Arial" w:hAnsi="Arial" w:cs="Arial"/>
          <w:lang w:val="en-US"/>
        </w:rPr>
        <w:t>.</w:t>
      </w:r>
    </w:p>
    <w:p w14:paraId="3A285440" w14:textId="77777777" w:rsidR="00BE53BF" w:rsidRDefault="00BE53BF" w:rsidP="00BE53BF">
      <w:pPr>
        <w:jc w:val="both"/>
        <w:rPr>
          <w:rFonts w:ascii="Arial" w:hAnsi="Arial" w:cs="Arial"/>
          <w:lang w:val="en-US"/>
        </w:rPr>
      </w:pPr>
      <w:proofErr w:type="spellStart"/>
      <w:r w:rsidRPr="002428B6">
        <w:rPr>
          <w:rFonts w:ascii="Arial" w:hAnsi="Arial" w:cs="Arial"/>
          <w:lang w:val="en-US"/>
        </w:rPr>
        <w:t>Kalargiros</w:t>
      </w:r>
      <w:proofErr w:type="spellEnd"/>
      <w:r w:rsidRPr="002428B6">
        <w:rPr>
          <w:rFonts w:ascii="Arial" w:hAnsi="Arial" w:cs="Arial"/>
          <w:lang w:val="en-US"/>
        </w:rPr>
        <w:t xml:space="preserve">, E.M. and Manning, M.R. (2015). </w:t>
      </w:r>
      <w:r w:rsidRPr="002428B6">
        <w:rPr>
          <w:rFonts w:ascii="Arial" w:hAnsi="Arial" w:cs="Arial"/>
          <w:i/>
          <w:iCs/>
          <w:lang w:val="en-US"/>
        </w:rPr>
        <w:t>Divergent Thinking and Brainstorming in Perspective: Implications for Organization Change and Innovation</w:t>
      </w:r>
      <w:r w:rsidRPr="002428B6">
        <w:rPr>
          <w:rFonts w:ascii="Arial" w:hAnsi="Arial" w:cs="Arial"/>
          <w:lang w:val="en-US"/>
        </w:rPr>
        <w:t xml:space="preserve">. [online] ResearchGate. Available at: </w:t>
      </w:r>
      <w:hyperlink r:id="rId20" w:history="1">
        <w:r w:rsidRPr="00027CC4">
          <w:rPr>
            <w:rStyle w:val="Hyperlink"/>
            <w:rFonts w:ascii="Arial" w:hAnsi="Arial" w:cs="Arial"/>
            <w:lang w:val="en-US"/>
          </w:rPr>
          <w:t>https://www.researchgate.net/publication/282240385_Divergent_Thinking_and_Brainstorming_in_Perspective_Implications_for_Organization_Change_and_Innovation</w:t>
        </w:r>
      </w:hyperlink>
      <w:r w:rsidRPr="002428B6">
        <w:rPr>
          <w:rFonts w:ascii="Arial" w:hAnsi="Arial" w:cs="Arial"/>
          <w:lang w:val="en-US"/>
        </w:rPr>
        <w:t>.</w:t>
      </w:r>
    </w:p>
    <w:p w14:paraId="3834DCD0" w14:textId="77777777" w:rsidR="00BE53BF" w:rsidRDefault="00BE53BF" w:rsidP="00BE53BF">
      <w:pPr>
        <w:jc w:val="both"/>
        <w:rPr>
          <w:rFonts w:ascii="Arial" w:hAnsi="Arial" w:cs="Arial"/>
          <w:lang w:val="en-US"/>
        </w:rPr>
      </w:pPr>
      <w:proofErr w:type="spellStart"/>
      <w:r w:rsidRPr="002428B6">
        <w:rPr>
          <w:rFonts w:ascii="Arial" w:hAnsi="Arial" w:cs="Arial"/>
          <w:lang w:val="en-US"/>
        </w:rPr>
        <w:t>Kosiol</w:t>
      </w:r>
      <w:proofErr w:type="spellEnd"/>
      <w:r w:rsidRPr="002428B6">
        <w:rPr>
          <w:rFonts w:ascii="Arial" w:hAnsi="Arial" w:cs="Arial"/>
          <w:lang w:val="en-US"/>
        </w:rPr>
        <w:t xml:space="preserve">, J., Silvester, T., Cooper, H., Alford, S. and Fraser, L. (2024). </w:t>
      </w:r>
      <w:proofErr w:type="spellStart"/>
      <w:r w:rsidRPr="002428B6">
        <w:rPr>
          <w:rFonts w:ascii="Arial" w:hAnsi="Arial" w:cs="Arial"/>
          <w:lang w:val="en-US"/>
        </w:rPr>
        <w:t>Revolutionising</w:t>
      </w:r>
      <w:proofErr w:type="spellEnd"/>
      <w:r w:rsidRPr="002428B6">
        <w:rPr>
          <w:rFonts w:ascii="Arial" w:hAnsi="Arial" w:cs="Arial"/>
          <w:lang w:val="en-US"/>
        </w:rPr>
        <w:t xml:space="preserve"> health and social care: Innovative solutions for a brighter tomorrow – a systematic review of the literature. </w:t>
      </w:r>
      <w:r w:rsidRPr="002428B6">
        <w:rPr>
          <w:rFonts w:ascii="Arial" w:hAnsi="Arial" w:cs="Arial"/>
          <w:i/>
          <w:iCs/>
          <w:lang w:val="en-US"/>
        </w:rPr>
        <w:t>BMC Health Services Research</w:t>
      </w:r>
      <w:r w:rsidRPr="002428B6">
        <w:rPr>
          <w:rFonts w:ascii="Arial" w:hAnsi="Arial" w:cs="Arial"/>
          <w:lang w:val="en-US"/>
        </w:rPr>
        <w:t xml:space="preserve">, [online] 24(1). </w:t>
      </w:r>
      <w:proofErr w:type="spellStart"/>
      <w:r>
        <w:rPr>
          <w:rFonts w:ascii="Arial" w:hAnsi="Arial" w:cs="Arial"/>
          <w:lang w:val="en-US"/>
        </w:rPr>
        <w:t>doi</w:t>
      </w:r>
      <w:proofErr w:type="spellEnd"/>
      <w:r>
        <w:rPr>
          <w:rFonts w:ascii="Arial" w:hAnsi="Arial" w:cs="Arial"/>
          <w:lang w:val="en-US"/>
        </w:rPr>
        <w:t xml:space="preserve">: </w:t>
      </w:r>
      <w:hyperlink r:id="rId21" w:history="1">
        <w:r w:rsidRPr="00027CC4">
          <w:rPr>
            <w:rStyle w:val="Hyperlink"/>
            <w:rFonts w:ascii="Arial" w:hAnsi="Arial" w:cs="Arial"/>
            <w:lang w:val="en-US"/>
          </w:rPr>
          <w:t>https://doi.org/10.1186/s12913-024-11099-5</w:t>
        </w:r>
      </w:hyperlink>
      <w:r w:rsidRPr="002428B6">
        <w:rPr>
          <w:rFonts w:ascii="Arial" w:hAnsi="Arial" w:cs="Arial"/>
          <w:lang w:val="en-US"/>
        </w:rPr>
        <w:t>.</w:t>
      </w:r>
    </w:p>
    <w:p w14:paraId="5F07EEED" w14:textId="77777777" w:rsidR="00BE53BF" w:rsidRDefault="00BE53BF" w:rsidP="00BE53BF">
      <w:pPr>
        <w:jc w:val="both"/>
        <w:rPr>
          <w:rFonts w:ascii="Arial" w:hAnsi="Arial" w:cs="Arial"/>
          <w:lang w:val="en-US"/>
        </w:rPr>
      </w:pPr>
      <w:r w:rsidRPr="002428B6">
        <w:rPr>
          <w:rFonts w:ascii="Arial" w:hAnsi="Arial" w:cs="Arial"/>
          <w:lang w:val="en-US"/>
        </w:rPr>
        <w:t xml:space="preserve">Levander, X.A., VanDerSchaaf, H., Vanessa Guerrero Barragán, Hetal </w:t>
      </w:r>
      <w:proofErr w:type="spellStart"/>
      <w:r w:rsidRPr="002428B6">
        <w:rPr>
          <w:rFonts w:ascii="Arial" w:hAnsi="Arial" w:cs="Arial"/>
          <w:lang w:val="en-US"/>
        </w:rPr>
        <w:t>Choxi</w:t>
      </w:r>
      <w:proofErr w:type="spellEnd"/>
      <w:r w:rsidRPr="002428B6">
        <w:rPr>
          <w:rFonts w:ascii="Arial" w:hAnsi="Arial" w:cs="Arial"/>
          <w:lang w:val="en-US"/>
        </w:rPr>
        <w:t xml:space="preserve">, Hoffman, A.M., Morgan, E., Wong, E., Raghav Wusirika and Cheng, A. (2023). The role of human-centered design in healthcare innovation: A digital health equity case study. </w:t>
      </w:r>
      <w:r w:rsidRPr="002428B6">
        <w:rPr>
          <w:rFonts w:ascii="Arial" w:hAnsi="Arial" w:cs="Arial"/>
          <w:i/>
          <w:iCs/>
          <w:lang w:val="en-US"/>
        </w:rPr>
        <w:t>Journal of General Internal Medicine</w:t>
      </w:r>
      <w:r w:rsidRPr="002428B6">
        <w:rPr>
          <w:rFonts w:ascii="Arial" w:hAnsi="Arial" w:cs="Arial"/>
          <w:lang w:val="en-US"/>
        </w:rPr>
        <w:t xml:space="preserve">, 39(4). </w:t>
      </w:r>
      <w:proofErr w:type="spellStart"/>
      <w:r>
        <w:rPr>
          <w:rFonts w:ascii="Arial" w:hAnsi="Arial" w:cs="Arial"/>
          <w:lang w:val="en-US"/>
        </w:rPr>
        <w:t>doi</w:t>
      </w:r>
      <w:proofErr w:type="spellEnd"/>
      <w:r>
        <w:rPr>
          <w:rFonts w:ascii="Arial" w:hAnsi="Arial" w:cs="Arial"/>
          <w:lang w:val="en-US"/>
        </w:rPr>
        <w:t xml:space="preserve">: </w:t>
      </w:r>
      <w:hyperlink r:id="rId22" w:history="1">
        <w:r w:rsidRPr="00027CC4">
          <w:rPr>
            <w:rStyle w:val="Hyperlink"/>
            <w:rFonts w:ascii="Arial" w:hAnsi="Arial" w:cs="Arial"/>
            <w:lang w:val="en-US"/>
          </w:rPr>
          <w:t>https://doi.org/10.1007/s11606-023-08500-0</w:t>
        </w:r>
      </w:hyperlink>
      <w:r w:rsidRPr="002428B6">
        <w:rPr>
          <w:rFonts w:ascii="Arial" w:hAnsi="Arial" w:cs="Arial"/>
          <w:lang w:val="en-US"/>
        </w:rPr>
        <w:t>.</w:t>
      </w:r>
    </w:p>
    <w:p w14:paraId="4E65F25B" w14:textId="77777777" w:rsidR="00BE53BF" w:rsidRDefault="00BE53BF" w:rsidP="00BE53BF">
      <w:pPr>
        <w:jc w:val="both"/>
        <w:rPr>
          <w:rFonts w:ascii="Arial" w:hAnsi="Arial" w:cs="Arial"/>
          <w:lang w:val="en-US"/>
        </w:rPr>
      </w:pPr>
      <w:r w:rsidRPr="002428B6">
        <w:rPr>
          <w:rFonts w:ascii="Arial" w:hAnsi="Arial" w:cs="Arial"/>
          <w:lang w:val="en-US"/>
        </w:rPr>
        <w:t xml:space="preserve">NHS England (2023). </w:t>
      </w:r>
      <w:r w:rsidRPr="002428B6">
        <w:rPr>
          <w:rFonts w:ascii="Arial" w:hAnsi="Arial" w:cs="Arial"/>
          <w:i/>
          <w:iCs/>
          <w:lang w:val="en-US"/>
        </w:rPr>
        <w:t>One in Five Children and Young People Had a Probable Mental Disorder in 2023</w:t>
      </w:r>
      <w:r w:rsidRPr="002428B6">
        <w:rPr>
          <w:rFonts w:ascii="Arial" w:hAnsi="Arial" w:cs="Arial"/>
          <w:lang w:val="en-US"/>
        </w:rPr>
        <w:t xml:space="preserve">. [online] www.england.nhs.uk. Available at: </w:t>
      </w:r>
      <w:hyperlink r:id="rId23" w:history="1">
        <w:r w:rsidRPr="00027CC4">
          <w:rPr>
            <w:rStyle w:val="Hyperlink"/>
            <w:rFonts w:ascii="Arial" w:hAnsi="Arial" w:cs="Arial"/>
            <w:lang w:val="en-US"/>
          </w:rPr>
          <w:t>https://www.england.nhs.uk/2023/11/one-in-five-children-and-young-people-had-a-probable-mental-disorder-in-2023/</w:t>
        </w:r>
      </w:hyperlink>
      <w:r w:rsidRPr="002428B6">
        <w:rPr>
          <w:rFonts w:ascii="Arial" w:hAnsi="Arial" w:cs="Arial"/>
          <w:lang w:val="en-US"/>
        </w:rPr>
        <w:t>.</w:t>
      </w:r>
    </w:p>
    <w:p w14:paraId="380F7B5B" w14:textId="77777777" w:rsidR="00BE53BF" w:rsidRDefault="00BE53BF" w:rsidP="00BE53BF">
      <w:pPr>
        <w:jc w:val="both"/>
        <w:rPr>
          <w:rFonts w:ascii="Arial" w:hAnsi="Arial" w:cs="Arial"/>
          <w:lang w:val="en-US"/>
        </w:rPr>
      </w:pPr>
      <w:r w:rsidRPr="002428B6">
        <w:rPr>
          <w:rFonts w:ascii="Arial" w:hAnsi="Arial" w:cs="Arial"/>
          <w:lang w:val="en-US"/>
        </w:rPr>
        <w:lastRenderedPageBreak/>
        <w:t xml:space="preserve">NHS England (2024). </w:t>
      </w:r>
      <w:r w:rsidRPr="002428B6">
        <w:rPr>
          <w:rFonts w:ascii="Arial" w:hAnsi="Arial" w:cs="Arial"/>
          <w:i/>
          <w:iCs/>
          <w:lang w:val="en-US"/>
        </w:rPr>
        <w:t>2024/25 Priorities and Operational Planning Guidance</w:t>
      </w:r>
      <w:r w:rsidRPr="002428B6">
        <w:rPr>
          <w:rFonts w:ascii="Arial" w:hAnsi="Arial" w:cs="Arial"/>
          <w:lang w:val="en-US"/>
        </w:rPr>
        <w:t xml:space="preserve">. [online] www.england.nhs.uk. Available at: </w:t>
      </w:r>
      <w:hyperlink r:id="rId24" w:history="1">
        <w:r w:rsidRPr="00027CC4">
          <w:rPr>
            <w:rStyle w:val="Hyperlink"/>
            <w:rFonts w:ascii="Arial" w:hAnsi="Arial" w:cs="Arial"/>
            <w:lang w:val="en-US"/>
          </w:rPr>
          <w:t>https://www.england.nhs.uk/long-read/2024-25-priorities-and-operational-planning-guidance/</w:t>
        </w:r>
      </w:hyperlink>
      <w:r w:rsidRPr="002428B6">
        <w:rPr>
          <w:rFonts w:ascii="Arial" w:hAnsi="Arial" w:cs="Arial"/>
          <w:lang w:val="en-US"/>
        </w:rPr>
        <w:t>.</w:t>
      </w:r>
    </w:p>
    <w:p w14:paraId="44FC13EC" w14:textId="77777777" w:rsidR="00BE53BF" w:rsidRDefault="00BE53BF" w:rsidP="00BE53BF">
      <w:pPr>
        <w:jc w:val="both"/>
        <w:rPr>
          <w:rFonts w:ascii="Arial" w:hAnsi="Arial" w:cs="Arial"/>
          <w:lang w:val="en-US"/>
        </w:rPr>
      </w:pPr>
      <w:r w:rsidRPr="002428B6">
        <w:rPr>
          <w:rFonts w:ascii="Arial" w:hAnsi="Arial" w:cs="Arial"/>
          <w:lang w:val="en-US"/>
        </w:rPr>
        <w:t xml:space="preserve">NHS Leadership Academy (2025). </w:t>
      </w:r>
      <w:r w:rsidRPr="002428B6">
        <w:rPr>
          <w:rFonts w:ascii="Arial" w:hAnsi="Arial" w:cs="Arial"/>
          <w:i/>
          <w:iCs/>
          <w:lang w:val="en-US"/>
        </w:rPr>
        <w:t>Explore the Healthcare Leadership Model</w:t>
      </w:r>
      <w:r w:rsidRPr="002428B6">
        <w:rPr>
          <w:rFonts w:ascii="Arial" w:hAnsi="Arial" w:cs="Arial"/>
          <w:lang w:val="en-US"/>
        </w:rPr>
        <w:t xml:space="preserve">. [online] NHS Leadership Academy. Available at: </w:t>
      </w:r>
      <w:hyperlink r:id="rId25" w:history="1">
        <w:r w:rsidRPr="00027CC4">
          <w:rPr>
            <w:rStyle w:val="Hyperlink"/>
            <w:rFonts w:ascii="Arial" w:hAnsi="Arial" w:cs="Arial"/>
            <w:lang w:val="en-US"/>
          </w:rPr>
          <w:t>https://www.leadershipacademy.nhs.uk/healthcare-leadership-model/explore-the-healthcare-leadership-model/</w:t>
        </w:r>
      </w:hyperlink>
      <w:r w:rsidRPr="002428B6">
        <w:rPr>
          <w:rFonts w:ascii="Arial" w:hAnsi="Arial" w:cs="Arial"/>
          <w:lang w:val="en-US"/>
        </w:rPr>
        <w:t>.</w:t>
      </w:r>
    </w:p>
    <w:p w14:paraId="1595119D" w14:textId="77777777" w:rsidR="00BE53BF" w:rsidRDefault="00BE53BF" w:rsidP="00BE53BF">
      <w:pPr>
        <w:jc w:val="both"/>
        <w:rPr>
          <w:rFonts w:ascii="Arial" w:hAnsi="Arial" w:cs="Arial"/>
          <w:lang w:val="en-US"/>
        </w:rPr>
      </w:pPr>
      <w:r w:rsidRPr="002428B6">
        <w:rPr>
          <w:rFonts w:ascii="Arial" w:hAnsi="Arial" w:cs="Arial"/>
          <w:lang w:val="en-US"/>
        </w:rPr>
        <w:t xml:space="preserve">Stein, S.M. and Harper, T.L. (2011). Creativity and Innovation. </w:t>
      </w:r>
      <w:r w:rsidRPr="002428B6">
        <w:rPr>
          <w:rFonts w:ascii="Arial" w:hAnsi="Arial" w:cs="Arial"/>
          <w:i/>
          <w:iCs/>
          <w:lang w:val="en-US"/>
        </w:rPr>
        <w:t>Journal of Planning Education and Research</w:t>
      </w:r>
      <w:r w:rsidRPr="002428B6">
        <w:rPr>
          <w:rFonts w:ascii="Arial" w:hAnsi="Arial" w:cs="Arial"/>
          <w:lang w:val="en-US"/>
        </w:rPr>
        <w:t xml:space="preserve">, 32(1), pp.5–17. </w:t>
      </w:r>
      <w:proofErr w:type="spellStart"/>
      <w:r>
        <w:rPr>
          <w:rFonts w:ascii="Arial" w:hAnsi="Arial" w:cs="Arial"/>
          <w:lang w:val="en-US"/>
        </w:rPr>
        <w:t>doi</w:t>
      </w:r>
      <w:proofErr w:type="spellEnd"/>
      <w:r>
        <w:rPr>
          <w:rFonts w:ascii="Arial" w:hAnsi="Arial" w:cs="Arial"/>
          <w:lang w:val="en-US"/>
        </w:rPr>
        <w:t xml:space="preserve">: </w:t>
      </w:r>
      <w:hyperlink r:id="rId26" w:history="1">
        <w:r w:rsidRPr="00027CC4">
          <w:rPr>
            <w:rStyle w:val="Hyperlink"/>
            <w:rFonts w:ascii="Arial" w:hAnsi="Arial" w:cs="Arial"/>
            <w:lang w:val="en-US"/>
          </w:rPr>
          <w:t>https://doi.org/10.1177/0739456x11417829</w:t>
        </w:r>
      </w:hyperlink>
      <w:r w:rsidRPr="002428B6">
        <w:rPr>
          <w:rFonts w:ascii="Arial" w:hAnsi="Arial" w:cs="Arial"/>
          <w:lang w:val="en-US"/>
        </w:rPr>
        <w:t>.</w:t>
      </w:r>
    </w:p>
    <w:p w14:paraId="12D17573" w14:textId="77777777" w:rsidR="00BE53BF" w:rsidRDefault="00BE53BF" w:rsidP="00BE53BF">
      <w:pPr>
        <w:jc w:val="both"/>
        <w:rPr>
          <w:rFonts w:ascii="Arial" w:hAnsi="Arial" w:cs="Arial"/>
          <w:lang w:val="en-US"/>
        </w:rPr>
      </w:pPr>
      <w:r w:rsidRPr="002428B6">
        <w:rPr>
          <w:rFonts w:ascii="Arial" w:hAnsi="Arial" w:cs="Arial"/>
          <w:lang w:val="en-US"/>
        </w:rPr>
        <w:t xml:space="preserve">Tzimourta, K.D. (2025). Human-Centered Design and Development in Digital Health: Approaches, Challenges, and Emerging Trends. </w:t>
      </w:r>
      <w:r w:rsidRPr="002428B6">
        <w:rPr>
          <w:rFonts w:ascii="Arial" w:hAnsi="Arial" w:cs="Arial"/>
          <w:i/>
          <w:iCs/>
          <w:lang w:val="en-US"/>
        </w:rPr>
        <w:t>Cureus</w:t>
      </w:r>
      <w:r w:rsidRPr="002428B6">
        <w:rPr>
          <w:rFonts w:ascii="Arial" w:hAnsi="Arial" w:cs="Arial"/>
          <w:lang w:val="en-US"/>
        </w:rPr>
        <w:t xml:space="preserve">, 25. </w:t>
      </w:r>
      <w:proofErr w:type="spellStart"/>
      <w:r>
        <w:rPr>
          <w:rFonts w:ascii="Arial" w:hAnsi="Arial" w:cs="Arial"/>
          <w:lang w:val="en-US"/>
        </w:rPr>
        <w:t>doi</w:t>
      </w:r>
      <w:proofErr w:type="spellEnd"/>
      <w:r>
        <w:rPr>
          <w:rFonts w:ascii="Arial" w:hAnsi="Arial" w:cs="Arial"/>
          <w:lang w:val="en-US"/>
        </w:rPr>
        <w:t xml:space="preserve">: </w:t>
      </w:r>
      <w:hyperlink r:id="rId27" w:history="1">
        <w:r w:rsidRPr="00027CC4">
          <w:rPr>
            <w:rStyle w:val="Hyperlink"/>
            <w:rFonts w:ascii="Arial" w:hAnsi="Arial" w:cs="Arial"/>
            <w:lang w:val="en-US"/>
          </w:rPr>
          <w:t>https://doi.org/10.7759/cureus.85897</w:t>
        </w:r>
      </w:hyperlink>
      <w:r w:rsidRPr="002428B6">
        <w:rPr>
          <w:rFonts w:ascii="Arial" w:hAnsi="Arial" w:cs="Arial"/>
          <w:lang w:val="en-US"/>
        </w:rPr>
        <w:t>.</w:t>
      </w:r>
    </w:p>
    <w:p w14:paraId="08938636" w14:textId="77777777" w:rsidR="00BE53BF" w:rsidRDefault="00BE53BF" w:rsidP="00BE53BF">
      <w:pPr>
        <w:jc w:val="both"/>
        <w:rPr>
          <w:rFonts w:ascii="Arial" w:hAnsi="Arial" w:cs="Arial"/>
          <w:lang w:val="en-US"/>
        </w:rPr>
      </w:pPr>
      <w:r w:rsidRPr="002428B6">
        <w:rPr>
          <w:rFonts w:ascii="Arial" w:hAnsi="Arial" w:cs="Arial"/>
          <w:lang w:val="en-US"/>
        </w:rPr>
        <w:t xml:space="preserve">Wainberg, M.L., Scorza, P., Shultz, J.M., </w:t>
      </w:r>
      <w:proofErr w:type="spellStart"/>
      <w:r w:rsidRPr="002428B6">
        <w:rPr>
          <w:rFonts w:ascii="Arial" w:hAnsi="Arial" w:cs="Arial"/>
          <w:lang w:val="en-US"/>
        </w:rPr>
        <w:t>Helpman</w:t>
      </w:r>
      <w:proofErr w:type="spellEnd"/>
      <w:r w:rsidRPr="002428B6">
        <w:rPr>
          <w:rFonts w:ascii="Arial" w:hAnsi="Arial" w:cs="Arial"/>
          <w:lang w:val="en-US"/>
        </w:rPr>
        <w:t xml:space="preserve">, L., Mootz, J.J., Johnson, K.A., Neria, Y., Bradford, J.-M.E., Oquendo, M.A. and Arbuckle, M.R. (2017). Challenges and Opportunities in Global Mental Health: </w:t>
      </w:r>
      <w:proofErr w:type="gramStart"/>
      <w:r w:rsidRPr="002428B6">
        <w:rPr>
          <w:rFonts w:ascii="Arial" w:hAnsi="Arial" w:cs="Arial"/>
          <w:lang w:val="en-US"/>
        </w:rPr>
        <w:t>a</w:t>
      </w:r>
      <w:proofErr w:type="gramEnd"/>
      <w:r w:rsidRPr="002428B6">
        <w:rPr>
          <w:rFonts w:ascii="Arial" w:hAnsi="Arial" w:cs="Arial"/>
          <w:lang w:val="en-US"/>
        </w:rPr>
        <w:t xml:space="preserve"> Research-to-Practice Perspective. </w:t>
      </w:r>
      <w:r w:rsidRPr="002428B6">
        <w:rPr>
          <w:rFonts w:ascii="Arial" w:hAnsi="Arial" w:cs="Arial"/>
          <w:i/>
          <w:iCs/>
          <w:lang w:val="en-US"/>
        </w:rPr>
        <w:t>Current Psychiatry Reports</w:t>
      </w:r>
      <w:r w:rsidRPr="002428B6">
        <w:rPr>
          <w:rFonts w:ascii="Arial" w:hAnsi="Arial" w:cs="Arial"/>
          <w:lang w:val="en-US"/>
        </w:rPr>
        <w:t xml:space="preserve">, [online] 19(5). </w:t>
      </w:r>
      <w:proofErr w:type="spellStart"/>
      <w:r>
        <w:rPr>
          <w:rFonts w:ascii="Arial" w:hAnsi="Arial" w:cs="Arial"/>
          <w:lang w:val="en-US"/>
        </w:rPr>
        <w:t>doi</w:t>
      </w:r>
      <w:proofErr w:type="spellEnd"/>
      <w:r>
        <w:rPr>
          <w:rFonts w:ascii="Arial" w:hAnsi="Arial" w:cs="Arial"/>
          <w:lang w:val="en-US"/>
        </w:rPr>
        <w:t xml:space="preserve">: </w:t>
      </w:r>
      <w:hyperlink r:id="rId28" w:history="1">
        <w:r w:rsidRPr="00027CC4">
          <w:rPr>
            <w:rStyle w:val="Hyperlink"/>
            <w:rFonts w:ascii="Arial" w:hAnsi="Arial" w:cs="Arial"/>
            <w:lang w:val="en-US"/>
          </w:rPr>
          <w:t>https://doi.org/10.1007/s11920-017-0780-z</w:t>
        </w:r>
      </w:hyperlink>
      <w:r w:rsidRPr="002428B6">
        <w:rPr>
          <w:rFonts w:ascii="Arial" w:hAnsi="Arial" w:cs="Arial"/>
          <w:lang w:val="en-US"/>
        </w:rPr>
        <w:t>.</w:t>
      </w:r>
    </w:p>
    <w:p w14:paraId="1E907965" w14:textId="77777777" w:rsidR="00BE53BF" w:rsidRDefault="00BE53BF" w:rsidP="00BE53BF">
      <w:pPr>
        <w:jc w:val="both"/>
        <w:rPr>
          <w:rFonts w:ascii="Arial" w:hAnsi="Arial" w:cs="Arial"/>
          <w:lang w:val="en-US"/>
        </w:rPr>
      </w:pPr>
      <w:r w:rsidRPr="002428B6">
        <w:rPr>
          <w:rFonts w:ascii="Arial" w:hAnsi="Arial" w:cs="Arial"/>
          <w:lang w:val="en-US"/>
        </w:rPr>
        <w:t xml:space="preserve">Zhang, Y., Zhou, M., Liang, R., Chen, J., Shi, P., Zheng, Y., Luo, X., Wu, Y., Yu, X., Wu, Y., Liang, S., Deng, W., </w:t>
      </w:r>
      <w:proofErr w:type="spellStart"/>
      <w:r w:rsidRPr="002428B6">
        <w:rPr>
          <w:rFonts w:ascii="Arial" w:hAnsi="Arial" w:cs="Arial"/>
          <w:lang w:val="en-US"/>
        </w:rPr>
        <w:t>Bueber</w:t>
      </w:r>
      <w:proofErr w:type="spellEnd"/>
      <w:r w:rsidRPr="002428B6">
        <w:rPr>
          <w:rFonts w:ascii="Arial" w:hAnsi="Arial" w:cs="Arial"/>
          <w:lang w:val="en-US"/>
        </w:rPr>
        <w:t xml:space="preserve">, M.A., Phillips, M.R. and Li, T. (2025). Mental health literacy and the </w:t>
      </w:r>
      <w:proofErr w:type="spellStart"/>
      <w:r w:rsidRPr="002428B6">
        <w:rPr>
          <w:rFonts w:ascii="Arial" w:hAnsi="Arial" w:cs="Arial"/>
          <w:lang w:val="en-US"/>
        </w:rPr>
        <w:t>stigmatisation</w:t>
      </w:r>
      <w:proofErr w:type="spellEnd"/>
      <w:r w:rsidRPr="002428B6">
        <w:rPr>
          <w:rFonts w:ascii="Arial" w:hAnsi="Arial" w:cs="Arial"/>
          <w:lang w:val="en-US"/>
        </w:rPr>
        <w:t xml:space="preserve"> and discrimination of individuals affected by mental illnesses in China: a scoping review. </w:t>
      </w:r>
      <w:r w:rsidRPr="002428B6">
        <w:rPr>
          <w:rFonts w:ascii="Arial" w:hAnsi="Arial" w:cs="Arial"/>
          <w:i/>
          <w:iCs/>
          <w:lang w:val="en-US"/>
        </w:rPr>
        <w:t>The Lancet Regional Health - Western Pacific</w:t>
      </w:r>
      <w:r w:rsidRPr="002428B6">
        <w:rPr>
          <w:rFonts w:ascii="Arial" w:hAnsi="Arial" w:cs="Arial"/>
          <w:lang w:val="en-US"/>
        </w:rPr>
        <w:t xml:space="preserve">, [online] pp.101642–101642. </w:t>
      </w:r>
      <w:proofErr w:type="spellStart"/>
      <w:r>
        <w:rPr>
          <w:rFonts w:ascii="Arial" w:hAnsi="Arial" w:cs="Arial"/>
          <w:lang w:val="en-US"/>
        </w:rPr>
        <w:t>doi</w:t>
      </w:r>
      <w:proofErr w:type="spellEnd"/>
      <w:r>
        <w:rPr>
          <w:rFonts w:ascii="Arial" w:hAnsi="Arial" w:cs="Arial"/>
          <w:lang w:val="en-US"/>
        </w:rPr>
        <w:t xml:space="preserve">: </w:t>
      </w:r>
      <w:hyperlink r:id="rId29" w:history="1">
        <w:r w:rsidRPr="00027CC4">
          <w:rPr>
            <w:rStyle w:val="Hyperlink"/>
            <w:rFonts w:ascii="Arial" w:hAnsi="Arial" w:cs="Arial"/>
            <w:lang w:val="en-US"/>
          </w:rPr>
          <w:t>https://doi.org/10.1016/j.lanwpc.2025.101642</w:t>
        </w:r>
      </w:hyperlink>
      <w:r w:rsidRPr="002428B6">
        <w:rPr>
          <w:rFonts w:ascii="Arial" w:hAnsi="Arial" w:cs="Arial"/>
          <w:lang w:val="en-US"/>
        </w:rPr>
        <w:t>.</w:t>
      </w:r>
    </w:p>
    <w:p w14:paraId="366C5A5F" w14:textId="77777777" w:rsidR="00AF1065" w:rsidRDefault="00AF1065">
      <w:pPr>
        <w:jc w:val="both"/>
        <w:rPr>
          <w:rFonts w:ascii="Arial" w:hAnsi="Arial" w:cs="Arial"/>
          <w:lang w:val="en-US"/>
        </w:rPr>
      </w:pPr>
    </w:p>
    <w:p w14:paraId="75D3B6AA" w14:textId="77777777" w:rsidR="00AF1065" w:rsidRDefault="00AF1065">
      <w:pPr>
        <w:jc w:val="both"/>
        <w:rPr>
          <w:rFonts w:ascii="Arial" w:hAnsi="Arial" w:cs="Arial"/>
          <w:lang w:val="en-US"/>
        </w:rPr>
      </w:pPr>
    </w:p>
    <w:p w14:paraId="561394E3" w14:textId="77777777" w:rsidR="00AF1065" w:rsidRDefault="00AF1065">
      <w:pPr>
        <w:jc w:val="both"/>
        <w:rPr>
          <w:rFonts w:ascii="Arial" w:hAnsi="Arial" w:cs="Arial"/>
          <w:lang w:val="en-US"/>
        </w:rPr>
      </w:pPr>
    </w:p>
    <w:p w14:paraId="4843AF7E" w14:textId="77777777" w:rsidR="00AF1065" w:rsidRDefault="00AF1065">
      <w:pPr>
        <w:jc w:val="both"/>
        <w:rPr>
          <w:rFonts w:ascii="Arial" w:hAnsi="Arial" w:cs="Arial"/>
          <w:lang w:val="en-US"/>
        </w:rPr>
      </w:pPr>
    </w:p>
    <w:p w14:paraId="67B0453F" w14:textId="77777777" w:rsidR="00AF1065" w:rsidRDefault="00AF1065">
      <w:pPr>
        <w:jc w:val="both"/>
        <w:rPr>
          <w:rFonts w:ascii="Arial" w:hAnsi="Arial" w:cs="Arial"/>
        </w:rPr>
      </w:pPr>
    </w:p>
    <w:sectPr w:rsidR="00AF106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3C088" w14:textId="77777777" w:rsidR="005B137D" w:rsidRDefault="005B137D">
      <w:pPr>
        <w:spacing w:line="240" w:lineRule="auto"/>
      </w:pPr>
      <w:r>
        <w:separator/>
      </w:r>
    </w:p>
  </w:endnote>
  <w:endnote w:type="continuationSeparator" w:id="0">
    <w:p w14:paraId="284ADB51" w14:textId="77777777" w:rsidR="005B137D" w:rsidRDefault="005B13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0F408" w14:textId="77777777" w:rsidR="005B137D" w:rsidRDefault="005B137D">
      <w:pPr>
        <w:spacing w:after="0"/>
      </w:pPr>
      <w:r>
        <w:separator/>
      </w:r>
    </w:p>
  </w:footnote>
  <w:footnote w:type="continuationSeparator" w:id="0">
    <w:p w14:paraId="0F20E183" w14:textId="77777777" w:rsidR="005B137D" w:rsidRDefault="005B137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CD2653"/>
    <w:multiLevelType w:val="multilevel"/>
    <w:tmpl w:val="32CD2653"/>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1150681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AF6"/>
    <w:rsid w:val="00004947"/>
    <w:rsid w:val="00050821"/>
    <w:rsid w:val="0006283A"/>
    <w:rsid w:val="00193C6F"/>
    <w:rsid w:val="0020449B"/>
    <w:rsid w:val="00217690"/>
    <w:rsid w:val="002355F3"/>
    <w:rsid w:val="002428B6"/>
    <w:rsid w:val="002663B2"/>
    <w:rsid w:val="002B1B8E"/>
    <w:rsid w:val="002D169F"/>
    <w:rsid w:val="00351705"/>
    <w:rsid w:val="003D700A"/>
    <w:rsid w:val="00414646"/>
    <w:rsid w:val="004350BC"/>
    <w:rsid w:val="00472694"/>
    <w:rsid w:val="004A173D"/>
    <w:rsid w:val="004B41FA"/>
    <w:rsid w:val="004C7119"/>
    <w:rsid w:val="004F0F0B"/>
    <w:rsid w:val="005126DF"/>
    <w:rsid w:val="0056213B"/>
    <w:rsid w:val="005B137D"/>
    <w:rsid w:val="005F7AF6"/>
    <w:rsid w:val="007102E4"/>
    <w:rsid w:val="00710CE5"/>
    <w:rsid w:val="007132EA"/>
    <w:rsid w:val="007370DA"/>
    <w:rsid w:val="00824053"/>
    <w:rsid w:val="008A27FB"/>
    <w:rsid w:val="008F3B1F"/>
    <w:rsid w:val="009115A8"/>
    <w:rsid w:val="009370B6"/>
    <w:rsid w:val="00A2466C"/>
    <w:rsid w:val="00AF1065"/>
    <w:rsid w:val="00B56DC9"/>
    <w:rsid w:val="00BE53BF"/>
    <w:rsid w:val="00C16E91"/>
    <w:rsid w:val="00C553E4"/>
    <w:rsid w:val="00CC2DFD"/>
    <w:rsid w:val="00D04D38"/>
    <w:rsid w:val="00DD292A"/>
    <w:rsid w:val="00E92DE6"/>
    <w:rsid w:val="00EA40F2"/>
    <w:rsid w:val="00F062B2"/>
    <w:rsid w:val="6EFB2C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33F49"/>
  <w15:docId w15:val="{EF9C33BD-E5AA-4BF9-AC43-3F0E62D7F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qFormat="1"/>
    <w:lsdException w:name="Colorful Grid" w:uiPriority="73" w:qFormat="1"/>
    <w:lsdException w:name="Light Shading Accent 1" w:uiPriority="60" w:qFormat="1"/>
    <w:lsdException w:name="Light List Accent 1" w:uiPriority="61" w:qFormat="1"/>
    <w:lsdException w:name="Light Grid Accent 1" w:uiPriority="62" w:qFormat="1"/>
    <w:lsdException w:name="Medium Shading 1 Accent 1" w:uiPriority="63" w:qFormat="1"/>
    <w:lsdException w:name="Medium Shading 2 Accent 1" w:uiPriority="64" w:qFormat="1"/>
    <w:lsdException w:name="Medium List 1 Accent 1" w:uiPriority="65" w:qFormat="1"/>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qFormat="1"/>
    <w:lsdException w:name="Medium Grid 1 Accent 1" w:uiPriority="67" w:qFormat="1"/>
    <w:lsdException w:name="Medium Grid 2 Accent 1" w:uiPriority="68"/>
    <w:lsdException w:name="Medium Grid 3 Accent 1" w:uiPriority="69"/>
    <w:lsdException w:name="Dark List Accent 1" w:uiPriority="70" w:qFormat="1"/>
    <w:lsdException w:name="Colorful Shading Accent 1" w:uiPriority="71"/>
    <w:lsdException w:name="Colorful List Accent 1" w:uiPriority="72" w:qFormat="1"/>
    <w:lsdException w:name="Colorful Grid Accent 1" w:uiPriority="73" w:qFormat="1"/>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qFormat="1"/>
    <w:lsdException w:name="Medium Grid 2 Accent 2" w:uiPriority="68" w:qFormat="1"/>
    <w:lsdException w:name="Medium Grid 3 Accent 2" w:uiPriority="69"/>
    <w:lsdException w:name="Dark List Accent 2" w:uiPriority="70"/>
    <w:lsdException w:name="Colorful Shading Accent 2" w:uiPriority="71"/>
    <w:lsdException w:name="Colorful List Accent 2" w:uiPriority="72" w:qFormat="1"/>
    <w:lsdException w:name="Colorful Grid Accent 2" w:uiPriority="73" w:qFormat="1"/>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lsdException w:name="Medium Grid 3 Accent 3" w:uiPriority="69" w:qFormat="1"/>
    <w:lsdException w:name="Dark List Accent 3" w:uiPriority="70" w:qFormat="1"/>
    <w:lsdException w:name="Colorful Shading Accent 3" w:uiPriority="71"/>
    <w:lsdException w:name="Colorful List Accent 3" w:uiPriority="72" w:qFormat="1"/>
    <w:lsdException w:name="Colorful Grid Accent 3" w:uiPriority="73" w:qFormat="1"/>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lsdException w:name="Medium Grid 3 Accent 4" w:uiPriority="69"/>
    <w:lsdException w:name="Dark List Accent 4" w:uiPriority="70" w:qFormat="1"/>
    <w:lsdException w:name="Colorful Shading Accent 4" w:uiPriority="71"/>
    <w:lsdException w:name="Colorful List Accent 4" w:uiPriority="72" w:qFormat="1"/>
    <w:lsdException w:name="Colorful Grid Accent 4" w:uiPriority="73" w:qFormat="1"/>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lsdException w:name="Medium Grid 3 Accent 5" w:uiPriority="69"/>
    <w:lsdException w:name="Dark List Accent 5" w:uiPriority="70" w:qFormat="1"/>
    <w:lsdException w:name="Colorful Shading Accent 5" w:uiPriority="71"/>
    <w:lsdException w:name="Colorful List Accent 5" w:uiPriority="72" w:qFormat="1"/>
    <w:lsdException w:name="Colorful Grid Accent 5" w:uiPriority="73" w:qFormat="1"/>
    <w:lsdException w:name="Light Shading Accent 6" w:uiPriority="60" w:qFormat="1"/>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lsdException w:name="Medium Grid 2 Accent 6" w:uiPriority="68" w:qFormat="1"/>
    <w:lsdException w:name="Medium Grid 3 Accent 6" w:uiPriority="69" w:qFormat="1"/>
    <w:lsdException w:name="Dark List Accent 6" w:uiPriority="70" w:qFormat="1"/>
    <w:lsdException w:name="Colorful Shading Accent 6" w:uiPriority="7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val="en-GB"/>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Arial" w:eastAsiaTheme="majorEastAsia" w:hAnsi="Arial" w:cstheme="majorBidi"/>
      <w:b/>
      <w:color w:val="002060"/>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uiPriority w:val="99"/>
    <w:semiHidden/>
    <w:unhideWhenUsed/>
  </w:style>
  <w:style w:type="character" w:styleId="Hyperlink">
    <w:name w:val="Hyperlink"/>
    <w:basedOn w:val="DefaultParagraphFont"/>
    <w:uiPriority w:val="99"/>
    <w:unhideWhenUsed/>
    <w:qFormat/>
    <w:rPr>
      <w:color w:val="0563C1"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character" w:customStyle="1" w:styleId="Heading1Char">
    <w:name w:val="Heading 1 Char"/>
    <w:basedOn w:val="DefaultParagraphFont"/>
    <w:link w:val="Heading1"/>
    <w:uiPriority w:val="9"/>
    <w:qFormat/>
    <w:rPr>
      <w:rFonts w:ascii="Arial" w:eastAsiaTheme="majorEastAsia" w:hAnsi="Arial" w:cstheme="majorBidi"/>
      <w:b/>
      <w:color w:val="002060"/>
      <w:sz w:val="40"/>
      <w:szCs w:val="40"/>
      <w:lang w:val="en-GB"/>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lang w:val="en-GB"/>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lang w:val="en-GB"/>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lang w:val="en-GB"/>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lang w:val="en-GB"/>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customStyle="1" w:styleId="TOCHeading1">
    <w:name w:val="TOC Heading1"/>
    <w:basedOn w:val="Heading1"/>
    <w:next w:val="Normal"/>
    <w:uiPriority w:val="39"/>
    <w:unhideWhenUsed/>
    <w:qFormat/>
    <w:pPr>
      <w:spacing w:before="240" w:after="0"/>
      <w:outlineLvl w:val="9"/>
    </w:pPr>
    <w:rPr>
      <w:rFonts w:asciiTheme="majorHAnsi" w:hAnsiTheme="majorHAnsi"/>
      <w:b w:val="0"/>
      <w:color w:val="2F5496" w:themeColor="accent1" w:themeShade="BF"/>
      <w:kern w:val="0"/>
      <w:sz w:val="32"/>
      <w:szCs w:val="32"/>
      <w:lang w:val="en-US"/>
      <w14:ligatures w14:val="none"/>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FollowedHyperlink">
    <w:name w:val="FollowedHyperlink"/>
    <w:basedOn w:val="DefaultParagraphFont"/>
    <w:uiPriority w:val="99"/>
    <w:semiHidden/>
    <w:unhideWhenUsed/>
    <w:rsid w:val="00B56D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196/88396" TargetMode="External"/><Relationship Id="rId18" Type="http://schemas.openxmlformats.org/officeDocument/2006/relationships/hyperlink" Target="https://doi.org/10.4103/indianjpsychiatry.indianjpsychiatry_707_23" TargetMode="External"/><Relationship Id="rId26" Type="http://schemas.openxmlformats.org/officeDocument/2006/relationships/hyperlink" Target="https://doi.org/10.1177/0739456x11417829" TargetMode="External"/><Relationship Id="rId3" Type="http://schemas.openxmlformats.org/officeDocument/2006/relationships/styles" Target="styles.xml"/><Relationship Id="rId21" Type="http://schemas.openxmlformats.org/officeDocument/2006/relationships/hyperlink" Target="https://doi.org/10.1186/s12913-024-11099-5" TargetMode="Externa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hyperlink" Target="https://www.researchgate.net/publication/366459771_Gibbs" TargetMode="External"/><Relationship Id="rId25" Type="http://schemas.openxmlformats.org/officeDocument/2006/relationships/hyperlink" Target="https://www.leadershipacademy.nhs.uk/healthcare-leadership-model/explore-the-healthcare-leadership-model/" TargetMode="External"/><Relationship Id="rId2" Type="http://schemas.openxmlformats.org/officeDocument/2006/relationships/numbering" Target="numbering.xml"/><Relationship Id="rId16" Type="http://schemas.openxmlformats.org/officeDocument/2006/relationships/hyperlink" Target="https://doi.org/10.1016/j.dialog.2023.100153" TargetMode="External"/><Relationship Id="rId20" Type="http://schemas.openxmlformats.org/officeDocument/2006/relationships/hyperlink" Target="https://www.researchgate.net/publication/282240385_Divergent_Thinking_and_Brainstorming_in_Perspective_Implications_for_Organization_Change_and_Innovation" TargetMode="External"/><Relationship Id="rId29" Type="http://schemas.openxmlformats.org/officeDocument/2006/relationships/hyperlink" Target="https://doi.org/10.1016/j.lanwpc.2025.10164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www.england.nhs.uk/long-read/2024-25-priorities-and-operational-planning-guidance/" TargetMode="External"/><Relationship Id="rId5" Type="http://schemas.openxmlformats.org/officeDocument/2006/relationships/webSettings" Target="webSettings.xml"/><Relationship Id="rId15" Type="http://schemas.openxmlformats.org/officeDocument/2006/relationships/hyperlink" Target="https://doi.org/10.1057/s41292-020-00220-6" TargetMode="External"/><Relationship Id="rId23" Type="http://schemas.openxmlformats.org/officeDocument/2006/relationships/hyperlink" Target="https://www.england.nhs.uk/2023/11/one-in-five-children-and-young-people-had-a-probable-mental-disorder-in-2023/" TargetMode="External"/><Relationship Id="rId28" Type="http://schemas.openxmlformats.org/officeDocument/2006/relationships/hyperlink" Target="https://doi.org/10.1007/s11920-017-0780-z" TargetMode="External"/><Relationship Id="rId10" Type="http://schemas.openxmlformats.org/officeDocument/2006/relationships/image" Target="media/image3.png"/><Relationship Id="rId19" Type="http://schemas.openxmlformats.org/officeDocument/2006/relationships/hyperlink" Target="https://doi.org/10.1002/nop2.1086"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17567620_Creativity_Innovation_and_Change" TargetMode="External"/><Relationship Id="rId22" Type="http://schemas.openxmlformats.org/officeDocument/2006/relationships/hyperlink" Target="https://doi.org/10.1007/s11606-023-08500-0" TargetMode="External"/><Relationship Id="rId27" Type="http://schemas.openxmlformats.org/officeDocument/2006/relationships/hyperlink" Target="https://doi.org/10.7759/cureus.8589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7EBEF-CFE3-40F8-AA63-2E27CB5B7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3126</Words>
  <Characters>17822</Characters>
  <Application>Microsoft Office Word</Application>
  <DocSecurity>0</DocSecurity>
  <Lines>148</Lines>
  <Paragraphs>41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Task 1: Concept Map</vt:lpstr>
      <vt:lpstr>Task 2: Reflection on the Paperclip Activity (Gibbs Cycle)</vt:lpstr>
      <vt:lpstr>Task 3: UK Innovation Case Study – NHS Talking Therapies Digital Transformation</vt:lpstr>
      <vt:lpstr>Task 4: Research Task – Mental Health Access Inequality</vt:lpstr>
      <vt:lpstr>Task 5: Podcast Script – MindConnect Innovation Pitch </vt:lpstr>
      <vt:lpstr>Task 6: NHS Leadership Framework – Critical Analysis</vt:lpstr>
      <vt:lpstr>Task 7: Reflective Journal</vt:lpstr>
      <vt:lpstr>Reference List</vt:lpstr>
    </vt:vector>
  </TitlesOfParts>
  <Company/>
  <LinksUpToDate>false</LinksUpToDate>
  <CharactersWithSpaces>20907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Anisa ALI</dc:creator>
  <cp:lastModifiedBy>anisa ali</cp:lastModifiedBy>
  <cp:revision>4</cp:revision>
  <dcterms:created xsi:type="dcterms:W3CDTF">2026-07-04T11:58:00Z</dcterms:created>
  <dcterms:modified xsi:type="dcterms:W3CDTF">2026-07-04T12:00:00Z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eyJoZGlkIjoiMmI4MTliYjgxNGU3YTAyN2I4OWNmOTAyMWNmOWM2MjUiLCJ1c2VySWQiOiIxOTI0MTQ3NjkxOTE4In0=</vt:lpwstr>
  </property>
  <property fmtid="{D5CDD505-2E9C-101B-9397-08002B2CF9AE}" pid="3" name="KSOProductBuildVer">
    <vt:lpwstr>1033-12.1.0.26880</vt:lpwstr>
  </property>
  <property fmtid="{D5CDD505-2E9C-101B-9397-08002B2CF9AE}" pid="4" name="ICV">
    <vt:lpwstr>A9D46CC90ECA48DEAD5168AB32F13311_13</vt:lpwstr>
  </property>
</Properties>
</file>