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49C7D" w14:textId="2B1A5DDA" w:rsidR="00A06744" w:rsidRDefault="001A7063">
      <w:r>
        <w:t>How far did education in the 12</w:t>
      </w:r>
      <w:r w:rsidRPr="001A7063">
        <w:rPr>
          <w:vertAlign w:val="superscript"/>
        </w:rPr>
        <w:t>th</w:t>
      </w:r>
      <w:r>
        <w:t xml:space="preserve"> and 13</w:t>
      </w:r>
      <w:r w:rsidRPr="001A7063">
        <w:rPr>
          <w:vertAlign w:val="superscript"/>
        </w:rPr>
        <w:t>th</w:t>
      </w:r>
      <w:r>
        <w:t xml:space="preserve"> centuries have any practical applications in medieval society? </w:t>
      </w:r>
    </w:p>
    <w:p w14:paraId="2FBDB663" w14:textId="179FA432" w:rsidR="001A7063" w:rsidRDefault="001A7063"/>
    <w:p w14:paraId="36C24404" w14:textId="662DA383" w:rsidR="001A7063" w:rsidRDefault="001A7063">
      <w:pPr>
        <w:rPr>
          <w:sz w:val="22"/>
          <w:szCs w:val="22"/>
        </w:rPr>
      </w:pPr>
      <w:r>
        <w:rPr>
          <w:sz w:val="22"/>
          <w:szCs w:val="22"/>
        </w:rPr>
        <w:t>This essay will explore if education in the 12</w:t>
      </w:r>
      <w:r w:rsidRPr="001A7063">
        <w:rPr>
          <w:sz w:val="22"/>
          <w:szCs w:val="22"/>
          <w:vertAlign w:val="superscript"/>
        </w:rPr>
        <w:t>th</w:t>
      </w:r>
      <w:r>
        <w:rPr>
          <w:sz w:val="22"/>
          <w:szCs w:val="22"/>
        </w:rPr>
        <w:t xml:space="preserve"> and 13</w:t>
      </w:r>
      <w:r w:rsidRPr="001A7063">
        <w:rPr>
          <w:sz w:val="22"/>
          <w:szCs w:val="22"/>
          <w:vertAlign w:val="superscript"/>
        </w:rPr>
        <w:t>th</w:t>
      </w:r>
      <w:r>
        <w:rPr>
          <w:sz w:val="22"/>
          <w:szCs w:val="22"/>
        </w:rPr>
        <w:t xml:space="preserve"> centuries had any application within medieval society and to what extent these applications were practical in society. This essay will also look at the origins of medieval education, what medieval education looked like and what was </w:t>
      </w:r>
      <w:r w:rsidR="00DD2E99">
        <w:rPr>
          <w:sz w:val="22"/>
          <w:szCs w:val="22"/>
        </w:rPr>
        <w:t>taught, and the role of women in education.</w:t>
      </w:r>
    </w:p>
    <w:p w14:paraId="53FB4DBB" w14:textId="70AE9267" w:rsidR="00DD2E99" w:rsidRDefault="00DD2E99">
      <w:pPr>
        <w:rPr>
          <w:sz w:val="22"/>
          <w:szCs w:val="22"/>
        </w:rPr>
      </w:pPr>
      <w:r>
        <w:rPr>
          <w:sz w:val="22"/>
          <w:szCs w:val="22"/>
        </w:rPr>
        <w:t xml:space="preserve">The origins of medieval education </w:t>
      </w:r>
      <w:r w:rsidR="001A07CD">
        <w:rPr>
          <w:sz w:val="22"/>
          <w:szCs w:val="22"/>
        </w:rPr>
        <w:t xml:space="preserve">in England </w:t>
      </w:r>
      <w:r>
        <w:rPr>
          <w:sz w:val="22"/>
          <w:szCs w:val="22"/>
        </w:rPr>
        <w:t xml:space="preserve">can be traced back to before the Norman conquest in </w:t>
      </w:r>
      <w:proofErr w:type="gramStart"/>
      <w:r>
        <w:rPr>
          <w:sz w:val="22"/>
          <w:szCs w:val="22"/>
        </w:rPr>
        <w:t>1066,</w:t>
      </w:r>
      <w:proofErr w:type="gramEnd"/>
      <w:r>
        <w:rPr>
          <w:sz w:val="22"/>
          <w:szCs w:val="22"/>
        </w:rPr>
        <w:t xml:space="preserve"> however these educational institutions were usually larger private institutions such as monasteries</w:t>
      </w:r>
      <w:r w:rsidR="00F467FE">
        <w:rPr>
          <w:rStyle w:val="FootnoteReference"/>
          <w:sz w:val="22"/>
          <w:szCs w:val="22"/>
        </w:rPr>
        <w:footnoteReference w:id="1"/>
      </w:r>
      <w:r>
        <w:rPr>
          <w:sz w:val="22"/>
          <w:szCs w:val="22"/>
        </w:rPr>
        <w:t>. Until the year 1087 no evidence</w:t>
      </w:r>
      <w:r w:rsidR="005D1B6E">
        <w:rPr>
          <w:sz w:val="22"/>
          <w:szCs w:val="22"/>
        </w:rPr>
        <w:t xml:space="preserve"> was found</w:t>
      </w:r>
      <w:r>
        <w:rPr>
          <w:sz w:val="22"/>
          <w:szCs w:val="22"/>
        </w:rPr>
        <w:t xml:space="preserve"> of any public educational </w:t>
      </w:r>
      <w:r w:rsidR="00060C1D">
        <w:rPr>
          <w:sz w:val="22"/>
          <w:szCs w:val="22"/>
        </w:rPr>
        <w:t xml:space="preserve">institution for the </w:t>
      </w:r>
      <w:proofErr w:type="gramStart"/>
      <w:r w:rsidR="00060C1D">
        <w:rPr>
          <w:sz w:val="22"/>
          <w:szCs w:val="22"/>
        </w:rPr>
        <w:t>general public</w:t>
      </w:r>
      <w:proofErr w:type="gramEnd"/>
      <w:r w:rsidR="00E52445">
        <w:rPr>
          <w:rStyle w:val="FootnoteReference"/>
          <w:sz w:val="22"/>
          <w:szCs w:val="22"/>
        </w:rPr>
        <w:footnoteReference w:id="2"/>
      </w:r>
      <w:r w:rsidR="00060C1D">
        <w:rPr>
          <w:sz w:val="22"/>
          <w:szCs w:val="22"/>
        </w:rPr>
        <w:t xml:space="preserve">. An example of </w:t>
      </w:r>
      <w:r w:rsidR="00CC4885">
        <w:rPr>
          <w:sz w:val="22"/>
          <w:szCs w:val="22"/>
        </w:rPr>
        <w:t>an early public educational institute</w:t>
      </w:r>
      <w:r w:rsidR="00060C1D">
        <w:rPr>
          <w:sz w:val="22"/>
          <w:szCs w:val="22"/>
        </w:rPr>
        <w:t xml:space="preserve"> is in Gloucester in the late 11</w:t>
      </w:r>
      <w:r w:rsidR="00060C1D" w:rsidRPr="00060C1D">
        <w:rPr>
          <w:sz w:val="22"/>
          <w:szCs w:val="22"/>
          <w:vertAlign w:val="superscript"/>
        </w:rPr>
        <w:t>th</w:t>
      </w:r>
      <w:r w:rsidR="00060C1D">
        <w:rPr>
          <w:sz w:val="22"/>
          <w:szCs w:val="22"/>
        </w:rPr>
        <w:t xml:space="preserve"> and early 12</w:t>
      </w:r>
      <w:r w:rsidR="00060C1D" w:rsidRPr="00060C1D">
        <w:rPr>
          <w:sz w:val="22"/>
          <w:szCs w:val="22"/>
          <w:vertAlign w:val="superscript"/>
        </w:rPr>
        <w:t>th</w:t>
      </w:r>
      <w:r w:rsidR="00060C1D">
        <w:rPr>
          <w:sz w:val="22"/>
          <w:szCs w:val="22"/>
        </w:rPr>
        <w:t xml:space="preserve"> centuries when the Bishop of Woster gave the school of Gloucester to the church of Saint Oswald</w:t>
      </w:r>
      <w:r w:rsidR="00E52445">
        <w:rPr>
          <w:rStyle w:val="FootnoteReference"/>
          <w:sz w:val="22"/>
          <w:szCs w:val="22"/>
        </w:rPr>
        <w:footnoteReference w:id="3"/>
      </w:r>
      <w:r w:rsidR="00060C1D">
        <w:rPr>
          <w:sz w:val="22"/>
          <w:szCs w:val="22"/>
        </w:rPr>
        <w:t xml:space="preserve">. At this time schools and the church were very closely linked together. </w:t>
      </w:r>
      <w:proofErr w:type="gramStart"/>
      <w:r w:rsidR="0020127B">
        <w:rPr>
          <w:sz w:val="22"/>
          <w:szCs w:val="22"/>
        </w:rPr>
        <w:t>The majority of</w:t>
      </w:r>
      <w:proofErr w:type="gramEnd"/>
      <w:r w:rsidR="0020127B">
        <w:rPr>
          <w:sz w:val="22"/>
          <w:szCs w:val="22"/>
        </w:rPr>
        <w:t xml:space="preserve"> early Norman sources of educational institutes involve ministers or the church in some way</w:t>
      </w:r>
      <w:r w:rsidR="00E52445">
        <w:rPr>
          <w:rStyle w:val="FootnoteReference"/>
          <w:sz w:val="22"/>
          <w:szCs w:val="22"/>
        </w:rPr>
        <w:footnoteReference w:id="4"/>
      </w:r>
      <w:r w:rsidR="0020127B">
        <w:rPr>
          <w:sz w:val="22"/>
          <w:szCs w:val="22"/>
        </w:rPr>
        <w:t>. The ministers and clergy of the church were related more towards the general medieval population than towards monks</w:t>
      </w:r>
      <w:r w:rsidR="00E52445">
        <w:rPr>
          <w:rStyle w:val="FootnoteReference"/>
          <w:sz w:val="22"/>
          <w:szCs w:val="22"/>
        </w:rPr>
        <w:footnoteReference w:id="5"/>
      </w:r>
      <w:r w:rsidR="0020127B">
        <w:rPr>
          <w:sz w:val="22"/>
          <w:szCs w:val="22"/>
        </w:rPr>
        <w:t>. This meant that it was more likely that churches and monasteries were to become educational institutes for the general medieval population</w:t>
      </w:r>
      <w:r w:rsidR="00E52445">
        <w:rPr>
          <w:rStyle w:val="FootnoteReference"/>
          <w:sz w:val="22"/>
          <w:szCs w:val="22"/>
        </w:rPr>
        <w:footnoteReference w:id="6"/>
      </w:r>
      <w:r w:rsidR="0020127B">
        <w:rPr>
          <w:sz w:val="22"/>
          <w:szCs w:val="22"/>
        </w:rPr>
        <w:t xml:space="preserve">. </w:t>
      </w:r>
    </w:p>
    <w:p w14:paraId="64AEEC60" w14:textId="765C5707" w:rsidR="0020127B" w:rsidRDefault="0020127B">
      <w:pPr>
        <w:rPr>
          <w:sz w:val="22"/>
          <w:szCs w:val="22"/>
        </w:rPr>
      </w:pPr>
      <w:r>
        <w:rPr>
          <w:sz w:val="22"/>
          <w:szCs w:val="22"/>
        </w:rPr>
        <w:t>Education in the 12</w:t>
      </w:r>
      <w:r w:rsidRPr="0020127B">
        <w:rPr>
          <w:sz w:val="22"/>
          <w:szCs w:val="22"/>
          <w:vertAlign w:val="superscript"/>
        </w:rPr>
        <w:t>th</w:t>
      </w:r>
      <w:r>
        <w:rPr>
          <w:sz w:val="22"/>
          <w:szCs w:val="22"/>
        </w:rPr>
        <w:t xml:space="preserve"> and 13</w:t>
      </w:r>
      <w:r w:rsidRPr="0020127B">
        <w:rPr>
          <w:sz w:val="22"/>
          <w:szCs w:val="22"/>
          <w:vertAlign w:val="superscript"/>
        </w:rPr>
        <w:t>th</w:t>
      </w:r>
      <w:r>
        <w:rPr>
          <w:sz w:val="22"/>
          <w:szCs w:val="22"/>
        </w:rPr>
        <w:t xml:space="preserve"> centuries was mainly controlled by the elites and wealthy in socie</w:t>
      </w:r>
      <w:r w:rsidR="00CC4885">
        <w:rPr>
          <w:sz w:val="22"/>
          <w:szCs w:val="22"/>
        </w:rPr>
        <w:t>ty. These elites in medieval society controlled how many institutions were created</w:t>
      </w:r>
      <w:r w:rsidR="00E52445">
        <w:rPr>
          <w:rStyle w:val="FootnoteReference"/>
          <w:sz w:val="22"/>
          <w:szCs w:val="22"/>
        </w:rPr>
        <w:footnoteReference w:id="7"/>
      </w:r>
      <w:r w:rsidR="00CC4885">
        <w:rPr>
          <w:sz w:val="22"/>
          <w:szCs w:val="22"/>
        </w:rPr>
        <w:t>. This meant that if only one school or institution was able to work in one area, it meant that everyone within that area was forced to attend that school</w:t>
      </w:r>
      <w:r w:rsidR="00E52445">
        <w:rPr>
          <w:rStyle w:val="FootnoteReference"/>
          <w:sz w:val="22"/>
          <w:szCs w:val="22"/>
        </w:rPr>
        <w:footnoteReference w:id="8"/>
      </w:r>
      <w:r w:rsidR="00CC4885">
        <w:rPr>
          <w:sz w:val="22"/>
          <w:szCs w:val="22"/>
        </w:rPr>
        <w:t xml:space="preserve">. </w:t>
      </w:r>
      <w:r w:rsidR="006809F2">
        <w:rPr>
          <w:sz w:val="22"/>
          <w:szCs w:val="22"/>
        </w:rPr>
        <w:t>There is some evidence to suggest that smaller, rural communities had schools and access to education by the end of the 13</w:t>
      </w:r>
      <w:r w:rsidR="006809F2" w:rsidRPr="006809F2">
        <w:rPr>
          <w:sz w:val="22"/>
          <w:szCs w:val="22"/>
          <w:vertAlign w:val="superscript"/>
        </w:rPr>
        <w:t>th</w:t>
      </w:r>
      <w:r w:rsidR="006809F2">
        <w:rPr>
          <w:sz w:val="22"/>
          <w:szCs w:val="22"/>
        </w:rPr>
        <w:t xml:space="preserve"> century</w:t>
      </w:r>
      <w:r w:rsidR="00E52445">
        <w:rPr>
          <w:rStyle w:val="FootnoteReference"/>
          <w:sz w:val="22"/>
          <w:szCs w:val="22"/>
        </w:rPr>
        <w:footnoteReference w:id="9"/>
      </w:r>
      <w:r w:rsidR="006809F2">
        <w:rPr>
          <w:sz w:val="22"/>
          <w:szCs w:val="22"/>
        </w:rPr>
        <w:t>. This shows how important education became in Britain by the end of the 13th century.</w:t>
      </w:r>
    </w:p>
    <w:p w14:paraId="43ECEB7F" w14:textId="0F7A2564" w:rsidR="00051FAB" w:rsidRDefault="00051FAB">
      <w:pPr>
        <w:rPr>
          <w:sz w:val="22"/>
          <w:szCs w:val="22"/>
        </w:rPr>
      </w:pPr>
      <w:r>
        <w:rPr>
          <w:sz w:val="22"/>
          <w:szCs w:val="22"/>
        </w:rPr>
        <w:t>The function of schools in the 12</w:t>
      </w:r>
      <w:r w:rsidRPr="00051FAB">
        <w:rPr>
          <w:sz w:val="22"/>
          <w:szCs w:val="22"/>
          <w:vertAlign w:val="superscript"/>
        </w:rPr>
        <w:t>th</w:t>
      </w:r>
      <w:r>
        <w:rPr>
          <w:sz w:val="22"/>
          <w:szCs w:val="22"/>
        </w:rPr>
        <w:t xml:space="preserve"> and 13</w:t>
      </w:r>
      <w:r w:rsidRPr="00051FAB">
        <w:rPr>
          <w:sz w:val="22"/>
          <w:szCs w:val="22"/>
          <w:vertAlign w:val="superscript"/>
        </w:rPr>
        <w:t>th</w:t>
      </w:r>
      <w:r>
        <w:rPr>
          <w:sz w:val="22"/>
          <w:szCs w:val="22"/>
        </w:rPr>
        <w:t xml:space="preserve"> centuries was to teach the reading, writing and speaking of Latin. The way this was learnt was from using a small tablet to write the Latin alphabet as well as phrases in Latin</w:t>
      </w:r>
      <w:r w:rsidR="00E52445">
        <w:rPr>
          <w:rStyle w:val="FootnoteReference"/>
          <w:sz w:val="22"/>
          <w:szCs w:val="22"/>
        </w:rPr>
        <w:footnoteReference w:id="10"/>
      </w:r>
      <w:r>
        <w:rPr>
          <w:sz w:val="22"/>
          <w:szCs w:val="22"/>
        </w:rPr>
        <w:t>.</w:t>
      </w:r>
      <w:r w:rsidR="00BD4BF6">
        <w:rPr>
          <w:sz w:val="22"/>
          <w:szCs w:val="22"/>
        </w:rPr>
        <w:t xml:space="preserve"> </w:t>
      </w:r>
      <w:r w:rsidR="006809F2">
        <w:rPr>
          <w:sz w:val="22"/>
          <w:szCs w:val="22"/>
        </w:rPr>
        <w:t>After students had learned the Latin alphabet and some phrases, Latin prayers were later learned such as the Paternoster and later the Psalter</w:t>
      </w:r>
      <w:r w:rsidR="00E52445">
        <w:rPr>
          <w:rStyle w:val="FootnoteReference"/>
          <w:sz w:val="22"/>
          <w:szCs w:val="22"/>
        </w:rPr>
        <w:footnoteReference w:id="11"/>
      </w:r>
      <w:r w:rsidR="006809F2">
        <w:rPr>
          <w:sz w:val="22"/>
          <w:szCs w:val="22"/>
        </w:rPr>
        <w:t xml:space="preserve">. </w:t>
      </w:r>
    </w:p>
    <w:p w14:paraId="01C5F527" w14:textId="5FB0B696" w:rsidR="00CC4885" w:rsidRDefault="00345878">
      <w:pPr>
        <w:rPr>
          <w:sz w:val="22"/>
          <w:szCs w:val="22"/>
        </w:rPr>
      </w:pPr>
      <w:r>
        <w:rPr>
          <w:sz w:val="22"/>
          <w:szCs w:val="22"/>
        </w:rPr>
        <w:t>Education in Britain in the 12</w:t>
      </w:r>
      <w:r w:rsidRPr="00345878">
        <w:rPr>
          <w:sz w:val="22"/>
          <w:szCs w:val="22"/>
          <w:vertAlign w:val="superscript"/>
        </w:rPr>
        <w:t>th</w:t>
      </w:r>
      <w:r>
        <w:rPr>
          <w:sz w:val="22"/>
          <w:szCs w:val="22"/>
        </w:rPr>
        <w:t xml:space="preserve"> and 13th centuries was more important for boys than for girls. Some boys in the 12</w:t>
      </w:r>
      <w:r w:rsidRPr="00345878">
        <w:rPr>
          <w:sz w:val="22"/>
          <w:szCs w:val="22"/>
          <w:vertAlign w:val="superscript"/>
        </w:rPr>
        <w:t>th</w:t>
      </w:r>
      <w:r>
        <w:rPr>
          <w:sz w:val="22"/>
          <w:szCs w:val="22"/>
        </w:rPr>
        <w:t xml:space="preserve"> and 13</w:t>
      </w:r>
      <w:r w:rsidRPr="00345878">
        <w:rPr>
          <w:sz w:val="22"/>
          <w:szCs w:val="22"/>
          <w:vertAlign w:val="superscript"/>
        </w:rPr>
        <w:t>th</w:t>
      </w:r>
      <w:r>
        <w:rPr>
          <w:sz w:val="22"/>
          <w:szCs w:val="22"/>
        </w:rPr>
        <w:t xml:space="preserve"> centuries could even be educated without attending public educational institutes. </w:t>
      </w:r>
      <w:r w:rsidR="00F25FF7">
        <w:rPr>
          <w:sz w:val="22"/>
          <w:szCs w:val="22"/>
        </w:rPr>
        <w:t>Larger monasteries after the start of the 13</w:t>
      </w:r>
      <w:r w:rsidR="00F25FF7" w:rsidRPr="00F25FF7">
        <w:rPr>
          <w:sz w:val="22"/>
          <w:szCs w:val="22"/>
          <w:vertAlign w:val="superscript"/>
        </w:rPr>
        <w:t>th</w:t>
      </w:r>
      <w:r w:rsidR="00F25FF7">
        <w:rPr>
          <w:sz w:val="22"/>
          <w:szCs w:val="22"/>
        </w:rPr>
        <w:t xml:space="preserve"> century started to offer the </w:t>
      </w:r>
      <w:r w:rsidR="00F25FF7">
        <w:rPr>
          <w:sz w:val="22"/>
          <w:szCs w:val="22"/>
        </w:rPr>
        <w:lastRenderedPageBreak/>
        <w:t xml:space="preserve">teaching of Latin for boys who were poor and could not afford public education. These boys that went to these monasteries were called Almonry </w:t>
      </w:r>
      <w:proofErr w:type="gramStart"/>
      <w:r w:rsidR="00F25FF7">
        <w:rPr>
          <w:sz w:val="22"/>
          <w:szCs w:val="22"/>
        </w:rPr>
        <w:t>boys,</w:t>
      </w:r>
      <w:proofErr w:type="gramEnd"/>
      <w:r w:rsidR="00F25FF7">
        <w:rPr>
          <w:sz w:val="22"/>
          <w:szCs w:val="22"/>
        </w:rPr>
        <w:t xml:space="preserve"> these boys would receive </w:t>
      </w:r>
      <w:r w:rsidR="00780607">
        <w:rPr>
          <w:sz w:val="22"/>
          <w:szCs w:val="22"/>
        </w:rPr>
        <w:t xml:space="preserve">an </w:t>
      </w:r>
      <w:r w:rsidR="00F25FF7">
        <w:rPr>
          <w:sz w:val="22"/>
          <w:szCs w:val="22"/>
        </w:rPr>
        <w:t xml:space="preserve">education </w:t>
      </w:r>
      <w:r w:rsidR="00780607">
        <w:rPr>
          <w:sz w:val="22"/>
          <w:szCs w:val="22"/>
        </w:rPr>
        <w:t xml:space="preserve">and housing in exchange for </w:t>
      </w:r>
      <w:proofErr w:type="gramStart"/>
      <w:r w:rsidR="00780607">
        <w:rPr>
          <w:sz w:val="22"/>
          <w:szCs w:val="22"/>
        </w:rPr>
        <w:t>helping out</w:t>
      </w:r>
      <w:proofErr w:type="gramEnd"/>
      <w:r w:rsidR="00780607">
        <w:rPr>
          <w:sz w:val="22"/>
          <w:szCs w:val="22"/>
        </w:rPr>
        <w:t xml:space="preserve"> around the monastery</w:t>
      </w:r>
      <w:r w:rsidR="00E52445">
        <w:rPr>
          <w:rStyle w:val="FootnoteReference"/>
          <w:sz w:val="22"/>
          <w:szCs w:val="22"/>
        </w:rPr>
        <w:footnoteReference w:id="12"/>
      </w:r>
      <w:r w:rsidR="00780607">
        <w:rPr>
          <w:sz w:val="22"/>
          <w:szCs w:val="22"/>
        </w:rPr>
        <w:t xml:space="preserve">. </w:t>
      </w:r>
      <w:r w:rsidR="005C65D2">
        <w:rPr>
          <w:sz w:val="22"/>
          <w:szCs w:val="22"/>
        </w:rPr>
        <w:t>Teaching also occurred within the home with parents. This often happened with girls rather than with boys. Girls often did not go to school and were educated at home by the parents</w:t>
      </w:r>
      <w:r w:rsidR="00963223">
        <w:rPr>
          <w:rStyle w:val="FootnoteReference"/>
          <w:sz w:val="22"/>
          <w:szCs w:val="22"/>
        </w:rPr>
        <w:footnoteReference w:id="13"/>
      </w:r>
      <w:r w:rsidR="005C65D2">
        <w:rPr>
          <w:sz w:val="22"/>
          <w:szCs w:val="22"/>
        </w:rPr>
        <w:t>. Some more wealthy parents sometimes sent their daughters to nunneries to be educated</w:t>
      </w:r>
      <w:r w:rsidR="00963223">
        <w:rPr>
          <w:rStyle w:val="FootnoteReference"/>
          <w:sz w:val="22"/>
          <w:szCs w:val="22"/>
        </w:rPr>
        <w:footnoteReference w:id="14"/>
      </w:r>
      <w:r w:rsidR="005C65D2">
        <w:rPr>
          <w:sz w:val="22"/>
          <w:szCs w:val="22"/>
        </w:rPr>
        <w:t>. This shows that education was an integral part of medieval society as both parents and schools educated their children.</w:t>
      </w:r>
    </w:p>
    <w:p w14:paraId="55EA6D80" w14:textId="46EA30DD" w:rsidR="009F3369" w:rsidRDefault="009F3369">
      <w:pPr>
        <w:rPr>
          <w:sz w:val="22"/>
          <w:szCs w:val="22"/>
        </w:rPr>
      </w:pPr>
      <w:r>
        <w:rPr>
          <w:sz w:val="22"/>
          <w:szCs w:val="22"/>
        </w:rPr>
        <w:t>Higher education was relatively prevalent in medieval society. The first universities in medieval British society originate in the early 12</w:t>
      </w:r>
      <w:r w:rsidRPr="009F3369">
        <w:rPr>
          <w:sz w:val="22"/>
          <w:szCs w:val="22"/>
          <w:vertAlign w:val="superscript"/>
        </w:rPr>
        <w:t>th</w:t>
      </w:r>
      <w:r>
        <w:rPr>
          <w:sz w:val="22"/>
          <w:szCs w:val="22"/>
        </w:rPr>
        <w:t xml:space="preserve"> century, with Oxford University being the first in 1115 and established as a studia </w:t>
      </w:r>
      <w:proofErr w:type="spellStart"/>
      <w:r>
        <w:rPr>
          <w:sz w:val="22"/>
          <w:szCs w:val="22"/>
        </w:rPr>
        <w:t>generalle</w:t>
      </w:r>
      <w:proofErr w:type="spellEnd"/>
      <w:r>
        <w:rPr>
          <w:sz w:val="22"/>
          <w:szCs w:val="22"/>
        </w:rPr>
        <w:t xml:space="preserve"> in 1163</w:t>
      </w:r>
      <w:r w:rsidR="00AF4242">
        <w:rPr>
          <w:rStyle w:val="FootnoteReference"/>
          <w:sz w:val="22"/>
          <w:szCs w:val="22"/>
        </w:rPr>
        <w:footnoteReference w:id="15"/>
      </w:r>
      <w:r>
        <w:rPr>
          <w:sz w:val="22"/>
          <w:szCs w:val="22"/>
        </w:rPr>
        <w:t xml:space="preserve">. The University of Cambridge was created second in </w:t>
      </w:r>
      <w:proofErr w:type="gramStart"/>
      <w:r>
        <w:rPr>
          <w:sz w:val="22"/>
          <w:szCs w:val="22"/>
        </w:rPr>
        <w:t>1209, and</w:t>
      </w:r>
      <w:proofErr w:type="gramEnd"/>
      <w:r>
        <w:rPr>
          <w:sz w:val="22"/>
          <w:szCs w:val="22"/>
        </w:rPr>
        <w:t xml:space="preserve"> was not established as a studia </w:t>
      </w:r>
      <w:proofErr w:type="spellStart"/>
      <w:r>
        <w:rPr>
          <w:sz w:val="22"/>
          <w:szCs w:val="22"/>
        </w:rPr>
        <w:t>generalle</w:t>
      </w:r>
      <w:proofErr w:type="spellEnd"/>
      <w:r>
        <w:rPr>
          <w:sz w:val="22"/>
          <w:szCs w:val="22"/>
        </w:rPr>
        <w:t xml:space="preserve"> until 1318</w:t>
      </w:r>
      <w:r w:rsidR="00572DA1">
        <w:rPr>
          <w:rStyle w:val="FootnoteReference"/>
          <w:sz w:val="22"/>
          <w:szCs w:val="22"/>
        </w:rPr>
        <w:footnoteReference w:id="16"/>
      </w:r>
      <w:r>
        <w:rPr>
          <w:sz w:val="22"/>
          <w:szCs w:val="22"/>
        </w:rPr>
        <w:t xml:space="preserve">. The term studia </w:t>
      </w:r>
      <w:proofErr w:type="spellStart"/>
      <w:r>
        <w:rPr>
          <w:sz w:val="22"/>
          <w:szCs w:val="22"/>
        </w:rPr>
        <w:t>generalle</w:t>
      </w:r>
      <w:proofErr w:type="spellEnd"/>
      <w:r>
        <w:rPr>
          <w:sz w:val="22"/>
          <w:szCs w:val="22"/>
        </w:rPr>
        <w:t xml:space="preserve"> is used for places of study in the medieval period</w:t>
      </w:r>
      <w:r w:rsidR="006C47E4">
        <w:rPr>
          <w:rStyle w:val="FootnoteReference"/>
          <w:sz w:val="22"/>
          <w:szCs w:val="22"/>
        </w:rPr>
        <w:footnoteReference w:id="17"/>
      </w:r>
      <w:r>
        <w:rPr>
          <w:sz w:val="22"/>
          <w:szCs w:val="22"/>
        </w:rPr>
        <w:t>. These early places of study were open to students from all of Europe. These early universities were originally used to educate monks and the clergy above what monastic schools were able to teach</w:t>
      </w:r>
      <w:r w:rsidR="006051BF">
        <w:rPr>
          <w:rStyle w:val="FootnoteReference"/>
          <w:sz w:val="22"/>
          <w:szCs w:val="22"/>
        </w:rPr>
        <w:footnoteReference w:id="18"/>
      </w:r>
      <w:r>
        <w:rPr>
          <w:sz w:val="22"/>
          <w:szCs w:val="22"/>
        </w:rPr>
        <w:t>. After the University of Oxford and the University of Cambridge were created there were no new universities created until the early 19</w:t>
      </w:r>
      <w:r w:rsidRPr="009F3369">
        <w:rPr>
          <w:sz w:val="22"/>
          <w:szCs w:val="22"/>
          <w:vertAlign w:val="superscript"/>
        </w:rPr>
        <w:t>th</w:t>
      </w:r>
      <w:r>
        <w:rPr>
          <w:sz w:val="22"/>
          <w:szCs w:val="22"/>
        </w:rPr>
        <w:t xml:space="preserve"> century</w:t>
      </w:r>
      <w:r w:rsidR="00173E01">
        <w:rPr>
          <w:rStyle w:val="FootnoteReference"/>
          <w:sz w:val="22"/>
          <w:szCs w:val="22"/>
        </w:rPr>
        <w:footnoteReference w:id="19"/>
      </w:r>
      <w:r>
        <w:rPr>
          <w:sz w:val="22"/>
          <w:szCs w:val="22"/>
        </w:rPr>
        <w:t xml:space="preserve">. This shows that education had a very limited practical application </w:t>
      </w:r>
      <w:r w:rsidR="003313DB">
        <w:rPr>
          <w:sz w:val="22"/>
          <w:szCs w:val="22"/>
        </w:rPr>
        <w:t xml:space="preserve">for medieval society as there were very few institutions, especially higher educational institutes, that </w:t>
      </w:r>
      <w:r w:rsidR="00927169">
        <w:rPr>
          <w:sz w:val="22"/>
          <w:szCs w:val="22"/>
        </w:rPr>
        <w:t xml:space="preserve">could </w:t>
      </w:r>
      <w:r w:rsidR="003313DB">
        <w:rPr>
          <w:sz w:val="22"/>
          <w:szCs w:val="22"/>
        </w:rPr>
        <w:t>educate medieval society.</w:t>
      </w:r>
    </w:p>
    <w:p w14:paraId="0F690D84" w14:textId="1A72E9F8" w:rsidR="004A0470" w:rsidRDefault="004A0470">
      <w:pPr>
        <w:rPr>
          <w:sz w:val="22"/>
          <w:szCs w:val="22"/>
        </w:rPr>
      </w:pPr>
      <w:r>
        <w:rPr>
          <w:sz w:val="22"/>
          <w:szCs w:val="22"/>
        </w:rPr>
        <w:t xml:space="preserve">The curriculum in medieval higher educational institutes </w:t>
      </w:r>
      <w:r w:rsidR="00E52445">
        <w:rPr>
          <w:sz w:val="22"/>
          <w:szCs w:val="22"/>
        </w:rPr>
        <w:t xml:space="preserve">mainly </w:t>
      </w:r>
      <w:r>
        <w:rPr>
          <w:sz w:val="22"/>
          <w:szCs w:val="22"/>
        </w:rPr>
        <w:t xml:space="preserve">prepared students for roles within the church. Due to the curriculum in the medieval period mainly being controlled by the church, it allowed for the church to create their own curriculum. This, in turn, allowed the church to influence what students did after they finished their education. The curriculum of higher education in the medieval period consisted of seven different </w:t>
      </w:r>
      <w:r w:rsidR="00624D9C">
        <w:rPr>
          <w:sz w:val="22"/>
          <w:szCs w:val="22"/>
        </w:rPr>
        <w:t>areas of study known as the seven liberal arts</w:t>
      </w:r>
      <w:r w:rsidR="00BD5A00">
        <w:rPr>
          <w:rStyle w:val="FootnoteReference"/>
          <w:sz w:val="22"/>
          <w:szCs w:val="22"/>
        </w:rPr>
        <w:footnoteReference w:id="20"/>
      </w:r>
      <w:r w:rsidR="00624D9C">
        <w:rPr>
          <w:sz w:val="22"/>
          <w:szCs w:val="22"/>
        </w:rPr>
        <w:t xml:space="preserve">. These seven liberal arts can be broken down further into two main areas of study called the </w:t>
      </w:r>
      <w:proofErr w:type="spellStart"/>
      <w:r w:rsidR="00624D9C">
        <w:rPr>
          <w:sz w:val="22"/>
          <w:szCs w:val="22"/>
        </w:rPr>
        <w:t>Trivuim</w:t>
      </w:r>
      <w:proofErr w:type="spellEnd"/>
      <w:r w:rsidR="00624D9C">
        <w:rPr>
          <w:sz w:val="22"/>
          <w:szCs w:val="22"/>
        </w:rPr>
        <w:t xml:space="preserve"> and the Quadrivium</w:t>
      </w:r>
      <w:r w:rsidR="00E84279">
        <w:rPr>
          <w:rStyle w:val="FootnoteReference"/>
          <w:sz w:val="22"/>
          <w:szCs w:val="22"/>
        </w:rPr>
        <w:footnoteReference w:id="21"/>
      </w:r>
      <w:r w:rsidR="00624D9C">
        <w:rPr>
          <w:sz w:val="22"/>
          <w:szCs w:val="22"/>
        </w:rPr>
        <w:t>. The Trivium consists of three areas of study which are Grammar, Rhetoric, and Logic</w:t>
      </w:r>
      <w:r w:rsidR="00B37B48">
        <w:rPr>
          <w:rStyle w:val="FootnoteReference"/>
          <w:sz w:val="22"/>
          <w:szCs w:val="22"/>
        </w:rPr>
        <w:footnoteReference w:id="22"/>
      </w:r>
      <w:r w:rsidR="00624D9C">
        <w:rPr>
          <w:sz w:val="22"/>
          <w:szCs w:val="22"/>
        </w:rPr>
        <w:t xml:space="preserve">. </w:t>
      </w:r>
      <w:proofErr w:type="gramStart"/>
      <w:r w:rsidR="00E84279">
        <w:rPr>
          <w:sz w:val="22"/>
          <w:szCs w:val="22"/>
        </w:rPr>
        <w:t>Whereas,</w:t>
      </w:r>
      <w:proofErr w:type="gramEnd"/>
      <w:r w:rsidR="00E84279">
        <w:rPr>
          <w:sz w:val="22"/>
          <w:szCs w:val="22"/>
        </w:rPr>
        <w:t xml:space="preserve"> t</w:t>
      </w:r>
      <w:r w:rsidR="00624D9C">
        <w:rPr>
          <w:sz w:val="22"/>
          <w:szCs w:val="22"/>
        </w:rPr>
        <w:t>he Quadrivium consists of four areas of study which are Arithmetic, Astronomy, Geometry, and Music</w:t>
      </w:r>
      <w:r w:rsidR="00B37B48">
        <w:rPr>
          <w:rStyle w:val="FootnoteReference"/>
          <w:sz w:val="22"/>
          <w:szCs w:val="22"/>
        </w:rPr>
        <w:footnoteReference w:id="23"/>
      </w:r>
      <w:r w:rsidR="00624D9C">
        <w:rPr>
          <w:sz w:val="22"/>
          <w:szCs w:val="22"/>
        </w:rPr>
        <w:t>. All seven liberal arts were required to be learnt and understood with proficiency to be able to hold a position in the church</w:t>
      </w:r>
      <w:r w:rsidR="00B37B48">
        <w:rPr>
          <w:rStyle w:val="FootnoteReference"/>
          <w:sz w:val="22"/>
          <w:szCs w:val="22"/>
        </w:rPr>
        <w:footnoteReference w:id="24"/>
      </w:r>
      <w:r w:rsidR="00624D9C">
        <w:rPr>
          <w:sz w:val="22"/>
          <w:szCs w:val="22"/>
        </w:rPr>
        <w:t>.</w:t>
      </w:r>
    </w:p>
    <w:p w14:paraId="73A82BBA" w14:textId="29988F49" w:rsidR="00EB4734" w:rsidRDefault="002D18A7">
      <w:pPr>
        <w:rPr>
          <w:sz w:val="22"/>
          <w:szCs w:val="22"/>
        </w:rPr>
      </w:pPr>
      <w:r>
        <w:rPr>
          <w:sz w:val="22"/>
          <w:szCs w:val="22"/>
        </w:rPr>
        <w:lastRenderedPageBreak/>
        <w:t>In the Trivium three of the seven liberal arts are learnt. One of the three areas of study in the Trivium is grammar</w:t>
      </w:r>
      <w:r w:rsidR="002910CF">
        <w:rPr>
          <w:sz w:val="22"/>
          <w:szCs w:val="22"/>
        </w:rPr>
        <w:t xml:space="preserve">. Grammar is different to how we understand grammar </w:t>
      </w:r>
      <w:r w:rsidR="00B37B48">
        <w:rPr>
          <w:sz w:val="22"/>
          <w:szCs w:val="22"/>
        </w:rPr>
        <w:t xml:space="preserve">in </w:t>
      </w:r>
      <w:r w:rsidR="002910CF">
        <w:rPr>
          <w:sz w:val="22"/>
          <w:szCs w:val="22"/>
        </w:rPr>
        <w:t>today</w:t>
      </w:r>
      <w:r w:rsidR="00B37B48">
        <w:rPr>
          <w:sz w:val="22"/>
          <w:szCs w:val="22"/>
        </w:rPr>
        <w:t>s’ society</w:t>
      </w:r>
      <w:r w:rsidR="002910CF">
        <w:rPr>
          <w:sz w:val="22"/>
          <w:szCs w:val="22"/>
        </w:rPr>
        <w:t>. Medieval students did not study how to use what is understood as grammar today such as commas and full stops, rather the purpose of grammar in the medieval sense was for the understanding, meaning and mastery of the Latin language</w:t>
      </w:r>
      <w:r w:rsidR="00BE1FBB">
        <w:rPr>
          <w:rStyle w:val="FootnoteReference"/>
          <w:sz w:val="22"/>
          <w:szCs w:val="22"/>
        </w:rPr>
        <w:footnoteReference w:id="25"/>
      </w:r>
      <w:r w:rsidR="002910CF">
        <w:rPr>
          <w:sz w:val="22"/>
          <w:szCs w:val="22"/>
        </w:rPr>
        <w:t>. Another liberal art in the Trivium is Rhetoric, in medieval education this was used to explore and express persuasion, specifically in writing</w:t>
      </w:r>
      <w:r w:rsidR="00A938DF">
        <w:rPr>
          <w:rStyle w:val="FootnoteReference"/>
          <w:sz w:val="22"/>
          <w:szCs w:val="22"/>
        </w:rPr>
        <w:footnoteReference w:id="26"/>
      </w:r>
      <w:r w:rsidR="002910CF">
        <w:rPr>
          <w:sz w:val="22"/>
          <w:szCs w:val="22"/>
        </w:rPr>
        <w:t xml:space="preserve">. </w:t>
      </w:r>
      <w:r w:rsidR="004A5EE5">
        <w:rPr>
          <w:sz w:val="22"/>
          <w:szCs w:val="22"/>
        </w:rPr>
        <w:t>Learning this field of study allowed students to understand persuasion and be able to have a persuasive argument</w:t>
      </w:r>
      <w:r w:rsidR="00A938DF">
        <w:rPr>
          <w:rStyle w:val="FootnoteReference"/>
          <w:sz w:val="22"/>
          <w:szCs w:val="22"/>
        </w:rPr>
        <w:footnoteReference w:id="27"/>
      </w:r>
      <w:r w:rsidR="004A5EE5">
        <w:rPr>
          <w:sz w:val="22"/>
          <w:szCs w:val="22"/>
        </w:rPr>
        <w:t>. The last liberal art in the Trivium is Logic. The principle of logic in medieval education is created through the idea that debate is an important part of learning</w:t>
      </w:r>
      <w:r w:rsidR="00A938DF">
        <w:rPr>
          <w:rStyle w:val="FootnoteReference"/>
          <w:sz w:val="22"/>
          <w:szCs w:val="22"/>
        </w:rPr>
        <w:footnoteReference w:id="28"/>
      </w:r>
      <w:r w:rsidR="004A5EE5">
        <w:rPr>
          <w:sz w:val="22"/>
          <w:szCs w:val="22"/>
        </w:rPr>
        <w:t>. It was common in medieval education, specifically medieval university, for students to have debates</w:t>
      </w:r>
      <w:r w:rsidR="00A938DF">
        <w:rPr>
          <w:rStyle w:val="FootnoteReference"/>
          <w:sz w:val="22"/>
          <w:szCs w:val="22"/>
        </w:rPr>
        <w:footnoteReference w:id="29"/>
      </w:r>
      <w:r w:rsidR="004A5EE5">
        <w:rPr>
          <w:sz w:val="22"/>
          <w:szCs w:val="22"/>
        </w:rPr>
        <w:t>.</w:t>
      </w:r>
      <w:r w:rsidR="000A3B2E">
        <w:rPr>
          <w:sz w:val="22"/>
          <w:szCs w:val="22"/>
        </w:rPr>
        <w:t xml:space="preserve"> </w:t>
      </w:r>
    </w:p>
    <w:p w14:paraId="775C105D" w14:textId="27BED416" w:rsidR="000A3B2E" w:rsidRDefault="000A3B2E">
      <w:pPr>
        <w:rPr>
          <w:sz w:val="22"/>
          <w:szCs w:val="22"/>
        </w:rPr>
      </w:pPr>
      <w:r>
        <w:rPr>
          <w:sz w:val="22"/>
          <w:szCs w:val="22"/>
        </w:rPr>
        <w:t xml:space="preserve">As well as the Trivium, the Quadrivium was also learnt. The first liberal art in the Quadrivium is Arithmetic. This was </w:t>
      </w:r>
      <w:r w:rsidR="00750754">
        <w:rPr>
          <w:sz w:val="22"/>
          <w:szCs w:val="22"/>
        </w:rPr>
        <w:t>where students learned the philosophy of numbers rather than actual mathematics</w:t>
      </w:r>
      <w:r w:rsidR="00A84304">
        <w:rPr>
          <w:rStyle w:val="FootnoteReference"/>
          <w:sz w:val="22"/>
          <w:szCs w:val="22"/>
        </w:rPr>
        <w:footnoteReference w:id="30"/>
      </w:r>
      <w:r w:rsidR="00750754">
        <w:rPr>
          <w:sz w:val="22"/>
          <w:szCs w:val="22"/>
        </w:rPr>
        <w:t>. Another liberal art in the Quadrivium is astronomy. This is where students focused on the relationship between the planets and their movements within space</w:t>
      </w:r>
      <w:r w:rsidR="00A84304">
        <w:rPr>
          <w:rStyle w:val="FootnoteReference"/>
          <w:sz w:val="22"/>
          <w:szCs w:val="22"/>
        </w:rPr>
        <w:footnoteReference w:id="31"/>
      </w:r>
      <w:r w:rsidR="00750754">
        <w:rPr>
          <w:sz w:val="22"/>
          <w:szCs w:val="22"/>
        </w:rPr>
        <w:t>. Students were also focused on Plato’s model of the universe. This was Plato’s belief that the universe was created by a divine craftsman as an explanation for the universes unexplained order and beauty</w:t>
      </w:r>
      <w:r w:rsidR="006B4083">
        <w:rPr>
          <w:rStyle w:val="FootnoteReference"/>
          <w:sz w:val="22"/>
          <w:szCs w:val="22"/>
        </w:rPr>
        <w:footnoteReference w:id="32"/>
      </w:r>
      <w:r w:rsidR="00750754">
        <w:rPr>
          <w:sz w:val="22"/>
          <w:szCs w:val="22"/>
        </w:rPr>
        <w:t>.</w:t>
      </w:r>
      <w:r w:rsidR="00206E22">
        <w:rPr>
          <w:sz w:val="22"/>
          <w:szCs w:val="22"/>
        </w:rPr>
        <w:t xml:space="preserve"> Another liberal art in the Quadrivium is geometry. T</w:t>
      </w:r>
      <w:r w:rsidR="00BE1FBB">
        <w:rPr>
          <w:sz w:val="22"/>
          <w:szCs w:val="22"/>
        </w:rPr>
        <w:t>h</w:t>
      </w:r>
      <w:r w:rsidR="00206E22">
        <w:rPr>
          <w:sz w:val="22"/>
          <w:szCs w:val="22"/>
        </w:rPr>
        <w:t>is was the study of geometric principles as a way of explaining and understanding Gods creation</w:t>
      </w:r>
      <w:r w:rsidR="00A84304">
        <w:rPr>
          <w:rStyle w:val="FootnoteReference"/>
          <w:sz w:val="22"/>
          <w:szCs w:val="22"/>
        </w:rPr>
        <w:footnoteReference w:id="33"/>
      </w:r>
      <w:r w:rsidR="00206E22">
        <w:rPr>
          <w:sz w:val="22"/>
          <w:szCs w:val="22"/>
        </w:rPr>
        <w:t xml:space="preserve">. This was studied in medieval education as it was believed in the medieval period that geometry </w:t>
      </w:r>
      <w:r w:rsidR="00D54D4E">
        <w:rPr>
          <w:sz w:val="22"/>
          <w:szCs w:val="22"/>
        </w:rPr>
        <w:t>was connected to the divine</w:t>
      </w:r>
      <w:r w:rsidR="00A84304">
        <w:rPr>
          <w:rStyle w:val="FootnoteReference"/>
          <w:sz w:val="22"/>
          <w:szCs w:val="22"/>
        </w:rPr>
        <w:footnoteReference w:id="34"/>
      </w:r>
      <w:r w:rsidR="00D54D4E">
        <w:rPr>
          <w:sz w:val="22"/>
          <w:szCs w:val="22"/>
        </w:rPr>
        <w:t>. This is very similar to Plato’s theory of the universe. The final liberal art in the Quadrivium is music. This was studied for spiritual, aesthetic and practical reasons</w:t>
      </w:r>
      <w:r w:rsidR="00A84304">
        <w:rPr>
          <w:rStyle w:val="FootnoteReference"/>
          <w:sz w:val="22"/>
          <w:szCs w:val="22"/>
        </w:rPr>
        <w:footnoteReference w:id="35"/>
      </w:r>
      <w:r w:rsidR="00D54D4E">
        <w:rPr>
          <w:sz w:val="22"/>
          <w:szCs w:val="22"/>
        </w:rPr>
        <w:t>. It was also believed that music was related to mathematics in some way</w:t>
      </w:r>
      <w:r w:rsidR="00A84304">
        <w:rPr>
          <w:rStyle w:val="FootnoteReference"/>
          <w:sz w:val="22"/>
          <w:szCs w:val="22"/>
        </w:rPr>
        <w:footnoteReference w:id="36"/>
      </w:r>
      <w:r w:rsidR="00D54D4E">
        <w:rPr>
          <w:sz w:val="22"/>
          <w:szCs w:val="22"/>
        </w:rPr>
        <w:t>.</w:t>
      </w:r>
      <w:r>
        <w:rPr>
          <w:sz w:val="22"/>
          <w:szCs w:val="22"/>
        </w:rPr>
        <w:t xml:space="preserve">  </w:t>
      </w:r>
    </w:p>
    <w:p w14:paraId="2E8A9CA9" w14:textId="5D85EC03" w:rsidR="00E67042" w:rsidRDefault="00E67042">
      <w:pPr>
        <w:rPr>
          <w:sz w:val="22"/>
          <w:szCs w:val="22"/>
        </w:rPr>
      </w:pPr>
      <w:r>
        <w:rPr>
          <w:sz w:val="22"/>
          <w:szCs w:val="22"/>
        </w:rPr>
        <w:t>The introduction to medical teaching in Europe started in the year 850, with the Medical School in Salerno in Italy being the first to teach any form of medical studies</w:t>
      </w:r>
      <w:r w:rsidR="00311BB5">
        <w:rPr>
          <w:rStyle w:val="FootnoteReference"/>
          <w:sz w:val="22"/>
          <w:szCs w:val="22"/>
        </w:rPr>
        <w:footnoteReference w:id="37"/>
      </w:r>
      <w:r>
        <w:rPr>
          <w:sz w:val="22"/>
          <w:szCs w:val="22"/>
        </w:rPr>
        <w:t>. Even though medical teaching started in 850, the role of medical teaching only gained more recognition in the 12</w:t>
      </w:r>
      <w:r w:rsidRPr="00E67042">
        <w:rPr>
          <w:sz w:val="22"/>
          <w:szCs w:val="22"/>
          <w:vertAlign w:val="superscript"/>
        </w:rPr>
        <w:t>th</w:t>
      </w:r>
      <w:r>
        <w:rPr>
          <w:sz w:val="22"/>
          <w:szCs w:val="22"/>
        </w:rPr>
        <w:t xml:space="preserve"> and 13</w:t>
      </w:r>
      <w:r w:rsidRPr="00E67042">
        <w:rPr>
          <w:sz w:val="22"/>
          <w:szCs w:val="22"/>
          <w:vertAlign w:val="superscript"/>
        </w:rPr>
        <w:t>th</w:t>
      </w:r>
      <w:r>
        <w:rPr>
          <w:sz w:val="22"/>
          <w:szCs w:val="22"/>
        </w:rPr>
        <w:t xml:space="preserve"> centuries</w:t>
      </w:r>
      <w:r w:rsidR="00746A0B">
        <w:rPr>
          <w:rStyle w:val="FootnoteReference"/>
          <w:sz w:val="22"/>
          <w:szCs w:val="22"/>
        </w:rPr>
        <w:footnoteReference w:id="38"/>
      </w:r>
      <w:r>
        <w:rPr>
          <w:sz w:val="22"/>
          <w:szCs w:val="22"/>
        </w:rPr>
        <w:t xml:space="preserve">. This recognition was due to the Medical School of Salerno was able to </w:t>
      </w:r>
      <w:r>
        <w:rPr>
          <w:sz w:val="22"/>
          <w:szCs w:val="22"/>
        </w:rPr>
        <w:lastRenderedPageBreak/>
        <w:t>collect Arabic, Galen, and Hippocratic texts</w:t>
      </w:r>
      <w:r w:rsidR="00316C16">
        <w:rPr>
          <w:rStyle w:val="FootnoteReference"/>
          <w:sz w:val="22"/>
          <w:szCs w:val="22"/>
        </w:rPr>
        <w:footnoteReference w:id="39"/>
      </w:r>
      <w:r>
        <w:rPr>
          <w:sz w:val="22"/>
          <w:szCs w:val="22"/>
        </w:rPr>
        <w:t xml:space="preserve">. The medical knowledge in these medical texts </w:t>
      </w:r>
      <w:proofErr w:type="gramStart"/>
      <w:r>
        <w:rPr>
          <w:sz w:val="22"/>
          <w:szCs w:val="22"/>
        </w:rPr>
        <w:t>were</w:t>
      </w:r>
      <w:proofErr w:type="gramEnd"/>
      <w:r>
        <w:rPr>
          <w:sz w:val="22"/>
          <w:szCs w:val="22"/>
        </w:rPr>
        <w:t xml:space="preserve"> summarised into Latin in the form of practical questions</w:t>
      </w:r>
      <w:r w:rsidR="00316C16">
        <w:rPr>
          <w:rStyle w:val="FootnoteReference"/>
          <w:sz w:val="22"/>
          <w:szCs w:val="22"/>
        </w:rPr>
        <w:footnoteReference w:id="40"/>
      </w:r>
      <w:r>
        <w:rPr>
          <w:sz w:val="22"/>
          <w:szCs w:val="22"/>
        </w:rPr>
        <w:t xml:space="preserve">. The most recognisable and famous of these summarised texts </w:t>
      </w:r>
      <w:r w:rsidR="00F763CF">
        <w:rPr>
          <w:sz w:val="22"/>
          <w:szCs w:val="22"/>
        </w:rPr>
        <w:t>from the Medical School of Salerno was called the ‘</w:t>
      </w:r>
      <w:proofErr w:type="spellStart"/>
      <w:r w:rsidR="00F763CF">
        <w:rPr>
          <w:sz w:val="22"/>
          <w:szCs w:val="22"/>
        </w:rPr>
        <w:t>Salernian</w:t>
      </w:r>
      <w:proofErr w:type="spellEnd"/>
      <w:r w:rsidR="00F763CF">
        <w:rPr>
          <w:sz w:val="22"/>
          <w:szCs w:val="22"/>
        </w:rPr>
        <w:t xml:space="preserve"> Sanitary </w:t>
      </w:r>
      <w:r w:rsidR="00A938DF">
        <w:rPr>
          <w:sz w:val="22"/>
          <w:szCs w:val="22"/>
        </w:rPr>
        <w:t>Regime</w:t>
      </w:r>
      <w:r w:rsidR="00F763CF">
        <w:rPr>
          <w:sz w:val="22"/>
          <w:szCs w:val="22"/>
        </w:rPr>
        <w:t>’</w:t>
      </w:r>
      <w:r w:rsidR="00316C16">
        <w:rPr>
          <w:rStyle w:val="FootnoteReference"/>
          <w:sz w:val="22"/>
          <w:szCs w:val="22"/>
        </w:rPr>
        <w:footnoteReference w:id="41"/>
      </w:r>
      <w:r w:rsidR="00F763CF">
        <w:rPr>
          <w:sz w:val="22"/>
          <w:szCs w:val="22"/>
        </w:rPr>
        <w:t>. This text contained practical questions and information on medical areas such as human anatomy, surgery, physiotherapy, and hygiene</w:t>
      </w:r>
      <w:r w:rsidR="00316C16">
        <w:rPr>
          <w:rStyle w:val="FootnoteReference"/>
          <w:sz w:val="22"/>
          <w:szCs w:val="22"/>
        </w:rPr>
        <w:footnoteReference w:id="42"/>
      </w:r>
      <w:r w:rsidR="00F763CF">
        <w:rPr>
          <w:sz w:val="22"/>
          <w:szCs w:val="22"/>
        </w:rPr>
        <w:t>. This text is very important as it was written without any reference towards religion or the supernatural</w:t>
      </w:r>
      <w:r w:rsidR="00316C16">
        <w:rPr>
          <w:rStyle w:val="FootnoteReference"/>
          <w:sz w:val="22"/>
          <w:szCs w:val="22"/>
        </w:rPr>
        <w:footnoteReference w:id="43"/>
      </w:r>
      <w:r w:rsidR="00F763CF">
        <w:rPr>
          <w:sz w:val="22"/>
          <w:szCs w:val="22"/>
        </w:rPr>
        <w:t>. The introduction to medical teaching showed that education had some practical use in medieval society as the medical course teaches more scientific medicine based on information from Arabic, Galen, and Hippocratic texts, rather than medical information based on religion and the supernatural.</w:t>
      </w:r>
      <w:r w:rsidR="00D64F8B">
        <w:rPr>
          <w:sz w:val="22"/>
          <w:szCs w:val="22"/>
        </w:rPr>
        <w:t xml:space="preserve"> </w:t>
      </w:r>
    </w:p>
    <w:p w14:paraId="5C4D50B0" w14:textId="6A2B68A1" w:rsidR="00D64F8B" w:rsidRDefault="00031567">
      <w:pPr>
        <w:rPr>
          <w:sz w:val="22"/>
          <w:szCs w:val="22"/>
        </w:rPr>
      </w:pPr>
      <w:r>
        <w:rPr>
          <w:sz w:val="22"/>
          <w:szCs w:val="22"/>
        </w:rPr>
        <w:t>As well as medical teaching, the study of law also started to be taught. The origins of the teaching of law at a medieval university can be traced back to the University of Bologna in the 11</w:t>
      </w:r>
      <w:r w:rsidRPr="00031567">
        <w:rPr>
          <w:sz w:val="22"/>
          <w:szCs w:val="22"/>
          <w:vertAlign w:val="superscript"/>
        </w:rPr>
        <w:t>th</w:t>
      </w:r>
      <w:r>
        <w:rPr>
          <w:sz w:val="22"/>
          <w:szCs w:val="22"/>
        </w:rPr>
        <w:t xml:space="preserve"> century</w:t>
      </w:r>
      <w:r w:rsidR="00E57A66">
        <w:rPr>
          <w:rStyle w:val="FootnoteReference"/>
          <w:sz w:val="22"/>
          <w:szCs w:val="22"/>
        </w:rPr>
        <w:footnoteReference w:id="44"/>
      </w:r>
      <w:r>
        <w:rPr>
          <w:sz w:val="22"/>
          <w:szCs w:val="22"/>
        </w:rPr>
        <w:t>. The introduction of law at Bologna made the city the centre of the revival of law by the 12</w:t>
      </w:r>
      <w:r w:rsidRPr="00031567">
        <w:rPr>
          <w:sz w:val="22"/>
          <w:szCs w:val="22"/>
          <w:vertAlign w:val="superscript"/>
        </w:rPr>
        <w:t>th</w:t>
      </w:r>
      <w:r>
        <w:rPr>
          <w:sz w:val="22"/>
          <w:szCs w:val="22"/>
        </w:rPr>
        <w:t xml:space="preserve"> century</w:t>
      </w:r>
      <w:r w:rsidR="001038FB">
        <w:rPr>
          <w:rStyle w:val="FootnoteReference"/>
          <w:sz w:val="22"/>
          <w:szCs w:val="22"/>
        </w:rPr>
        <w:footnoteReference w:id="45"/>
      </w:r>
      <w:r>
        <w:rPr>
          <w:sz w:val="22"/>
          <w:szCs w:val="22"/>
        </w:rPr>
        <w:t>. There were multiple different types of law that was taught at Bologna, such as Roman Law and Canon law</w:t>
      </w:r>
      <w:r w:rsidR="001038FB">
        <w:rPr>
          <w:rStyle w:val="FootnoteReference"/>
          <w:sz w:val="22"/>
          <w:szCs w:val="22"/>
        </w:rPr>
        <w:footnoteReference w:id="46"/>
      </w:r>
      <w:r>
        <w:rPr>
          <w:sz w:val="22"/>
          <w:szCs w:val="22"/>
        </w:rPr>
        <w:t>. This later became two main types of law that was taught at Bologna, which were canon and civil law</w:t>
      </w:r>
      <w:r w:rsidR="001038FB">
        <w:rPr>
          <w:rStyle w:val="FootnoteReference"/>
          <w:sz w:val="22"/>
          <w:szCs w:val="22"/>
        </w:rPr>
        <w:footnoteReference w:id="47"/>
      </w:r>
      <w:r>
        <w:rPr>
          <w:sz w:val="22"/>
          <w:szCs w:val="22"/>
        </w:rPr>
        <w:t>. The introduction of teaching law at the University of Bologna became the framework for the emerging medieval legal traditions across Europe</w:t>
      </w:r>
      <w:r w:rsidR="001038FB">
        <w:rPr>
          <w:rStyle w:val="FootnoteReference"/>
          <w:sz w:val="22"/>
          <w:szCs w:val="22"/>
        </w:rPr>
        <w:footnoteReference w:id="48"/>
      </w:r>
      <w:r>
        <w:rPr>
          <w:sz w:val="22"/>
          <w:szCs w:val="22"/>
        </w:rPr>
        <w:t xml:space="preserve">. Students that studied law at Bologna </w:t>
      </w:r>
      <w:r w:rsidR="0064430C">
        <w:rPr>
          <w:sz w:val="22"/>
          <w:szCs w:val="22"/>
        </w:rPr>
        <w:t>later set up legal centres in cities across Europe</w:t>
      </w:r>
      <w:r w:rsidR="001038FB">
        <w:rPr>
          <w:rStyle w:val="FootnoteReference"/>
          <w:sz w:val="22"/>
          <w:szCs w:val="22"/>
        </w:rPr>
        <w:footnoteReference w:id="49"/>
      </w:r>
      <w:r w:rsidR="0064430C">
        <w:rPr>
          <w:sz w:val="22"/>
          <w:szCs w:val="22"/>
        </w:rPr>
        <w:t>. The introduction of the teaching of law also shows that education has a practical application in medieval society to some extent, as students after graduating law at Bologna spread the methods of law taught at Bologna across Europe.</w:t>
      </w:r>
    </w:p>
    <w:p w14:paraId="1F77C9E5" w14:textId="22D9430C" w:rsidR="005D62D7" w:rsidRDefault="00805215">
      <w:pPr>
        <w:rPr>
          <w:sz w:val="22"/>
          <w:szCs w:val="22"/>
        </w:rPr>
      </w:pPr>
      <w:r>
        <w:rPr>
          <w:sz w:val="22"/>
          <w:szCs w:val="22"/>
        </w:rPr>
        <w:t>The University of Paris was another important higher educational institute in the 12</w:t>
      </w:r>
      <w:r w:rsidRPr="00805215">
        <w:rPr>
          <w:sz w:val="22"/>
          <w:szCs w:val="22"/>
          <w:vertAlign w:val="superscript"/>
        </w:rPr>
        <w:t>th</w:t>
      </w:r>
      <w:r>
        <w:rPr>
          <w:sz w:val="22"/>
          <w:szCs w:val="22"/>
        </w:rPr>
        <w:t xml:space="preserve"> and 13</w:t>
      </w:r>
      <w:r w:rsidRPr="00805215">
        <w:rPr>
          <w:sz w:val="22"/>
          <w:szCs w:val="22"/>
          <w:vertAlign w:val="superscript"/>
        </w:rPr>
        <w:t>th</w:t>
      </w:r>
      <w:r>
        <w:rPr>
          <w:sz w:val="22"/>
          <w:szCs w:val="22"/>
        </w:rPr>
        <w:t xml:space="preserve"> centuries. The original university taught four different areas of study. These were arts, medicine, law and theology</w:t>
      </w:r>
      <w:r w:rsidR="00887CC5">
        <w:rPr>
          <w:rStyle w:val="FootnoteReference"/>
          <w:sz w:val="22"/>
          <w:szCs w:val="22"/>
        </w:rPr>
        <w:footnoteReference w:id="50"/>
      </w:r>
      <w:r>
        <w:rPr>
          <w:sz w:val="22"/>
          <w:szCs w:val="22"/>
        </w:rPr>
        <w:t>. The university at the time was renowned for its exceptional teaching and played a very important role in the political and religious affairs of France</w:t>
      </w:r>
      <w:r w:rsidR="00B44C29">
        <w:rPr>
          <w:rStyle w:val="FootnoteReference"/>
          <w:sz w:val="22"/>
          <w:szCs w:val="22"/>
        </w:rPr>
        <w:footnoteReference w:id="51"/>
      </w:r>
      <w:r>
        <w:rPr>
          <w:sz w:val="22"/>
          <w:szCs w:val="22"/>
        </w:rPr>
        <w:t>. In the early 13</w:t>
      </w:r>
      <w:r w:rsidRPr="00805215">
        <w:rPr>
          <w:sz w:val="22"/>
          <w:szCs w:val="22"/>
          <w:vertAlign w:val="superscript"/>
        </w:rPr>
        <w:t>th</w:t>
      </w:r>
      <w:r>
        <w:rPr>
          <w:sz w:val="22"/>
          <w:szCs w:val="22"/>
        </w:rPr>
        <w:t xml:space="preserve"> century King Philip II also known as Philip Augustus, issued a declaration which meant that any student that was enrolled at the University of Paris</w:t>
      </w:r>
      <w:r w:rsidR="003E7D31">
        <w:rPr>
          <w:sz w:val="22"/>
          <w:szCs w:val="22"/>
        </w:rPr>
        <w:t xml:space="preserve"> could only be subject to the ecclesiastical </w:t>
      </w:r>
      <w:r w:rsidR="003E7D31">
        <w:rPr>
          <w:sz w:val="22"/>
          <w:szCs w:val="22"/>
        </w:rPr>
        <w:lastRenderedPageBreak/>
        <w:t>jurisdiction</w:t>
      </w:r>
      <w:r w:rsidR="00A027C4">
        <w:rPr>
          <w:rStyle w:val="FootnoteReference"/>
          <w:sz w:val="22"/>
          <w:szCs w:val="22"/>
        </w:rPr>
        <w:footnoteReference w:id="52"/>
      </w:r>
      <w:r w:rsidR="003E7D31">
        <w:rPr>
          <w:sz w:val="22"/>
          <w:szCs w:val="22"/>
        </w:rPr>
        <w:t>. This meant that any student could not be arrested for any offence unless the offending student was handed over to an ecclesiastical authority</w:t>
      </w:r>
      <w:r w:rsidR="00A027C4">
        <w:rPr>
          <w:rStyle w:val="FootnoteReference"/>
          <w:sz w:val="22"/>
          <w:szCs w:val="22"/>
        </w:rPr>
        <w:footnoteReference w:id="53"/>
      </w:r>
      <w:r w:rsidR="003E7D31">
        <w:rPr>
          <w:sz w:val="22"/>
          <w:szCs w:val="22"/>
        </w:rPr>
        <w:t xml:space="preserve">. This also meant that none of the </w:t>
      </w:r>
      <w:proofErr w:type="gramStart"/>
      <w:r w:rsidR="003E7D31">
        <w:rPr>
          <w:sz w:val="22"/>
          <w:szCs w:val="22"/>
        </w:rPr>
        <w:t>kings</w:t>
      </w:r>
      <w:proofErr w:type="gramEnd"/>
      <w:r w:rsidR="003E7D31">
        <w:rPr>
          <w:sz w:val="22"/>
          <w:szCs w:val="22"/>
        </w:rPr>
        <w:t xml:space="preserve"> guards could arrest the head of the schools unless they had a mandate form an ecclesiastical authority</w:t>
      </w:r>
      <w:r w:rsidR="00A027C4">
        <w:rPr>
          <w:rStyle w:val="FootnoteReference"/>
          <w:sz w:val="22"/>
          <w:szCs w:val="22"/>
        </w:rPr>
        <w:footnoteReference w:id="54"/>
      </w:r>
      <w:r w:rsidR="003E7D31">
        <w:rPr>
          <w:sz w:val="22"/>
          <w:szCs w:val="22"/>
        </w:rPr>
        <w:t>. The university was, during the 12</w:t>
      </w:r>
      <w:r w:rsidR="003E7D31" w:rsidRPr="003E7D31">
        <w:rPr>
          <w:sz w:val="22"/>
          <w:szCs w:val="22"/>
          <w:vertAlign w:val="superscript"/>
        </w:rPr>
        <w:t>th</w:t>
      </w:r>
      <w:r w:rsidR="003E7D31">
        <w:rPr>
          <w:sz w:val="22"/>
          <w:szCs w:val="22"/>
        </w:rPr>
        <w:t xml:space="preserve"> and 13</w:t>
      </w:r>
      <w:r w:rsidR="003E7D31" w:rsidRPr="003E7D31">
        <w:rPr>
          <w:sz w:val="22"/>
          <w:szCs w:val="22"/>
          <w:vertAlign w:val="superscript"/>
        </w:rPr>
        <w:t>th</w:t>
      </w:r>
      <w:r w:rsidR="003E7D31">
        <w:rPr>
          <w:sz w:val="22"/>
          <w:szCs w:val="22"/>
        </w:rPr>
        <w:t xml:space="preserve"> centuries, a centre of teaching as well as learning. One route for graduates of the University of Paris was to go into teaching. The requirements for teaching any of the four different areas of study </w:t>
      </w:r>
      <w:r w:rsidR="00F05A9C">
        <w:rPr>
          <w:sz w:val="22"/>
          <w:szCs w:val="22"/>
        </w:rPr>
        <w:t>differed depending on the area of study</w:t>
      </w:r>
      <w:r w:rsidR="00D30BED">
        <w:rPr>
          <w:rStyle w:val="FootnoteReference"/>
          <w:sz w:val="22"/>
          <w:szCs w:val="22"/>
        </w:rPr>
        <w:footnoteReference w:id="55"/>
      </w:r>
      <w:r w:rsidR="00F05A9C">
        <w:rPr>
          <w:sz w:val="22"/>
          <w:szCs w:val="22"/>
        </w:rPr>
        <w:t xml:space="preserve">. </w:t>
      </w:r>
      <w:proofErr w:type="gramStart"/>
      <w:r w:rsidR="00F05A9C">
        <w:rPr>
          <w:sz w:val="22"/>
          <w:szCs w:val="22"/>
        </w:rPr>
        <w:t>In order for</w:t>
      </w:r>
      <w:proofErr w:type="gramEnd"/>
      <w:r w:rsidR="00F05A9C">
        <w:rPr>
          <w:sz w:val="22"/>
          <w:szCs w:val="22"/>
        </w:rPr>
        <w:t xml:space="preserve"> a graduate of the University of Paris to be able to teach arts, a graduate must be at least </w:t>
      </w:r>
      <w:proofErr w:type="gramStart"/>
      <w:r w:rsidR="00F05A9C">
        <w:rPr>
          <w:sz w:val="22"/>
          <w:szCs w:val="22"/>
        </w:rPr>
        <w:t>twenty one</w:t>
      </w:r>
      <w:proofErr w:type="gramEnd"/>
      <w:r w:rsidR="00F05A9C">
        <w:rPr>
          <w:sz w:val="22"/>
          <w:szCs w:val="22"/>
        </w:rPr>
        <w:t xml:space="preserve"> years of age, studied the arts for at least six years, and to have taken an engagement in teaching for at least two years</w:t>
      </w:r>
      <w:r w:rsidR="00D30BED">
        <w:rPr>
          <w:rStyle w:val="FootnoteReference"/>
          <w:sz w:val="22"/>
          <w:szCs w:val="22"/>
        </w:rPr>
        <w:footnoteReference w:id="56"/>
      </w:r>
      <w:r w:rsidR="00F05A9C">
        <w:rPr>
          <w:sz w:val="22"/>
          <w:szCs w:val="22"/>
        </w:rPr>
        <w:t>. Whereas to be able to teach theology, a graduate must be at least thirty years old, studied theology for at least eight years, and the last three years of study needed to be focused on specific lectures which focused on preparing the student for teaching</w:t>
      </w:r>
      <w:r w:rsidR="00D30BED">
        <w:rPr>
          <w:rStyle w:val="FootnoteReference"/>
          <w:sz w:val="22"/>
          <w:szCs w:val="22"/>
        </w:rPr>
        <w:footnoteReference w:id="57"/>
      </w:r>
      <w:r w:rsidR="00F05A9C">
        <w:rPr>
          <w:sz w:val="22"/>
          <w:szCs w:val="22"/>
        </w:rPr>
        <w:t xml:space="preserve">. This shows that education had a practical use for teaching in medieval society. The requirements for teaching showed that a teacher had both the experience and the qualifications to educate students. </w:t>
      </w:r>
    </w:p>
    <w:p w14:paraId="7767DC6E" w14:textId="5BFB5014" w:rsidR="00F05A9C" w:rsidRDefault="00C91381">
      <w:pPr>
        <w:rPr>
          <w:sz w:val="22"/>
          <w:szCs w:val="22"/>
        </w:rPr>
      </w:pPr>
      <w:r>
        <w:rPr>
          <w:sz w:val="22"/>
          <w:szCs w:val="22"/>
        </w:rPr>
        <w:t>In conclusion, education had a practical use in medieval society to some extent. The main role of education during the 12</w:t>
      </w:r>
      <w:r w:rsidRPr="00C91381">
        <w:rPr>
          <w:sz w:val="22"/>
          <w:szCs w:val="22"/>
          <w:vertAlign w:val="superscript"/>
        </w:rPr>
        <w:t>th</w:t>
      </w:r>
      <w:r>
        <w:rPr>
          <w:sz w:val="22"/>
          <w:szCs w:val="22"/>
        </w:rPr>
        <w:t xml:space="preserve"> and 13</w:t>
      </w:r>
      <w:r w:rsidRPr="00C91381">
        <w:rPr>
          <w:sz w:val="22"/>
          <w:szCs w:val="22"/>
          <w:vertAlign w:val="superscript"/>
        </w:rPr>
        <w:t>th</w:t>
      </w:r>
      <w:r>
        <w:rPr>
          <w:sz w:val="22"/>
          <w:szCs w:val="22"/>
        </w:rPr>
        <w:t xml:space="preserve"> centuries was to prepare young boys for roles within the church. Although women were educated at this time, their education was </w:t>
      </w:r>
      <w:proofErr w:type="gramStart"/>
      <w:r>
        <w:rPr>
          <w:sz w:val="22"/>
          <w:szCs w:val="22"/>
        </w:rPr>
        <w:t>fairly limited</w:t>
      </w:r>
      <w:proofErr w:type="gramEnd"/>
      <w:r>
        <w:rPr>
          <w:sz w:val="22"/>
          <w:szCs w:val="22"/>
        </w:rPr>
        <w:t xml:space="preserve"> and there were </w:t>
      </w:r>
      <w:r w:rsidR="0019667B">
        <w:rPr>
          <w:sz w:val="22"/>
          <w:szCs w:val="22"/>
        </w:rPr>
        <w:t xml:space="preserve">very limited roles that women could play in society. Other practical uses of education at this time </w:t>
      </w:r>
      <w:proofErr w:type="gramStart"/>
      <w:r w:rsidR="0019667B">
        <w:rPr>
          <w:sz w:val="22"/>
          <w:szCs w:val="22"/>
        </w:rPr>
        <w:t>was</w:t>
      </w:r>
      <w:proofErr w:type="gramEnd"/>
      <w:r w:rsidR="0019667B">
        <w:rPr>
          <w:sz w:val="22"/>
          <w:szCs w:val="22"/>
        </w:rPr>
        <w:t xml:space="preserve"> to teach and go into a medical profession. However, during the 12</w:t>
      </w:r>
      <w:r w:rsidR="0019667B" w:rsidRPr="0019667B">
        <w:rPr>
          <w:sz w:val="22"/>
          <w:szCs w:val="22"/>
          <w:vertAlign w:val="superscript"/>
        </w:rPr>
        <w:t>th</w:t>
      </w:r>
      <w:r w:rsidR="0019667B">
        <w:rPr>
          <w:sz w:val="22"/>
          <w:szCs w:val="22"/>
        </w:rPr>
        <w:t xml:space="preserve"> and 13</w:t>
      </w:r>
      <w:r w:rsidR="0019667B" w:rsidRPr="0019667B">
        <w:rPr>
          <w:sz w:val="22"/>
          <w:szCs w:val="22"/>
          <w:vertAlign w:val="superscript"/>
        </w:rPr>
        <w:t>th</w:t>
      </w:r>
      <w:r w:rsidR="0019667B">
        <w:rPr>
          <w:sz w:val="22"/>
          <w:szCs w:val="22"/>
        </w:rPr>
        <w:t xml:space="preserve"> centuries, </w:t>
      </w:r>
      <w:proofErr w:type="gramStart"/>
      <w:r w:rsidR="0019667B">
        <w:rPr>
          <w:sz w:val="22"/>
          <w:szCs w:val="22"/>
        </w:rPr>
        <w:t>the majority of</w:t>
      </w:r>
      <w:proofErr w:type="gramEnd"/>
      <w:r w:rsidR="0019667B">
        <w:rPr>
          <w:sz w:val="22"/>
          <w:szCs w:val="22"/>
        </w:rPr>
        <w:t xml:space="preserve"> the population were still illiterate, suggesting that education was not available to all in society, which limits educations practical use in society.</w:t>
      </w:r>
    </w:p>
    <w:p w14:paraId="7414C1F9" w14:textId="77777777" w:rsidR="00CC3040" w:rsidRDefault="00CC3040">
      <w:pPr>
        <w:rPr>
          <w:sz w:val="22"/>
          <w:szCs w:val="22"/>
        </w:rPr>
      </w:pPr>
    </w:p>
    <w:p w14:paraId="677DBBF0" w14:textId="77777777" w:rsidR="00CC3040" w:rsidRDefault="00CC3040">
      <w:pPr>
        <w:rPr>
          <w:sz w:val="22"/>
          <w:szCs w:val="22"/>
        </w:rPr>
      </w:pPr>
    </w:p>
    <w:p w14:paraId="59340910" w14:textId="77777777" w:rsidR="00CC3040" w:rsidRDefault="00CC3040">
      <w:pPr>
        <w:rPr>
          <w:sz w:val="22"/>
          <w:szCs w:val="22"/>
        </w:rPr>
      </w:pPr>
    </w:p>
    <w:p w14:paraId="5D9B3713" w14:textId="77777777" w:rsidR="00CC3040" w:rsidRDefault="00CC3040">
      <w:pPr>
        <w:rPr>
          <w:sz w:val="22"/>
          <w:szCs w:val="22"/>
        </w:rPr>
      </w:pPr>
    </w:p>
    <w:p w14:paraId="7410660D" w14:textId="77777777" w:rsidR="00BD5A00" w:rsidRDefault="00BD5A00">
      <w:pPr>
        <w:rPr>
          <w:sz w:val="22"/>
          <w:szCs w:val="22"/>
          <w:u w:val="single"/>
        </w:rPr>
      </w:pPr>
    </w:p>
    <w:p w14:paraId="7CC6E0B4" w14:textId="77777777" w:rsidR="00BD5A00" w:rsidRDefault="00BD5A00">
      <w:pPr>
        <w:rPr>
          <w:sz w:val="22"/>
          <w:szCs w:val="22"/>
          <w:u w:val="single"/>
        </w:rPr>
      </w:pPr>
    </w:p>
    <w:p w14:paraId="5441813C" w14:textId="77777777" w:rsidR="00BD5A00" w:rsidRDefault="00BD5A00">
      <w:pPr>
        <w:rPr>
          <w:sz w:val="22"/>
          <w:szCs w:val="22"/>
          <w:u w:val="single"/>
        </w:rPr>
      </w:pPr>
    </w:p>
    <w:p w14:paraId="76CB734B" w14:textId="77777777" w:rsidR="00BD5A00" w:rsidRDefault="00BD5A00">
      <w:pPr>
        <w:rPr>
          <w:sz w:val="22"/>
          <w:szCs w:val="22"/>
          <w:u w:val="single"/>
        </w:rPr>
      </w:pPr>
    </w:p>
    <w:p w14:paraId="4F852538" w14:textId="77777777" w:rsidR="00BD5A00" w:rsidRDefault="00BD5A00">
      <w:pPr>
        <w:rPr>
          <w:sz w:val="22"/>
          <w:szCs w:val="22"/>
          <w:u w:val="single"/>
        </w:rPr>
      </w:pPr>
    </w:p>
    <w:p w14:paraId="6ED1FBA4" w14:textId="77777777" w:rsidR="00BD5A00" w:rsidRDefault="00BD5A00">
      <w:pPr>
        <w:rPr>
          <w:sz w:val="22"/>
          <w:szCs w:val="22"/>
          <w:u w:val="single"/>
        </w:rPr>
      </w:pPr>
    </w:p>
    <w:p w14:paraId="2BB6BE20" w14:textId="77777777" w:rsidR="005B67C2" w:rsidRDefault="005B67C2">
      <w:pPr>
        <w:rPr>
          <w:sz w:val="22"/>
          <w:szCs w:val="22"/>
          <w:u w:val="single"/>
        </w:rPr>
      </w:pPr>
    </w:p>
    <w:p w14:paraId="63354A08" w14:textId="3AECDBBD" w:rsidR="00CC3040" w:rsidRDefault="00CC3040">
      <w:pPr>
        <w:rPr>
          <w:sz w:val="22"/>
          <w:szCs w:val="22"/>
          <w:u w:val="single"/>
        </w:rPr>
      </w:pPr>
      <w:r>
        <w:rPr>
          <w:sz w:val="22"/>
          <w:szCs w:val="22"/>
          <w:u w:val="single"/>
        </w:rPr>
        <w:lastRenderedPageBreak/>
        <w:t>Bibliography</w:t>
      </w:r>
    </w:p>
    <w:p w14:paraId="2A94BBA2" w14:textId="2125170A" w:rsidR="009A3C5D" w:rsidRDefault="009A3C5D" w:rsidP="00CC3040">
      <w:pPr>
        <w:pStyle w:val="ListParagraph"/>
        <w:numPr>
          <w:ilvl w:val="0"/>
          <w:numId w:val="1"/>
        </w:numPr>
        <w:rPr>
          <w:sz w:val="22"/>
          <w:szCs w:val="22"/>
        </w:rPr>
      </w:pPr>
      <w:r>
        <w:rPr>
          <w:sz w:val="22"/>
          <w:szCs w:val="22"/>
        </w:rPr>
        <w:t xml:space="preserve">Academic Apparel, </w:t>
      </w:r>
      <w:r>
        <w:rPr>
          <w:i/>
          <w:iCs/>
          <w:sz w:val="22"/>
          <w:szCs w:val="22"/>
        </w:rPr>
        <w:t>College and University History</w:t>
      </w:r>
      <w:r>
        <w:rPr>
          <w:sz w:val="22"/>
          <w:szCs w:val="22"/>
        </w:rPr>
        <w:t>, Unknown, &lt;</w:t>
      </w:r>
      <w:hyperlink r:id="rId8" w:history="1">
        <w:r w:rsidRPr="00CC7220">
          <w:rPr>
            <w:rStyle w:val="Hyperlink"/>
            <w:sz w:val="22"/>
            <w:szCs w:val="22"/>
          </w:rPr>
          <w:t>https://www.academicapparel.com/static/caps/College-University-History.html</w:t>
        </w:r>
      </w:hyperlink>
      <w:r>
        <w:rPr>
          <w:sz w:val="22"/>
          <w:szCs w:val="22"/>
        </w:rPr>
        <w:t>&gt;, [Accessed: 30</w:t>
      </w:r>
      <w:r w:rsidRPr="009A3C5D">
        <w:rPr>
          <w:sz w:val="22"/>
          <w:szCs w:val="22"/>
          <w:vertAlign w:val="superscript"/>
        </w:rPr>
        <w:t>th</w:t>
      </w:r>
      <w:r>
        <w:rPr>
          <w:sz w:val="22"/>
          <w:szCs w:val="22"/>
        </w:rPr>
        <w:t xml:space="preserve"> November 2025]</w:t>
      </w:r>
    </w:p>
    <w:p w14:paraId="2997FEE6" w14:textId="6D05588F" w:rsidR="002C279A" w:rsidRDefault="002C279A" w:rsidP="00CC3040">
      <w:pPr>
        <w:pStyle w:val="ListParagraph"/>
        <w:numPr>
          <w:ilvl w:val="0"/>
          <w:numId w:val="1"/>
        </w:numPr>
        <w:rPr>
          <w:sz w:val="22"/>
          <w:szCs w:val="22"/>
        </w:rPr>
      </w:pPr>
      <w:r>
        <w:rPr>
          <w:sz w:val="22"/>
          <w:szCs w:val="22"/>
        </w:rPr>
        <w:t xml:space="preserve">British Literature Wiki, </w:t>
      </w:r>
      <w:r>
        <w:rPr>
          <w:i/>
          <w:iCs/>
          <w:sz w:val="22"/>
          <w:szCs w:val="22"/>
        </w:rPr>
        <w:t>The Medieval University</w:t>
      </w:r>
      <w:r>
        <w:rPr>
          <w:sz w:val="22"/>
          <w:szCs w:val="22"/>
        </w:rPr>
        <w:t>, Unknown, &lt;</w:t>
      </w:r>
      <w:hyperlink r:id="rId9" w:history="1">
        <w:r w:rsidRPr="00CC7220">
          <w:rPr>
            <w:rStyle w:val="Hyperlink"/>
            <w:sz w:val="22"/>
            <w:szCs w:val="22"/>
          </w:rPr>
          <w:t>https://sites.udel.edu/britlitwiki/the-medieval-university/</w:t>
        </w:r>
      </w:hyperlink>
      <w:r>
        <w:rPr>
          <w:sz w:val="22"/>
          <w:szCs w:val="22"/>
        </w:rPr>
        <w:t>&gt;, [Accessed: 30</w:t>
      </w:r>
      <w:r w:rsidRPr="002C279A">
        <w:rPr>
          <w:sz w:val="22"/>
          <w:szCs w:val="22"/>
          <w:vertAlign w:val="superscript"/>
        </w:rPr>
        <w:t>th</w:t>
      </w:r>
      <w:r>
        <w:rPr>
          <w:sz w:val="22"/>
          <w:szCs w:val="22"/>
        </w:rPr>
        <w:t xml:space="preserve"> November 2025]</w:t>
      </w:r>
    </w:p>
    <w:p w14:paraId="10537746" w14:textId="2FF101C2" w:rsidR="00173E01" w:rsidRDefault="00173E01" w:rsidP="00CC3040">
      <w:pPr>
        <w:pStyle w:val="ListParagraph"/>
        <w:numPr>
          <w:ilvl w:val="0"/>
          <w:numId w:val="1"/>
        </w:numPr>
        <w:rPr>
          <w:sz w:val="22"/>
          <w:szCs w:val="22"/>
        </w:rPr>
      </w:pPr>
      <w:r>
        <w:rPr>
          <w:sz w:val="22"/>
          <w:szCs w:val="22"/>
        </w:rPr>
        <w:t xml:space="preserve">Brittanica, </w:t>
      </w:r>
      <w:r>
        <w:rPr>
          <w:i/>
          <w:iCs/>
          <w:sz w:val="22"/>
          <w:szCs w:val="22"/>
        </w:rPr>
        <w:t>Studia Generale</w:t>
      </w:r>
      <w:r>
        <w:rPr>
          <w:sz w:val="22"/>
          <w:szCs w:val="22"/>
        </w:rPr>
        <w:t>, Unknown, &lt;</w:t>
      </w:r>
      <w:hyperlink r:id="rId10" w:history="1">
        <w:r w:rsidRPr="00CC7220">
          <w:rPr>
            <w:rStyle w:val="Hyperlink"/>
            <w:sz w:val="22"/>
            <w:szCs w:val="22"/>
          </w:rPr>
          <w:t>https://www.britannica.com/topic/higher-education</w:t>
        </w:r>
      </w:hyperlink>
      <w:r>
        <w:rPr>
          <w:sz w:val="22"/>
          <w:szCs w:val="22"/>
        </w:rPr>
        <w:t>&gt;, [Accessed: 30</w:t>
      </w:r>
      <w:r w:rsidRPr="00173E01">
        <w:rPr>
          <w:sz w:val="22"/>
          <w:szCs w:val="22"/>
          <w:vertAlign w:val="superscript"/>
        </w:rPr>
        <w:t>th</w:t>
      </w:r>
      <w:r>
        <w:rPr>
          <w:sz w:val="22"/>
          <w:szCs w:val="22"/>
        </w:rPr>
        <w:t xml:space="preserve"> November 2025]</w:t>
      </w:r>
    </w:p>
    <w:p w14:paraId="064E8052" w14:textId="4E40BE30" w:rsidR="00F8236D" w:rsidRDefault="00F8236D" w:rsidP="00CC3040">
      <w:pPr>
        <w:pStyle w:val="ListParagraph"/>
        <w:numPr>
          <w:ilvl w:val="0"/>
          <w:numId w:val="1"/>
        </w:numPr>
        <w:rPr>
          <w:sz w:val="22"/>
          <w:szCs w:val="22"/>
        </w:rPr>
      </w:pPr>
      <w:r>
        <w:rPr>
          <w:sz w:val="22"/>
          <w:szCs w:val="22"/>
        </w:rPr>
        <w:t xml:space="preserve">Berkeley, </w:t>
      </w:r>
      <w:r>
        <w:rPr>
          <w:i/>
          <w:iCs/>
          <w:sz w:val="22"/>
          <w:szCs w:val="22"/>
        </w:rPr>
        <w:t>The Medieval Law School</w:t>
      </w:r>
      <w:r>
        <w:rPr>
          <w:sz w:val="22"/>
          <w:szCs w:val="22"/>
        </w:rPr>
        <w:t>, Unknown, &lt;</w:t>
      </w:r>
      <w:hyperlink r:id="rId11" w:history="1">
        <w:r w:rsidRPr="00CC7220">
          <w:rPr>
            <w:rStyle w:val="Hyperlink"/>
            <w:sz w:val="22"/>
            <w:szCs w:val="22"/>
          </w:rPr>
          <w:t>https://www.law.berkeley.edu/wp-content/uploads/2020/08/Medieval-Law-School.pdf</w:t>
        </w:r>
      </w:hyperlink>
      <w:r>
        <w:rPr>
          <w:sz w:val="22"/>
          <w:szCs w:val="22"/>
        </w:rPr>
        <w:t>&gt;, [Accessed: 30</w:t>
      </w:r>
      <w:r w:rsidRPr="00F8236D">
        <w:rPr>
          <w:sz w:val="22"/>
          <w:szCs w:val="22"/>
          <w:vertAlign w:val="superscript"/>
        </w:rPr>
        <w:t>th</w:t>
      </w:r>
      <w:r>
        <w:rPr>
          <w:sz w:val="22"/>
          <w:szCs w:val="22"/>
        </w:rPr>
        <w:t xml:space="preserve"> November 2025]</w:t>
      </w:r>
    </w:p>
    <w:p w14:paraId="7FF9E60C" w14:textId="6CF94342" w:rsidR="006A5FB4" w:rsidRDefault="006A5FB4" w:rsidP="00CC3040">
      <w:pPr>
        <w:pStyle w:val="ListParagraph"/>
        <w:numPr>
          <w:ilvl w:val="0"/>
          <w:numId w:val="1"/>
        </w:numPr>
        <w:rPr>
          <w:sz w:val="22"/>
          <w:szCs w:val="22"/>
        </w:rPr>
      </w:pPr>
      <w:proofErr w:type="spellStart"/>
      <w:r>
        <w:rPr>
          <w:sz w:val="22"/>
          <w:szCs w:val="22"/>
        </w:rPr>
        <w:t>L.Acosta</w:t>
      </w:r>
      <w:proofErr w:type="spellEnd"/>
      <w:r>
        <w:rPr>
          <w:sz w:val="22"/>
          <w:szCs w:val="22"/>
        </w:rPr>
        <w:t xml:space="preserve"> Guemes, ‘</w:t>
      </w:r>
      <w:r>
        <w:rPr>
          <w:i/>
          <w:iCs/>
          <w:sz w:val="22"/>
          <w:szCs w:val="22"/>
        </w:rPr>
        <w:t>Main Characteristics of Medieval</w:t>
      </w:r>
      <w:r w:rsidR="00311BB5">
        <w:rPr>
          <w:i/>
          <w:iCs/>
          <w:sz w:val="22"/>
          <w:szCs w:val="22"/>
        </w:rPr>
        <w:t xml:space="preserve"> Medical</w:t>
      </w:r>
      <w:r>
        <w:rPr>
          <w:i/>
          <w:iCs/>
          <w:sz w:val="22"/>
          <w:szCs w:val="22"/>
        </w:rPr>
        <w:t xml:space="preserve"> Education and its Legacy in Contemporary Medical Education</w:t>
      </w:r>
      <w:r>
        <w:rPr>
          <w:sz w:val="22"/>
          <w:szCs w:val="22"/>
        </w:rPr>
        <w:t>’, (2022), 3-4</w:t>
      </w:r>
    </w:p>
    <w:p w14:paraId="0516DBAB" w14:textId="06E4DD3F" w:rsidR="00EA53C3" w:rsidRDefault="00EA53C3" w:rsidP="00CC3040">
      <w:pPr>
        <w:pStyle w:val="ListParagraph"/>
        <w:numPr>
          <w:ilvl w:val="0"/>
          <w:numId w:val="1"/>
        </w:numPr>
        <w:rPr>
          <w:sz w:val="22"/>
          <w:szCs w:val="22"/>
        </w:rPr>
      </w:pPr>
      <w:r>
        <w:rPr>
          <w:sz w:val="22"/>
          <w:szCs w:val="22"/>
        </w:rPr>
        <w:t xml:space="preserve">New World </w:t>
      </w:r>
      <w:proofErr w:type="spellStart"/>
      <w:r>
        <w:rPr>
          <w:sz w:val="22"/>
          <w:szCs w:val="22"/>
        </w:rPr>
        <w:t>Encyclopedia</w:t>
      </w:r>
      <w:proofErr w:type="spellEnd"/>
      <w:r>
        <w:rPr>
          <w:sz w:val="22"/>
          <w:szCs w:val="22"/>
        </w:rPr>
        <w:t xml:space="preserve">, </w:t>
      </w:r>
      <w:r>
        <w:rPr>
          <w:i/>
          <w:iCs/>
          <w:sz w:val="22"/>
          <w:szCs w:val="22"/>
        </w:rPr>
        <w:t>University of Paris</w:t>
      </w:r>
      <w:r>
        <w:rPr>
          <w:sz w:val="22"/>
          <w:szCs w:val="22"/>
        </w:rPr>
        <w:t>, Unknown, &lt;</w:t>
      </w:r>
      <w:hyperlink r:id="rId12" w:history="1">
        <w:r w:rsidRPr="00CC7220">
          <w:rPr>
            <w:rStyle w:val="Hyperlink"/>
            <w:sz w:val="22"/>
            <w:szCs w:val="22"/>
          </w:rPr>
          <w:t>https://www.newworldencyclopedia.org/entry/University_of_Paris#Organization_in_the_thirteenth_century</w:t>
        </w:r>
      </w:hyperlink>
      <w:r>
        <w:rPr>
          <w:sz w:val="22"/>
          <w:szCs w:val="22"/>
        </w:rPr>
        <w:t>&gt;, [Accessed: 30</w:t>
      </w:r>
      <w:r w:rsidRPr="00EA53C3">
        <w:rPr>
          <w:sz w:val="22"/>
          <w:szCs w:val="22"/>
          <w:vertAlign w:val="superscript"/>
        </w:rPr>
        <w:t>th</w:t>
      </w:r>
      <w:r>
        <w:rPr>
          <w:sz w:val="22"/>
          <w:szCs w:val="22"/>
        </w:rPr>
        <w:t xml:space="preserve"> November 2025]</w:t>
      </w:r>
    </w:p>
    <w:p w14:paraId="0651B36A" w14:textId="69B046B0" w:rsidR="00CC3040" w:rsidRDefault="00CC3040" w:rsidP="00CC3040">
      <w:pPr>
        <w:pStyle w:val="ListParagraph"/>
        <w:numPr>
          <w:ilvl w:val="0"/>
          <w:numId w:val="1"/>
        </w:numPr>
        <w:rPr>
          <w:sz w:val="22"/>
          <w:szCs w:val="22"/>
        </w:rPr>
      </w:pPr>
      <w:proofErr w:type="spellStart"/>
      <w:proofErr w:type="gramStart"/>
      <w:r>
        <w:rPr>
          <w:sz w:val="22"/>
          <w:szCs w:val="22"/>
        </w:rPr>
        <w:t>N.Orme</w:t>
      </w:r>
      <w:proofErr w:type="spellEnd"/>
      <w:proofErr w:type="gramEnd"/>
      <w:r>
        <w:rPr>
          <w:sz w:val="22"/>
          <w:szCs w:val="22"/>
        </w:rPr>
        <w:t>, ‘</w:t>
      </w:r>
      <w:r>
        <w:rPr>
          <w:i/>
          <w:iCs/>
          <w:sz w:val="22"/>
          <w:szCs w:val="22"/>
        </w:rPr>
        <w:t>Education in Medieval Bristol and Gloucestershire</w:t>
      </w:r>
      <w:r>
        <w:rPr>
          <w:sz w:val="22"/>
          <w:szCs w:val="22"/>
        </w:rPr>
        <w:t xml:space="preserve">’, </w:t>
      </w:r>
      <w:r w:rsidR="001A07CD">
        <w:rPr>
          <w:sz w:val="22"/>
          <w:szCs w:val="22"/>
        </w:rPr>
        <w:t>Vol.</w:t>
      </w:r>
      <w:r>
        <w:rPr>
          <w:sz w:val="22"/>
          <w:szCs w:val="22"/>
        </w:rPr>
        <w:t>122</w:t>
      </w:r>
      <w:r w:rsidR="001A07CD">
        <w:rPr>
          <w:sz w:val="22"/>
          <w:szCs w:val="22"/>
        </w:rPr>
        <w:t>,</w:t>
      </w:r>
      <w:r>
        <w:rPr>
          <w:sz w:val="22"/>
          <w:szCs w:val="22"/>
        </w:rPr>
        <w:t xml:space="preserve"> (2004), 9-13</w:t>
      </w:r>
    </w:p>
    <w:p w14:paraId="6550C925" w14:textId="0817A582" w:rsidR="0004309D" w:rsidRPr="00CC3040" w:rsidRDefault="0004309D" w:rsidP="00CC3040">
      <w:pPr>
        <w:pStyle w:val="ListParagraph"/>
        <w:numPr>
          <w:ilvl w:val="0"/>
          <w:numId w:val="1"/>
        </w:numPr>
        <w:rPr>
          <w:sz w:val="22"/>
          <w:szCs w:val="22"/>
        </w:rPr>
      </w:pPr>
      <w:r>
        <w:rPr>
          <w:sz w:val="22"/>
          <w:szCs w:val="22"/>
        </w:rPr>
        <w:t xml:space="preserve">Stanford </w:t>
      </w:r>
      <w:proofErr w:type="spellStart"/>
      <w:r>
        <w:rPr>
          <w:sz w:val="22"/>
          <w:szCs w:val="22"/>
        </w:rPr>
        <w:t>Encyclopedia</w:t>
      </w:r>
      <w:proofErr w:type="spellEnd"/>
      <w:r>
        <w:rPr>
          <w:sz w:val="22"/>
          <w:szCs w:val="22"/>
        </w:rPr>
        <w:t xml:space="preserve"> of Philosophy, </w:t>
      </w:r>
      <w:r>
        <w:rPr>
          <w:i/>
          <w:iCs/>
          <w:sz w:val="22"/>
          <w:szCs w:val="22"/>
        </w:rPr>
        <w:t>Plato’s Timaeus</w:t>
      </w:r>
      <w:r>
        <w:rPr>
          <w:sz w:val="22"/>
          <w:szCs w:val="22"/>
        </w:rPr>
        <w:t>, 2022, &lt;</w:t>
      </w:r>
      <w:hyperlink r:id="rId13" w:history="1">
        <w:r w:rsidRPr="00CC7220">
          <w:rPr>
            <w:rStyle w:val="Hyperlink"/>
            <w:sz w:val="22"/>
            <w:szCs w:val="22"/>
          </w:rPr>
          <w:t>https://plato.stanford.edu/entries/plato-timaeus/</w:t>
        </w:r>
      </w:hyperlink>
      <w:r>
        <w:rPr>
          <w:sz w:val="22"/>
          <w:szCs w:val="22"/>
        </w:rPr>
        <w:t>&gt;, [Accessed: 30</w:t>
      </w:r>
      <w:r w:rsidRPr="0004309D">
        <w:rPr>
          <w:sz w:val="22"/>
          <w:szCs w:val="22"/>
          <w:vertAlign w:val="superscript"/>
        </w:rPr>
        <w:t>th</w:t>
      </w:r>
      <w:r>
        <w:rPr>
          <w:sz w:val="22"/>
          <w:szCs w:val="22"/>
        </w:rPr>
        <w:t xml:space="preserve"> November 2025]</w:t>
      </w:r>
    </w:p>
    <w:sectPr w:rsidR="0004309D" w:rsidRPr="00CC30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F3432" w14:textId="77777777" w:rsidR="00C60603" w:rsidRDefault="00C60603" w:rsidP="00F467FE">
      <w:pPr>
        <w:spacing w:after="0" w:line="240" w:lineRule="auto"/>
      </w:pPr>
      <w:r>
        <w:separator/>
      </w:r>
    </w:p>
  </w:endnote>
  <w:endnote w:type="continuationSeparator" w:id="0">
    <w:p w14:paraId="4761FF1F" w14:textId="77777777" w:rsidR="00C60603" w:rsidRDefault="00C60603" w:rsidP="00F46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10E2C" w14:textId="77777777" w:rsidR="00C60603" w:rsidRDefault="00C60603" w:rsidP="00F467FE">
      <w:pPr>
        <w:spacing w:after="0" w:line="240" w:lineRule="auto"/>
      </w:pPr>
      <w:r>
        <w:separator/>
      </w:r>
    </w:p>
  </w:footnote>
  <w:footnote w:type="continuationSeparator" w:id="0">
    <w:p w14:paraId="5C7A53E5" w14:textId="77777777" w:rsidR="00C60603" w:rsidRDefault="00C60603" w:rsidP="00F467FE">
      <w:pPr>
        <w:spacing w:after="0" w:line="240" w:lineRule="auto"/>
      </w:pPr>
      <w:r>
        <w:continuationSeparator/>
      </w:r>
    </w:p>
  </w:footnote>
  <w:footnote w:id="1">
    <w:p w14:paraId="72F99AA2" w14:textId="461D28C3" w:rsidR="00F467FE" w:rsidRPr="00F467FE" w:rsidRDefault="00F467FE">
      <w:pPr>
        <w:pStyle w:val="FootnoteText"/>
      </w:pPr>
      <w:r>
        <w:rPr>
          <w:rStyle w:val="FootnoteReference"/>
        </w:rPr>
        <w:footnoteRef/>
      </w:r>
      <w:r>
        <w:t xml:space="preserve"> </w:t>
      </w:r>
      <w:proofErr w:type="spellStart"/>
      <w:proofErr w:type="gramStart"/>
      <w:r>
        <w:t>N.Orme</w:t>
      </w:r>
      <w:proofErr w:type="spellEnd"/>
      <w:proofErr w:type="gramEnd"/>
      <w:r>
        <w:t>, ’</w:t>
      </w:r>
      <w:r>
        <w:rPr>
          <w:i/>
          <w:iCs/>
        </w:rPr>
        <w:t>Education in Medieval Bristol and Gloucestershire</w:t>
      </w:r>
      <w:r>
        <w:t>’, Vol.122, (2004),</w:t>
      </w:r>
      <w:r w:rsidR="00E52445">
        <w:t xml:space="preserve"> p9</w:t>
      </w:r>
    </w:p>
  </w:footnote>
  <w:footnote w:id="2">
    <w:p w14:paraId="2300BCF7" w14:textId="46D39F87" w:rsidR="00E52445" w:rsidRPr="00E52445" w:rsidRDefault="00E52445">
      <w:pPr>
        <w:pStyle w:val="FootnoteText"/>
      </w:pPr>
      <w:r>
        <w:rPr>
          <w:rStyle w:val="FootnoteReference"/>
        </w:rPr>
        <w:footnoteRef/>
      </w:r>
      <w:r>
        <w:t xml:space="preserve"> Ibid: </w:t>
      </w:r>
      <w:proofErr w:type="spellStart"/>
      <w:proofErr w:type="gramStart"/>
      <w:r>
        <w:t>N.Orme</w:t>
      </w:r>
      <w:proofErr w:type="spellEnd"/>
      <w:proofErr w:type="gramEnd"/>
      <w:r>
        <w:t>, ‘</w:t>
      </w:r>
      <w:r>
        <w:rPr>
          <w:i/>
          <w:iCs/>
        </w:rPr>
        <w:t>Education in Medieval Bristol and Gloucestershire</w:t>
      </w:r>
      <w:r>
        <w:t>’, p9</w:t>
      </w:r>
    </w:p>
  </w:footnote>
  <w:footnote w:id="3">
    <w:p w14:paraId="463059EF" w14:textId="66EC14AD"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p9</w:t>
      </w:r>
    </w:p>
  </w:footnote>
  <w:footnote w:id="4">
    <w:p w14:paraId="400010C4" w14:textId="5466A40B"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10</w:t>
      </w:r>
    </w:p>
  </w:footnote>
  <w:footnote w:id="5">
    <w:p w14:paraId="7CEA7670" w14:textId="279094F0"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10</w:t>
      </w:r>
    </w:p>
  </w:footnote>
  <w:footnote w:id="6">
    <w:p w14:paraId="743363BD" w14:textId="29EE5627"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10</w:t>
      </w:r>
    </w:p>
  </w:footnote>
  <w:footnote w:id="7">
    <w:p w14:paraId="425674BC" w14:textId="29DB6257"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10</w:t>
      </w:r>
    </w:p>
  </w:footnote>
  <w:footnote w:id="8">
    <w:p w14:paraId="3AD7A95C" w14:textId="66701ED9" w:rsidR="00E52445" w:rsidRPr="00E52445" w:rsidRDefault="00E52445">
      <w:pPr>
        <w:pStyle w:val="FootnoteText"/>
        <w:rPr>
          <w:b/>
          <w:bCs/>
        </w:rPr>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10</w:t>
      </w:r>
    </w:p>
  </w:footnote>
  <w:footnote w:id="9">
    <w:p w14:paraId="4F838C79" w14:textId="0919A496"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10</w:t>
      </w:r>
    </w:p>
  </w:footnote>
  <w:footnote w:id="10">
    <w:p w14:paraId="544BCDAF" w14:textId="77BC579D"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11</w:t>
      </w:r>
    </w:p>
  </w:footnote>
  <w:footnote w:id="11">
    <w:p w14:paraId="5BF92167" w14:textId="0F0D57B2"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11</w:t>
      </w:r>
    </w:p>
  </w:footnote>
  <w:footnote w:id="12">
    <w:p w14:paraId="64F27EA3" w14:textId="29000A22" w:rsidR="00E52445" w:rsidRDefault="00E52445">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11</w:t>
      </w:r>
    </w:p>
  </w:footnote>
  <w:footnote w:id="13">
    <w:p w14:paraId="251CA997" w14:textId="7670C7DF" w:rsidR="00963223" w:rsidRDefault="00963223">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13</w:t>
      </w:r>
    </w:p>
  </w:footnote>
  <w:footnote w:id="14">
    <w:p w14:paraId="19598D02" w14:textId="1D7879AF" w:rsidR="00963223" w:rsidRDefault="00963223">
      <w:pPr>
        <w:pStyle w:val="FootnoteText"/>
      </w:pPr>
      <w:r>
        <w:rPr>
          <w:rStyle w:val="FootnoteReference"/>
        </w:rPr>
        <w:footnoteRef/>
      </w:r>
      <w:r>
        <w:t xml:space="preserve"> </w:t>
      </w:r>
      <w:r>
        <w:t xml:space="preserve">Ibid: </w:t>
      </w:r>
      <w:proofErr w:type="spellStart"/>
      <w:proofErr w:type="gramStart"/>
      <w:r>
        <w:t>N.Orme</w:t>
      </w:r>
      <w:proofErr w:type="spellEnd"/>
      <w:proofErr w:type="gramEnd"/>
      <w:r>
        <w:t>, ‘</w:t>
      </w:r>
      <w:r>
        <w:rPr>
          <w:i/>
          <w:iCs/>
        </w:rPr>
        <w:t>Education in Medieval Bristol and Gloucestershire</w:t>
      </w:r>
      <w:r>
        <w:t>’, p</w:t>
      </w:r>
      <w:r>
        <w:t>13</w:t>
      </w:r>
    </w:p>
  </w:footnote>
  <w:footnote w:id="15">
    <w:p w14:paraId="27D38C9C" w14:textId="1A36DDE4" w:rsidR="00AF4242" w:rsidRPr="00AF4242" w:rsidRDefault="00AF4242">
      <w:pPr>
        <w:pStyle w:val="FootnoteText"/>
      </w:pPr>
      <w:r>
        <w:rPr>
          <w:rStyle w:val="FootnoteReference"/>
        </w:rPr>
        <w:footnoteRef/>
      </w:r>
      <w:r>
        <w:t xml:space="preserve"> Academic Apparel, </w:t>
      </w:r>
      <w:r>
        <w:rPr>
          <w:i/>
          <w:iCs/>
        </w:rPr>
        <w:t>College and University History</w:t>
      </w:r>
      <w:r>
        <w:t>, Unknown, &lt;</w:t>
      </w:r>
      <w:hyperlink r:id="rId1" w:history="1">
        <w:r w:rsidRPr="00CC7220">
          <w:rPr>
            <w:rStyle w:val="Hyperlink"/>
          </w:rPr>
          <w:t>https://www.academicapparel.com/static/caps/College-University-History.html</w:t>
        </w:r>
      </w:hyperlink>
      <w:r>
        <w:t>&gt;, [Accessed: 30</w:t>
      </w:r>
      <w:r w:rsidRPr="00AF4242">
        <w:rPr>
          <w:vertAlign w:val="superscript"/>
        </w:rPr>
        <w:t>th</w:t>
      </w:r>
      <w:r>
        <w:t xml:space="preserve"> November 2025]</w:t>
      </w:r>
    </w:p>
  </w:footnote>
  <w:footnote w:id="16">
    <w:p w14:paraId="06F73C85" w14:textId="73EE8E3B" w:rsidR="00572DA1" w:rsidRDefault="00572DA1">
      <w:pPr>
        <w:pStyle w:val="FootnoteText"/>
      </w:pPr>
      <w:r>
        <w:rPr>
          <w:rStyle w:val="FootnoteReference"/>
        </w:rPr>
        <w:footnoteRef/>
      </w:r>
      <w:r>
        <w:t xml:space="preserve"> </w:t>
      </w:r>
      <w:r w:rsidR="00173E01">
        <w:t xml:space="preserve">Ibid: </w:t>
      </w:r>
      <w:r>
        <w:t>Academic Apparel, Unknown</w:t>
      </w:r>
    </w:p>
  </w:footnote>
  <w:footnote w:id="17">
    <w:p w14:paraId="0EF60DE5" w14:textId="5932C62C" w:rsidR="006C47E4" w:rsidRPr="006C47E4" w:rsidRDefault="006C47E4">
      <w:pPr>
        <w:pStyle w:val="FootnoteText"/>
      </w:pPr>
      <w:r>
        <w:rPr>
          <w:rStyle w:val="FootnoteReference"/>
        </w:rPr>
        <w:footnoteRef/>
      </w:r>
      <w:r>
        <w:t xml:space="preserve"> Brittanica, </w:t>
      </w:r>
      <w:r>
        <w:rPr>
          <w:i/>
          <w:iCs/>
        </w:rPr>
        <w:t>Studia Generale</w:t>
      </w:r>
      <w:r>
        <w:t>, Unknown, &lt;</w:t>
      </w:r>
      <w:hyperlink r:id="rId2" w:history="1">
        <w:r w:rsidRPr="00CC7220">
          <w:rPr>
            <w:rStyle w:val="Hyperlink"/>
          </w:rPr>
          <w:t>https://www.britannica.com/topic/higher-education</w:t>
        </w:r>
      </w:hyperlink>
      <w:r>
        <w:t>&gt;, [Accessed: 30</w:t>
      </w:r>
      <w:r w:rsidRPr="006C47E4">
        <w:rPr>
          <w:vertAlign w:val="superscript"/>
        </w:rPr>
        <w:t>th</w:t>
      </w:r>
      <w:r>
        <w:t xml:space="preserve"> November 2025]</w:t>
      </w:r>
    </w:p>
  </w:footnote>
  <w:footnote w:id="18">
    <w:p w14:paraId="21615698" w14:textId="4632499B" w:rsidR="006051BF" w:rsidRDefault="006051BF">
      <w:pPr>
        <w:pStyle w:val="FootnoteText"/>
      </w:pPr>
      <w:r>
        <w:rPr>
          <w:rStyle w:val="FootnoteReference"/>
        </w:rPr>
        <w:footnoteRef/>
      </w:r>
      <w:r>
        <w:t xml:space="preserve"> Ibid: Brittanica, Unknown</w:t>
      </w:r>
    </w:p>
  </w:footnote>
  <w:footnote w:id="19">
    <w:p w14:paraId="4598F74F" w14:textId="029B59A1" w:rsidR="00173E01" w:rsidRDefault="00173E01">
      <w:pPr>
        <w:pStyle w:val="FootnoteText"/>
      </w:pPr>
      <w:r>
        <w:rPr>
          <w:rStyle w:val="FootnoteReference"/>
        </w:rPr>
        <w:footnoteRef/>
      </w:r>
      <w:r>
        <w:t xml:space="preserve"> </w:t>
      </w:r>
      <w:r>
        <w:t>bid: Academic Apparel, Unknown</w:t>
      </w:r>
    </w:p>
  </w:footnote>
  <w:footnote w:id="20">
    <w:p w14:paraId="59128CF0" w14:textId="5BB64A58" w:rsidR="00BD5A00" w:rsidRPr="00BD5A00" w:rsidRDefault="00BD5A00">
      <w:pPr>
        <w:pStyle w:val="FootnoteText"/>
      </w:pPr>
      <w:r>
        <w:rPr>
          <w:rStyle w:val="FootnoteReference"/>
        </w:rPr>
        <w:footnoteRef/>
      </w:r>
      <w:r>
        <w:t xml:space="preserve"> British Literature Wiki, </w:t>
      </w:r>
      <w:r>
        <w:rPr>
          <w:i/>
          <w:iCs/>
        </w:rPr>
        <w:t>The Medieval University</w:t>
      </w:r>
      <w:r>
        <w:t>, Unknown, &lt;</w:t>
      </w:r>
      <w:hyperlink r:id="rId3" w:history="1">
        <w:r w:rsidRPr="00CC7220">
          <w:rPr>
            <w:rStyle w:val="Hyperlink"/>
          </w:rPr>
          <w:t>https://sites.udel.edu/britlitwiki/the-medieval-university/</w:t>
        </w:r>
      </w:hyperlink>
      <w:r>
        <w:t>&gt;, [Accessed: 30</w:t>
      </w:r>
      <w:r w:rsidRPr="00BD5A00">
        <w:rPr>
          <w:vertAlign w:val="superscript"/>
        </w:rPr>
        <w:t>th</w:t>
      </w:r>
      <w:r>
        <w:t xml:space="preserve"> November 2025]</w:t>
      </w:r>
    </w:p>
  </w:footnote>
  <w:footnote w:id="21">
    <w:p w14:paraId="199F5445" w14:textId="6C39D233" w:rsidR="00E84279" w:rsidRDefault="00E84279">
      <w:pPr>
        <w:pStyle w:val="FootnoteText"/>
      </w:pPr>
      <w:r>
        <w:rPr>
          <w:rStyle w:val="FootnoteReference"/>
        </w:rPr>
        <w:footnoteRef/>
      </w:r>
      <w:r>
        <w:t xml:space="preserve"> Ibid: British Literature Wiki, Unknown</w:t>
      </w:r>
    </w:p>
  </w:footnote>
  <w:footnote w:id="22">
    <w:p w14:paraId="7DCFDD8B" w14:textId="7FD78524" w:rsidR="00B37B48" w:rsidRDefault="00B37B48">
      <w:pPr>
        <w:pStyle w:val="FootnoteText"/>
      </w:pPr>
      <w:r>
        <w:rPr>
          <w:rStyle w:val="FootnoteReference"/>
        </w:rPr>
        <w:footnoteRef/>
      </w:r>
      <w:r>
        <w:t xml:space="preserve"> </w:t>
      </w:r>
      <w:r>
        <w:t>Ibid: British Literature Wiki, Unknown</w:t>
      </w:r>
    </w:p>
  </w:footnote>
  <w:footnote w:id="23">
    <w:p w14:paraId="6449789C" w14:textId="79DFD172" w:rsidR="00B37B48" w:rsidRDefault="00B37B48">
      <w:pPr>
        <w:pStyle w:val="FootnoteText"/>
      </w:pPr>
      <w:r>
        <w:rPr>
          <w:rStyle w:val="FootnoteReference"/>
        </w:rPr>
        <w:footnoteRef/>
      </w:r>
      <w:r>
        <w:t xml:space="preserve"> </w:t>
      </w:r>
      <w:r>
        <w:t>Ibid: British Literature Wiki, Unknown</w:t>
      </w:r>
    </w:p>
  </w:footnote>
  <w:footnote w:id="24">
    <w:p w14:paraId="458683C5" w14:textId="72EADBB1" w:rsidR="00B37B48" w:rsidRDefault="00B37B48">
      <w:pPr>
        <w:pStyle w:val="FootnoteText"/>
      </w:pPr>
      <w:r>
        <w:rPr>
          <w:rStyle w:val="FootnoteReference"/>
        </w:rPr>
        <w:footnoteRef/>
      </w:r>
      <w:r>
        <w:t xml:space="preserve"> </w:t>
      </w:r>
      <w:r>
        <w:t>Ibid: British Literature Wiki, Unknown</w:t>
      </w:r>
    </w:p>
  </w:footnote>
  <w:footnote w:id="25">
    <w:p w14:paraId="5524DAB4" w14:textId="10BE9B4B" w:rsidR="00BE1FBB" w:rsidRDefault="00BE1FBB">
      <w:pPr>
        <w:pStyle w:val="FootnoteText"/>
      </w:pPr>
      <w:r>
        <w:rPr>
          <w:rStyle w:val="FootnoteReference"/>
        </w:rPr>
        <w:footnoteRef/>
      </w:r>
      <w:r>
        <w:t xml:space="preserve"> </w:t>
      </w:r>
      <w:r>
        <w:t>Ibid: British Literature Wiki, Unknown</w:t>
      </w:r>
    </w:p>
  </w:footnote>
  <w:footnote w:id="26">
    <w:p w14:paraId="6BD73B1A" w14:textId="47DD2059" w:rsidR="00A938DF" w:rsidRDefault="00A938DF">
      <w:pPr>
        <w:pStyle w:val="FootnoteText"/>
      </w:pPr>
      <w:r>
        <w:rPr>
          <w:rStyle w:val="FootnoteReference"/>
        </w:rPr>
        <w:footnoteRef/>
      </w:r>
      <w:r>
        <w:t xml:space="preserve"> </w:t>
      </w:r>
      <w:r>
        <w:t>Ibid: British Literature Wiki, Unknown</w:t>
      </w:r>
    </w:p>
  </w:footnote>
  <w:footnote w:id="27">
    <w:p w14:paraId="6553A9E0" w14:textId="597499A3" w:rsidR="00A938DF" w:rsidRDefault="00A938DF">
      <w:pPr>
        <w:pStyle w:val="FootnoteText"/>
      </w:pPr>
      <w:r>
        <w:rPr>
          <w:rStyle w:val="FootnoteReference"/>
        </w:rPr>
        <w:footnoteRef/>
      </w:r>
      <w:r>
        <w:t xml:space="preserve"> </w:t>
      </w:r>
      <w:r>
        <w:t>Ibid: British Literature Wiki, Unknown</w:t>
      </w:r>
    </w:p>
  </w:footnote>
  <w:footnote w:id="28">
    <w:p w14:paraId="7948AF62" w14:textId="6B3D4BF9" w:rsidR="00A938DF" w:rsidRDefault="00A938DF">
      <w:pPr>
        <w:pStyle w:val="FootnoteText"/>
      </w:pPr>
      <w:r>
        <w:rPr>
          <w:rStyle w:val="FootnoteReference"/>
        </w:rPr>
        <w:footnoteRef/>
      </w:r>
      <w:r>
        <w:t xml:space="preserve"> </w:t>
      </w:r>
      <w:r>
        <w:t>Ibid: British Literature Wiki, Unknown</w:t>
      </w:r>
    </w:p>
  </w:footnote>
  <w:footnote w:id="29">
    <w:p w14:paraId="5CBDB8DD" w14:textId="7EC3024D" w:rsidR="00A938DF" w:rsidRDefault="00A938DF">
      <w:pPr>
        <w:pStyle w:val="FootnoteText"/>
      </w:pPr>
      <w:r>
        <w:rPr>
          <w:rStyle w:val="FootnoteReference"/>
        </w:rPr>
        <w:footnoteRef/>
      </w:r>
      <w:r>
        <w:t xml:space="preserve"> </w:t>
      </w:r>
      <w:r>
        <w:t>Ibid: British Literature Wiki, Unknown</w:t>
      </w:r>
    </w:p>
  </w:footnote>
  <w:footnote w:id="30">
    <w:p w14:paraId="3193BCAF" w14:textId="5A28439C" w:rsidR="00A84304" w:rsidRDefault="00A84304">
      <w:pPr>
        <w:pStyle w:val="FootnoteText"/>
      </w:pPr>
      <w:r>
        <w:rPr>
          <w:rStyle w:val="FootnoteReference"/>
        </w:rPr>
        <w:footnoteRef/>
      </w:r>
      <w:r>
        <w:t xml:space="preserve"> </w:t>
      </w:r>
      <w:r>
        <w:t>Ibid: British Literature Wiki, Unknown</w:t>
      </w:r>
    </w:p>
  </w:footnote>
  <w:footnote w:id="31">
    <w:p w14:paraId="5940D184" w14:textId="3C6CB7B7" w:rsidR="00A84304" w:rsidRDefault="00A84304">
      <w:pPr>
        <w:pStyle w:val="FootnoteText"/>
      </w:pPr>
      <w:r>
        <w:rPr>
          <w:rStyle w:val="FootnoteReference"/>
        </w:rPr>
        <w:footnoteRef/>
      </w:r>
      <w:r>
        <w:t xml:space="preserve"> </w:t>
      </w:r>
      <w:r>
        <w:t>Ibid: British Literature Wiki, Unknown</w:t>
      </w:r>
    </w:p>
  </w:footnote>
  <w:footnote w:id="32">
    <w:p w14:paraId="5EDB0CFB" w14:textId="38EA0ECD" w:rsidR="006B4083" w:rsidRPr="006B4083" w:rsidRDefault="006B4083">
      <w:pPr>
        <w:pStyle w:val="FootnoteText"/>
      </w:pPr>
      <w:r>
        <w:rPr>
          <w:rStyle w:val="FootnoteReference"/>
        </w:rPr>
        <w:footnoteRef/>
      </w:r>
      <w:r>
        <w:t xml:space="preserve"> Stanford </w:t>
      </w:r>
      <w:proofErr w:type="spellStart"/>
      <w:r>
        <w:t>Encyclopedia</w:t>
      </w:r>
      <w:proofErr w:type="spellEnd"/>
      <w:r>
        <w:t xml:space="preserve"> of Philosophy, </w:t>
      </w:r>
      <w:r>
        <w:rPr>
          <w:i/>
          <w:iCs/>
        </w:rPr>
        <w:t>Plato’s Timaeus</w:t>
      </w:r>
      <w:r>
        <w:t>, 2022, &lt;</w:t>
      </w:r>
      <w:hyperlink r:id="rId4" w:history="1">
        <w:r w:rsidRPr="00CC7220">
          <w:rPr>
            <w:rStyle w:val="Hyperlink"/>
          </w:rPr>
          <w:t>https://plato.stanford.edu/entries/plato-timaeus/</w:t>
        </w:r>
      </w:hyperlink>
      <w:r>
        <w:t>&gt;, [Accessed: 30</w:t>
      </w:r>
      <w:r w:rsidRPr="006B4083">
        <w:rPr>
          <w:vertAlign w:val="superscript"/>
        </w:rPr>
        <w:t>th</w:t>
      </w:r>
      <w:r>
        <w:t xml:space="preserve"> November 2025]</w:t>
      </w:r>
    </w:p>
  </w:footnote>
  <w:footnote w:id="33">
    <w:p w14:paraId="2D2E3FA6" w14:textId="746B37D6" w:rsidR="00A84304" w:rsidRDefault="00A84304">
      <w:pPr>
        <w:pStyle w:val="FootnoteText"/>
      </w:pPr>
      <w:r>
        <w:rPr>
          <w:rStyle w:val="FootnoteReference"/>
        </w:rPr>
        <w:footnoteRef/>
      </w:r>
      <w:r>
        <w:t xml:space="preserve"> </w:t>
      </w:r>
      <w:r>
        <w:t>Ibid: British Literature Wiki, Unknown</w:t>
      </w:r>
    </w:p>
  </w:footnote>
  <w:footnote w:id="34">
    <w:p w14:paraId="40531A87" w14:textId="1400B5DF" w:rsidR="00A84304" w:rsidRDefault="00A84304">
      <w:pPr>
        <w:pStyle w:val="FootnoteText"/>
      </w:pPr>
      <w:r>
        <w:rPr>
          <w:rStyle w:val="FootnoteReference"/>
        </w:rPr>
        <w:footnoteRef/>
      </w:r>
      <w:r>
        <w:t xml:space="preserve"> </w:t>
      </w:r>
      <w:r>
        <w:t>Ibid: British Literature Wiki, Unknown</w:t>
      </w:r>
    </w:p>
  </w:footnote>
  <w:footnote w:id="35">
    <w:p w14:paraId="1A15FDFB" w14:textId="3175AA31" w:rsidR="00A84304" w:rsidRDefault="00A84304">
      <w:pPr>
        <w:pStyle w:val="FootnoteText"/>
      </w:pPr>
      <w:r>
        <w:rPr>
          <w:rStyle w:val="FootnoteReference"/>
        </w:rPr>
        <w:footnoteRef/>
      </w:r>
      <w:r>
        <w:t xml:space="preserve"> </w:t>
      </w:r>
      <w:r>
        <w:t>Ibid: British Literature Wiki, Unknown</w:t>
      </w:r>
    </w:p>
  </w:footnote>
  <w:footnote w:id="36">
    <w:p w14:paraId="77920FAF" w14:textId="68EC905A" w:rsidR="00A84304" w:rsidRDefault="00A84304">
      <w:pPr>
        <w:pStyle w:val="FootnoteText"/>
      </w:pPr>
      <w:r>
        <w:rPr>
          <w:rStyle w:val="FootnoteReference"/>
        </w:rPr>
        <w:footnoteRef/>
      </w:r>
      <w:r>
        <w:t xml:space="preserve"> </w:t>
      </w:r>
      <w:r>
        <w:t>Ibid: British Literature Wiki, Unknown</w:t>
      </w:r>
    </w:p>
  </w:footnote>
  <w:footnote w:id="37">
    <w:p w14:paraId="028298E2" w14:textId="55EA3BDB" w:rsidR="00311BB5" w:rsidRPr="00311BB5" w:rsidRDefault="00311BB5">
      <w:pPr>
        <w:pStyle w:val="FootnoteText"/>
      </w:pPr>
      <w:r>
        <w:rPr>
          <w:rStyle w:val="FootnoteReference"/>
        </w:rPr>
        <w:footnoteRef/>
      </w:r>
      <w:r>
        <w:t xml:space="preserve"> </w:t>
      </w:r>
      <w:proofErr w:type="spellStart"/>
      <w:r>
        <w:t>L.Acosta</w:t>
      </w:r>
      <w:proofErr w:type="spellEnd"/>
      <w:r>
        <w:t xml:space="preserve"> Guemes, ‘</w:t>
      </w:r>
      <w:r>
        <w:rPr>
          <w:i/>
          <w:iCs/>
        </w:rPr>
        <w:t>Main Characteristics of Medieval Medical Education and its Legacy in Contemporary Medical Education</w:t>
      </w:r>
      <w:r>
        <w:t>’, (2022), p3</w:t>
      </w:r>
    </w:p>
  </w:footnote>
  <w:footnote w:id="38">
    <w:p w14:paraId="2189FA1C" w14:textId="6CC2063D" w:rsidR="00746A0B" w:rsidRPr="00746A0B" w:rsidRDefault="00746A0B">
      <w:pPr>
        <w:pStyle w:val="FootnoteText"/>
      </w:pPr>
      <w:r>
        <w:rPr>
          <w:rStyle w:val="FootnoteReference"/>
        </w:rPr>
        <w:footnoteRef/>
      </w:r>
      <w:r>
        <w:t xml:space="preserve"> Ibid: </w:t>
      </w:r>
      <w:proofErr w:type="spellStart"/>
      <w:proofErr w:type="gramStart"/>
      <w:r>
        <w:t>L.Acosta</w:t>
      </w:r>
      <w:proofErr w:type="spellEnd"/>
      <w:proofErr w:type="gramEnd"/>
      <w:r>
        <w:t xml:space="preserve"> Guemes, ‘</w:t>
      </w:r>
      <w:r>
        <w:rPr>
          <w:i/>
          <w:iCs/>
        </w:rPr>
        <w:t>Main Characteristics of Medieval Medical Education and its Legacy in Contemporary Medical Education</w:t>
      </w:r>
      <w:r>
        <w:t>’, p4</w:t>
      </w:r>
    </w:p>
  </w:footnote>
  <w:footnote w:id="39">
    <w:p w14:paraId="25C53F66" w14:textId="12E8AB05" w:rsidR="00316C16" w:rsidRDefault="00316C16">
      <w:pPr>
        <w:pStyle w:val="FootnoteText"/>
      </w:pPr>
      <w:r>
        <w:rPr>
          <w:rStyle w:val="FootnoteReference"/>
        </w:rPr>
        <w:footnoteRef/>
      </w:r>
      <w:r>
        <w:t xml:space="preserve"> </w:t>
      </w:r>
      <w:r>
        <w:t xml:space="preserve">Ibid: </w:t>
      </w:r>
      <w:proofErr w:type="spellStart"/>
      <w:proofErr w:type="gramStart"/>
      <w:r>
        <w:t>L.Acosta</w:t>
      </w:r>
      <w:proofErr w:type="spellEnd"/>
      <w:proofErr w:type="gramEnd"/>
      <w:r>
        <w:t xml:space="preserve"> Guemes, ‘</w:t>
      </w:r>
      <w:r>
        <w:rPr>
          <w:i/>
          <w:iCs/>
        </w:rPr>
        <w:t>Main Characteristics of Medieval Medical Education and its Legacy in Contemporary Medical Education</w:t>
      </w:r>
      <w:r>
        <w:t>’, p4</w:t>
      </w:r>
    </w:p>
  </w:footnote>
  <w:footnote w:id="40">
    <w:p w14:paraId="21142344" w14:textId="40BC15B5" w:rsidR="00316C16" w:rsidRDefault="00316C16">
      <w:pPr>
        <w:pStyle w:val="FootnoteText"/>
      </w:pPr>
      <w:r>
        <w:rPr>
          <w:rStyle w:val="FootnoteReference"/>
        </w:rPr>
        <w:footnoteRef/>
      </w:r>
      <w:r>
        <w:t xml:space="preserve"> </w:t>
      </w:r>
      <w:r>
        <w:t xml:space="preserve">Ibid: </w:t>
      </w:r>
      <w:proofErr w:type="spellStart"/>
      <w:proofErr w:type="gramStart"/>
      <w:r>
        <w:t>L.Acosta</w:t>
      </w:r>
      <w:proofErr w:type="spellEnd"/>
      <w:proofErr w:type="gramEnd"/>
      <w:r>
        <w:t xml:space="preserve"> Guemes, ‘</w:t>
      </w:r>
      <w:r>
        <w:rPr>
          <w:i/>
          <w:iCs/>
        </w:rPr>
        <w:t>Main Characteristics of Medieval Medical Education and its Legacy in Contemporary Medical Education</w:t>
      </w:r>
      <w:r>
        <w:t>’, p4</w:t>
      </w:r>
    </w:p>
  </w:footnote>
  <w:footnote w:id="41">
    <w:p w14:paraId="3FAA6376" w14:textId="088ED4B0" w:rsidR="00316C16" w:rsidRDefault="00316C16">
      <w:pPr>
        <w:pStyle w:val="FootnoteText"/>
      </w:pPr>
      <w:r>
        <w:rPr>
          <w:rStyle w:val="FootnoteReference"/>
        </w:rPr>
        <w:footnoteRef/>
      </w:r>
      <w:r>
        <w:t xml:space="preserve"> </w:t>
      </w:r>
      <w:r>
        <w:t xml:space="preserve">Ibid: </w:t>
      </w:r>
      <w:proofErr w:type="spellStart"/>
      <w:proofErr w:type="gramStart"/>
      <w:r>
        <w:t>L.Acosta</w:t>
      </w:r>
      <w:proofErr w:type="spellEnd"/>
      <w:proofErr w:type="gramEnd"/>
      <w:r>
        <w:t xml:space="preserve"> Guemes, ‘</w:t>
      </w:r>
      <w:r>
        <w:rPr>
          <w:i/>
          <w:iCs/>
        </w:rPr>
        <w:t>Main Characteristics of Medieval Medical Education and its Legacy in Contemporary Medical Education</w:t>
      </w:r>
      <w:r>
        <w:t>’, p4</w:t>
      </w:r>
    </w:p>
  </w:footnote>
  <w:footnote w:id="42">
    <w:p w14:paraId="1A0003BF" w14:textId="604F4E91" w:rsidR="00316C16" w:rsidRDefault="00316C16">
      <w:pPr>
        <w:pStyle w:val="FootnoteText"/>
      </w:pPr>
      <w:r>
        <w:rPr>
          <w:rStyle w:val="FootnoteReference"/>
        </w:rPr>
        <w:footnoteRef/>
      </w:r>
      <w:r>
        <w:t xml:space="preserve"> </w:t>
      </w:r>
      <w:r>
        <w:t xml:space="preserve">Ibid: </w:t>
      </w:r>
      <w:proofErr w:type="spellStart"/>
      <w:proofErr w:type="gramStart"/>
      <w:r>
        <w:t>L.Acosta</w:t>
      </w:r>
      <w:proofErr w:type="spellEnd"/>
      <w:proofErr w:type="gramEnd"/>
      <w:r>
        <w:t xml:space="preserve"> Guemes, ‘</w:t>
      </w:r>
      <w:r>
        <w:rPr>
          <w:i/>
          <w:iCs/>
        </w:rPr>
        <w:t>Main Characteristics of Medieval Medical Education and its Legacy in Contemporary Medical Education</w:t>
      </w:r>
      <w:r>
        <w:t>’, p4</w:t>
      </w:r>
    </w:p>
  </w:footnote>
  <w:footnote w:id="43">
    <w:p w14:paraId="75BC1909" w14:textId="531793B7" w:rsidR="00316C16" w:rsidRDefault="00316C16">
      <w:pPr>
        <w:pStyle w:val="FootnoteText"/>
      </w:pPr>
      <w:r>
        <w:rPr>
          <w:rStyle w:val="FootnoteReference"/>
        </w:rPr>
        <w:footnoteRef/>
      </w:r>
      <w:r>
        <w:t xml:space="preserve"> </w:t>
      </w:r>
      <w:r>
        <w:t xml:space="preserve">Ibid: </w:t>
      </w:r>
      <w:proofErr w:type="spellStart"/>
      <w:proofErr w:type="gramStart"/>
      <w:r>
        <w:t>L.Acosta</w:t>
      </w:r>
      <w:proofErr w:type="spellEnd"/>
      <w:proofErr w:type="gramEnd"/>
      <w:r>
        <w:t xml:space="preserve"> Guemes, ‘</w:t>
      </w:r>
      <w:r>
        <w:rPr>
          <w:i/>
          <w:iCs/>
        </w:rPr>
        <w:t>Main Characteristics of Medieval Medical Education and its Legacy in Contemporary Medical Education</w:t>
      </w:r>
      <w:r>
        <w:t>’, p4</w:t>
      </w:r>
    </w:p>
  </w:footnote>
  <w:footnote w:id="44">
    <w:p w14:paraId="6C053271" w14:textId="7CB9655C" w:rsidR="00E57A66" w:rsidRPr="00E57A66" w:rsidRDefault="00E57A66">
      <w:pPr>
        <w:pStyle w:val="FootnoteText"/>
      </w:pPr>
      <w:r>
        <w:rPr>
          <w:rStyle w:val="FootnoteReference"/>
        </w:rPr>
        <w:footnoteRef/>
      </w:r>
      <w:r>
        <w:t xml:space="preserve"> Berkeley, </w:t>
      </w:r>
      <w:r w:rsidRPr="00E57A66">
        <w:rPr>
          <w:i/>
          <w:iCs/>
        </w:rPr>
        <w:t>The Medieval Law School</w:t>
      </w:r>
      <w:r>
        <w:t>, Unknown, &lt;</w:t>
      </w:r>
      <w:hyperlink r:id="rId5" w:history="1">
        <w:r w:rsidRPr="00CC7220">
          <w:rPr>
            <w:rStyle w:val="Hyperlink"/>
          </w:rPr>
          <w:t>https://www.law.berkeley.edu/wp-content/uploads/2020/08/Medieval-Law-School.pdf</w:t>
        </w:r>
      </w:hyperlink>
      <w:r>
        <w:t>&gt;, [Accessed: 30</w:t>
      </w:r>
      <w:r w:rsidRPr="00E57A66">
        <w:rPr>
          <w:vertAlign w:val="superscript"/>
        </w:rPr>
        <w:t>th</w:t>
      </w:r>
      <w:r>
        <w:t xml:space="preserve"> November 2025]</w:t>
      </w:r>
    </w:p>
  </w:footnote>
  <w:footnote w:id="45">
    <w:p w14:paraId="51754912" w14:textId="417923DE" w:rsidR="001038FB" w:rsidRDefault="001038FB">
      <w:pPr>
        <w:pStyle w:val="FootnoteText"/>
      </w:pPr>
      <w:r>
        <w:rPr>
          <w:rStyle w:val="FootnoteReference"/>
        </w:rPr>
        <w:footnoteRef/>
      </w:r>
      <w:r>
        <w:t xml:space="preserve"> Ibid: Berkeley, Unknown</w:t>
      </w:r>
    </w:p>
  </w:footnote>
  <w:footnote w:id="46">
    <w:p w14:paraId="5EDCBE02" w14:textId="1CF8647B" w:rsidR="001038FB" w:rsidRDefault="001038FB">
      <w:pPr>
        <w:pStyle w:val="FootnoteText"/>
      </w:pPr>
      <w:r>
        <w:rPr>
          <w:rStyle w:val="FootnoteReference"/>
        </w:rPr>
        <w:footnoteRef/>
      </w:r>
      <w:r>
        <w:t xml:space="preserve"> </w:t>
      </w:r>
      <w:r>
        <w:t>Ibid: Berkeley, Unknown</w:t>
      </w:r>
    </w:p>
  </w:footnote>
  <w:footnote w:id="47">
    <w:p w14:paraId="53AD1905" w14:textId="367D5DF0" w:rsidR="001038FB" w:rsidRDefault="001038FB">
      <w:pPr>
        <w:pStyle w:val="FootnoteText"/>
      </w:pPr>
      <w:r>
        <w:rPr>
          <w:rStyle w:val="FootnoteReference"/>
        </w:rPr>
        <w:footnoteRef/>
      </w:r>
      <w:r>
        <w:t xml:space="preserve"> </w:t>
      </w:r>
      <w:r>
        <w:t>Ibid: Berkeley, Unknown</w:t>
      </w:r>
    </w:p>
  </w:footnote>
  <w:footnote w:id="48">
    <w:p w14:paraId="71A7EA14" w14:textId="51CE15E9" w:rsidR="001038FB" w:rsidRDefault="001038FB">
      <w:pPr>
        <w:pStyle w:val="FootnoteText"/>
      </w:pPr>
      <w:r>
        <w:rPr>
          <w:rStyle w:val="FootnoteReference"/>
        </w:rPr>
        <w:footnoteRef/>
      </w:r>
      <w:r>
        <w:t xml:space="preserve"> </w:t>
      </w:r>
      <w:r>
        <w:t>Ibid: Berkeley, Unknown</w:t>
      </w:r>
    </w:p>
  </w:footnote>
  <w:footnote w:id="49">
    <w:p w14:paraId="1E59D24A" w14:textId="677A6294" w:rsidR="001038FB" w:rsidRDefault="001038FB">
      <w:pPr>
        <w:pStyle w:val="FootnoteText"/>
      </w:pPr>
      <w:r>
        <w:rPr>
          <w:rStyle w:val="FootnoteReference"/>
        </w:rPr>
        <w:footnoteRef/>
      </w:r>
      <w:r>
        <w:t xml:space="preserve"> </w:t>
      </w:r>
      <w:r>
        <w:t>Ibid: Berkeley, Unknown</w:t>
      </w:r>
    </w:p>
  </w:footnote>
  <w:footnote w:id="50">
    <w:p w14:paraId="0F19A254" w14:textId="29DCF579" w:rsidR="00887CC5" w:rsidRPr="00887CC5" w:rsidRDefault="00887CC5">
      <w:pPr>
        <w:pStyle w:val="FootnoteText"/>
      </w:pPr>
      <w:r>
        <w:rPr>
          <w:rStyle w:val="FootnoteReference"/>
        </w:rPr>
        <w:footnoteRef/>
      </w:r>
      <w:r>
        <w:t xml:space="preserve"> New World </w:t>
      </w:r>
      <w:proofErr w:type="spellStart"/>
      <w:r>
        <w:t>Encyclopedia</w:t>
      </w:r>
      <w:proofErr w:type="spellEnd"/>
      <w:r>
        <w:t xml:space="preserve">, </w:t>
      </w:r>
      <w:r>
        <w:rPr>
          <w:i/>
          <w:iCs/>
        </w:rPr>
        <w:t>University of Paris</w:t>
      </w:r>
      <w:r>
        <w:t>, Unknown, &lt;</w:t>
      </w:r>
      <w:hyperlink r:id="rId6" w:history="1">
        <w:r w:rsidRPr="00CC7220">
          <w:rPr>
            <w:rStyle w:val="Hyperlink"/>
          </w:rPr>
          <w:t>https://www.newworldencyclopedia.org/entry/University_of_Paris#Organization_in_the_thirteenth_century</w:t>
        </w:r>
      </w:hyperlink>
      <w:r>
        <w:t>&gt;, [Accessed: 30</w:t>
      </w:r>
      <w:r w:rsidRPr="00887CC5">
        <w:rPr>
          <w:vertAlign w:val="superscript"/>
        </w:rPr>
        <w:t>th</w:t>
      </w:r>
      <w:r>
        <w:t xml:space="preserve"> November 2025]</w:t>
      </w:r>
    </w:p>
  </w:footnote>
  <w:footnote w:id="51">
    <w:p w14:paraId="72E39AC7" w14:textId="5C273B28" w:rsidR="00B44C29" w:rsidRDefault="00B44C29">
      <w:pPr>
        <w:pStyle w:val="FootnoteText"/>
      </w:pPr>
      <w:r>
        <w:rPr>
          <w:rStyle w:val="FootnoteReference"/>
        </w:rPr>
        <w:footnoteRef/>
      </w:r>
      <w:r>
        <w:t xml:space="preserve"> Ibid: New World </w:t>
      </w:r>
      <w:proofErr w:type="spellStart"/>
      <w:r>
        <w:t>Encyclopedia</w:t>
      </w:r>
      <w:proofErr w:type="spellEnd"/>
      <w:r>
        <w:t>, Unknown</w:t>
      </w:r>
    </w:p>
  </w:footnote>
  <w:footnote w:id="52">
    <w:p w14:paraId="40433915" w14:textId="49425CF1" w:rsidR="00A027C4" w:rsidRDefault="00A027C4">
      <w:pPr>
        <w:pStyle w:val="FootnoteText"/>
      </w:pPr>
      <w:r>
        <w:rPr>
          <w:rStyle w:val="FootnoteReference"/>
        </w:rPr>
        <w:footnoteRef/>
      </w:r>
      <w:r>
        <w:t xml:space="preserve"> </w:t>
      </w:r>
      <w:r>
        <w:t xml:space="preserve">Ibid: New World </w:t>
      </w:r>
      <w:proofErr w:type="spellStart"/>
      <w:r>
        <w:t>Encyclopedia</w:t>
      </w:r>
      <w:proofErr w:type="spellEnd"/>
      <w:r>
        <w:t>, Unknown</w:t>
      </w:r>
    </w:p>
  </w:footnote>
  <w:footnote w:id="53">
    <w:p w14:paraId="65C9D9B1" w14:textId="76D0144C" w:rsidR="00A027C4" w:rsidRDefault="00A027C4">
      <w:pPr>
        <w:pStyle w:val="FootnoteText"/>
      </w:pPr>
      <w:r>
        <w:rPr>
          <w:rStyle w:val="FootnoteReference"/>
        </w:rPr>
        <w:footnoteRef/>
      </w:r>
      <w:r>
        <w:t xml:space="preserve"> </w:t>
      </w:r>
      <w:r>
        <w:t xml:space="preserve">Ibid: New World </w:t>
      </w:r>
      <w:proofErr w:type="spellStart"/>
      <w:r>
        <w:t>Encyclopedia</w:t>
      </w:r>
      <w:proofErr w:type="spellEnd"/>
      <w:r>
        <w:t>, Unknown</w:t>
      </w:r>
    </w:p>
  </w:footnote>
  <w:footnote w:id="54">
    <w:p w14:paraId="636DE472" w14:textId="3EFB10D8" w:rsidR="00A027C4" w:rsidRDefault="00A027C4">
      <w:pPr>
        <w:pStyle w:val="FootnoteText"/>
      </w:pPr>
      <w:r>
        <w:rPr>
          <w:rStyle w:val="FootnoteReference"/>
        </w:rPr>
        <w:footnoteRef/>
      </w:r>
      <w:r>
        <w:t xml:space="preserve"> </w:t>
      </w:r>
      <w:r>
        <w:t xml:space="preserve">Ibid: New World </w:t>
      </w:r>
      <w:proofErr w:type="spellStart"/>
      <w:r>
        <w:t>Encyclopedia</w:t>
      </w:r>
      <w:proofErr w:type="spellEnd"/>
      <w:r>
        <w:t>, Unknown</w:t>
      </w:r>
    </w:p>
  </w:footnote>
  <w:footnote w:id="55">
    <w:p w14:paraId="7F1638CE" w14:textId="0F84F952" w:rsidR="00D30BED" w:rsidRDefault="00D30BED">
      <w:pPr>
        <w:pStyle w:val="FootnoteText"/>
      </w:pPr>
      <w:r>
        <w:rPr>
          <w:rStyle w:val="FootnoteReference"/>
        </w:rPr>
        <w:footnoteRef/>
      </w:r>
      <w:r>
        <w:t xml:space="preserve"> </w:t>
      </w:r>
      <w:r>
        <w:t xml:space="preserve">Ibid: New World </w:t>
      </w:r>
      <w:proofErr w:type="spellStart"/>
      <w:r>
        <w:t>Encyclopedia</w:t>
      </w:r>
      <w:proofErr w:type="spellEnd"/>
      <w:r>
        <w:t>, Unknown</w:t>
      </w:r>
    </w:p>
  </w:footnote>
  <w:footnote w:id="56">
    <w:p w14:paraId="49ECF846" w14:textId="35D7620C" w:rsidR="00D30BED" w:rsidRDefault="00D30BED">
      <w:pPr>
        <w:pStyle w:val="FootnoteText"/>
      </w:pPr>
      <w:r>
        <w:rPr>
          <w:rStyle w:val="FootnoteReference"/>
        </w:rPr>
        <w:footnoteRef/>
      </w:r>
      <w:r>
        <w:t xml:space="preserve"> </w:t>
      </w:r>
      <w:r>
        <w:t xml:space="preserve">Ibid: New World </w:t>
      </w:r>
      <w:proofErr w:type="spellStart"/>
      <w:r>
        <w:t>Encyclopedia</w:t>
      </w:r>
      <w:proofErr w:type="spellEnd"/>
      <w:r>
        <w:t>, Unknown</w:t>
      </w:r>
    </w:p>
  </w:footnote>
  <w:footnote w:id="57">
    <w:p w14:paraId="03EDF14A" w14:textId="6046355B" w:rsidR="00D30BED" w:rsidRDefault="00D30BED">
      <w:pPr>
        <w:pStyle w:val="FootnoteText"/>
      </w:pPr>
      <w:r>
        <w:rPr>
          <w:rStyle w:val="FootnoteReference"/>
        </w:rPr>
        <w:footnoteRef/>
      </w:r>
      <w:r>
        <w:t xml:space="preserve"> </w:t>
      </w:r>
      <w:r>
        <w:t xml:space="preserve">Ibid: New World </w:t>
      </w:r>
      <w:proofErr w:type="spellStart"/>
      <w:r>
        <w:t>Encyclopedia</w:t>
      </w:r>
      <w:proofErr w:type="spellEnd"/>
      <w:r>
        <w:t>, Unknown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43E47"/>
    <w:multiLevelType w:val="hybridMultilevel"/>
    <w:tmpl w:val="6EEAA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7535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063"/>
    <w:rsid w:val="00031567"/>
    <w:rsid w:val="0004309D"/>
    <w:rsid w:val="00051FAB"/>
    <w:rsid w:val="00060C1D"/>
    <w:rsid w:val="000A3B2E"/>
    <w:rsid w:val="001038FB"/>
    <w:rsid w:val="00173E01"/>
    <w:rsid w:val="0019667B"/>
    <w:rsid w:val="001A07CD"/>
    <w:rsid w:val="001A7063"/>
    <w:rsid w:val="001D7B14"/>
    <w:rsid w:val="0020127B"/>
    <w:rsid w:val="00206E22"/>
    <w:rsid w:val="00266CD1"/>
    <w:rsid w:val="002910CF"/>
    <w:rsid w:val="002C279A"/>
    <w:rsid w:val="002D18A7"/>
    <w:rsid w:val="00311BB5"/>
    <w:rsid w:val="00316C16"/>
    <w:rsid w:val="003313DB"/>
    <w:rsid w:val="00345878"/>
    <w:rsid w:val="003E6A4F"/>
    <w:rsid w:val="003E7D31"/>
    <w:rsid w:val="00497E6B"/>
    <w:rsid w:val="004A0470"/>
    <w:rsid w:val="004A5EE5"/>
    <w:rsid w:val="00572DA1"/>
    <w:rsid w:val="005B67C2"/>
    <w:rsid w:val="005C65D2"/>
    <w:rsid w:val="005D1B6E"/>
    <w:rsid w:val="005D62D7"/>
    <w:rsid w:val="006051BF"/>
    <w:rsid w:val="00624D9C"/>
    <w:rsid w:val="0064430C"/>
    <w:rsid w:val="006809F2"/>
    <w:rsid w:val="006A5FB4"/>
    <w:rsid w:val="006B4083"/>
    <w:rsid w:val="006C47E4"/>
    <w:rsid w:val="00746A0B"/>
    <w:rsid w:val="00750754"/>
    <w:rsid w:val="00780607"/>
    <w:rsid w:val="00805215"/>
    <w:rsid w:val="00887CC5"/>
    <w:rsid w:val="00927169"/>
    <w:rsid w:val="00963223"/>
    <w:rsid w:val="009A3C5D"/>
    <w:rsid w:val="009F3369"/>
    <w:rsid w:val="00A027C4"/>
    <w:rsid w:val="00A06744"/>
    <w:rsid w:val="00A84304"/>
    <w:rsid w:val="00A938DF"/>
    <w:rsid w:val="00AF4242"/>
    <w:rsid w:val="00B37B48"/>
    <w:rsid w:val="00B44C29"/>
    <w:rsid w:val="00BD4BF6"/>
    <w:rsid w:val="00BD5A00"/>
    <w:rsid w:val="00BE1FBB"/>
    <w:rsid w:val="00C60603"/>
    <w:rsid w:val="00C91381"/>
    <w:rsid w:val="00CC3040"/>
    <w:rsid w:val="00CC4885"/>
    <w:rsid w:val="00D03946"/>
    <w:rsid w:val="00D30BED"/>
    <w:rsid w:val="00D54D4E"/>
    <w:rsid w:val="00D64F8B"/>
    <w:rsid w:val="00DD2E99"/>
    <w:rsid w:val="00E52445"/>
    <w:rsid w:val="00E57A66"/>
    <w:rsid w:val="00E67042"/>
    <w:rsid w:val="00E84279"/>
    <w:rsid w:val="00EA53C3"/>
    <w:rsid w:val="00EB4734"/>
    <w:rsid w:val="00F05A9C"/>
    <w:rsid w:val="00F0697E"/>
    <w:rsid w:val="00F1450D"/>
    <w:rsid w:val="00F25FF7"/>
    <w:rsid w:val="00F467FE"/>
    <w:rsid w:val="00F67530"/>
    <w:rsid w:val="00F763CF"/>
    <w:rsid w:val="00F823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A7EAF"/>
  <w15:chartTrackingRefBased/>
  <w15:docId w15:val="{658B2795-B6AA-43E3-9F93-7AC38720B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70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0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0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0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0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0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0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0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0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0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0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0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0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0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0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0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0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063"/>
    <w:rPr>
      <w:rFonts w:eastAsiaTheme="majorEastAsia" w:cstheme="majorBidi"/>
      <w:color w:val="272727" w:themeColor="text1" w:themeTint="D8"/>
    </w:rPr>
  </w:style>
  <w:style w:type="paragraph" w:styleId="Title">
    <w:name w:val="Title"/>
    <w:basedOn w:val="Normal"/>
    <w:next w:val="Normal"/>
    <w:link w:val="TitleChar"/>
    <w:uiPriority w:val="10"/>
    <w:qFormat/>
    <w:rsid w:val="001A70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0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0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0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063"/>
    <w:pPr>
      <w:spacing w:before="160"/>
      <w:jc w:val="center"/>
    </w:pPr>
    <w:rPr>
      <w:i/>
      <w:iCs/>
      <w:color w:val="404040" w:themeColor="text1" w:themeTint="BF"/>
    </w:rPr>
  </w:style>
  <w:style w:type="character" w:customStyle="1" w:styleId="QuoteChar">
    <w:name w:val="Quote Char"/>
    <w:basedOn w:val="DefaultParagraphFont"/>
    <w:link w:val="Quote"/>
    <w:uiPriority w:val="29"/>
    <w:rsid w:val="001A7063"/>
    <w:rPr>
      <w:i/>
      <w:iCs/>
      <w:color w:val="404040" w:themeColor="text1" w:themeTint="BF"/>
    </w:rPr>
  </w:style>
  <w:style w:type="paragraph" w:styleId="ListParagraph">
    <w:name w:val="List Paragraph"/>
    <w:basedOn w:val="Normal"/>
    <w:uiPriority w:val="34"/>
    <w:qFormat/>
    <w:rsid w:val="001A7063"/>
    <w:pPr>
      <w:ind w:left="720"/>
      <w:contextualSpacing/>
    </w:pPr>
  </w:style>
  <w:style w:type="character" w:styleId="IntenseEmphasis">
    <w:name w:val="Intense Emphasis"/>
    <w:basedOn w:val="DefaultParagraphFont"/>
    <w:uiPriority w:val="21"/>
    <w:qFormat/>
    <w:rsid w:val="001A7063"/>
    <w:rPr>
      <w:i/>
      <w:iCs/>
      <w:color w:val="0F4761" w:themeColor="accent1" w:themeShade="BF"/>
    </w:rPr>
  </w:style>
  <w:style w:type="paragraph" w:styleId="IntenseQuote">
    <w:name w:val="Intense Quote"/>
    <w:basedOn w:val="Normal"/>
    <w:next w:val="Normal"/>
    <w:link w:val="IntenseQuoteChar"/>
    <w:uiPriority w:val="30"/>
    <w:qFormat/>
    <w:rsid w:val="001A70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063"/>
    <w:rPr>
      <w:i/>
      <w:iCs/>
      <w:color w:val="0F4761" w:themeColor="accent1" w:themeShade="BF"/>
    </w:rPr>
  </w:style>
  <w:style w:type="character" w:styleId="IntenseReference">
    <w:name w:val="Intense Reference"/>
    <w:basedOn w:val="DefaultParagraphFont"/>
    <w:uiPriority w:val="32"/>
    <w:qFormat/>
    <w:rsid w:val="001A7063"/>
    <w:rPr>
      <w:b/>
      <w:bCs/>
      <w:smallCaps/>
      <w:color w:val="0F4761" w:themeColor="accent1" w:themeShade="BF"/>
      <w:spacing w:val="5"/>
    </w:rPr>
  </w:style>
  <w:style w:type="paragraph" w:styleId="FootnoteText">
    <w:name w:val="footnote text"/>
    <w:basedOn w:val="Normal"/>
    <w:link w:val="FootnoteTextChar"/>
    <w:uiPriority w:val="99"/>
    <w:semiHidden/>
    <w:unhideWhenUsed/>
    <w:rsid w:val="00F467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67FE"/>
    <w:rPr>
      <w:sz w:val="20"/>
      <w:szCs w:val="20"/>
    </w:rPr>
  </w:style>
  <w:style w:type="character" w:styleId="FootnoteReference">
    <w:name w:val="footnote reference"/>
    <w:basedOn w:val="DefaultParagraphFont"/>
    <w:uiPriority w:val="99"/>
    <w:semiHidden/>
    <w:unhideWhenUsed/>
    <w:rsid w:val="00F467FE"/>
    <w:rPr>
      <w:vertAlign w:val="superscript"/>
    </w:rPr>
  </w:style>
  <w:style w:type="character" w:styleId="Hyperlink">
    <w:name w:val="Hyperlink"/>
    <w:basedOn w:val="DefaultParagraphFont"/>
    <w:uiPriority w:val="99"/>
    <w:unhideWhenUsed/>
    <w:rsid w:val="009A3C5D"/>
    <w:rPr>
      <w:color w:val="467886" w:themeColor="hyperlink"/>
      <w:u w:val="single"/>
    </w:rPr>
  </w:style>
  <w:style w:type="character" w:styleId="UnresolvedMention">
    <w:name w:val="Unresolved Mention"/>
    <w:basedOn w:val="DefaultParagraphFont"/>
    <w:uiPriority w:val="99"/>
    <w:semiHidden/>
    <w:unhideWhenUsed/>
    <w:rsid w:val="009A3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capparel.com/static/caps/College-University-History.html" TargetMode="External"/><Relationship Id="rId13" Type="http://schemas.openxmlformats.org/officeDocument/2006/relationships/hyperlink" Target="https://plato.stanford.edu/entries/plato-tima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wworldencyclopedia.org/entry/University_of_Paris#Organization_in_the_thirteenth_centu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w.berkeley.edu/wp-content/uploads/2020/08/Medieval-Law-School.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ritannica.com/topic/higher-education" TargetMode="External"/><Relationship Id="rId4" Type="http://schemas.openxmlformats.org/officeDocument/2006/relationships/settings" Target="settings.xml"/><Relationship Id="rId9" Type="http://schemas.openxmlformats.org/officeDocument/2006/relationships/hyperlink" Target="https://sites.udel.edu/britlitwiki/the-medieval-university/"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ites.udel.edu/britlitwiki/the-medieval-university/" TargetMode="External"/><Relationship Id="rId2" Type="http://schemas.openxmlformats.org/officeDocument/2006/relationships/hyperlink" Target="https://www.britannica.com/topic/higher-education" TargetMode="External"/><Relationship Id="rId1" Type="http://schemas.openxmlformats.org/officeDocument/2006/relationships/hyperlink" Target="https://www.academicapparel.com/static/caps/College-University-History.html" TargetMode="External"/><Relationship Id="rId6" Type="http://schemas.openxmlformats.org/officeDocument/2006/relationships/hyperlink" Target="https://www.newworldencyclopedia.org/entry/University_of_Paris#Organization_in_the_thirteenth_century" TargetMode="External"/><Relationship Id="rId5" Type="http://schemas.openxmlformats.org/officeDocument/2006/relationships/hyperlink" Target="https://www.law.berkeley.edu/wp-content/uploads/2020/08/Medieval-Law-School.pdf" TargetMode="External"/><Relationship Id="rId4" Type="http://schemas.openxmlformats.org/officeDocument/2006/relationships/hyperlink" Target="https://plato.stanford.edu/entries/plato-timae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700C8-D962-4F9F-8F48-EAB07DA63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6</Pages>
  <Words>2208</Words>
  <Characters>11374</Characters>
  <Application>Microsoft Office Word</Application>
  <DocSecurity>0</DocSecurity>
  <Lines>169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51</cp:revision>
  <dcterms:created xsi:type="dcterms:W3CDTF">2025-11-23T16:25:00Z</dcterms:created>
  <dcterms:modified xsi:type="dcterms:W3CDTF">2025-11-30T17:27:00Z</dcterms:modified>
</cp:coreProperties>
</file>