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5FC3" w:rsidRPr="00F25FC3" w:rsidRDefault="00F25FC3" w:rsidP="00F25FC3">
      <w:pPr>
        <w:spacing w:after="0" w:line="240" w:lineRule="auto"/>
        <w:ind w:left="-180" w:right="-334"/>
        <w:rPr>
          <w:rFonts w:ascii="Georgia" w:eastAsia="SimSun" w:hAnsi="Georgia" w:cs="Times New Roman"/>
          <w:color w:val="000000"/>
          <w:sz w:val="21"/>
          <w:szCs w:val="21"/>
          <w:lang w:eastAsia="zh-CN"/>
        </w:rPr>
      </w:pPr>
      <w:r w:rsidRPr="00F25FC3">
        <w:rPr>
          <w:rFonts w:ascii="Georgia" w:eastAsia="SimSun" w:hAnsi="Georgia" w:cs="Times New Roman"/>
          <w:noProof/>
          <w:color w:val="000000"/>
          <w:sz w:val="21"/>
          <w:szCs w:val="21"/>
          <w:lang w:eastAsia="zh-CN"/>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F25FC3" w:rsidRPr="00F25FC3" w:rsidRDefault="00F25FC3" w:rsidP="00F25FC3">
      <w:pPr>
        <w:spacing w:after="0" w:line="240" w:lineRule="auto"/>
        <w:ind w:left="-180" w:right="-334"/>
        <w:rPr>
          <w:rFonts w:ascii="Georgia" w:eastAsia="SimSun" w:hAnsi="Georgia" w:cs="Times New Roman"/>
          <w:color w:val="000000"/>
          <w:sz w:val="21"/>
          <w:szCs w:val="21"/>
          <w:lang w:eastAsia="zh-CN"/>
        </w:rPr>
      </w:pPr>
    </w:p>
    <w:p w:rsidR="00F25FC3" w:rsidRPr="00F25FC3" w:rsidRDefault="00F25FC3" w:rsidP="00F25FC3">
      <w:pPr>
        <w:spacing w:after="0" w:line="240" w:lineRule="auto"/>
        <w:ind w:left="-180" w:right="-334"/>
        <w:rPr>
          <w:rFonts w:ascii="Georgia" w:eastAsia="SimSun" w:hAnsi="Georgia" w:cs="Times New Roman"/>
          <w:color w:val="000000"/>
          <w:sz w:val="21"/>
          <w:szCs w:val="21"/>
          <w:lang w:eastAsia="zh-CN"/>
        </w:rPr>
      </w:pPr>
    </w:p>
    <w:p w:rsidR="00F25FC3" w:rsidRPr="00F25FC3" w:rsidRDefault="00F25FC3" w:rsidP="00F25FC3">
      <w:pPr>
        <w:spacing w:after="0" w:line="240" w:lineRule="auto"/>
        <w:ind w:left="-180" w:right="-334"/>
        <w:jc w:val="center"/>
        <w:rPr>
          <w:rFonts w:ascii="Arial" w:eastAsia="SimSun" w:hAnsi="Arial" w:cs="Arial"/>
          <w:b/>
          <w:color w:val="000000"/>
          <w:sz w:val="28"/>
          <w:szCs w:val="28"/>
          <w:lang w:val="cy-GB" w:eastAsia="zh-CN"/>
        </w:rPr>
      </w:pPr>
      <w:r w:rsidRPr="00F25FC3">
        <w:rPr>
          <w:rFonts w:ascii="Arial" w:eastAsia="SimSun" w:hAnsi="Arial" w:cs="Arial"/>
          <w:b/>
          <w:color w:val="000000"/>
          <w:sz w:val="28"/>
          <w:szCs w:val="28"/>
          <w:lang w:val="cy-GB" w:eastAsia="zh-CN"/>
        </w:rPr>
        <w:t xml:space="preserve">Postgraduate/Distance Learning </w:t>
      </w:r>
    </w:p>
    <w:p w:rsidR="00F25FC3" w:rsidRPr="00F25FC3" w:rsidRDefault="00F25FC3" w:rsidP="00F25FC3">
      <w:pPr>
        <w:spacing w:after="0" w:line="240" w:lineRule="auto"/>
        <w:ind w:left="-180" w:right="-334"/>
        <w:jc w:val="center"/>
        <w:rPr>
          <w:rFonts w:ascii="Arial" w:eastAsia="SimSun" w:hAnsi="Arial" w:cs="Arial"/>
          <w:b/>
          <w:color w:val="000000"/>
          <w:sz w:val="28"/>
          <w:szCs w:val="28"/>
          <w:lang w:eastAsia="zh-CN"/>
        </w:rPr>
      </w:pPr>
      <w:r w:rsidRPr="00F25FC3">
        <w:rPr>
          <w:rFonts w:ascii="Arial" w:eastAsia="SimSun" w:hAnsi="Arial" w:cs="Arial"/>
          <w:b/>
          <w:color w:val="000000"/>
          <w:sz w:val="28"/>
          <w:szCs w:val="28"/>
          <w:lang w:val="cy-GB" w:eastAsia="zh-CN"/>
        </w:rPr>
        <w:t>Assignment coversheet &amp; feedback form</w:t>
      </w:r>
    </w:p>
    <w:p w:rsidR="00F25FC3" w:rsidRPr="00F25FC3" w:rsidRDefault="00F25FC3" w:rsidP="00F25FC3">
      <w:pPr>
        <w:spacing w:after="0" w:line="240" w:lineRule="auto"/>
        <w:rPr>
          <w:rFonts w:ascii="Arial" w:eastAsia="SimSun" w:hAnsi="Arial" w:cs="Arial"/>
          <w:sz w:val="28"/>
          <w:szCs w:val="28"/>
          <w:lang w:val="cy-GB" w:eastAsia="zh-CN"/>
        </w:rPr>
      </w:pPr>
    </w:p>
    <w:p w:rsidR="00F25FC3" w:rsidRPr="00F25FC3" w:rsidRDefault="00F25FC3" w:rsidP="00F25FC3">
      <w:pPr>
        <w:keepNext/>
        <w:spacing w:after="0" w:line="240" w:lineRule="auto"/>
        <w:ind w:left="720"/>
        <w:jc w:val="center"/>
        <w:outlineLvl w:val="2"/>
        <w:rPr>
          <w:rFonts w:ascii="Tahoma" w:eastAsia="SimSun" w:hAnsi="Tahoma" w:cs="Tahoma"/>
          <w:b/>
          <w:bCs/>
          <w:sz w:val="20"/>
          <w:szCs w:val="20"/>
          <w:lang w:val="cy-GB" w:eastAsia="zh-CN"/>
        </w:rPr>
      </w:pPr>
      <w:r w:rsidRPr="00F25FC3">
        <w:rPr>
          <w:rFonts w:ascii="Tahoma" w:eastAsia="SimSun" w:hAnsi="Tahoma" w:cs="Tahoma"/>
          <w:b/>
          <w:bCs/>
          <w:sz w:val="20"/>
          <w:szCs w:val="20"/>
          <w:lang w:val="cy-GB" w:eastAsia="zh-CN"/>
        </w:rPr>
        <w:t>THIS SHEET MUST BE THE FIRST PAGE OF THE ASSIGNMENT YOU ARE SUBMITTING  (DO NOT SEND AS A SEPARATE FILE)</w:t>
      </w:r>
    </w:p>
    <w:p w:rsidR="00F25FC3" w:rsidRPr="00F25FC3" w:rsidRDefault="00F25FC3" w:rsidP="00F25FC3">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25FC3" w:rsidRPr="00F25FC3" w:rsidTr="00392431">
        <w:trPr>
          <w:trHeight w:val="614"/>
        </w:trPr>
        <w:tc>
          <w:tcPr>
            <w:tcW w:w="8856" w:type="dxa"/>
            <w:gridSpan w:val="5"/>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b/>
                <w:color w:val="000000"/>
                <w:lang w:eastAsia="zh-CN"/>
              </w:rPr>
              <w:t>For completion by the student</w:t>
            </w:r>
            <w:r w:rsidRPr="00F25FC3">
              <w:rPr>
                <w:rFonts w:ascii="Arial" w:eastAsia="SimSun" w:hAnsi="Arial" w:cs="Arial"/>
                <w:color w:val="000000"/>
                <w:lang w:eastAsia="zh-CN"/>
              </w:rPr>
              <w:t>:</w:t>
            </w:r>
          </w:p>
        </w:tc>
      </w:tr>
      <w:tr w:rsidR="00F25FC3" w:rsidRPr="00F25FC3" w:rsidTr="00392431">
        <w:trPr>
          <w:trHeight w:val="718"/>
        </w:trPr>
        <w:tc>
          <w:tcPr>
            <w:tcW w:w="8856" w:type="dxa"/>
            <w:gridSpan w:val="5"/>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Student Name:</w:t>
            </w:r>
            <w:r>
              <w:rPr>
                <w:rFonts w:ascii="Arial" w:eastAsia="SimSun" w:hAnsi="Arial" w:cs="Arial"/>
                <w:color w:val="000000"/>
                <w:lang w:eastAsia="zh-CN"/>
              </w:rPr>
              <w:t xml:space="preserve"> Suzanne </w:t>
            </w:r>
            <w:proofErr w:type="spellStart"/>
            <w:r>
              <w:rPr>
                <w:rFonts w:ascii="Arial" w:eastAsia="SimSun" w:hAnsi="Arial" w:cs="Arial"/>
                <w:color w:val="000000"/>
                <w:lang w:eastAsia="zh-CN"/>
              </w:rPr>
              <w:t>Caisey</w:t>
            </w:r>
            <w:proofErr w:type="spellEnd"/>
          </w:p>
          <w:p w:rsidR="00F25FC3" w:rsidRPr="00F25FC3" w:rsidRDefault="00F25FC3" w:rsidP="00F25FC3">
            <w:pPr>
              <w:spacing w:after="0" w:line="240" w:lineRule="auto"/>
              <w:ind w:right="34"/>
              <w:rPr>
                <w:rFonts w:ascii="Arial" w:eastAsia="SimSun" w:hAnsi="Arial" w:cs="Arial"/>
                <w:color w:val="000000"/>
                <w:lang w:eastAsia="zh-CN"/>
              </w:rPr>
            </w:pPr>
          </w:p>
        </w:tc>
      </w:tr>
      <w:tr w:rsidR="00F25FC3" w:rsidRPr="00F25FC3" w:rsidTr="00392431">
        <w:trPr>
          <w:trHeight w:val="849"/>
        </w:trPr>
        <w:tc>
          <w:tcPr>
            <w:tcW w:w="4788" w:type="dxa"/>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Module code:</w:t>
            </w:r>
            <w:r>
              <w:rPr>
                <w:rFonts w:ascii="Arial" w:eastAsia="SimSun" w:hAnsi="Arial" w:cs="Arial"/>
                <w:color w:val="000000"/>
                <w:lang w:eastAsia="zh-CN"/>
              </w:rPr>
              <w:t xml:space="preserve"> CYCS7015</w:t>
            </w:r>
          </w:p>
          <w:p w:rsidR="00F25FC3" w:rsidRPr="00F25FC3" w:rsidRDefault="00F25FC3" w:rsidP="00F25FC3">
            <w:pPr>
              <w:spacing w:after="0" w:line="240" w:lineRule="auto"/>
              <w:ind w:right="34"/>
              <w:rPr>
                <w:rFonts w:ascii="Arial" w:eastAsia="SimSun" w:hAnsi="Arial" w:cs="Arial"/>
                <w:color w:val="000000"/>
                <w:lang w:eastAsia="zh-CN"/>
              </w:rPr>
            </w:pPr>
          </w:p>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Module title:</w:t>
            </w:r>
            <w:r>
              <w:rPr>
                <w:rFonts w:ascii="Arial" w:eastAsia="SimSun" w:hAnsi="Arial" w:cs="Arial"/>
                <w:color w:val="000000"/>
                <w:lang w:eastAsia="zh-CN"/>
              </w:rPr>
              <w:t xml:space="preserve"> Y </w:t>
            </w:r>
            <w:proofErr w:type="spellStart"/>
            <w:r>
              <w:rPr>
                <w:rFonts w:ascii="Arial" w:eastAsia="SimSun" w:hAnsi="Arial" w:cs="Arial"/>
                <w:color w:val="000000"/>
                <w:lang w:eastAsia="zh-CN"/>
              </w:rPr>
              <w:t>Mabinogi</w:t>
            </w:r>
            <w:proofErr w:type="spellEnd"/>
          </w:p>
          <w:p w:rsidR="00F25FC3" w:rsidRPr="00F25FC3" w:rsidRDefault="00F25FC3" w:rsidP="00F25FC3">
            <w:pPr>
              <w:spacing w:after="0" w:line="240" w:lineRule="auto"/>
              <w:ind w:right="34"/>
              <w:rPr>
                <w:rFonts w:ascii="Arial" w:eastAsia="SimSun" w:hAnsi="Arial" w:cs="Arial"/>
                <w:color w:val="000000"/>
                <w:lang w:eastAsia="zh-CN"/>
              </w:rPr>
            </w:pPr>
          </w:p>
          <w:p w:rsidR="00F25FC3" w:rsidRPr="00F25FC3" w:rsidRDefault="00F25FC3" w:rsidP="00F25FC3">
            <w:pPr>
              <w:spacing w:after="0" w:line="240" w:lineRule="auto"/>
              <w:ind w:right="34"/>
              <w:rPr>
                <w:rFonts w:ascii="Arial" w:eastAsia="SimSun" w:hAnsi="Arial" w:cs="Arial"/>
                <w:color w:val="000000"/>
                <w:lang w:eastAsia="zh-CN"/>
              </w:rPr>
            </w:pPr>
          </w:p>
        </w:tc>
        <w:tc>
          <w:tcPr>
            <w:tcW w:w="2266" w:type="dxa"/>
            <w:gridSpan w:val="3"/>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Student ID number:</w:t>
            </w:r>
            <w:r>
              <w:rPr>
                <w:rFonts w:ascii="Arial" w:eastAsia="SimSun" w:hAnsi="Arial" w:cs="Arial"/>
                <w:color w:val="000000"/>
                <w:lang w:eastAsia="zh-CN"/>
              </w:rPr>
              <w:t xml:space="preserve"> 1708467</w:t>
            </w:r>
          </w:p>
        </w:tc>
        <w:tc>
          <w:tcPr>
            <w:tcW w:w="1802" w:type="dxa"/>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Educational support needs:</w:t>
            </w:r>
          </w:p>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No</w:t>
            </w:r>
          </w:p>
        </w:tc>
      </w:tr>
      <w:tr w:rsidR="00F25FC3" w:rsidRPr="00F25FC3" w:rsidTr="00392431">
        <w:trPr>
          <w:trHeight w:val="1139"/>
        </w:trPr>
        <w:tc>
          <w:tcPr>
            <w:tcW w:w="8856" w:type="dxa"/>
            <w:gridSpan w:val="5"/>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Module tutor:</w:t>
            </w:r>
          </w:p>
          <w:p w:rsidR="00F25FC3" w:rsidRPr="00F25FC3" w:rsidRDefault="00F25FC3" w:rsidP="00F25FC3">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Professor Jane Cartwright</w:t>
            </w:r>
          </w:p>
          <w:p w:rsidR="00F25FC3" w:rsidRPr="00F25FC3" w:rsidRDefault="00F25FC3" w:rsidP="00F25FC3">
            <w:pPr>
              <w:spacing w:after="0" w:line="240" w:lineRule="auto"/>
              <w:ind w:right="34"/>
              <w:rPr>
                <w:rFonts w:ascii="Arial" w:eastAsia="SimSun" w:hAnsi="Arial" w:cs="Arial"/>
                <w:color w:val="000000"/>
                <w:lang w:eastAsia="zh-CN"/>
              </w:rPr>
            </w:pPr>
          </w:p>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Assignment due date:</w:t>
            </w:r>
            <w:r>
              <w:rPr>
                <w:rFonts w:ascii="Arial" w:eastAsia="SimSun" w:hAnsi="Arial" w:cs="Arial"/>
                <w:color w:val="000000"/>
                <w:lang w:eastAsia="zh-CN"/>
              </w:rPr>
              <w:t xml:space="preserve"> 10</w:t>
            </w:r>
            <w:r w:rsidRPr="00F25FC3">
              <w:rPr>
                <w:rFonts w:ascii="Arial" w:eastAsia="SimSun" w:hAnsi="Arial" w:cs="Arial"/>
                <w:color w:val="000000"/>
                <w:vertAlign w:val="superscript"/>
                <w:lang w:eastAsia="zh-CN"/>
              </w:rPr>
              <w:t>th</w:t>
            </w:r>
            <w:r>
              <w:rPr>
                <w:rFonts w:ascii="Arial" w:eastAsia="SimSun" w:hAnsi="Arial" w:cs="Arial"/>
                <w:color w:val="000000"/>
                <w:lang w:eastAsia="zh-CN"/>
              </w:rPr>
              <w:t xml:space="preserve"> January 2019</w:t>
            </w:r>
          </w:p>
        </w:tc>
      </w:tr>
      <w:tr w:rsidR="00F25FC3" w:rsidRPr="00F25FC3" w:rsidTr="00392431">
        <w:trPr>
          <w:trHeight w:val="978"/>
        </w:trPr>
        <w:tc>
          <w:tcPr>
            <w:tcW w:w="8856" w:type="dxa"/>
            <w:gridSpan w:val="5"/>
            <w:tcBorders>
              <w:bottom w:val="single" w:sz="4" w:space="0" w:color="000000"/>
            </w:tcBorders>
          </w:tcPr>
          <w:p w:rsidR="00F25FC3" w:rsidRPr="00F25FC3" w:rsidRDefault="00F25FC3" w:rsidP="00F25FC3">
            <w:pPr>
              <w:spacing w:after="0" w:line="240" w:lineRule="auto"/>
              <w:rPr>
                <w:rFonts w:ascii="Arial" w:eastAsia="SimSun" w:hAnsi="Arial" w:cs="Arial"/>
                <w:lang w:eastAsia="zh-CN"/>
              </w:rPr>
            </w:pPr>
            <w:r w:rsidRPr="00F25FC3">
              <w:rPr>
                <w:rFonts w:ascii="Arial" w:eastAsia="SimSun" w:hAnsi="Arial" w:cs="Arial"/>
                <w:lang w:eastAsia="zh-CN"/>
              </w:rPr>
              <w:t>If your module has multiple submissions please indicate which piece of work this is.</w:t>
            </w:r>
          </w:p>
          <w:p w:rsidR="00F25FC3" w:rsidRPr="00F25FC3" w:rsidRDefault="00F25FC3" w:rsidP="00F25FC3">
            <w:pPr>
              <w:spacing w:after="0" w:line="240" w:lineRule="auto"/>
              <w:rPr>
                <w:rFonts w:ascii="Arial" w:eastAsia="SimSun" w:hAnsi="Arial" w:cs="Arial"/>
                <w:lang w:eastAsia="zh-CN"/>
              </w:rPr>
            </w:pPr>
          </w:p>
          <w:p w:rsidR="00F25FC3" w:rsidRPr="00F25FC3" w:rsidRDefault="00F25FC3" w:rsidP="00F25FC3">
            <w:pPr>
              <w:spacing w:after="0" w:line="240" w:lineRule="auto"/>
              <w:rPr>
                <w:rFonts w:ascii="Arial" w:eastAsia="SimSun" w:hAnsi="Arial" w:cs="Arial"/>
                <w:lang w:eastAsia="zh-CN"/>
              </w:rPr>
            </w:pPr>
            <w:r w:rsidRPr="00F25FC3">
              <w:rPr>
                <w:rFonts w:ascii="Arial" w:eastAsia="SimSun" w:hAnsi="Arial" w:cs="Arial"/>
                <w:lang w:eastAsia="zh-CN"/>
              </w:rPr>
              <w:t>1</w:t>
            </w:r>
            <w:r w:rsidRPr="00F25FC3">
              <w:rPr>
                <w:rFonts w:ascii="Arial" w:eastAsia="SimSun" w:hAnsi="Arial" w:cs="Arial"/>
                <w:vertAlign w:val="superscript"/>
                <w:lang w:eastAsia="zh-CN"/>
              </w:rPr>
              <w:t xml:space="preserve">st </w:t>
            </w:r>
            <w:r w:rsidRPr="00F25FC3">
              <w:rPr>
                <w:rFonts w:ascii="Arial" w:eastAsia="SimSun" w:hAnsi="Arial" w:cs="Arial"/>
                <w:lang w:eastAsia="zh-CN"/>
              </w:rPr>
              <w:fldChar w:fldCharType="begin">
                <w:ffData>
                  <w:name w:val="Check13"/>
                  <w:enabled/>
                  <w:calcOnExit w:val="0"/>
                  <w:checkBox>
                    <w:sizeAuto/>
                    <w:default w:val="0"/>
                  </w:checkBox>
                </w:ffData>
              </w:fldChar>
            </w:r>
            <w:bookmarkStart w:id="0" w:name="Check13"/>
            <w:r w:rsidRPr="00F25FC3">
              <w:rPr>
                <w:rFonts w:ascii="Arial" w:eastAsia="SimSun" w:hAnsi="Arial" w:cs="Arial"/>
                <w:lang w:eastAsia="zh-CN"/>
              </w:rPr>
              <w:instrText xml:space="preserve"> FORMCHECKBOX </w:instrText>
            </w:r>
            <w:r w:rsidRPr="00F25FC3">
              <w:rPr>
                <w:rFonts w:ascii="Arial" w:eastAsia="SimSun" w:hAnsi="Arial" w:cs="Arial"/>
                <w:lang w:eastAsia="zh-CN"/>
              </w:rPr>
            </w:r>
            <w:r w:rsidRPr="00F25FC3">
              <w:rPr>
                <w:rFonts w:ascii="Arial" w:eastAsia="SimSun" w:hAnsi="Arial" w:cs="Arial"/>
                <w:lang w:eastAsia="zh-CN"/>
              </w:rPr>
              <w:fldChar w:fldCharType="end"/>
            </w:r>
            <w:bookmarkEnd w:id="0"/>
            <w:r w:rsidRPr="00F25FC3">
              <w:rPr>
                <w:rFonts w:ascii="Arial" w:eastAsia="SimSun" w:hAnsi="Arial" w:cs="Arial"/>
                <w:lang w:eastAsia="zh-CN"/>
              </w:rPr>
              <w:t xml:space="preserve">    2</w:t>
            </w:r>
            <w:r w:rsidRPr="00F25FC3">
              <w:rPr>
                <w:rFonts w:ascii="Arial" w:eastAsia="SimSun" w:hAnsi="Arial" w:cs="Arial"/>
                <w:vertAlign w:val="superscript"/>
                <w:lang w:eastAsia="zh-CN"/>
              </w:rPr>
              <w:t>nd</w:t>
            </w:r>
            <w:r w:rsidRPr="00F25FC3">
              <w:rPr>
                <w:rFonts w:ascii="Arial" w:eastAsia="SimSun" w:hAnsi="Arial" w:cs="Arial"/>
                <w:lang w:eastAsia="zh-CN"/>
              </w:rPr>
              <w:t xml:space="preserve"> </w:t>
            </w:r>
            <w:bookmarkStart w:id="1" w:name="_GoBack"/>
            <w:bookmarkEnd w:id="1"/>
            <w:r>
              <w:rPr>
                <w:rFonts w:ascii="Arial" w:eastAsia="SimSun" w:hAnsi="Arial" w:cs="Arial"/>
                <w:lang w:eastAsia="zh-CN"/>
              </w:rPr>
              <w:t>√</w:t>
            </w:r>
            <w:r w:rsidRPr="00F25FC3">
              <w:rPr>
                <w:rFonts w:ascii="Arial" w:eastAsia="SimSun" w:hAnsi="Arial" w:cs="Arial"/>
                <w:lang w:eastAsia="zh-CN"/>
              </w:rPr>
              <w:t xml:space="preserve">    3</w:t>
            </w:r>
            <w:r w:rsidRPr="00F25FC3">
              <w:rPr>
                <w:rFonts w:ascii="Arial" w:eastAsia="SimSun" w:hAnsi="Arial" w:cs="Arial"/>
                <w:vertAlign w:val="superscript"/>
                <w:lang w:eastAsia="zh-CN"/>
              </w:rPr>
              <w:t>rd</w:t>
            </w:r>
            <w:r w:rsidRPr="00F25FC3">
              <w:rPr>
                <w:rFonts w:ascii="Arial" w:eastAsia="SimSun" w:hAnsi="Arial" w:cs="Arial"/>
                <w:lang w:eastAsia="zh-CN"/>
              </w:rPr>
              <w:t xml:space="preserve">  </w:t>
            </w:r>
            <w:r w:rsidRPr="00F25FC3">
              <w:rPr>
                <w:rFonts w:ascii="Arial" w:eastAsia="SimSun" w:hAnsi="Arial" w:cs="Arial"/>
                <w:lang w:eastAsia="zh-CN"/>
              </w:rPr>
              <w:fldChar w:fldCharType="begin">
                <w:ffData>
                  <w:name w:val="Check15"/>
                  <w:enabled/>
                  <w:calcOnExit w:val="0"/>
                  <w:checkBox>
                    <w:sizeAuto/>
                    <w:default w:val="0"/>
                  </w:checkBox>
                </w:ffData>
              </w:fldChar>
            </w:r>
            <w:bookmarkStart w:id="2" w:name="Check15"/>
            <w:r w:rsidRPr="00F25FC3">
              <w:rPr>
                <w:rFonts w:ascii="Arial" w:eastAsia="SimSun" w:hAnsi="Arial" w:cs="Arial"/>
                <w:lang w:eastAsia="zh-CN"/>
              </w:rPr>
              <w:instrText xml:space="preserve"> FORMCHECKBOX </w:instrText>
            </w:r>
            <w:r w:rsidRPr="00F25FC3">
              <w:rPr>
                <w:rFonts w:ascii="Arial" w:eastAsia="SimSun" w:hAnsi="Arial" w:cs="Arial"/>
                <w:lang w:eastAsia="zh-CN"/>
              </w:rPr>
            </w:r>
            <w:r w:rsidRPr="00F25FC3">
              <w:rPr>
                <w:rFonts w:ascii="Arial" w:eastAsia="SimSun" w:hAnsi="Arial" w:cs="Arial"/>
                <w:lang w:eastAsia="zh-CN"/>
              </w:rPr>
              <w:fldChar w:fldCharType="end"/>
            </w:r>
            <w:bookmarkEnd w:id="2"/>
            <w:r w:rsidRPr="00F25FC3">
              <w:rPr>
                <w:rFonts w:ascii="Arial" w:eastAsia="SimSun" w:hAnsi="Arial" w:cs="Arial"/>
                <w:lang w:eastAsia="zh-CN"/>
              </w:rPr>
              <w:t xml:space="preserve">      4</w:t>
            </w:r>
            <w:r w:rsidRPr="00F25FC3">
              <w:rPr>
                <w:rFonts w:ascii="Arial" w:eastAsia="SimSun" w:hAnsi="Arial" w:cs="Arial"/>
                <w:vertAlign w:val="superscript"/>
                <w:lang w:eastAsia="zh-CN"/>
              </w:rPr>
              <w:t>th</w:t>
            </w:r>
            <w:r w:rsidRPr="00F25FC3">
              <w:rPr>
                <w:rFonts w:ascii="Arial" w:eastAsia="SimSun" w:hAnsi="Arial" w:cs="Arial"/>
                <w:lang w:eastAsia="zh-CN"/>
              </w:rPr>
              <w:t xml:space="preserve"> </w:t>
            </w:r>
            <w:r w:rsidRPr="00F25FC3">
              <w:rPr>
                <w:rFonts w:ascii="Arial" w:eastAsia="SimSun" w:hAnsi="Arial" w:cs="Arial"/>
                <w:lang w:eastAsia="zh-CN"/>
              </w:rPr>
              <w:fldChar w:fldCharType="begin">
                <w:ffData>
                  <w:name w:val="Check16"/>
                  <w:enabled/>
                  <w:calcOnExit w:val="0"/>
                  <w:checkBox>
                    <w:sizeAuto/>
                    <w:default w:val="0"/>
                  </w:checkBox>
                </w:ffData>
              </w:fldChar>
            </w:r>
            <w:bookmarkStart w:id="3" w:name="Check16"/>
            <w:r w:rsidRPr="00F25FC3">
              <w:rPr>
                <w:rFonts w:ascii="Arial" w:eastAsia="SimSun" w:hAnsi="Arial" w:cs="Arial"/>
                <w:lang w:eastAsia="zh-CN"/>
              </w:rPr>
              <w:instrText xml:space="preserve"> FORMCHECKBOX </w:instrText>
            </w:r>
            <w:r w:rsidRPr="00F25FC3">
              <w:rPr>
                <w:rFonts w:ascii="Arial" w:eastAsia="SimSun" w:hAnsi="Arial" w:cs="Arial"/>
                <w:lang w:eastAsia="zh-CN"/>
              </w:rPr>
            </w:r>
            <w:r w:rsidRPr="00F25FC3">
              <w:rPr>
                <w:rFonts w:ascii="Arial" w:eastAsia="SimSun" w:hAnsi="Arial" w:cs="Arial"/>
                <w:lang w:eastAsia="zh-CN"/>
              </w:rPr>
              <w:fldChar w:fldCharType="end"/>
            </w:r>
            <w:bookmarkEnd w:id="3"/>
            <w:r w:rsidRPr="00F25FC3">
              <w:rPr>
                <w:rFonts w:ascii="Arial" w:eastAsia="SimSun" w:hAnsi="Arial" w:cs="Arial"/>
                <w:lang w:eastAsia="zh-CN"/>
              </w:rPr>
              <w:t xml:space="preserve">      5</w:t>
            </w:r>
            <w:r w:rsidRPr="00F25FC3">
              <w:rPr>
                <w:rFonts w:ascii="Arial" w:eastAsia="SimSun" w:hAnsi="Arial" w:cs="Arial"/>
                <w:vertAlign w:val="superscript"/>
                <w:lang w:eastAsia="zh-CN"/>
              </w:rPr>
              <w:t>th</w:t>
            </w:r>
            <w:r w:rsidRPr="00F25FC3">
              <w:rPr>
                <w:rFonts w:ascii="Arial" w:eastAsia="SimSun" w:hAnsi="Arial" w:cs="Arial"/>
                <w:lang w:eastAsia="zh-CN"/>
              </w:rPr>
              <w:t xml:space="preserve"> </w:t>
            </w:r>
            <w:r w:rsidRPr="00F25FC3">
              <w:rPr>
                <w:rFonts w:ascii="Arial" w:eastAsia="SimSun" w:hAnsi="Arial" w:cs="Arial"/>
                <w:lang w:eastAsia="zh-CN"/>
              </w:rPr>
              <w:fldChar w:fldCharType="begin">
                <w:ffData>
                  <w:name w:val="Check17"/>
                  <w:enabled/>
                  <w:calcOnExit w:val="0"/>
                  <w:checkBox>
                    <w:sizeAuto/>
                    <w:default w:val="0"/>
                  </w:checkBox>
                </w:ffData>
              </w:fldChar>
            </w:r>
            <w:bookmarkStart w:id="4" w:name="Check17"/>
            <w:r w:rsidRPr="00F25FC3">
              <w:rPr>
                <w:rFonts w:ascii="Arial" w:eastAsia="SimSun" w:hAnsi="Arial" w:cs="Arial"/>
                <w:lang w:eastAsia="zh-CN"/>
              </w:rPr>
              <w:instrText xml:space="preserve"> FORMCHECKBOX </w:instrText>
            </w:r>
            <w:r w:rsidRPr="00F25FC3">
              <w:rPr>
                <w:rFonts w:ascii="Arial" w:eastAsia="SimSun" w:hAnsi="Arial" w:cs="Arial"/>
                <w:lang w:eastAsia="zh-CN"/>
              </w:rPr>
            </w:r>
            <w:r w:rsidRPr="00F25FC3">
              <w:rPr>
                <w:rFonts w:ascii="Arial" w:eastAsia="SimSun" w:hAnsi="Arial" w:cs="Arial"/>
                <w:lang w:eastAsia="zh-CN"/>
              </w:rPr>
              <w:fldChar w:fldCharType="end"/>
            </w:r>
            <w:bookmarkEnd w:id="4"/>
            <w:r w:rsidRPr="00F25FC3">
              <w:rPr>
                <w:rFonts w:ascii="Arial" w:eastAsia="SimSun" w:hAnsi="Arial" w:cs="Arial"/>
                <w:lang w:eastAsia="zh-CN"/>
              </w:rPr>
              <w:t xml:space="preserve">      6</w:t>
            </w:r>
            <w:r w:rsidRPr="00F25FC3">
              <w:rPr>
                <w:rFonts w:ascii="Arial" w:eastAsia="SimSun" w:hAnsi="Arial" w:cs="Arial"/>
                <w:vertAlign w:val="superscript"/>
                <w:lang w:eastAsia="zh-CN"/>
              </w:rPr>
              <w:t>th</w:t>
            </w:r>
            <w:r w:rsidRPr="00F25FC3">
              <w:rPr>
                <w:rFonts w:ascii="Arial" w:eastAsia="SimSun" w:hAnsi="Arial" w:cs="Arial"/>
                <w:lang w:eastAsia="zh-CN"/>
              </w:rPr>
              <w:t xml:space="preserve"> </w:t>
            </w:r>
            <w:r w:rsidRPr="00F25FC3">
              <w:rPr>
                <w:rFonts w:ascii="Arial" w:eastAsia="SimSun" w:hAnsi="Arial" w:cs="Arial"/>
                <w:lang w:eastAsia="zh-CN"/>
              </w:rPr>
              <w:fldChar w:fldCharType="begin">
                <w:ffData>
                  <w:name w:val="Check18"/>
                  <w:enabled/>
                  <w:calcOnExit w:val="0"/>
                  <w:checkBox>
                    <w:sizeAuto/>
                    <w:default w:val="0"/>
                  </w:checkBox>
                </w:ffData>
              </w:fldChar>
            </w:r>
            <w:bookmarkStart w:id="5" w:name="Check18"/>
            <w:r w:rsidRPr="00F25FC3">
              <w:rPr>
                <w:rFonts w:ascii="Arial" w:eastAsia="SimSun" w:hAnsi="Arial" w:cs="Arial"/>
                <w:lang w:eastAsia="zh-CN"/>
              </w:rPr>
              <w:instrText xml:space="preserve"> FORMCHECKBOX </w:instrText>
            </w:r>
            <w:r w:rsidRPr="00F25FC3">
              <w:rPr>
                <w:rFonts w:ascii="Arial" w:eastAsia="SimSun" w:hAnsi="Arial" w:cs="Arial"/>
                <w:lang w:eastAsia="zh-CN"/>
              </w:rPr>
            </w:r>
            <w:r w:rsidRPr="00F25FC3">
              <w:rPr>
                <w:rFonts w:ascii="Arial" w:eastAsia="SimSun" w:hAnsi="Arial" w:cs="Arial"/>
                <w:lang w:eastAsia="zh-CN"/>
              </w:rPr>
              <w:fldChar w:fldCharType="end"/>
            </w:r>
            <w:bookmarkEnd w:id="5"/>
          </w:p>
        </w:tc>
      </w:tr>
      <w:tr w:rsidR="00F25FC3" w:rsidRPr="00F25FC3" w:rsidTr="00392431">
        <w:trPr>
          <w:trHeight w:val="978"/>
        </w:trPr>
        <w:tc>
          <w:tcPr>
            <w:tcW w:w="8856" w:type="dxa"/>
            <w:gridSpan w:val="5"/>
            <w:shd w:val="clear" w:color="auto" w:fill="D9D9D9"/>
          </w:tcPr>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I confirm that this is my original work and that I have adhered to the University policy on plagiarism.</w:t>
            </w:r>
          </w:p>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Arial" w:eastAsia="SimSun" w:hAnsi="Arial" w:cs="Arial"/>
                <w:color w:val="000000"/>
                <w:lang w:eastAsia="zh-CN"/>
              </w:rPr>
              <w:t>Signed ……………………………………………………………</w:t>
            </w:r>
          </w:p>
          <w:p w:rsidR="00F25FC3" w:rsidRPr="00F25FC3" w:rsidRDefault="00F25FC3" w:rsidP="00F25FC3">
            <w:pPr>
              <w:spacing w:after="0" w:line="240" w:lineRule="auto"/>
              <w:ind w:right="34"/>
              <w:rPr>
                <w:rFonts w:ascii="Calibri" w:eastAsia="SimSun" w:hAnsi="Calibri" w:cs="Calibri"/>
                <w:b/>
                <w:color w:val="000000"/>
                <w:sz w:val="44"/>
                <w:szCs w:val="44"/>
                <w:lang w:eastAsia="zh-CN"/>
              </w:rPr>
            </w:pPr>
            <w:r w:rsidRPr="00F25FC3">
              <w:rPr>
                <w:rFonts w:ascii="Calibri" w:eastAsia="SimSun" w:hAnsi="Calibri" w:cs="Tahoma"/>
                <w:b/>
                <w:color w:val="000000"/>
                <w:sz w:val="24"/>
                <w:szCs w:val="24"/>
                <w:lang w:eastAsia="zh-CN"/>
              </w:rPr>
              <w:t xml:space="preserve">Email submission: if you are submitting this form via email, please tick this box </w:t>
            </w:r>
            <w:r>
              <w:rPr>
                <w:rFonts w:ascii="Calibri" w:eastAsia="SimSun" w:hAnsi="Calibri" w:cs="Calibri"/>
                <w:b/>
                <w:color w:val="000000"/>
                <w:sz w:val="44"/>
                <w:szCs w:val="44"/>
                <w:lang w:eastAsia="zh-CN"/>
              </w:rPr>
              <w:t>√</w:t>
            </w:r>
          </w:p>
          <w:p w:rsidR="00F25FC3" w:rsidRPr="00F25FC3" w:rsidRDefault="00F25FC3" w:rsidP="00F25FC3">
            <w:pPr>
              <w:spacing w:after="0" w:line="240" w:lineRule="auto"/>
              <w:ind w:right="34"/>
              <w:rPr>
                <w:rFonts w:ascii="Arial" w:eastAsia="SimSun" w:hAnsi="Arial" w:cs="Arial"/>
                <w:color w:val="000000"/>
                <w:lang w:eastAsia="zh-CN"/>
              </w:rPr>
            </w:pPr>
            <w:r w:rsidRPr="00F25FC3">
              <w:rPr>
                <w:rFonts w:ascii="Calibri" w:eastAsia="SimSun" w:hAnsi="Calibri" w:cs="Tahoma"/>
                <w:b/>
                <w:color w:val="000000"/>
                <w:sz w:val="24"/>
                <w:szCs w:val="24"/>
                <w:lang w:eastAsia="zh-CN"/>
              </w:rPr>
              <w:t>(as a substitute for your signature) to confirm that you agree to the above declaration.</w:t>
            </w:r>
          </w:p>
        </w:tc>
      </w:tr>
      <w:tr w:rsidR="00F25FC3" w:rsidRPr="00F25FC3" w:rsidTr="00392431">
        <w:trPr>
          <w:trHeight w:val="3972"/>
        </w:trPr>
        <w:tc>
          <w:tcPr>
            <w:tcW w:w="8856" w:type="dxa"/>
            <w:gridSpan w:val="5"/>
          </w:tcPr>
          <w:p w:rsidR="00F25FC3" w:rsidRPr="00F25FC3" w:rsidRDefault="00F25FC3" w:rsidP="00F25FC3">
            <w:pPr>
              <w:spacing w:after="0" w:line="240" w:lineRule="auto"/>
              <w:rPr>
                <w:rFonts w:ascii="Arial" w:eastAsia="SimSun" w:hAnsi="Arial" w:cs="Times New Roman"/>
                <w:b/>
                <w:sz w:val="24"/>
                <w:szCs w:val="24"/>
                <w:lang w:eastAsia="zh-CN"/>
              </w:rPr>
            </w:pPr>
          </w:p>
          <w:p w:rsidR="00F25FC3" w:rsidRPr="00F25FC3" w:rsidRDefault="00F25FC3" w:rsidP="00F25FC3">
            <w:pPr>
              <w:spacing w:after="0" w:line="240" w:lineRule="auto"/>
              <w:rPr>
                <w:rFonts w:ascii="Arial" w:eastAsia="SimSun" w:hAnsi="Arial" w:cs="Times New Roman"/>
                <w:sz w:val="24"/>
                <w:szCs w:val="24"/>
                <w:lang w:eastAsia="zh-CN"/>
              </w:rPr>
            </w:pPr>
            <w:r w:rsidRPr="00F25FC3">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25FC3" w:rsidRPr="00F25FC3" w:rsidTr="00392431">
              <w:tc>
                <w:tcPr>
                  <w:tcW w:w="6970" w:type="dxa"/>
                </w:tcPr>
                <w:p w:rsidR="00F25FC3" w:rsidRPr="00F25FC3" w:rsidRDefault="00F25FC3" w:rsidP="00F25FC3">
                  <w:pPr>
                    <w:spacing w:after="0" w:line="240" w:lineRule="auto"/>
                    <w:rPr>
                      <w:rFonts w:ascii="Arial" w:eastAsia="SimSun" w:hAnsi="Arial" w:cs="Times New Roman"/>
                      <w:sz w:val="20"/>
                      <w:szCs w:val="20"/>
                      <w:lang w:eastAsia="zh-CN"/>
                    </w:rPr>
                  </w:pPr>
                </w:p>
                <w:p w:rsidR="00F25FC3" w:rsidRPr="00F25FC3" w:rsidRDefault="00F25FC3" w:rsidP="00F25FC3">
                  <w:pPr>
                    <w:spacing w:after="0" w:line="240" w:lineRule="auto"/>
                    <w:rPr>
                      <w:rFonts w:ascii="Arial" w:eastAsia="SimSun" w:hAnsi="Arial" w:cs="Times New Roman"/>
                      <w:sz w:val="20"/>
                      <w:szCs w:val="20"/>
                      <w:lang w:eastAsia="zh-CN"/>
                    </w:rPr>
                  </w:pPr>
                  <w:r w:rsidRPr="00F25FC3">
                    <w:rPr>
                      <w:rFonts w:ascii="Arial" w:eastAsia="SimSun" w:hAnsi="Arial" w:cs="Times New Roman"/>
                      <w:sz w:val="20"/>
                      <w:szCs w:val="20"/>
                      <w:lang w:eastAsia="zh-CN"/>
                    </w:rPr>
                    <w:t>1</w:t>
                  </w:r>
                  <w:r w:rsidRPr="00F25FC3">
                    <w:rPr>
                      <w:rFonts w:ascii="Arial" w:eastAsia="SimSun" w:hAnsi="Arial" w:cs="Times New Roman"/>
                      <w:sz w:val="20"/>
                      <w:szCs w:val="20"/>
                      <w:vertAlign w:val="superscript"/>
                      <w:lang w:eastAsia="zh-CN"/>
                    </w:rPr>
                    <w:t>st</w:t>
                  </w:r>
                  <w:r w:rsidRPr="00F25FC3">
                    <w:rPr>
                      <w:rFonts w:ascii="Arial" w:eastAsia="SimSun" w:hAnsi="Arial" w:cs="Times New Roman"/>
                      <w:sz w:val="20"/>
                      <w:szCs w:val="20"/>
                      <w:lang w:eastAsia="zh-CN"/>
                    </w:rPr>
                    <w:t xml:space="preserve"> Marker’s Provisional mark</w:t>
                  </w:r>
                </w:p>
              </w:tc>
              <w:tc>
                <w:tcPr>
                  <w:tcW w:w="1660" w:type="dxa"/>
                </w:tcPr>
                <w:p w:rsidR="00F25FC3" w:rsidRPr="00F25FC3" w:rsidRDefault="00F25FC3" w:rsidP="00F25FC3">
                  <w:pPr>
                    <w:spacing w:after="0" w:line="240" w:lineRule="auto"/>
                    <w:rPr>
                      <w:rFonts w:ascii="Arial" w:eastAsia="SimSun" w:hAnsi="Arial" w:cs="Times New Roman"/>
                      <w:sz w:val="20"/>
                      <w:szCs w:val="20"/>
                      <w:lang w:eastAsia="zh-CN"/>
                    </w:rPr>
                  </w:pPr>
                </w:p>
              </w:tc>
            </w:tr>
            <w:tr w:rsidR="00F25FC3" w:rsidRPr="00F25FC3" w:rsidTr="00392431">
              <w:tc>
                <w:tcPr>
                  <w:tcW w:w="6970" w:type="dxa"/>
                </w:tcPr>
                <w:p w:rsidR="00F25FC3" w:rsidRPr="00F25FC3" w:rsidRDefault="00F25FC3" w:rsidP="00F25FC3">
                  <w:pPr>
                    <w:spacing w:after="0" w:line="240" w:lineRule="auto"/>
                    <w:rPr>
                      <w:rFonts w:ascii="Arial" w:eastAsia="SimSun" w:hAnsi="Arial" w:cs="Times New Roman"/>
                      <w:sz w:val="20"/>
                      <w:szCs w:val="20"/>
                      <w:lang w:eastAsia="zh-CN"/>
                    </w:rPr>
                  </w:pPr>
                </w:p>
                <w:p w:rsidR="00F25FC3" w:rsidRPr="00F25FC3" w:rsidRDefault="00F25FC3" w:rsidP="00F25FC3">
                  <w:pPr>
                    <w:spacing w:after="0" w:line="240" w:lineRule="auto"/>
                    <w:rPr>
                      <w:rFonts w:ascii="Arial" w:eastAsia="SimSun" w:hAnsi="Arial" w:cs="Times New Roman"/>
                      <w:sz w:val="20"/>
                      <w:szCs w:val="20"/>
                      <w:lang w:eastAsia="zh-CN"/>
                    </w:rPr>
                  </w:pPr>
                  <w:r w:rsidRPr="00F25FC3">
                    <w:rPr>
                      <w:rFonts w:ascii="Arial" w:eastAsia="SimSun" w:hAnsi="Arial" w:cs="Times New Roman"/>
                      <w:sz w:val="20"/>
                      <w:szCs w:val="20"/>
                      <w:lang w:eastAsia="zh-CN"/>
                    </w:rPr>
                    <w:t>2</w:t>
                  </w:r>
                  <w:r w:rsidRPr="00F25FC3">
                    <w:rPr>
                      <w:rFonts w:ascii="Arial" w:eastAsia="SimSun" w:hAnsi="Arial" w:cs="Times New Roman"/>
                      <w:sz w:val="20"/>
                      <w:szCs w:val="20"/>
                      <w:vertAlign w:val="superscript"/>
                      <w:lang w:eastAsia="zh-CN"/>
                    </w:rPr>
                    <w:t>nd</w:t>
                  </w:r>
                  <w:r w:rsidRPr="00F25FC3">
                    <w:rPr>
                      <w:rFonts w:ascii="Arial" w:eastAsia="SimSun" w:hAnsi="Arial" w:cs="Times New Roman"/>
                      <w:sz w:val="20"/>
                      <w:szCs w:val="20"/>
                      <w:lang w:eastAsia="zh-CN"/>
                    </w:rPr>
                    <w:t xml:space="preserve"> Marker’s/Moderator’s provisional mark</w:t>
                  </w:r>
                </w:p>
              </w:tc>
              <w:tc>
                <w:tcPr>
                  <w:tcW w:w="1660" w:type="dxa"/>
                </w:tcPr>
                <w:p w:rsidR="00F25FC3" w:rsidRPr="00F25FC3" w:rsidRDefault="00F25FC3" w:rsidP="00F25FC3">
                  <w:pPr>
                    <w:spacing w:after="0" w:line="240" w:lineRule="auto"/>
                    <w:rPr>
                      <w:rFonts w:ascii="Arial" w:eastAsia="SimSun" w:hAnsi="Arial" w:cs="Times New Roman"/>
                      <w:sz w:val="20"/>
                      <w:szCs w:val="20"/>
                      <w:lang w:eastAsia="zh-CN"/>
                    </w:rPr>
                  </w:pPr>
                </w:p>
              </w:tc>
            </w:tr>
            <w:tr w:rsidR="00F25FC3" w:rsidRPr="00F25FC3" w:rsidTr="00392431">
              <w:tc>
                <w:tcPr>
                  <w:tcW w:w="6970" w:type="dxa"/>
                </w:tcPr>
                <w:p w:rsidR="00F25FC3" w:rsidRPr="00F25FC3" w:rsidRDefault="00F25FC3" w:rsidP="00F25FC3">
                  <w:pPr>
                    <w:spacing w:after="0" w:line="240" w:lineRule="auto"/>
                    <w:rPr>
                      <w:rFonts w:ascii="Arial" w:eastAsia="SimSun" w:hAnsi="Arial" w:cs="Times New Roman"/>
                      <w:sz w:val="20"/>
                      <w:szCs w:val="20"/>
                      <w:lang w:eastAsia="zh-CN"/>
                    </w:rPr>
                  </w:pPr>
                </w:p>
                <w:p w:rsidR="00F25FC3" w:rsidRPr="00F25FC3" w:rsidRDefault="00F25FC3" w:rsidP="00F25FC3">
                  <w:pPr>
                    <w:spacing w:after="0" w:line="240" w:lineRule="auto"/>
                    <w:rPr>
                      <w:rFonts w:ascii="Arial" w:eastAsia="SimSun" w:hAnsi="Arial" w:cs="Times New Roman"/>
                      <w:sz w:val="20"/>
                      <w:szCs w:val="20"/>
                      <w:lang w:eastAsia="zh-CN"/>
                    </w:rPr>
                  </w:pPr>
                  <w:r w:rsidRPr="00F25FC3">
                    <w:rPr>
                      <w:rFonts w:ascii="Arial" w:eastAsia="SimSun" w:hAnsi="Arial" w:cs="Times New Roman"/>
                      <w:sz w:val="20"/>
                      <w:szCs w:val="20"/>
                      <w:lang w:eastAsia="zh-CN"/>
                    </w:rPr>
                    <w:t>External Examiner’s mark (if relevant)</w:t>
                  </w:r>
                </w:p>
              </w:tc>
              <w:tc>
                <w:tcPr>
                  <w:tcW w:w="1660" w:type="dxa"/>
                </w:tcPr>
                <w:p w:rsidR="00F25FC3" w:rsidRPr="00F25FC3" w:rsidRDefault="00F25FC3" w:rsidP="00F25FC3">
                  <w:pPr>
                    <w:spacing w:after="0" w:line="240" w:lineRule="auto"/>
                    <w:rPr>
                      <w:rFonts w:ascii="Arial" w:eastAsia="SimSun" w:hAnsi="Arial" w:cs="Times New Roman"/>
                      <w:sz w:val="20"/>
                      <w:szCs w:val="20"/>
                      <w:lang w:eastAsia="zh-CN"/>
                    </w:rPr>
                  </w:pPr>
                </w:p>
              </w:tc>
            </w:tr>
            <w:tr w:rsidR="00F25FC3" w:rsidRPr="00F25FC3" w:rsidTr="00392431">
              <w:tc>
                <w:tcPr>
                  <w:tcW w:w="6970" w:type="dxa"/>
                </w:tcPr>
                <w:p w:rsidR="00F25FC3" w:rsidRPr="00F25FC3" w:rsidRDefault="00F25FC3" w:rsidP="00F25FC3">
                  <w:pPr>
                    <w:spacing w:after="0" w:line="240" w:lineRule="auto"/>
                    <w:rPr>
                      <w:rFonts w:ascii="Arial" w:eastAsia="SimSun" w:hAnsi="Arial" w:cs="Times New Roman"/>
                      <w:sz w:val="20"/>
                      <w:szCs w:val="20"/>
                      <w:lang w:eastAsia="zh-CN"/>
                    </w:rPr>
                  </w:pPr>
                </w:p>
                <w:p w:rsidR="00F25FC3" w:rsidRPr="00F25FC3" w:rsidRDefault="00F25FC3" w:rsidP="00F25FC3">
                  <w:pPr>
                    <w:spacing w:after="0" w:line="240" w:lineRule="auto"/>
                    <w:rPr>
                      <w:rFonts w:ascii="Arial" w:eastAsia="SimSun" w:hAnsi="Arial" w:cs="Times New Roman"/>
                      <w:b/>
                      <w:sz w:val="20"/>
                      <w:szCs w:val="20"/>
                      <w:lang w:eastAsia="zh-CN"/>
                    </w:rPr>
                  </w:pPr>
                  <w:r w:rsidRPr="00F25FC3">
                    <w:rPr>
                      <w:rFonts w:ascii="Arial" w:eastAsia="SimSun" w:hAnsi="Arial" w:cs="Times New Roman"/>
                      <w:b/>
                      <w:sz w:val="20"/>
                      <w:szCs w:val="20"/>
                      <w:lang w:eastAsia="zh-CN"/>
                    </w:rPr>
                    <w:t>Final Mark</w:t>
                  </w:r>
                </w:p>
                <w:p w:rsidR="00F25FC3" w:rsidRPr="00F25FC3" w:rsidRDefault="00F25FC3" w:rsidP="00F25FC3">
                  <w:pPr>
                    <w:spacing w:after="0" w:line="240" w:lineRule="auto"/>
                    <w:rPr>
                      <w:rFonts w:ascii="Arial" w:eastAsia="SimSun" w:hAnsi="Arial" w:cs="Times New Roman"/>
                      <w:sz w:val="20"/>
                      <w:szCs w:val="20"/>
                      <w:lang w:eastAsia="zh-CN"/>
                    </w:rPr>
                  </w:pPr>
                </w:p>
              </w:tc>
              <w:tc>
                <w:tcPr>
                  <w:tcW w:w="1660" w:type="dxa"/>
                </w:tcPr>
                <w:p w:rsidR="00F25FC3" w:rsidRPr="00F25FC3" w:rsidRDefault="00F25FC3" w:rsidP="00F25FC3">
                  <w:pPr>
                    <w:spacing w:after="0" w:line="240" w:lineRule="auto"/>
                    <w:rPr>
                      <w:rFonts w:ascii="Arial" w:eastAsia="SimSun" w:hAnsi="Arial" w:cs="Times New Roman"/>
                      <w:sz w:val="20"/>
                      <w:szCs w:val="20"/>
                      <w:lang w:eastAsia="zh-CN"/>
                    </w:rPr>
                  </w:pPr>
                </w:p>
              </w:tc>
            </w:tr>
          </w:tbl>
          <w:p w:rsidR="00F25FC3" w:rsidRPr="00F25FC3" w:rsidRDefault="00F25FC3" w:rsidP="00F25FC3">
            <w:pPr>
              <w:spacing w:after="0" w:line="240" w:lineRule="auto"/>
              <w:ind w:left="142" w:right="34"/>
              <w:rPr>
                <w:rFonts w:ascii="Arial" w:eastAsia="SimSun" w:hAnsi="Arial" w:cs="Arial"/>
                <w:b/>
                <w:color w:val="000000"/>
                <w:lang w:eastAsia="zh-CN"/>
              </w:rPr>
            </w:pPr>
          </w:p>
          <w:p w:rsidR="00F25FC3" w:rsidRPr="00F25FC3" w:rsidRDefault="00F25FC3" w:rsidP="00F25FC3">
            <w:pPr>
              <w:spacing w:after="0" w:line="240" w:lineRule="auto"/>
              <w:ind w:left="142" w:right="34"/>
              <w:rPr>
                <w:rFonts w:ascii="Arial" w:eastAsia="SimSun" w:hAnsi="Arial" w:cs="Arial"/>
                <w:color w:val="000000"/>
                <w:lang w:eastAsia="zh-CN"/>
              </w:rPr>
            </w:pPr>
            <w:r w:rsidRPr="00F25FC3">
              <w:rPr>
                <w:rFonts w:ascii="Arial" w:eastAsia="SimSun" w:hAnsi="Arial" w:cs="Arial"/>
                <w:b/>
                <w:color w:val="000000"/>
                <w:lang w:eastAsia="zh-CN"/>
              </w:rPr>
              <w:t>NB.</w:t>
            </w:r>
            <w:r w:rsidRPr="00F25FC3">
              <w:rPr>
                <w:rFonts w:ascii="Arial" w:eastAsia="SimSun" w:hAnsi="Arial" w:cs="Arial"/>
                <w:color w:val="000000"/>
                <w:lang w:eastAsia="zh-CN"/>
              </w:rPr>
              <w:t xml:space="preserve">  All marks are provisional until confirmed by the Final Examination Board.</w:t>
            </w:r>
          </w:p>
          <w:p w:rsidR="00F25FC3" w:rsidRPr="00F25FC3" w:rsidRDefault="00F25FC3" w:rsidP="00F25FC3">
            <w:pPr>
              <w:spacing w:after="0" w:line="240" w:lineRule="auto"/>
              <w:rPr>
                <w:rFonts w:ascii="Arial" w:eastAsia="SimSun" w:hAnsi="Arial" w:cs="Arial"/>
                <w:b/>
                <w:color w:val="000000"/>
                <w:lang w:eastAsia="zh-CN"/>
              </w:rPr>
            </w:pPr>
          </w:p>
          <w:p w:rsidR="00F25FC3" w:rsidRPr="00F25FC3" w:rsidRDefault="00F25FC3" w:rsidP="00F25FC3">
            <w:pPr>
              <w:spacing w:after="0" w:line="240" w:lineRule="auto"/>
              <w:rPr>
                <w:rFonts w:ascii="Arial" w:eastAsia="SimSun" w:hAnsi="Arial" w:cs="Arial"/>
                <w:b/>
                <w:color w:val="000000"/>
                <w:lang w:eastAsia="zh-CN"/>
              </w:rPr>
            </w:pPr>
          </w:p>
          <w:p w:rsidR="00F25FC3" w:rsidRPr="00F25FC3" w:rsidRDefault="00F25FC3" w:rsidP="00F25FC3">
            <w:pPr>
              <w:spacing w:after="0" w:line="240" w:lineRule="auto"/>
              <w:rPr>
                <w:rFonts w:ascii="Arial" w:eastAsia="SimSun" w:hAnsi="Arial" w:cs="Arial"/>
                <w:b/>
                <w:color w:val="000000"/>
                <w:lang w:eastAsia="zh-CN"/>
              </w:rPr>
            </w:pPr>
          </w:p>
          <w:p w:rsidR="00F25FC3" w:rsidRPr="00F25FC3" w:rsidRDefault="00F25FC3" w:rsidP="00F25FC3">
            <w:pPr>
              <w:spacing w:after="0" w:line="240" w:lineRule="auto"/>
              <w:rPr>
                <w:rFonts w:ascii="Arial" w:eastAsia="SimSun" w:hAnsi="Arial" w:cs="Arial"/>
                <w:b/>
                <w:color w:val="000000"/>
                <w:lang w:eastAsia="zh-CN"/>
              </w:rPr>
            </w:pPr>
          </w:p>
          <w:p w:rsidR="00F25FC3" w:rsidRPr="00F25FC3" w:rsidRDefault="00F25FC3" w:rsidP="00F25FC3">
            <w:pPr>
              <w:spacing w:after="0" w:line="240" w:lineRule="auto"/>
              <w:rPr>
                <w:rFonts w:ascii="Arial" w:eastAsia="SimSun" w:hAnsi="Arial" w:cs="Arial"/>
                <w:b/>
                <w:color w:val="000000"/>
                <w:lang w:eastAsia="zh-CN"/>
              </w:rPr>
            </w:pPr>
          </w:p>
          <w:p w:rsidR="00F25FC3" w:rsidRPr="00F25FC3" w:rsidRDefault="00F25FC3" w:rsidP="00F25FC3">
            <w:pPr>
              <w:spacing w:after="0" w:line="240" w:lineRule="auto"/>
              <w:rPr>
                <w:rFonts w:ascii="Arial" w:eastAsia="SimSun" w:hAnsi="Arial" w:cs="Arial"/>
                <w:b/>
                <w:color w:val="000000"/>
                <w:lang w:eastAsia="zh-CN"/>
              </w:rPr>
            </w:pPr>
            <w:r w:rsidRPr="00F25FC3">
              <w:rPr>
                <w:rFonts w:ascii="Arial" w:eastAsia="SimSun" w:hAnsi="Arial" w:cs="Arial"/>
                <w:b/>
                <w:color w:val="000000"/>
                <w:lang w:eastAsia="zh-CN"/>
              </w:rPr>
              <w:t xml:space="preserve">For completion by Marker </w:t>
            </w:r>
            <w:proofErr w:type="gramStart"/>
            <w:r w:rsidRPr="00F25FC3">
              <w:rPr>
                <w:rFonts w:ascii="Arial" w:eastAsia="SimSun" w:hAnsi="Arial" w:cs="Arial"/>
                <w:b/>
                <w:color w:val="000000"/>
                <w:lang w:eastAsia="zh-CN"/>
              </w:rPr>
              <w:t>1 :</w:t>
            </w:r>
            <w:proofErr w:type="gramEnd"/>
          </w:p>
          <w:p w:rsidR="00F25FC3" w:rsidRPr="00F25FC3" w:rsidRDefault="00F25FC3" w:rsidP="00F25FC3">
            <w:pPr>
              <w:spacing w:before="100" w:beforeAutospacing="1" w:after="100" w:afterAutospacing="1" w:line="240" w:lineRule="auto"/>
              <w:rPr>
                <w:rFonts w:ascii="Arial" w:eastAsia="SimSun" w:hAnsi="Arial" w:cs="Arial"/>
                <w:color w:val="000000"/>
                <w:lang w:eastAsia="zh-CN"/>
              </w:rPr>
            </w:pPr>
            <w:r w:rsidRPr="00F25FC3">
              <w:rPr>
                <w:rFonts w:ascii="Arial" w:eastAsia="SimSun" w:hAnsi="Arial" w:cs="Arial"/>
                <w:color w:val="000000"/>
                <w:lang w:eastAsia="zh-CN"/>
              </w:rPr>
              <w:t>Comments:</w:t>
            </w:r>
          </w:p>
          <w:p w:rsidR="00F25FC3" w:rsidRPr="00F25FC3" w:rsidRDefault="00F25FC3" w:rsidP="00F25FC3">
            <w:pPr>
              <w:spacing w:before="100" w:beforeAutospacing="1" w:after="100" w:afterAutospacing="1" w:line="240" w:lineRule="auto"/>
              <w:rPr>
                <w:rFonts w:ascii="Arial" w:eastAsia="SimSun" w:hAnsi="Arial" w:cs="Arial"/>
                <w:color w:val="000000"/>
                <w:lang w:eastAsia="zh-CN"/>
              </w:rPr>
            </w:pPr>
          </w:p>
        </w:tc>
      </w:tr>
      <w:tr w:rsidR="00F25FC3" w:rsidRPr="00F25FC3" w:rsidTr="00392431">
        <w:trPr>
          <w:trHeight w:val="492"/>
        </w:trPr>
        <w:tc>
          <w:tcPr>
            <w:tcW w:w="6768" w:type="dxa"/>
            <w:gridSpan w:val="3"/>
          </w:tcPr>
          <w:p w:rsidR="00F25FC3" w:rsidRPr="00F25FC3" w:rsidRDefault="00F25FC3" w:rsidP="00F25FC3">
            <w:pPr>
              <w:spacing w:before="100" w:beforeAutospacing="1" w:after="100" w:afterAutospacing="1" w:line="240" w:lineRule="auto"/>
              <w:ind w:left="142" w:right="34"/>
              <w:rPr>
                <w:rFonts w:ascii="Arial" w:eastAsia="SimSun" w:hAnsi="Arial" w:cs="Arial"/>
                <w:color w:val="000000"/>
                <w:lang w:eastAsia="zh-CN"/>
              </w:rPr>
            </w:pPr>
            <w:r w:rsidRPr="00F25FC3">
              <w:rPr>
                <w:rFonts w:ascii="Arial" w:eastAsia="SimSun" w:hAnsi="Arial" w:cs="Arial"/>
                <w:color w:val="000000"/>
                <w:lang w:eastAsia="zh-CN"/>
              </w:rPr>
              <w:lastRenderedPageBreak/>
              <w:t>Marker’s signature:</w:t>
            </w:r>
          </w:p>
        </w:tc>
        <w:tc>
          <w:tcPr>
            <w:tcW w:w="2088" w:type="dxa"/>
            <w:gridSpan w:val="2"/>
          </w:tcPr>
          <w:p w:rsidR="00F25FC3" w:rsidRPr="00F25FC3" w:rsidRDefault="00F25FC3" w:rsidP="00F25FC3">
            <w:pPr>
              <w:spacing w:before="100" w:beforeAutospacing="1" w:after="0" w:afterAutospacing="1" w:line="240" w:lineRule="auto"/>
              <w:ind w:left="142" w:right="34"/>
              <w:rPr>
                <w:rFonts w:ascii="Arial" w:eastAsia="SimSun" w:hAnsi="Arial" w:cs="Arial"/>
                <w:color w:val="000000"/>
                <w:lang w:eastAsia="zh-CN"/>
              </w:rPr>
            </w:pPr>
            <w:r w:rsidRPr="00F25FC3">
              <w:rPr>
                <w:rFonts w:ascii="Arial" w:eastAsia="SimSun" w:hAnsi="Arial" w:cs="Arial"/>
                <w:color w:val="000000"/>
                <w:lang w:eastAsia="zh-CN"/>
              </w:rPr>
              <w:t>Date:</w:t>
            </w:r>
          </w:p>
        </w:tc>
      </w:tr>
      <w:tr w:rsidR="00F25FC3" w:rsidRPr="00F25FC3" w:rsidTr="00392431">
        <w:tc>
          <w:tcPr>
            <w:tcW w:w="8856" w:type="dxa"/>
            <w:gridSpan w:val="5"/>
          </w:tcPr>
          <w:p w:rsidR="00F25FC3" w:rsidRPr="00F25FC3" w:rsidRDefault="00F25FC3" w:rsidP="00F25FC3">
            <w:pPr>
              <w:spacing w:after="0" w:line="240" w:lineRule="auto"/>
              <w:ind w:right="-334"/>
              <w:rPr>
                <w:rFonts w:ascii="Arial" w:eastAsia="SimSun" w:hAnsi="Arial" w:cs="Arial"/>
                <w:bCs/>
                <w:i/>
                <w:color w:val="000000"/>
                <w:lang w:eastAsia="zh-CN"/>
              </w:rPr>
            </w:pPr>
          </w:p>
          <w:p w:rsidR="00F25FC3" w:rsidRPr="00F25FC3" w:rsidRDefault="00F25FC3" w:rsidP="00F25FC3">
            <w:pPr>
              <w:spacing w:after="0" w:line="240" w:lineRule="auto"/>
              <w:ind w:right="-334"/>
              <w:rPr>
                <w:rFonts w:ascii="Arial" w:eastAsia="SimSun" w:hAnsi="Arial" w:cs="Arial"/>
                <w:b/>
                <w:bCs/>
                <w:color w:val="000000"/>
                <w:lang w:eastAsia="zh-CN"/>
              </w:rPr>
            </w:pPr>
            <w:r w:rsidRPr="00F25FC3">
              <w:rPr>
                <w:rFonts w:ascii="Arial" w:eastAsia="SimSun" w:hAnsi="Arial" w:cs="Arial"/>
                <w:b/>
                <w:bCs/>
                <w:color w:val="000000"/>
                <w:lang w:eastAsia="zh-CN"/>
              </w:rPr>
              <w:t>For completion by Marker 2/Moderator:</w:t>
            </w:r>
          </w:p>
          <w:p w:rsidR="00F25FC3" w:rsidRPr="00F25FC3" w:rsidRDefault="00F25FC3" w:rsidP="00F25FC3">
            <w:pPr>
              <w:spacing w:after="0" w:line="240" w:lineRule="auto"/>
              <w:ind w:right="-334"/>
              <w:rPr>
                <w:rFonts w:ascii="Arial" w:eastAsia="SimSun" w:hAnsi="Arial" w:cs="Arial"/>
                <w:b/>
                <w:bCs/>
                <w:color w:val="000000"/>
                <w:lang w:eastAsia="zh-CN"/>
              </w:rPr>
            </w:pPr>
          </w:p>
          <w:p w:rsidR="00F25FC3" w:rsidRPr="00F25FC3" w:rsidRDefault="00F25FC3" w:rsidP="00F25FC3">
            <w:pPr>
              <w:spacing w:after="0" w:line="240" w:lineRule="auto"/>
              <w:ind w:right="-334"/>
              <w:rPr>
                <w:rFonts w:ascii="Arial" w:eastAsia="SimSun" w:hAnsi="Arial" w:cs="Arial"/>
                <w:bCs/>
                <w:color w:val="000000"/>
                <w:lang w:eastAsia="zh-CN"/>
              </w:rPr>
            </w:pPr>
            <w:r w:rsidRPr="00F25FC3">
              <w:rPr>
                <w:rFonts w:ascii="Arial" w:eastAsia="SimSun" w:hAnsi="Arial" w:cs="Arial"/>
                <w:bCs/>
                <w:color w:val="000000"/>
                <w:lang w:eastAsia="zh-CN"/>
              </w:rPr>
              <w:t>Comments:</w:t>
            </w:r>
          </w:p>
          <w:p w:rsidR="00F25FC3" w:rsidRPr="00F25FC3" w:rsidRDefault="00F25FC3" w:rsidP="00F25FC3">
            <w:pPr>
              <w:spacing w:after="0" w:line="240" w:lineRule="auto"/>
              <w:ind w:right="-334"/>
              <w:rPr>
                <w:rFonts w:ascii="Arial" w:eastAsia="SimSun" w:hAnsi="Arial" w:cs="Arial"/>
                <w:bCs/>
                <w:color w:val="000000"/>
                <w:lang w:eastAsia="zh-CN"/>
              </w:rPr>
            </w:pPr>
          </w:p>
          <w:p w:rsidR="00F25FC3" w:rsidRPr="00F25FC3" w:rsidRDefault="00F25FC3" w:rsidP="00F25FC3">
            <w:pPr>
              <w:spacing w:after="0" w:line="240" w:lineRule="auto"/>
              <w:ind w:right="-334"/>
              <w:rPr>
                <w:rFonts w:ascii="Arial" w:eastAsia="SimSun" w:hAnsi="Arial" w:cs="Arial"/>
                <w:bCs/>
                <w:color w:val="000000"/>
                <w:lang w:eastAsia="zh-CN"/>
              </w:rPr>
            </w:pPr>
          </w:p>
          <w:p w:rsidR="00F25FC3" w:rsidRPr="00F25FC3" w:rsidRDefault="00F25FC3" w:rsidP="00F25FC3">
            <w:pPr>
              <w:spacing w:after="0" w:line="240" w:lineRule="auto"/>
              <w:ind w:right="-334"/>
              <w:rPr>
                <w:rFonts w:ascii="Arial" w:eastAsia="SimSun" w:hAnsi="Arial" w:cs="Arial"/>
                <w:bCs/>
                <w:color w:val="000000"/>
                <w:lang w:eastAsia="zh-CN"/>
              </w:rPr>
            </w:pPr>
          </w:p>
        </w:tc>
      </w:tr>
      <w:tr w:rsidR="00F25FC3" w:rsidRPr="00F25FC3" w:rsidTr="00392431">
        <w:trPr>
          <w:trHeight w:val="720"/>
        </w:trPr>
        <w:tc>
          <w:tcPr>
            <w:tcW w:w="5211" w:type="dxa"/>
            <w:gridSpan w:val="2"/>
          </w:tcPr>
          <w:p w:rsidR="00F25FC3" w:rsidRPr="00F25FC3" w:rsidRDefault="00F25FC3" w:rsidP="00F25FC3">
            <w:pPr>
              <w:spacing w:after="0" w:line="240" w:lineRule="auto"/>
              <w:ind w:right="-334"/>
              <w:rPr>
                <w:rFonts w:ascii="Arial" w:eastAsia="SimSun" w:hAnsi="Arial" w:cs="Arial"/>
                <w:bCs/>
                <w:color w:val="000000"/>
                <w:lang w:eastAsia="zh-CN"/>
              </w:rPr>
            </w:pPr>
            <w:r w:rsidRPr="00F25FC3">
              <w:rPr>
                <w:rFonts w:ascii="Arial" w:eastAsia="SimSun" w:hAnsi="Arial" w:cs="Arial"/>
                <w:bCs/>
                <w:color w:val="000000"/>
                <w:lang w:eastAsia="zh-CN"/>
              </w:rPr>
              <w:t>Marker’s Signature:</w:t>
            </w:r>
          </w:p>
        </w:tc>
        <w:tc>
          <w:tcPr>
            <w:tcW w:w="3645" w:type="dxa"/>
            <w:gridSpan w:val="3"/>
          </w:tcPr>
          <w:p w:rsidR="00F25FC3" w:rsidRPr="00F25FC3" w:rsidRDefault="00F25FC3" w:rsidP="00F25FC3">
            <w:pPr>
              <w:spacing w:after="0" w:line="240" w:lineRule="auto"/>
              <w:ind w:right="-334"/>
              <w:rPr>
                <w:rFonts w:ascii="Arial" w:eastAsia="SimSun" w:hAnsi="Arial" w:cs="Arial"/>
                <w:bCs/>
                <w:color w:val="000000"/>
                <w:lang w:eastAsia="zh-CN"/>
              </w:rPr>
            </w:pPr>
            <w:r w:rsidRPr="00F25FC3">
              <w:rPr>
                <w:rFonts w:ascii="Arial" w:eastAsia="SimSun" w:hAnsi="Arial" w:cs="Arial"/>
                <w:bCs/>
                <w:color w:val="000000"/>
                <w:lang w:eastAsia="zh-CN"/>
              </w:rPr>
              <w:t>Date:</w:t>
            </w:r>
          </w:p>
        </w:tc>
      </w:tr>
      <w:tr w:rsidR="00F25FC3" w:rsidRPr="00F25FC3" w:rsidTr="00392431">
        <w:trPr>
          <w:trHeight w:val="720"/>
        </w:trPr>
        <w:tc>
          <w:tcPr>
            <w:tcW w:w="8856" w:type="dxa"/>
            <w:gridSpan w:val="5"/>
          </w:tcPr>
          <w:p w:rsidR="00F25FC3" w:rsidRPr="00F25FC3" w:rsidRDefault="00F25FC3" w:rsidP="00F25FC3">
            <w:pPr>
              <w:spacing w:after="0" w:line="240" w:lineRule="auto"/>
              <w:rPr>
                <w:rFonts w:ascii="Arial" w:eastAsia="SimSun" w:hAnsi="Arial" w:cs="Arial"/>
                <w:b/>
                <w:lang w:eastAsia="zh-CN"/>
              </w:rPr>
            </w:pPr>
            <w:r w:rsidRPr="00F25FC3">
              <w:rPr>
                <w:rFonts w:ascii="Arial" w:eastAsia="SimSun" w:hAnsi="Arial" w:cs="Arial"/>
                <w:b/>
                <w:lang w:eastAsia="zh-CN"/>
              </w:rPr>
              <w:t>External Examiner’s comments (if relevant)</w:t>
            </w:r>
          </w:p>
          <w:p w:rsidR="00F25FC3" w:rsidRPr="00F25FC3" w:rsidRDefault="00F25FC3" w:rsidP="00F25FC3">
            <w:pPr>
              <w:spacing w:after="0" w:line="240" w:lineRule="auto"/>
              <w:ind w:right="-334"/>
              <w:rPr>
                <w:rFonts w:ascii="Arial" w:eastAsia="SimSun" w:hAnsi="Arial" w:cs="Arial"/>
                <w:bCs/>
                <w:color w:val="000000"/>
                <w:lang w:eastAsia="zh-CN"/>
              </w:rPr>
            </w:pPr>
          </w:p>
          <w:p w:rsidR="00F25FC3" w:rsidRPr="00F25FC3" w:rsidRDefault="00F25FC3" w:rsidP="00F25FC3">
            <w:pPr>
              <w:spacing w:after="0" w:line="240" w:lineRule="auto"/>
              <w:ind w:right="-334"/>
              <w:rPr>
                <w:rFonts w:ascii="Arial" w:eastAsia="SimSun" w:hAnsi="Arial" w:cs="Arial"/>
                <w:bCs/>
                <w:color w:val="000000"/>
                <w:lang w:eastAsia="zh-CN"/>
              </w:rPr>
            </w:pPr>
          </w:p>
          <w:p w:rsidR="00F25FC3" w:rsidRPr="00F25FC3" w:rsidRDefault="00F25FC3" w:rsidP="00F25FC3">
            <w:pPr>
              <w:spacing w:after="0" w:line="240" w:lineRule="auto"/>
              <w:ind w:right="-334"/>
              <w:rPr>
                <w:rFonts w:ascii="Arial" w:eastAsia="SimSun" w:hAnsi="Arial" w:cs="Arial"/>
                <w:bCs/>
                <w:color w:val="000000"/>
                <w:lang w:eastAsia="zh-CN"/>
              </w:rPr>
            </w:pPr>
          </w:p>
        </w:tc>
      </w:tr>
      <w:tr w:rsidR="00F25FC3" w:rsidRPr="00F25FC3" w:rsidTr="00392431">
        <w:trPr>
          <w:trHeight w:val="720"/>
        </w:trPr>
        <w:tc>
          <w:tcPr>
            <w:tcW w:w="5211" w:type="dxa"/>
            <w:gridSpan w:val="2"/>
          </w:tcPr>
          <w:p w:rsidR="00F25FC3" w:rsidRPr="00F25FC3" w:rsidRDefault="00F25FC3" w:rsidP="00F25FC3">
            <w:pPr>
              <w:spacing w:after="0" w:line="240" w:lineRule="auto"/>
              <w:rPr>
                <w:rFonts w:ascii="Arial" w:eastAsia="SimSun" w:hAnsi="Arial" w:cs="Arial"/>
                <w:lang w:eastAsia="zh-CN"/>
              </w:rPr>
            </w:pPr>
            <w:r w:rsidRPr="00F25FC3">
              <w:rPr>
                <w:rFonts w:ascii="Arial" w:eastAsia="SimSun" w:hAnsi="Arial" w:cs="Arial"/>
                <w:lang w:eastAsia="zh-CN"/>
              </w:rPr>
              <w:t>External Examiner’s Signature:</w:t>
            </w:r>
          </w:p>
        </w:tc>
        <w:tc>
          <w:tcPr>
            <w:tcW w:w="3645" w:type="dxa"/>
            <w:gridSpan w:val="3"/>
          </w:tcPr>
          <w:p w:rsidR="00F25FC3" w:rsidRPr="00F25FC3" w:rsidRDefault="00F25FC3" w:rsidP="00F25FC3">
            <w:pPr>
              <w:spacing w:after="0" w:line="240" w:lineRule="auto"/>
              <w:rPr>
                <w:rFonts w:ascii="Arial" w:eastAsia="SimSun" w:hAnsi="Arial" w:cs="Arial"/>
                <w:lang w:eastAsia="zh-CN"/>
              </w:rPr>
            </w:pPr>
            <w:r w:rsidRPr="00F25FC3">
              <w:rPr>
                <w:rFonts w:ascii="Arial" w:eastAsia="SimSun" w:hAnsi="Arial" w:cs="Arial"/>
                <w:lang w:eastAsia="zh-CN"/>
              </w:rPr>
              <w:t>Date:</w:t>
            </w:r>
          </w:p>
        </w:tc>
      </w:tr>
    </w:tbl>
    <w:p w:rsidR="00F25FC3" w:rsidRPr="00F25FC3" w:rsidRDefault="00F25FC3" w:rsidP="00F25FC3">
      <w:pPr>
        <w:spacing w:after="0" w:line="240" w:lineRule="auto"/>
        <w:ind w:right="-334"/>
        <w:rPr>
          <w:rFonts w:ascii="Trebuchet MS" w:eastAsia="SimSun" w:hAnsi="Trebuchet MS" w:cs="Tahoma"/>
          <w:bCs/>
          <w:color w:val="000000"/>
          <w:sz w:val="24"/>
          <w:szCs w:val="24"/>
          <w:lang w:eastAsia="zh-CN"/>
        </w:rPr>
      </w:pPr>
    </w:p>
    <w:p w:rsidR="00F25FC3" w:rsidRDefault="00F25FC3">
      <w:pPr>
        <w:rPr>
          <w:rFonts w:ascii="Times New Roman" w:hAnsi="Times New Roman" w:cs="Times New Roman"/>
          <w:b/>
        </w:rPr>
      </w:pPr>
      <w:r>
        <w:rPr>
          <w:rFonts w:ascii="Times New Roman" w:hAnsi="Times New Roman" w:cs="Times New Roman"/>
          <w:b/>
        </w:rPr>
        <w:br w:type="page"/>
      </w:r>
    </w:p>
    <w:p w:rsidR="00DD6DC5" w:rsidRPr="0014366B" w:rsidRDefault="00DD6DC5" w:rsidP="00DD6DC5">
      <w:pPr>
        <w:spacing w:after="360" w:line="240" w:lineRule="auto"/>
        <w:jc w:val="center"/>
        <w:rPr>
          <w:rFonts w:ascii="Times New Roman" w:hAnsi="Times New Roman" w:cs="Times New Roman"/>
          <w:b/>
        </w:rPr>
      </w:pPr>
      <w:r w:rsidRPr="0014366B">
        <w:rPr>
          <w:rFonts w:ascii="Times New Roman" w:hAnsi="Times New Roman" w:cs="Times New Roman"/>
          <w:b/>
        </w:rPr>
        <w:lastRenderedPageBreak/>
        <w:t>Would you agree that the women of the Mabinogi are the most interesting characters in the Four Branches?</w:t>
      </w:r>
    </w:p>
    <w:p w:rsidR="002773CA" w:rsidRDefault="009E5AA1" w:rsidP="009E5AA1">
      <w:pPr>
        <w:spacing w:line="480" w:lineRule="auto"/>
        <w:rPr>
          <w:rFonts w:ascii="Times New Roman" w:hAnsi="Times New Roman" w:cs="Times New Roman"/>
          <w:sz w:val="24"/>
          <w:szCs w:val="24"/>
        </w:rPr>
      </w:pPr>
      <w:r w:rsidRPr="009E5AA1">
        <w:rPr>
          <w:rFonts w:ascii="Times New Roman" w:hAnsi="Times New Roman" w:cs="Times New Roman"/>
          <w:sz w:val="24"/>
          <w:szCs w:val="24"/>
        </w:rPr>
        <w:t>Of the 65 to 69 personal names that appear in the Four Branches of the Mabinogi, onl</w:t>
      </w:r>
      <w:r>
        <w:rPr>
          <w:rFonts w:ascii="Times New Roman" w:hAnsi="Times New Roman" w:cs="Times New Roman"/>
          <w:sz w:val="24"/>
          <w:szCs w:val="24"/>
        </w:rPr>
        <w:t>y 8 belong to female characters,</w:t>
      </w:r>
      <w:r w:rsidR="00B56D7B">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and yet many scholars from Mac Cana to Hemming and Valente agree that the most memorable and interesting characters to appear in the Four Branches, are the wome</w:t>
      </w:r>
      <w:r w:rsidR="00CF421D">
        <w:rPr>
          <w:rFonts w:ascii="Times New Roman" w:hAnsi="Times New Roman" w:cs="Times New Roman"/>
          <w:sz w:val="24"/>
          <w:szCs w:val="24"/>
        </w:rPr>
        <w:t>n.</w:t>
      </w:r>
      <w:r w:rsidR="00B56D7B">
        <w:rPr>
          <w:rStyle w:val="FootnoteReference"/>
          <w:rFonts w:ascii="Times New Roman" w:hAnsi="Times New Roman" w:cs="Times New Roman"/>
          <w:sz w:val="24"/>
          <w:szCs w:val="24"/>
        </w:rPr>
        <w:footnoteReference w:id="2"/>
      </w:r>
      <w:r w:rsidR="00CF421D">
        <w:rPr>
          <w:rFonts w:ascii="Times New Roman" w:hAnsi="Times New Roman" w:cs="Times New Roman"/>
          <w:sz w:val="24"/>
          <w:szCs w:val="24"/>
        </w:rPr>
        <w:t xml:space="preserve"> To properly assess the validity of such an opinion, an examination of the characterisation of some of the key male and female figures that appear in the tales must be undertaken.</w:t>
      </w:r>
    </w:p>
    <w:p w:rsidR="002F1952" w:rsidRDefault="002F1952" w:rsidP="00201881">
      <w:pPr>
        <w:tabs>
          <w:tab w:val="left" w:pos="224"/>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Four Branches are known and lauded for many reasons, not least of which is its </w:t>
      </w:r>
      <w:r w:rsidR="00A13909">
        <w:rPr>
          <w:rFonts w:ascii="Times New Roman" w:hAnsi="Times New Roman" w:cs="Times New Roman"/>
          <w:sz w:val="24"/>
          <w:szCs w:val="24"/>
        </w:rPr>
        <w:t>inclusion</w:t>
      </w:r>
      <w:r>
        <w:rPr>
          <w:rFonts w:ascii="Times New Roman" w:hAnsi="Times New Roman" w:cs="Times New Roman"/>
          <w:sz w:val="24"/>
          <w:szCs w:val="24"/>
        </w:rPr>
        <w:t xml:space="preserve"> of </w:t>
      </w:r>
      <w:r w:rsidR="00A13909">
        <w:rPr>
          <w:rFonts w:ascii="Times New Roman" w:hAnsi="Times New Roman" w:cs="Times New Roman"/>
          <w:sz w:val="24"/>
          <w:szCs w:val="24"/>
        </w:rPr>
        <w:t>a dynamic and distinct cast of characters</w:t>
      </w:r>
      <w:r>
        <w:rPr>
          <w:rFonts w:ascii="Times New Roman" w:hAnsi="Times New Roman" w:cs="Times New Roman"/>
          <w:sz w:val="24"/>
          <w:szCs w:val="24"/>
        </w:rPr>
        <w:t>. In comparison to the stock characters of folk tales, the characters in the Mabinogi are each given a unique voice. The author often uses dialogue as a narrative device</w:t>
      </w:r>
      <w:r w:rsidR="00292A56">
        <w:rPr>
          <w:rFonts w:ascii="Times New Roman" w:hAnsi="Times New Roman" w:cs="Times New Roman"/>
          <w:sz w:val="24"/>
          <w:szCs w:val="24"/>
        </w:rPr>
        <w:t>;</w:t>
      </w:r>
      <w:r w:rsidR="00B56D7B">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but it also serves as a tool for characterisation</w:t>
      </w:r>
      <w:r w:rsidR="00292A56">
        <w:rPr>
          <w:rFonts w:ascii="Times New Roman" w:hAnsi="Times New Roman" w:cs="Times New Roman"/>
          <w:sz w:val="24"/>
          <w:szCs w:val="24"/>
        </w:rPr>
        <w:t>,</w:t>
      </w:r>
      <w:r>
        <w:rPr>
          <w:rFonts w:ascii="Times New Roman" w:hAnsi="Times New Roman" w:cs="Times New Roman"/>
          <w:sz w:val="24"/>
          <w:szCs w:val="24"/>
        </w:rPr>
        <w:t xml:space="preserve"> with each piece of dialogue distinct enough in its style and delivery </w:t>
      </w:r>
      <w:r w:rsidR="00292A56">
        <w:rPr>
          <w:rFonts w:ascii="Times New Roman" w:hAnsi="Times New Roman" w:cs="Times New Roman"/>
          <w:sz w:val="24"/>
          <w:szCs w:val="24"/>
        </w:rPr>
        <w:t>that the reader is able to quickly and easily understand who is speaking, even without the aid of speech markers.</w:t>
      </w:r>
      <w:r w:rsidR="00B56D7B">
        <w:rPr>
          <w:rStyle w:val="FootnoteReference"/>
          <w:rFonts w:ascii="Times New Roman" w:hAnsi="Times New Roman" w:cs="Times New Roman"/>
          <w:sz w:val="24"/>
          <w:szCs w:val="24"/>
        </w:rPr>
        <w:footnoteReference w:id="4"/>
      </w:r>
      <w:r w:rsidR="00292A56">
        <w:rPr>
          <w:rFonts w:ascii="Times New Roman" w:hAnsi="Times New Roman" w:cs="Times New Roman"/>
          <w:sz w:val="24"/>
          <w:szCs w:val="24"/>
        </w:rPr>
        <w:t xml:space="preserve"> </w:t>
      </w:r>
      <w:r w:rsidR="00101460">
        <w:rPr>
          <w:rFonts w:ascii="Times New Roman" w:hAnsi="Times New Roman" w:cs="Times New Roman"/>
          <w:sz w:val="24"/>
          <w:szCs w:val="24"/>
        </w:rPr>
        <w:t>The content of the dialogue itself also gives us an insight into the perception each character has of those around them, as well as of themselves and their own role within the story.</w:t>
      </w:r>
      <w:r w:rsidR="00B56D7B">
        <w:rPr>
          <w:rStyle w:val="FootnoteReference"/>
          <w:rFonts w:ascii="Times New Roman" w:hAnsi="Times New Roman" w:cs="Times New Roman"/>
          <w:sz w:val="24"/>
          <w:szCs w:val="24"/>
        </w:rPr>
        <w:footnoteReference w:id="5"/>
      </w:r>
      <w:r w:rsidR="00101460">
        <w:rPr>
          <w:rFonts w:ascii="Times New Roman" w:hAnsi="Times New Roman" w:cs="Times New Roman"/>
          <w:sz w:val="24"/>
          <w:szCs w:val="24"/>
        </w:rPr>
        <w:t xml:space="preserve"> Dialogue however is only one of the four techn</w:t>
      </w:r>
      <w:r w:rsidR="00A13909">
        <w:rPr>
          <w:rFonts w:ascii="Times New Roman" w:hAnsi="Times New Roman" w:cs="Times New Roman"/>
          <w:sz w:val="24"/>
          <w:szCs w:val="24"/>
        </w:rPr>
        <w:t>iques identified by Byfield which</w:t>
      </w:r>
      <w:r w:rsidR="00101460">
        <w:rPr>
          <w:rFonts w:ascii="Times New Roman" w:hAnsi="Times New Roman" w:cs="Times New Roman"/>
          <w:sz w:val="24"/>
          <w:szCs w:val="24"/>
        </w:rPr>
        <w:t xml:space="preserve"> the author of the Four Branches uses to establish character. The others include the interplay of characters such as how they interact and what assumptions they make of one another; the actions of the characters themselves and what that tells us of their motivation and individual roles, and finally the </w:t>
      </w:r>
      <w:r w:rsidR="00101460">
        <w:rPr>
          <w:rFonts w:ascii="Times New Roman" w:hAnsi="Times New Roman" w:cs="Times New Roman"/>
          <w:sz w:val="24"/>
          <w:szCs w:val="24"/>
        </w:rPr>
        <w:lastRenderedPageBreak/>
        <w:t>authorial presence or voice which informs us of events that no character within the story could possibly know.</w:t>
      </w:r>
      <w:r w:rsidR="00B56D7B">
        <w:rPr>
          <w:rStyle w:val="FootnoteReference"/>
          <w:rFonts w:ascii="Times New Roman" w:hAnsi="Times New Roman" w:cs="Times New Roman"/>
          <w:sz w:val="24"/>
          <w:szCs w:val="24"/>
        </w:rPr>
        <w:footnoteReference w:id="6"/>
      </w:r>
    </w:p>
    <w:p w:rsidR="00101460" w:rsidRDefault="00BF7230" w:rsidP="009E5AA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figure of Rhiannon is one of, if not the most famous character in all of the Four Branches and it is little wonder why when we consider that she is also one of the most interesting. Her personality shines through from her very first line of dialogue </w:t>
      </w:r>
      <w:r w:rsidR="005C6ABF">
        <w:rPr>
          <w:rFonts w:ascii="Times New Roman" w:hAnsi="Times New Roman" w:cs="Times New Roman"/>
          <w:sz w:val="24"/>
          <w:szCs w:val="24"/>
        </w:rPr>
        <w:t>– ‘I will wait gladly, and it would have been better for the horse if you had asked that a while ago!’</w:t>
      </w:r>
      <w:r w:rsidR="005C6ABF">
        <w:rPr>
          <w:rStyle w:val="FootnoteReference"/>
          <w:rFonts w:ascii="Times New Roman" w:hAnsi="Times New Roman" w:cs="Times New Roman"/>
          <w:sz w:val="24"/>
          <w:szCs w:val="24"/>
        </w:rPr>
        <w:footnoteReference w:id="7"/>
      </w:r>
      <w:r w:rsidR="005C6ABF">
        <w:rPr>
          <w:rFonts w:ascii="Times New Roman" w:hAnsi="Times New Roman" w:cs="Times New Roman"/>
          <w:sz w:val="24"/>
          <w:szCs w:val="24"/>
        </w:rPr>
        <w:t xml:space="preserve"> – And</w:t>
      </w:r>
      <w:r>
        <w:rPr>
          <w:rFonts w:ascii="Times New Roman" w:hAnsi="Times New Roman" w:cs="Times New Roman"/>
          <w:sz w:val="24"/>
          <w:szCs w:val="24"/>
        </w:rPr>
        <w:t xml:space="preserve"> throughout the following conversation we are able to witness her wit, intelligence, and sense of humour.</w:t>
      </w:r>
      <w:r w:rsidR="0045315B">
        <w:rPr>
          <w:rFonts w:ascii="Times New Roman" w:hAnsi="Times New Roman" w:cs="Times New Roman"/>
          <w:sz w:val="24"/>
          <w:szCs w:val="24"/>
        </w:rPr>
        <w:t xml:space="preserve"> </w:t>
      </w:r>
      <w:r w:rsidR="00BA14C4">
        <w:rPr>
          <w:rFonts w:ascii="Times New Roman" w:hAnsi="Times New Roman" w:cs="Times New Roman"/>
          <w:sz w:val="24"/>
          <w:szCs w:val="24"/>
        </w:rPr>
        <w:t xml:space="preserve">According to Ford, Rhiannon represents the </w:t>
      </w:r>
      <w:r w:rsidR="00BA14C4" w:rsidRPr="00BA14C4">
        <w:rPr>
          <w:rFonts w:ascii="Times New Roman" w:hAnsi="Times New Roman" w:cs="Times New Roman"/>
          <w:sz w:val="24"/>
          <w:szCs w:val="24"/>
        </w:rPr>
        <w:t xml:space="preserve">idealised woman of Celtic culture, </w:t>
      </w:r>
      <w:r w:rsidR="00BA14C4">
        <w:rPr>
          <w:rFonts w:ascii="Times New Roman" w:hAnsi="Times New Roman" w:cs="Times New Roman"/>
          <w:sz w:val="24"/>
          <w:szCs w:val="24"/>
        </w:rPr>
        <w:t>a parallel to characters like Medb and Macha in</w:t>
      </w:r>
      <w:r w:rsidR="00BA14C4" w:rsidRPr="00BA14C4">
        <w:rPr>
          <w:rFonts w:ascii="Times New Roman" w:hAnsi="Times New Roman" w:cs="Times New Roman"/>
          <w:sz w:val="24"/>
          <w:szCs w:val="24"/>
        </w:rPr>
        <w:t xml:space="preserve"> Irish literature.</w:t>
      </w:r>
      <w:r w:rsidR="005C6ABF">
        <w:rPr>
          <w:rStyle w:val="FootnoteReference"/>
          <w:rFonts w:ascii="Times New Roman" w:hAnsi="Times New Roman" w:cs="Times New Roman"/>
          <w:sz w:val="24"/>
          <w:szCs w:val="24"/>
        </w:rPr>
        <w:footnoteReference w:id="8"/>
      </w:r>
      <w:r w:rsidR="00134CF7">
        <w:rPr>
          <w:rFonts w:ascii="Times New Roman" w:hAnsi="Times New Roman" w:cs="Times New Roman"/>
          <w:sz w:val="24"/>
          <w:szCs w:val="24"/>
        </w:rPr>
        <w:t xml:space="preserve"> Certainly Rhiannon demonstrates several virtues that were held in high esteem for Welsh noblewomen</w:t>
      </w:r>
      <w:r w:rsidR="0023435B">
        <w:rPr>
          <w:rFonts w:ascii="Times New Roman" w:hAnsi="Times New Roman" w:cs="Times New Roman"/>
          <w:sz w:val="24"/>
          <w:szCs w:val="24"/>
        </w:rPr>
        <w:t>, such as fine speech and great beauty,</w:t>
      </w:r>
      <w:r w:rsidR="005C6ABF">
        <w:rPr>
          <w:rStyle w:val="FootnoteReference"/>
          <w:rFonts w:ascii="Times New Roman" w:hAnsi="Times New Roman" w:cs="Times New Roman"/>
          <w:sz w:val="24"/>
          <w:szCs w:val="24"/>
        </w:rPr>
        <w:footnoteReference w:id="9"/>
      </w:r>
      <w:r w:rsidR="0023435B">
        <w:rPr>
          <w:rFonts w:ascii="Times New Roman" w:hAnsi="Times New Roman" w:cs="Times New Roman"/>
          <w:sz w:val="24"/>
          <w:szCs w:val="24"/>
        </w:rPr>
        <w:t xml:space="preserve"> but as Winward points out there are several instances when she performs actions that challenge the strict gender definitions of the patriarchal society in which she lives.</w:t>
      </w:r>
      <w:r w:rsidR="005C6ABF">
        <w:rPr>
          <w:rStyle w:val="FootnoteReference"/>
          <w:rFonts w:ascii="Times New Roman" w:hAnsi="Times New Roman" w:cs="Times New Roman"/>
          <w:sz w:val="24"/>
          <w:szCs w:val="24"/>
        </w:rPr>
        <w:footnoteReference w:id="10"/>
      </w:r>
      <w:r w:rsidR="0023435B">
        <w:rPr>
          <w:rFonts w:ascii="Times New Roman" w:hAnsi="Times New Roman" w:cs="Times New Roman"/>
          <w:sz w:val="24"/>
          <w:szCs w:val="24"/>
        </w:rPr>
        <w:t xml:space="preserve"> Twice we see Rhiannon take part in activities that are otherwise only </w:t>
      </w:r>
      <w:r w:rsidR="00FE68AD">
        <w:rPr>
          <w:rFonts w:ascii="Times New Roman" w:hAnsi="Times New Roman" w:cs="Times New Roman"/>
          <w:sz w:val="24"/>
          <w:szCs w:val="24"/>
        </w:rPr>
        <w:t>performed</w:t>
      </w:r>
      <w:r w:rsidR="0023435B">
        <w:rPr>
          <w:rFonts w:ascii="Times New Roman" w:hAnsi="Times New Roman" w:cs="Times New Roman"/>
          <w:sz w:val="24"/>
          <w:szCs w:val="24"/>
        </w:rPr>
        <w:t xml:space="preserve"> by men</w:t>
      </w:r>
      <w:r w:rsidR="00FE68AD">
        <w:rPr>
          <w:rFonts w:ascii="Times New Roman" w:hAnsi="Times New Roman" w:cs="Times New Roman"/>
          <w:sz w:val="24"/>
          <w:szCs w:val="24"/>
        </w:rPr>
        <w:t xml:space="preserve">, first when she is introduced on horseback, and later when she joins in with the hunting expedition in the third branch. The most striking way in which the character of Rhiannon challenges gender norms however is her great physical strength, a stereotypically masculine trait that is generally ascribed only to female monsters, hags, and giants such as </w:t>
      </w:r>
      <w:r w:rsidR="00FE68AD" w:rsidRPr="00FE68AD">
        <w:rPr>
          <w:rFonts w:ascii="Times New Roman" w:hAnsi="Times New Roman" w:cs="Times New Roman"/>
          <w:sz w:val="24"/>
          <w:szCs w:val="24"/>
        </w:rPr>
        <w:t>Cymidei Cymeinfoll</w:t>
      </w:r>
      <w:r w:rsidR="00FE68AD">
        <w:rPr>
          <w:rFonts w:ascii="Times New Roman" w:hAnsi="Times New Roman" w:cs="Times New Roman"/>
          <w:sz w:val="24"/>
          <w:szCs w:val="24"/>
        </w:rPr>
        <w:t xml:space="preserve"> in the Branwen branch.</w:t>
      </w:r>
      <w:r w:rsidR="005C6ABF">
        <w:rPr>
          <w:rStyle w:val="FootnoteReference"/>
          <w:rFonts w:ascii="Times New Roman" w:hAnsi="Times New Roman" w:cs="Times New Roman"/>
          <w:sz w:val="24"/>
          <w:szCs w:val="24"/>
        </w:rPr>
        <w:footnoteReference w:id="11"/>
      </w:r>
    </w:p>
    <w:p w:rsidR="00061E3D" w:rsidRDefault="00061E3D" w:rsidP="009E5AA1">
      <w:pPr>
        <w:spacing w:line="480" w:lineRule="auto"/>
        <w:rPr>
          <w:rFonts w:ascii="Times New Roman" w:hAnsi="Times New Roman" w:cs="Times New Roman"/>
          <w:sz w:val="24"/>
          <w:szCs w:val="24"/>
        </w:rPr>
      </w:pPr>
      <w:r>
        <w:rPr>
          <w:rFonts w:ascii="Times New Roman" w:hAnsi="Times New Roman" w:cs="Times New Roman"/>
          <w:sz w:val="24"/>
          <w:szCs w:val="24"/>
        </w:rPr>
        <w:t xml:space="preserve">Of course this physical strength may be attributed to her potentially mythic origins. The characters association with horses has led to scholars like Ford and Davies to equate her with </w:t>
      </w:r>
      <w:r>
        <w:rPr>
          <w:rFonts w:ascii="Times New Roman" w:hAnsi="Times New Roman" w:cs="Times New Roman"/>
          <w:sz w:val="24"/>
          <w:szCs w:val="24"/>
        </w:rPr>
        <w:lastRenderedPageBreak/>
        <w:t>the divine horse goddess Epona,</w:t>
      </w:r>
      <w:r w:rsidR="005C6ABF">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and at the very least the motif of the mound and the colour and pace of the horse in her introduction links Rhiannon closely to the Otherworld.</w:t>
      </w:r>
      <w:r w:rsidR="005C6ABF">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w:t>
      </w:r>
      <w:r w:rsidR="00B65825">
        <w:rPr>
          <w:rFonts w:ascii="Times New Roman" w:hAnsi="Times New Roman" w:cs="Times New Roman"/>
          <w:sz w:val="24"/>
          <w:szCs w:val="24"/>
        </w:rPr>
        <w:t>Such mysterious and Otherworldly origins suggest that Rhiannon possesses a significant amount of power, especially when we consider the other characters who stem from similar backgrounds such as Math in the Fourth Branch</w:t>
      </w:r>
      <w:r w:rsidR="00563B3D">
        <w:rPr>
          <w:rFonts w:ascii="Times New Roman" w:hAnsi="Times New Roman" w:cs="Times New Roman"/>
          <w:sz w:val="24"/>
          <w:szCs w:val="24"/>
        </w:rPr>
        <w:t xml:space="preserve">. </w:t>
      </w:r>
    </w:p>
    <w:p w:rsidR="001745F0" w:rsidRDefault="00563B3D" w:rsidP="009E5AA1">
      <w:pPr>
        <w:spacing w:line="480" w:lineRule="auto"/>
        <w:rPr>
          <w:rFonts w:ascii="Times New Roman" w:hAnsi="Times New Roman" w:cs="Times New Roman"/>
          <w:sz w:val="24"/>
          <w:szCs w:val="24"/>
        </w:rPr>
      </w:pPr>
      <w:r>
        <w:rPr>
          <w:rFonts w:ascii="Times New Roman" w:hAnsi="Times New Roman" w:cs="Times New Roman"/>
          <w:sz w:val="24"/>
          <w:szCs w:val="24"/>
        </w:rPr>
        <w:t>Math’s mysterious origins certainly add intrigue to his character. One interpretation of his name according to Hemming translates to goodness or fortune which is suggestive of the Good God Dagda, which would in turn mean his sister Dôn is a parallel to th</w:t>
      </w:r>
      <w:r w:rsidR="00021A4B">
        <w:rPr>
          <w:rFonts w:ascii="Times New Roman" w:hAnsi="Times New Roman" w:cs="Times New Roman"/>
          <w:sz w:val="24"/>
          <w:szCs w:val="24"/>
        </w:rPr>
        <w:t>e mother goddess Danu, the two key deities of Irish mythology.</w:t>
      </w:r>
      <w:r w:rsidR="005C6ABF">
        <w:rPr>
          <w:rStyle w:val="FootnoteReference"/>
          <w:rFonts w:ascii="Times New Roman" w:hAnsi="Times New Roman" w:cs="Times New Roman"/>
          <w:sz w:val="24"/>
          <w:szCs w:val="24"/>
        </w:rPr>
        <w:footnoteReference w:id="14"/>
      </w:r>
      <w:r w:rsidR="00021A4B">
        <w:rPr>
          <w:rFonts w:ascii="Times New Roman" w:hAnsi="Times New Roman" w:cs="Times New Roman"/>
          <w:sz w:val="24"/>
          <w:szCs w:val="24"/>
        </w:rPr>
        <w:t xml:space="preserve"> At the very least his great magical skill places him in the realm of the supernatural, and the strange requirement for a virgin foot</w:t>
      </w:r>
      <w:r w:rsidR="0060178D">
        <w:rPr>
          <w:rFonts w:ascii="Times New Roman" w:hAnsi="Times New Roman" w:cs="Times New Roman"/>
          <w:sz w:val="24"/>
          <w:szCs w:val="24"/>
        </w:rPr>
        <w:t xml:space="preserve"> </w:t>
      </w:r>
      <w:r w:rsidR="00021A4B">
        <w:rPr>
          <w:rFonts w:ascii="Times New Roman" w:hAnsi="Times New Roman" w:cs="Times New Roman"/>
          <w:sz w:val="24"/>
          <w:szCs w:val="24"/>
        </w:rPr>
        <w:t>holder can either be taken as a hint to his mystical origins or a symbolic nod to the idea that the welfare of the king is intrinsically linked to the welfare of the country.</w:t>
      </w:r>
      <w:r w:rsidR="005C6ABF">
        <w:rPr>
          <w:rStyle w:val="FootnoteReference"/>
          <w:rFonts w:ascii="Times New Roman" w:hAnsi="Times New Roman" w:cs="Times New Roman"/>
          <w:sz w:val="24"/>
          <w:szCs w:val="24"/>
        </w:rPr>
        <w:footnoteReference w:id="15"/>
      </w:r>
      <w:r w:rsidR="0069268F">
        <w:rPr>
          <w:rFonts w:ascii="Times New Roman" w:hAnsi="Times New Roman" w:cs="Times New Roman"/>
          <w:sz w:val="24"/>
          <w:szCs w:val="24"/>
        </w:rPr>
        <w:t xml:space="preserve"> Despite his unusual hindrances, Math is perhaps the most powerful character in all of the Four Branches, but power alone does </w:t>
      </w:r>
      <w:r w:rsidR="001745F0">
        <w:rPr>
          <w:rFonts w:ascii="Times New Roman" w:hAnsi="Times New Roman" w:cs="Times New Roman"/>
          <w:sz w:val="24"/>
          <w:szCs w:val="24"/>
        </w:rPr>
        <w:t>not make a character interesting. Rather it is how they use that power that adds interest, and it is here that Rhiannon truly comes to the fore.</w:t>
      </w:r>
    </w:p>
    <w:p w:rsidR="00563B3D" w:rsidRDefault="001745F0" w:rsidP="009E5AA1">
      <w:pPr>
        <w:spacing w:line="480" w:lineRule="auto"/>
        <w:rPr>
          <w:rFonts w:ascii="Times New Roman" w:hAnsi="Times New Roman" w:cs="Times New Roman"/>
          <w:sz w:val="24"/>
          <w:szCs w:val="24"/>
        </w:rPr>
      </w:pPr>
      <w:r>
        <w:rPr>
          <w:rFonts w:ascii="Times New Roman" w:hAnsi="Times New Roman" w:cs="Times New Roman"/>
          <w:sz w:val="24"/>
          <w:szCs w:val="24"/>
        </w:rPr>
        <w:t>Math’s power is based primarily on the same two qualities that all the central male characters of the Four Branches possess, authority and physical force, although in Math’s case the latter presents in terms of his magic rather than the more common skill of fighting such as in the case of Pwyll or Bendigeidfran. Rhiannon’s power on the other hand is far more subtle but equally effective, for it is based on her skill of manipulation.</w:t>
      </w:r>
      <w:r w:rsidR="0069268F">
        <w:rPr>
          <w:rFonts w:ascii="Times New Roman" w:hAnsi="Times New Roman" w:cs="Times New Roman"/>
          <w:sz w:val="24"/>
          <w:szCs w:val="24"/>
        </w:rPr>
        <w:t xml:space="preserve"> </w:t>
      </w:r>
      <w:r w:rsidR="00610706">
        <w:rPr>
          <w:rFonts w:ascii="Times New Roman" w:hAnsi="Times New Roman" w:cs="Times New Roman"/>
          <w:sz w:val="24"/>
          <w:szCs w:val="24"/>
        </w:rPr>
        <w:t xml:space="preserve">Time and again we witness how </w:t>
      </w:r>
      <w:r w:rsidR="00610706">
        <w:rPr>
          <w:rFonts w:ascii="Times New Roman" w:hAnsi="Times New Roman" w:cs="Times New Roman"/>
          <w:sz w:val="24"/>
          <w:szCs w:val="24"/>
        </w:rPr>
        <w:lastRenderedPageBreak/>
        <w:t>Rhiannon uses her speech to manipulate the men around her, particularly her first husband Pwyll.</w:t>
      </w:r>
      <w:r w:rsidR="005C6ABF">
        <w:rPr>
          <w:rStyle w:val="FootnoteReference"/>
          <w:rFonts w:ascii="Times New Roman" w:hAnsi="Times New Roman" w:cs="Times New Roman"/>
          <w:sz w:val="24"/>
          <w:szCs w:val="24"/>
        </w:rPr>
        <w:footnoteReference w:id="16"/>
      </w:r>
    </w:p>
    <w:p w:rsidR="00EA499A" w:rsidRDefault="005A51AA" w:rsidP="009E5AA1">
      <w:pPr>
        <w:spacing w:line="480" w:lineRule="auto"/>
        <w:rPr>
          <w:rFonts w:ascii="Times New Roman" w:hAnsi="Times New Roman" w:cs="Times New Roman"/>
          <w:sz w:val="24"/>
          <w:szCs w:val="24"/>
        </w:rPr>
      </w:pPr>
      <w:r>
        <w:rPr>
          <w:rFonts w:ascii="Times New Roman" w:hAnsi="Times New Roman" w:cs="Times New Roman"/>
          <w:sz w:val="24"/>
          <w:szCs w:val="24"/>
        </w:rPr>
        <w:t>In their first meeting for instance, Rhiannon repeatedly addresses Pwyll as ‘</w:t>
      </w:r>
      <w:r w:rsidRPr="005A51AA">
        <w:rPr>
          <w:rFonts w:ascii="Times New Roman" w:hAnsi="Times New Roman" w:cs="Times New Roman"/>
          <w:i/>
          <w:sz w:val="24"/>
          <w:szCs w:val="24"/>
        </w:rPr>
        <w:t>arglwyd</w:t>
      </w:r>
      <w:r>
        <w:rPr>
          <w:rFonts w:ascii="Times New Roman" w:hAnsi="Times New Roman" w:cs="Times New Roman"/>
          <w:i/>
          <w:sz w:val="24"/>
          <w:szCs w:val="24"/>
        </w:rPr>
        <w:t xml:space="preserve"> </w:t>
      </w:r>
      <w:r>
        <w:rPr>
          <w:rFonts w:ascii="Times New Roman" w:hAnsi="Times New Roman" w:cs="Times New Roman"/>
          <w:sz w:val="24"/>
          <w:szCs w:val="24"/>
        </w:rPr>
        <w:t>(lord)’, a term she does not use again until after they are married suggesting this</w:t>
      </w:r>
      <w:r w:rsidR="007B4277">
        <w:rPr>
          <w:rFonts w:ascii="Times New Roman" w:hAnsi="Times New Roman" w:cs="Times New Roman"/>
          <w:sz w:val="24"/>
          <w:szCs w:val="24"/>
        </w:rPr>
        <w:t xml:space="preserve"> was a part of her manipulation</w:t>
      </w:r>
      <w:r w:rsidR="004B0FD5">
        <w:rPr>
          <w:rFonts w:ascii="Times New Roman" w:hAnsi="Times New Roman" w:cs="Times New Roman"/>
          <w:sz w:val="24"/>
          <w:szCs w:val="24"/>
        </w:rPr>
        <w:t>.</w:t>
      </w:r>
      <w:r w:rsidR="005C6ABF">
        <w:rPr>
          <w:rStyle w:val="FootnoteReference"/>
          <w:rFonts w:ascii="Times New Roman" w:hAnsi="Times New Roman" w:cs="Times New Roman"/>
          <w:sz w:val="24"/>
          <w:szCs w:val="24"/>
        </w:rPr>
        <w:footnoteReference w:id="17"/>
      </w:r>
      <w:r w:rsidR="004B0FD5">
        <w:rPr>
          <w:rFonts w:ascii="Times New Roman" w:hAnsi="Times New Roman" w:cs="Times New Roman"/>
          <w:sz w:val="24"/>
          <w:szCs w:val="24"/>
        </w:rPr>
        <w:t xml:space="preserve"> Her skilful use of terms of address comes up again in the confrontation with Gwawl who she refers to as ‘champion’, thereby consciously ensuring that he</w:t>
      </w:r>
      <w:r w:rsidR="004B0FD5" w:rsidRPr="004B0FD5">
        <w:rPr>
          <w:rFonts w:ascii="Times New Roman" w:hAnsi="Times New Roman" w:cs="Times New Roman"/>
          <w:sz w:val="24"/>
          <w:szCs w:val="24"/>
        </w:rPr>
        <w:t xml:space="preserve"> gets up and falls for the badger in a bag trick</w:t>
      </w:r>
      <w:r w:rsidR="004B0FD5">
        <w:rPr>
          <w:rFonts w:ascii="Times New Roman" w:hAnsi="Times New Roman" w:cs="Times New Roman"/>
          <w:sz w:val="24"/>
          <w:szCs w:val="24"/>
        </w:rPr>
        <w:t>, or else suffer the blow to his honour</w:t>
      </w:r>
      <w:r w:rsidR="004B0FD5" w:rsidRPr="004B0FD5">
        <w:rPr>
          <w:rFonts w:ascii="Times New Roman" w:hAnsi="Times New Roman" w:cs="Times New Roman"/>
          <w:sz w:val="24"/>
          <w:szCs w:val="24"/>
        </w:rPr>
        <w:t>.</w:t>
      </w:r>
      <w:r w:rsidR="005C6ABF">
        <w:rPr>
          <w:rStyle w:val="FootnoteReference"/>
          <w:rFonts w:ascii="Times New Roman" w:hAnsi="Times New Roman" w:cs="Times New Roman"/>
          <w:sz w:val="24"/>
          <w:szCs w:val="24"/>
        </w:rPr>
        <w:footnoteReference w:id="18"/>
      </w:r>
      <w:r w:rsidR="007B4277">
        <w:rPr>
          <w:rFonts w:ascii="Times New Roman" w:hAnsi="Times New Roman" w:cs="Times New Roman"/>
          <w:sz w:val="24"/>
          <w:szCs w:val="24"/>
        </w:rPr>
        <w:t xml:space="preserve"> It is also notable when Rhiannon chooses to remain silent, for even in her absence of speech Rhiannon remains in command of the situation as we can see on two separate occasions. </w:t>
      </w:r>
    </w:p>
    <w:p w:rsidR="007B4277" w:rsidRDefault="007B4277" w:rsidP="009E5AA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of which is in her initial interaction with Pwyll wherein she refuses to speak to him until he ceases trying to run her down and instead calls out to her politely, and by doing so subtly </w:t>
      </w:r>
      <w:r w:rsidR="0017274D">
        <w:rPr>
          <w:rFonts w:ascii="Times New Roman" w:hAnsi="Times New Roman" w:cs="Times New Roman"/>
          <w:sz w:val="24"/>
          <w:szCs w:val="24"/>
        </w:rPr>
        <w:t>asserts the importance of courtesy.</w:t>
      </w:r>
      <w:r w:rsidR="005C6ABF">
        <w:rPr>
          <w:rStyle w:val="FootnoteReference"/>
          <w:rFonts w:ascii="Times New Roman" w:hAnsi="Times New Roman" w:cs="Times New Roman"/>
          <w:sz w:val="24"/>
          <w:szCs w:val="24"/>
        </w:rPr>
        <w:footnoteReference w:id="19"/>
      </w:r>
      <w:r w:rsidR="0063188A">
        <w:rPr>
          <w:rFonts w:ascii="Times New Roman" w:hAnsi="Times New Roman" w:cs="Times New Roman"/>
          <w:sz w:val="24"/>
          <w:szCs w:val="24"/>
        </w:rPr>
        <w:t xml:space="preserve"> While the second incidence</w:t>
      </w:r>
      <w:r w:rsidR="0017274D">
        <w:rPr>
          <w:rFonts w:ascii="Times New Roman" w:hAnsi="Times New Roman" w:cs="Times New Roman"/>
          <w:sz w:val="24"/>
          <w:szCs w:val="24"/>
        </w:rPr>
        <w:t xml:space="preserve"> is when Rhiannon fails to identify Gwawl to Pwyll immediately when he arrives at the wedding feast</w:t>
      </w:r>
      <w:r w:rsidR="0063188A">
        <w:rPr>
          <w:rFonts w:ascii="Times New Roman" w:hAnsi="Times New Roman" w:cs="Times New Roman"/>
          <w:sz w:val="24"/>
          <w:szCs w:val="24"/>
        </w:rPr>
        <w:t xml:space="preserve">, which Winward argues is Rhiannon’s deliberate choice in order to let Pwyll </w:t>
      </w:r>
      <w:r w:rsidR="0063188A" w:rsidRPr="0063188A">
        <w:rPr>
          <w:rFonts w:ascii="Times New Roman" w:hAnsi="Times New Roman" w:cs="Times New Roman"/>
          <w:sz w:val="24"/>
          <w:szCs w:val="24"/>
        </w:rPr>
        <w:t>prove himself in accord</w:t>
      </w:r>
      <w:r w:rsidR="0063188A">
        <w:rPr>
          <w:rFonts w:ascii="Times New Roman" w:hAnsi="Times New Roman" w:cs="Times New Roman"/>
          <w:sz w:val="24"/>
          <w:szCs w:val="24"/>
        </w:rPr>
        <w:t>ance to social convention as her</w:t>
      </w:r>
      <w:r w:rsidR="0063188A" w:rsidRPr="0063188A">
        <w:rPr>
          <w:rFonts w:ascii="Times New Roman" w:hAnsi="Times New Roman" w:cs="Times New Roman"/>
          <w:sz w:val="24"/>
          <w:szCs w:val="24"/>
        </w:rPr>
        <w:t xml:space="preserve"> husband</w:t>
      </w:r>
      <w:r w:rsidR="0063188A">
        <w:rPr>
          <w:rFonts w:ascii="Times New Roman" w:hAnsi="Times New Roman" w:cs="Times New Roman"/>
          <w:sz w:val="24"/>
          <w:szCs w:val="24"/>
        </w:rPr>
        <w:t>.</w:t>
      </w:r>
      <w:r w:rsidR="005C6ABF">
        <w:rPr>
          <w:rStyle w:val="FootnoteReference"/>
          <w:rFonts w:ascii="Times New Roman" w:hAnsi="Times New Roman" w:cs="Times New Roman"/>
          <w:sz w:val="24"/>
          <w:szCs w:val="24"/>
        </w:rPr>
        <w:footnoteReference w:id="20"/>
      </w:r>
      <w:r w:rsidR="00111BAB">
        <w:rPr>
          <w:rFonts w:ascii="Times New Roman" w:hAnsi="Times New Roman" w:cs="Times New Roman"/>
          <w:sz w:val="24"/>
          <w:szCs w:val="24"/>
        </w:rPr>
        <w:t xml:space="preserve"> Of course Pwyll’s rashly generous nature proves his downfall in the latter case and it is up to Rhiannon’s intelligence and </w:t>
      </w:r>
      <w:r w:rsidR="007D53B9">
        <w:rPr>
          <w:rFonts w:ascii="Times New Roman" w:hAnsi="Times New Roman" w:cs="Times New Roman"/>
          <w:sz w:val="24"/>
          <w:szCs w:val="24"/>
        </w:rPr>
        <w:t>wisdom to rectify the situation, but not before offering us a wonderfully forthright line of dialogue chastising him for his foolishness. ‘Be silent for as long as you like. Never has a man been more stupid than you have been.’</w:t>
      </w:r>
      <w:r w:rsidR="005C6ABF">
        <w:rPr>
          <w:rStyle w:val="FootnoteReference"/>
          <w:rFonts w:ascii="Times New Roman" w:hAnsi="Times New Roman" w:cs="Times New Roman"/>
          <w:sz w:val="24"/>
          <w:szCs w:val="24"/>
        </w:rPr>
        <w:footnoteReference w:id="21"/>
      </w:r>
    </w:p>
    <w:p w:rsidR="00BC391A" w:rsidRDefault="00BC391A" w:rsidP="009E5AA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Byfield has suggested that Rhiannon can be seen as a mirror to Arawn as both orchestrated their meetings with Pwyll</w:t>
      </w:r>
      <w:r w:rsidR="00775BD8">
        <w:rPr>
          <w:rFonts w:ascii="Times New Roman" w:hAnsi="Times New Roman" w:cs="Times New Roman"/>
          <w:sz w:val="24"/>
          <w:szCs w:val="24"/>
        </w:rPr>
        <w:t>, and he proposes that such a skill of manipulation might be shared by all characters of the Otherworld.</w:t>
      </w:r>
      <w:r w:rsidR="005C6ABF">
        <w:rPr>
          <w:rStyle w:val="FootnoteReference"/>
          <w:rFonts w:ascii="Times New Roman" w:hAnsi="Times New Roman" w:cs="Times New Roman"/>
          <w:sz w:val="24"/>
          <w:szCs w:val="24"/>
        </w:rPr>
        <w:footnoteReference w:id="22"/>
      </w:r>
      <w:r w:rsidR="00775BD8">
        <w:rPr>
          <w:rFonts w:ascii="Times New Roman" w:hAnsi="Times New Roman" w:cs="Times New Roman"/>
          <w:sz w:val="24"/>
          <w:szCs w:val="24"/>
        </w:rPr>
        <w:t xml:space="preserve"> However there are many characters not associated with the Otherworld who show themselves to be able manipulators, and interestingly, the majority are female.</w:t>
      </w:r>
    </w:p>
    <w:p w:rsidR="00A832A0" w:rsidRDefault="00A832A0" w:rsidP="009E5AA1">
      <w:pPr>
        <w:spacing w:line="480" w:lineRule="auto"/>
        <w:rPr>
          <w:rFonts w:ascii="Times New Roman" w:hAnsi="Times New Roman" w:cs="Times New Roman"/>
          <w:sz w:val="24"/>
          <w:szCs w:val="24"/>
        </w:rPr>
      </w:pPr>
      <w:r>
        <w:rPr>
          <w:rFonts w:ascii="Times New Roman" w:hAnsi="Times New Roman" w:cs="Times New Roman"/>
          <w:sz w:val="24"/>
          <w:szCs w:val="24"/>
        </w:rPr>
        <w:t>Cigfa and Goewin for example are fairly minor characters, with the latter only receiving two instances of dialogue and little description otherwise, and yet for however short a time we see them they each have a significant impact on the plot due to their ability to manipulate the situation for their benefit.</w:t>
      </w:r>
      <w:r w:rsidR="001741DD">
        <w:rPr>
          <w:rFonts w:ascii="Times New Roman" w:hAnsi="Times New Roman" w:cs="Times New Roman"/>
          <w:sz w:val="24"/>
          <w:szCs w:val="24"/>
        </w:rPr>
        <w:t xml:space="preserve"> Goewin when we first meet her appears entirely passive as a character, and yet as Math’s foot holder she quite literally holds the power of life and death over him which is no small responsibility.</w:t>
      </w:r>
      <w:r w:rsidR="005C6ABF">
        <w:rPr>
          <w:rStyle w:val="FootnoteReference"/>
          <w:rFonts w:ascii="Times New Roman" w:hAnsi="Times New Roman" w:cs="Times New Roman"/>
          <w:sz w:val="24"/>
          <w:szCs w:val="24"/>
        </w:rPr>
        <w:footnoteReference w:id="23"/>
      </w:r>
      <w:r w:rsidR="001741DD">
        <w:rPr>
          <w:rFonts w:ascii="Times New Roman" w:hAnsi="Times New Roman" w:cs="Times New Roman"/>
          <w:sz w:val="24"/>
          <w:szCs w:val="24"/>
        </w:rPr>
        <w:t xml:space="preserve"> But it is her reaction to being assaulted that truly demonstrates that she is not the meek</w:t>
      </w:r>
      <w:r w:rsidR="0060178D">
        <w:rPr>
          <w:rFonts w:ascii="Times New Roman" w:hAnsi="Times New Roman" w:cs="Times New Roman"/>
          <w:sz w:val="24"/>
          <w:szCs w:val="24"/>
        </w:rPr>
        <w:t>,</w:t>
      </w:r>
      <w:r w:rsidR="001741DD">
        <w:rPr>
          <w:rFonts w:ascii="Times New Roman" w:hAnsi="Times New Roman" w:cs="Times New Roman"/>
          <w:sz w:val="24"/>
          <w:szCs w:val="24"/>
        </w:rPr>
        <w:t xml:space="preserve"> Mary archetype figure we might expect.</w:t>
      </w:r>
      <w:r w:rsidR="005C6ABF">
        <w:rPr>
          <w:rStyle w:val="FootnoteReference"/>
          <w:rFonts w:ascii="Times New Roman" w:hAnsi="Times New Roman" w:cs="Times New Roman"/>
          <w:sz w:val="24"/>
          <w:szCs w:val="24"/>
        </w:rPr>
        <w:footnoteReference w:id="24"/>
      </w:r>
      <w:r w:rsidR="001741DD">
        <w:rPr>
          <w:rFonts w:ascii="Times New Roman" w:hAnsi="Times New Roman" w:cs="Times New Roman"/>
          <w:sz w:val="24"/>
          <w:szCs w:val="24"/>
        </w:rPr>
        <w:t xml:space="preserve"> </w:t>
      </w:r>
      <w:r w:rsidR="001741DD" w:rsidRPr="001741DD">
        <w:rPr>
          <w:rFonts w:ascii="Times New Roman" w:hAnsi="Times New Roman" w:cs="Times New Roman"/>
          <w:sz w:val="24"/>
          <w:szCs w:val="24"/>
        </w:rPr>
        <w:t>Not only does Goewin immediately report the crime to Math, but she is clever enough to phrase her accusation in a way that formerly identifies both perpetrators by their full names, makes it very clear that no consent was given, implies there were members of the court who can attest to hearing her protests, and finally frames the attack as a ‘breach of kinship ethics’.</w:t>
      </w:r>
      <w:r w:rsidR="005C6ABF">
        <w:rPr>
          <w:rStyle w:val="FootnoteReference"/>
          <w:rFonts w:ascii="Times New Roman" w:hAnsi="Times New Roman" w:cs="Times New Roman"/>
          <w:sz w:val="24"/>
          <w:szCs w:val="24"/>
        </w:rPr>
        <w:footnoteReference w:id="25"/>
      </w:r>
      <w:r w:rsidR="001741DD" w:rsidRPr="001741DD">
        <w:rPr>
          <w:rFonts w:ascii="Times New Roman" w:hAnsi="Times New Roman" w:cs="Times New Roman"/>
          <w:sz w:val="24"/>
          <w:szCs w:val="24"/>
        </w:rPr>
        <w:t xml:space="preserve"> Given the special relationship emphasised in both Celtic and Germanic literature between uncle and sister’s sons, this kind of breach makes it even more damning.</w:t>
      </w:r>
      <w:r w:rsidR="005C6ABF">
        <w:rPr>
          <w:rStyle w:val="FootnoteReference"/>
          <w:rFonts w:ascii="Times New Roman" w:hAnsi="Times New Roman" w:cs="Times New Roman"/>
          <w:sz w:val="24"/>
          <w:szCs w:val="24"/>
        </w:rPr>
        <w:footnoteReference w:id="26"/>
      </w:r>
      <w:r w:rsidR="001741DD" w:rsidRPr="001741DD">
        <w:rPr>
          <w:rFonts w:ascii="Times New Roman" w:hAnsi="Times New Roman" w:cs="Times New Roman"/>
          <w:sz w:val="24"/>
          <w:szCs w:val="24"/>
        </w:rPr>
        <w:t xml:space="preserve"> Not only have Goewin and Math been dishonoured but the brothers have actively put Math’s life at risk. The fact that as Goewin describes, this took place in Math’s bed is just further disrespect.</w:t>
      </w:r>
      <w:r w:rsidR="001741DD">
        <w:rPr>
          <w:rFonts w:ascii="Times New Roman" w:hAnsi="Times New Roman" w:cs="Times New Roman"/>
          <w:sz w:val="24"/>
          <w:szCs w:val="24"/>
        </w:rPr>
        <w:t xml:space="preserve"> </w:t>
      </w:r>
      <w:r w:rsidR="001741DD" w:rsidRPr="001741DD">
        <w:rPr>
          <w:rFonts w:ascii="Times New Roman" w:hAnsi="Times New Roman" w:cs="Times New Roman"/>
          <w:sz w:val="24"/>
          <w:szCs w:val="24"/>
        </w:rPr>
        <w:t>The result of Goewin’s skilful speech is that not only are the brothers punished, but she is able to regain her honour by becoming Math’s wife and being given authority over the realm.</w:t>
      </w:r>
    </w:p>
    <w:p w:rsidR="001741DD" w:rsidRDefault="0020571D" w:rsidP="009E5AA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Cigfa also uses the idea of honour in her attempts to manipulate Manawydan. By lamenting the danger to her virtue at being left alone with a man not of her kin, she prompts </w:t>
      </w:r>
      <w:r w:rsidRPr="0020571D">
        <w:rPr>
          <w:rFonts w:ascii="Times New Roman" w:hAnsi="Times New Roman" w:cs="Times New Roman"/>
          <w:sz w:val="24"/>
          <w:szCs w:val="24"/>
        </w:rPr>
        <w:t>Manawydan to acknowledge and confirm his duty as lord of the land to protect Cigfa in the absence of her husband. By playing up her role as vulnerable woman, she manoeuvres</w:t>
      </w:r>
      <w:r w:rsidR="0060178D">
        <w:rPr>
          <w:rFonts w:ascii="Times New Roman" w:hAnsi="Times New Roman" w:cs="Times New Roman"/>
          <w:sz w:val="24"/>
          <w:szCs w:val="24"/>
        </w:rPr>
        <w:t xml:space="preserve"> Manawydan into a posit</w:t>
      </w:r>
      <w:r w:rsidRPr="0020571D">
        <w:rPr>
          <w:rFonts w:ascii="Times New Roman" w:hAnsi="Times New Roman" w:cs="Times New Roman"/>
          <w:sz w:val="24"/>
          <w:szCs w:val="24"/>
        </w:rPr>
        <w:t>ion where he can only offer reassurances and promises</w:t>
      </w:r>
      <w:r w:rsidR="00253542">
        <w:rPr>
          <w:rFonts w:ascii="Times New Roman" w:hAnsi="Times New Roman" w:cs="Times New Roman"/>
          <w:sz w:val="24"/>
          <w:szCs w:val="24"/>
        </w:rPr>
        <w:t xml:space="preserve"> or else</w:t>
      </w:r>
      <w:r>
        <w:rPr>
          <w:rFonts w:ascii="Times New Roman" w:hAnsi="Times New Roman" w:cs="Times New Roman"/>
          <w:sz w:val="24"/>
          <w:szCs w:val="24"/>
        </w:rPr>
        <w:t xml:space="preserve"> risk dishonour to himself.</w:t>
      </w:r>
      <w:r w:rsidR="004725AE">
        <w:rPr>
          <w:rFonts w:ascii="Times New Roman" w:hAnsi="Times New Roman" w:cs="Times New Roman"/>
          <w:sz w:val="24"/>
          <w:szCs w:val="24"/>
        </w:rPr>
        <w:t xml:space="preserve"> Once she attains his promise of friendship, Cigfa further cements the bond by addressing Manawydan multiple times as ‘</w:t>
      </w:r>
      <w:r w:rsidR="004725AE" w:rsidRPr="004725AE">
        <w:rPr>
          <w:rFonts w:ascii="Times New Roman" w:hAnsi="Times New Roman" w:cs="Times New Roman"/>
          <w:i/>
          <w:sz w:val="24"/>
          <w:szCs w:val="24"/>
        </w:rPr>
        <w:t>arglwy</w:t>
      </w:r>
      <w:r w:rsidR="004725AE">
        <w:rPr>
          <w:rFonts w:ascii="Times New Roman" w:hAnsi="Times New Roman" w:cs="Times New Roman"/>
          <w:i/>
          <w:sz w:val="24"/>
          <w:szCs w:val="24"/>
        </w:rPr>
        <w:t xml:space="preserve">d’ </w:t>
      </w:r>
      <w:r w:rsidR="004725AE">
        <w:rPr>
          <w:rFonts w:ascii="Times New Roman" w:hAnsi="Times New Roman" w:cs="Times New Roman"/>
          <w:sz w:val="24"/>
          <w:szCs w:val="24"/>
        </w:rPr>
        <w:t>in a platonic parallel to Rhiannon’s earlier manipulation of Pwyll.</w:t>
      </w:r>
      <w:r w:rsidR="005C6ABF">
        <w:rPr>
          <w:rStyle w:val="FootnoteReference"/>
          <w:rFonts w:ascii="Times New Roman" w:hAnsi="Times New Roman" w:cs="Times New Roman"/>
          <w:sz w:val="24"/>
          <w:szCs w:val="24"/>
        </w:rPr>
        <w:footnoteReference w:id="27"/>
      </w:r>
    </w:p>
    <w:p w:rsidR="00592D8A" w:rsidRDefault="00592D8A" w:rsidP="009E5AA1">
      <w:pPr>
        <w:spacing w:line="480" w:lineRule="auto"/>
        <w:rPr>
          <w:rFonts w:ascii="Times New Roman" w:hAnsi="Times New Roman" w:cs="Times New Roman"/>
          <w:sz w:val="24"/>
          <w:szCs w:val="24"/>
        </w:rPr>
      </w:pPr>
      <w:r>
        <w:rPr>
          <w:rFonts w:ascii="Times New Roman" w:hAnsi="Times New Roman" w:cs="Times New Roman"/>
          <w:sz w:val="24"/>
          <w:szCs w:val="24"/>
        </w:rPr>
        <w:t>Blodeuedd similarly plays up her role as subservient wife in order to deceive her husband Lleu, and yet again we see how the female characters use language in their manipulation as she repeatedly addresses him as ‘</w:t>
      </w:r>
      <w:r>
        <w:rPr>
          <w:rFonts w:ascii="Times New Roman" w:hAnsi="Times New Roman" w:cs="Times New Roman"/>
          <w:i/>
          <w:sz w:val="24"/>
          <w:szCs w:val="24"/>
        </w:rPr>
        <w:t>arglwyd’.</w:t>
      </w:r>
      <w:r w:rsidR="005C6ABF" w:rsidRPr="005C6ABF">
        <w:rPr>
          <w:rStyle w:val="FootnoteReference"/>
          <w:rFonts w:ascii="Times New Roman" w:hAnsi="Times New Roman" w:cs="Times New Roman"/>
          <w:sz w:val="24"/>
          <w:szCs w:val="24"/>
        </w:rPr>
        <w:footnoteReference w:id="28"/>
      </w:r>
      <w:r>
        <w:rPr>
          <w:rFonts w:ascii="Times New Roman" w:hAnsi="Times New Roman" w:cs="Times New Roman"/>
          <w:i/>
          <w:sz w:val="24"/>
          <w:szCs w:val="24"/>
        </w:rPr>
        <w:t xml:space="preserve"> </w:t>
      </w:r>
      <w:r>
        <w:rPr>
          <w:rFonts w:ascii="Times New Roman" w:hAnsi="Times New Roman" w:cs="Times New Roman"/>
          <w:sz w:val="24"/>
          <w:szCs w:val="24"/>
        </w:rPr>
        <w:t>Furthermore she takes advantage</w:t>
      </w:r>
      <w:r w:rsidR="002F3DBB">
        <w:rPr>
          <w:rFonts w:ascii="Times New Roman" w:hAnsi="Times New Roman" w:cs="Times New Roman"/>
          <w:sz w:val="24"/>
          <w:szCs w:val="24"/>
        </w:rPr>
        <w:t xml:space="preserve"> of the fact that due to the unnatural nature of her birth, she is frequently underestimated by those around her; by playing in to her husband’s assumption of her naiveté she easily manipulates him into all but digging his own grave.</w:t>
      </w:r>
      <w:r w:rsidR="005C6ABF">
        <w:rPr>
          <w:rStyle w:val="FootnoteReference"/>
          <w:rFonts w:ascii="Times New Roman" w:hAnsi="Times New Roman" w:cs="Times New Roman"/>
          <w:sz w:val="24"/>
          <w:szCs w:val="24"/>
        </w:rPr>
        <w:footnoteReference w:id="29"/>
      </w:r>
      <w:r w:rsidR="002F3DBB">
        <w:rPr>
          <w:rFonts w:ascii="Times New Roman" w:hAnsi="Times New Roman" w:cs="Times New Roman"/>
          <w:sz w:val="24"/>
          <w:szCs w:val="24"/>
        </w:rPr>
        <w:t xml:space="preserve"> </w:t>
      </w:r>
      <w:r w:rsidR="00AE25D2">
        <w:rPr>
          <w:rFonts w:ascii="Times New Roman" w:hAnsi="Times New Roman" w:cs="Times New Roman"/>
          <w:sz w:val="24"/>
          <w:szCs w:val="24"/>
        </w:rPr>
        <w:t>In fact if not for the intervention of her creator Gwydion, she would</w:t>
      </w:r>
      <w:r w:rsidR="00684077">
        <w:rPr>
          <w:rFonts w:ascii="Times New Roman" w:hAnsi="Times New Roman" w:cs="Times New Roman"/>
          <w:sz w:val="24"/>
          <w:szCs w:val="24"/>
        </w:rPr>
        <w:t xml:space="preserve"> have succeeded in getting everything she wanted. If nothing else, it is notable that she is the only woman in all of the Four Branches who successfully brings dishonour to a male character.</w:t>
      </w:r>
      <w:r w:rsidR="005C6ABF">
        <w:rPr>
          <w:rStyle w:val="FootnoteReference"/>
          <w:rFonts w:ascii="Times New Roman" w:hAnsi="Times New Roman" w:cs="Times New Roman"/>
          <w:sz w:val="24"/>
          <w:szCs w:val="24"/>
        </w:rPr>
        <w:footnoteReference w:id="30"/>
      </w:r>
    </w:p>
    <w:p w:rsidR="0045277E" w:rsidRDefault="0045277E" w:rsidP="009E5AA1">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skill of manipulation can be viewed as having been inherited from Gwydion, a rare example of a male manipulator </w:t>
      </w:r>
      <w:r w:rsidR="00E431AB">
        <w:rPr>
          <w:rFonts w:ascii="Times New Roman" w:hAnsi="Times New Roman" w:cs="Times New Roman"/>
          <w:sz w:val="24"/>
          <w:szCs w:val="24"/>
        </w:rPr>
        <w:t xml:space="preserve">in the Four Branches. In contrast to the female characters, the results of his manipulations are </w:t>
      </w:r>
      <w:r w:rsidR="00586E38">
        <w:rPr>
          <w:rFonts w:ascii="Times New Roman" w:hAnsi="Times New Roman" w:cs="Times New Roman"/>
          <w:sz w:val="24"/>
          <w:szCs w:val="24"/>
        </w:rPr>
        <w:t xml:space="preserve">much further </w:t>
      </w:r>
      <w:r w:rsidR="00E431AB">
        <w:rPr>
          <w:rFonts w:ascii="Times New Roman" w:hAnsi="Times New Roman" w:cs="Times New Roman"/>
          <w:sz w:val="24"/>
          <w:szCs w:val="24"/>
        </w:rPr>
        <w:t>reaching and often devastating. Gwydion’s actions frequently demonstrate his cunning, subtlety, and skill as a</w:t>
      </w:r>
      <w:r w:rsidR="00E431AB" w:rsidRPr="00E431AB">
        <w:rPr>
          <w:rFonts w:ascii="Times New Roman" w:hAnsi="Times New Roman" w:cs="Times New Roman"/>
          <w:sz w:val="24"/>
          <w:szCs w:val="24"/>
        </w:rPr>
        <w:t xml:space="preserve"> story teller.</w:t>
      </w:r>
      <w:r w:rsidR="005C6ABF">
        <w:rPr>
          <w:rStyle w:val="FootnoteReference"/>
          <w:rFonts w:ascii="Times New Roman" w:hAnsi="Times New Roman" w:cs="Times New Roman"/>
          <w:sz w:val="24"/>
          <w:szCs w:val="24"/>
        </w:rPr>
        <w:footnoteReference w:id="31"/>
      </w:r>
      <w:r w:rsidR="00E431AB" w:rsidRPr="00E431AB">
        <w:rPr>
          <w:rFonts w:ascii="Times New Roman" w:hAnsi="Times New Roman" w:cs="Times New Roman"/>
          <w:sz w:val="24"/>
          <w:szCs w:val="24"/>
        </w:rPr>
        <w:t xml:space="preserve"> </w:t>
      </w:r>
      <w:r w:rsidR="00E431AB">
        <w:rPr>
          <w:rFonts w:ascii="Times New Roman" w:hAnsi="Times New Roman" w:cs="Times New Roman"/>
          <w:sz w:val="24"/>
          <w:szCs w:val="24"/>
        </w:rPr>
        <w:t>Such as when h</w:t>
      </w:r>
      <w:r w:rsidR="00E431AB" w:rsidRPr="00E431AB">
        <w:rPr>
          <w:rFonts w:ascii="Times New Roman" w:hAnsi="Times New Roman" w:cs="Times New Roman"/>
          <w:sz w:val="24"/>
          <w:szCs w:val="24"/>
        </w:rPr>
        <w:t xml:space="preserve">e </w:t>
      </w:r>
      <w:r w:rsidR="00E431AB">
        <w:rPr>
          <w:rFonts w:ascii="Times New Roman" w:hAnsi="Times New Roman" w:cs="Times New Roman"/>
          <w:sz w:val="24"/>
          <w:szCs w:val="24"/>
        </w:rPr>
        <w:t>is able to twist Pryderi’s words and monopolise</w:t>
      </w:r>
      <w:r w:rsidR="00E431AB" w:rsidRPr="00E431AB">
        <w:rPr>
          <w:rFonts w:ascii="Times New Roman" w:hAnsi="Times New Roman" w:cs="Times New Roman"/>
          <w:sz w:val="24"/>
          <w:szCs w:val="24"/>
        </w:rPr>
        <w:t xml:space="preserve"> on his greed to </w:t>
      </w:r>
      <w:r w:rsidR="00E431AB">
        <w:rPr>
          <w:rFonts w:ascii="Times New Roman" w:hAnsi="Times New Roman" w:cs="Times New Roman"/>
          <w:sz w:val="24"/>
          <w:szCs w:val="24"/>
        </w:rPr>
        <w:t>push</w:t>
      </w:r>
      <w:r w:rsidR="00E431AB" w:rsidRPr="00E431AB">
        <w:rPr>
          <w:rFonts w:ascii="Times New Roman" w:hAnsi="Times New Roman" w:cs="Times New Roman"/>
          <w:sz w:val="24"/>
          <w:szCs w:val="24"/>
        </w:rPr>
        <w:t xml:space="preserve"> him </w:t>
      </w:r>
      <w:r w:rsidR="00E431AB">
        <w:rPr>
          <w:rFonts w:ascii="Times New Roman" w:hAnsi="Times New Roman" w:cs="Times New Roman"/>
          <w:sz w:val="24"/>
          <w:szCs w:val="24"/>
        </w:rPr>
        <w:t xml:space="preserve">into giving </w:t>
      </w:r>
      <w:r w:rsidR="00E431AB">
        <w:rPr>
          <w:rFonts w:ascii="Times New Roman" w:hAnsi="Times New Roman" w:cs="Times New Roman"/>
          <w:sz w:val="24"/>
          <w:szCs w:val="24"/>
        </w:rPr>
        <w:lastRenderedPageBreak/>
        <w:t>up the magical swine, a decision</w:t>
      </w:r>
      <w:r w:rsidR="00E431AB" w:rsidRPr="00E431AB">
        <w:rPr>
          <w:rFonts w:ascii="Times New Roman" w:hAnsi="Times New Roman" w:cs="Times New Roman"/>
          <w:sz w:val="24"/>
          <w:szCs w:val="24"/>
        </w:rPr>
        <w:t xml:space="preserve"> which ultimately leads </w:t>
      </w:r>
      <w:r w:rsidR="00BC660F">
        <w:rPr>
          <w:rFonts w:ascii="Times New Roman" w:hAnsi="Times New Roman" w:cs="Times New Roman"/>
          <w:sz w:val="24"/>
          <w:szCs w:val="24"/>
        </w:rPr>
        <w:t>to war, ruin, and the rape of Goewin.</w:t>
      </w:r>
      <w:r w:rsidR="005C6ABF">
        <w:rPr>
          <w:rStyle w:val="FootnoteReference"/>
          <w:rFonts w:ascii="Times New Roman" w:hAnsi="Times New Roman" w:cs="Times New Roman"/>
          <w:sz w:val="24"/>
          <w:szCs w:val="24"/>
        </w:rPr>
        <w:footnoteReference w:id="32"/>
      </w:r>
    </w:p>
    <w:p w:rsidR="00586E38" w:rsidRDefault="00586E38" w:rsidP="009E5AA1">
      <w:pPr>
        <w:spacing w:line="480" w:lineRule="auto"/>
        <w:rPr>
          <w:rFonts w:ascii="Times New Roman" w:hAnsi="Times New Roman" w:cs="Times New Roman"/>
          <w:sz w:val="24"/>
          <w:szCs w:val="24"/>
        </w:rPr>
      </w:pPr>
      <w:r w:rsidRPr="00586E38">
        <w:rPr>
          <w:rFonts w:ascii="Times New Roman" w:hAnsi="Times New Roman" w:cs="Times New Roman"/>
          <w:sz w:val="24"/>
          <w:szCs w:val="24"/>
        </w:rPr>
        <w:t>Winward argues that the women are memorable because of their ability to play the system to their advantage</w:t>
      </w:r>
      <w:r>
        <w:rPr>
          <w:rFonts w:ascii="Times New Roman" w:hAnsi="Times New Roman" w:cs="Times New Roman"/>
          <w:sz w:val="24"/>
          <w:szCs w:val="24"/>
        </w:rPr>
        <w:t>,</w:t>
      </w:r>
      <w:r w:rsidRPr="00586E38">
        <w:rPr>
          <w:rFonts w:ascii="Times New Roman" w:hAnsi="Times New Roman" w:cs="Times New Roman"/>
          <w:sz w:val="24"/>
          <w:szCs w:val="24"/>
        </w:rPr>
        <w:t xml:space="preserve"> which </w:t>
      </w:r>
      <w:r>
        <w:rPr>
          <w:rFonts w:ascii="Times New Roman" w:hAnsi="Times New Roman" w:cs="Times New Roman"/>
          <w:sz w:val="24"/>
          <w:szCs w:val="24"/>
        </w:rPr>
        <w:t>she suggests is due to the</w:t>
      </w:r>
      <w:r w:rsidRPr="00586E38">
        <w:rPr>
          <w:rFonts w:ascii="Times New Roman" w:hAnsi="Times New Roman" w:cs="Times New Roman"/>
          <w:sz w:val="24"/>
          <w:szCs w:val="24"/>
        </w:rPr>
        <w:t xml:space="preserve"> fact that they are able to consciously identify </w:t>
      </w:r>
      <w:r>
        <w:rPr>
          <w:rFonts w:ascii="Times New Roman" w:hAnsi="Times New Roman" w:cs="Times New Roman"/>
          <w:sz w:val="24"/>
          <w:szCs w:val="24"/>
        </w:rPr>
        <w:t>the extent of their own abilities as well as having a clear understanding of their place and role within society itself. Such</w:t>
      </w:r>
      <w:r w:rsidRPr="00586E38">
        <w:rPr>
          <w:rFonts w:ascii="Times New Roman" w:hAnsi="Times New Roman" w:cs="Times New Roman"/>
          <w:sz w:val="24"/>
          <w:szCs w:val="24"/>
        </w:rPr>
        <w:t xml:space="preserve"> awareness </w:t>
      </w:r>
      <w:r>
        <w:rPr>
          <w:rFonts w:ascii="Times New Roman" w:hAnsi="Times New Roman" w:cs="Times New Roman"/>
          <w:sz w:val="24"/>
          <w:szCs w:val="24"/>
        </w:rPr>
        <w:t xml:space="preserve">is a quality </w:t>
      </w:r>
      <w:r w:rsidRPr="00586E38">
        <w:rPr>
          <w:rFonts w:ascii="Times New Roman" w:hAnsi="Times New Roman" w:cs="Times New Roman"/>
          <w:sz w:val="24"/>
          <w:szCs w:val="24"/>
        </w:rPr>
        <w:t xml:space="preserve">that </w:t>
      </w:r>
      <w:r>
        <w:rPr>
          <w:rFonts w:ascii="Times New Roman" w:hAnsi="Times New Roman" w:cs="Times New Roman"/>
          <w:sz w:val="24"/>
          <w:szCs w:val="24"/>
        </w:rPr>
        <w:t>none of the male characters possess, f</w:t>
      </w:r>
      <w:r w:rsidRPr="00586E38">
        <w:rPr>
          <w:rFonts w:ascii="Times New Roman" w:hAnsi="Times New Roman" w:cs="Times New Roman"/>
          <w:sz w:val="24"/>
          <w:szCs w:val="24"/>
        </w:rPr>
        <w:t>or while Gwydion is also presented as a master manipulator, he relies on magi</w:t>
      </w:r>
      <w:r>
        <w:rPr>
          <w:rFonts w:ascii="Times New Roman" w:hAnsi="Times New Roman" w:cs="Times New Roman"/>
          <w:sz w:val="24"/>
          <w:szCs w:val="24"/>
        </w:rPr>
        <w:t>c and lies to get what he wants.</w:t>
      </w:r>
      <w:r w:rsidR="005C6ABF">
        <w:rPr>
          <w:rStyle w:val="FootnoteReference"/>
          <w:rFonts w:ascii="Times New Roman" w:hAnsi="Times New Roman" w:cs="Times New Roman"/>
          <w:sz w:val="24"/>
          <w:szCs w:val="24"/>
        </w:rPr>
        <w:footnoteReference w:id="33"/>
      </w:r>
      <w:r>
        <w:rPr>
          <w:rFonts w:ascii="Times New Roman" w:hAnsi="Times New Roman" w:cs="Times New Roman"/>
          <w:sz w:val="24"/>
          <w:szCs w:val="24"/>
        </w:rPr>
        <w:t xml:space="preserve"> And while </w:t>
      </w:r>
      <w:r w:rsidR="001963EA">
        <w:rPr>
          <w:rFonts w:ascii="Times New Roman" w:hAnsi="Times New Roman" w:cs="Times New Roman"/>
          <w:sz w:val="24"/>
          <w:szCs w:val="24"/>
        </w:rPr>
        <w:t>clever and skilled in both;</w:t>
      </w:r>
      <w:r>
        <w:rPr>
          <w:rFonts w:ascii="Times New Roman" w:hAnsi="Times New Roman" w:cs="Times New Roman"/>
          <w:sz w:val="24"/>
          <w:szCs w:val="24"/>
        </w:rPr>
        <w:t xml:space="preserve"> his magic is </w:t>
      </w:r>
      <w:r w:rsidR="001963EA">
        <w:rPr>
          <w:rFonts w:ascii="Times New Roman" w:hAnsi="Times New Roman" w:cs="Times New Roman"/>
          <w:sz w:val="24"/>
          <w:szCs w:val="24"/>
        </w:rPr>
        <w:t xml:space="preserve">inferior to Math’s, </w:t>
      </w:r>
      <w:r w:rsidRPr="00586E38">
        <w:rPr>
          <w:rFonts w:ascii="Times New Roman" w:hAnsi="Times New Roman" w:cs="Times New Roman"/>
          <w:sz w:val="24"/>
          <w:szCs w:val="24"/>
        </w:rPr>
        <w:t>and as we can see when we compare his complaint about Aranrhod to G</w:t>
      </w:r>
      <w:r w:rsidR="001963EA">
        <w:rPr>
          <w:rFonts w:ascii="Times New Roman" w:hAnsi="Times New Roman" w:cs="Times New Roman"/>
          <w:sz w:val="24"/>
          <w:szCs w:val="24"/>
        </w:rPr>
        <w:t>oewin’s complaint about him, he i</w:t>
      </w:r>
      <w:r w:rsidRPr="00586E38">
        <w:rPr>
          <w:rFonts w:ascii="Times New Roman" w:hAnsi="Times New Roman" w:cs="Times New Roman"/>
          <w:sz w:val="24"/>
          <w:szCs w:val="24"/>
        </w:rPr>
        <w:t>s not always successful</w:t>
      </w:r>
      <w:r w:rsidR="001963EA">
        <w:rPr>
          <w:rFonts w:ascii="Times New Roman" w:hAnsi="Times New Roman" w:cs="Times New Roman"/>
          <w:sz w:val="24"/>
          <w:szCs w:val="24"/>
        </w:rPr>
        <w:t xml:space="preserve"> when it comes to manipulating with language either</w:t>
      </w:r>
      <w:r w:rsidRPr="00586E38">
        <w:rPr>
          <w:rFonts w:ascii="Times New Roman" w:hAnsi="Times New Roman" w:cs="Times New Roman"/>
          <w:sz w:val="24"/>
          <w:szCs w:val="24"/>
        </w:rPr>
        <w:t>.</w:t>
      </w:r>
      <w:r w:rsidR="005C6ABF">
        <w:rPr>
          <w:rStyle w:val="FootnoteReference"/>
          <w:rFonts w:ascii="Times New Roman" w:hAnsi="Times New Roman" w:cs="Times New Roman"/>
          <w:sz w:val="24"/>
          <w:szCs w:val="24"/>
        </w:rPr>
        <w:footnoteReference w:id="34"/>
      </w:r>
    </w:p>
    <w:p w:rsidR="00EB7546" w:rsidRDefault="006A39F9" w:rsidP="009E5AA1">
      <w:pPr>
        <w:spacing w:line="480" w:lineRule="auto"/>
        <w:rPr>
          <w:rFonts w:ascii="Times New Roman" w:hAnsi="Times New Roman" w:cs="Times New Roman"/>
          <w:sz w:val="24"/>
          <w:szCs w:val="24"/>
        </w:rPr>
      </w:pPr>
      <w:r>
        <w:rPr>
          <w:rFonts w:ascii="Times New Roman" w:hAnsi="Times New Roman" w:cs="Times New Roman"/>
          <w:sz w:val="24"/>
          <w:szCs w:val="24"/>
        </w:rPr>
        <w:t>If manipulation is considered a key trait of an interesting female character then t</w:t>
      </w:r>
      <w:r w:rsidR="00BC171B">
        <w:rPr>
          <w:rFonts w:ascii="Times New Roman" w:hAnsi="Times New Roman" w:cs="Times New Roman"/>
          <w:sz w:val="24"/>
          <w:szCs w:val="24"/>
        </w:rPr>
        <w:t>his also helps to explain some of the criticism around the character of Branwen, who is often dismissed as a flat and uninteresting character in comparison to a figure like Rhiannon</w:t>
      </w:r>
      <w:r>
        <w:rPr>
          <w:rFonts w:ascii="Times New Roman" w:hAnsi="Times New Roman" w:cs="Times New Roman"/>
          <w:sz w:val="24"/>
          <w:szCs w:val="24"/>
        </w:rPr>
        <w:t>.</w:t>
      </w:r>
      <w:r w:rsidR="005C6ABF">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For as Winward explains Branwen is not a manipulator, ‘</w:t>
      </w:r>
      <w:r w:rsidRPr="006A39F9">
        <w:rPr>
          <w:rFonts w:ascii="Times New Roman" w:hAnsi="Times New Roman" w:cs="Times New Roman"/>
          <w:sz w:val="24"/>
          <w:szCs w:val="24"/>
        </w:rPr>
        <w:t>having whole-heartedly taken on the self-sacrificial role of peace-weaver’</w:t>
      </w:r>
      <w:r>
        <w:rPr>
          <w:rFonts w:ascii="Times New Roman" w:hAnsi="Times New Roman" w:cs="Times New Roman"/>
          <w:sz w:val="24"/>
          <w:szCs w:val="24"/>
        </w:rPr>
        <w:t xml:space="preserve"> instead.</w:t>
      </w:r>
      <w:r w:rsidR="005C6ABF">
        <w:rPr>
          <w:rStyle w:val="FootnoteReference"/>
          <w:rFonts w:ascii="Times New Roman" w:hAnsi="Times New Roman" w:cs="Times New Roman"/>
          <w:sz w:val="24"/>
          <w:szCs w:val="24"/>
        </w:rPr>
        <w:footnoteReference w:id="36"/>
      </w:r>
      <w:r w:rsidR="00EB7546">
        <w:rPr>
          <w:rFonts w:ascii="Times New Roman" w:hAnsi="Times New Roman" w:cs="Times New Roman"/>
          <w:sz w:val="24"/>
          <w:szCs w:val="24"/>
        </w:rPr>
        <w:t xml:space="preserve"> Much like Goewin, on the surface it is easy to dismiss Branwen as a passive character with little agency in the plot. As Byfield points out, in much of the first half of the narrative we only know anything about her at all due to the hearsay of other characters like Matholwch and Efn</w:t>
      </w:r>
      <w:r w:rsidR="00EF511E">
        <w:rPr>
          <w:rFonts w:ascii="Times New Roman" w:hAnsi="Times New Roman" w:cs="Times New Roman"/>
          <w:sz w:val="24"/>
          <w:szCs w:val="24"/>
        </w:rPr>
        <w:t>ysien.</w:t>
      </w:r>
      <w:r w:rsidR="005C6ABF">
        <w:rPr>
          <w:rStyle w:val="FootnoteReference"/>
          <w:rFonts w:ascii="Times New Roman" w:hAnsi="Times New Roman" w:cs="Times New Roman"/>
          <w:sz w:val="24"/>
          <w:szCs w:val="24"/>
        </w:rPr>
        <w:footnoteReference w:id="37"/>
      </w:r>
      <w:r w:rsidR="00EF511E">
        <w:rPr>
          <w:rFonts w:ascii="Times New Roman" w:hAnsi="Times New Roman" w:cs="Times New Roman"/>
          <w:sz w:val="24"/>
          <w:szCs w:val="24"/>
        </w:rPr>
        <w:t xml:space="preserve"> Her supposed excellence at this point is nothing but an informed attribute. But again, just as in the case of Goewin, when she becomes the victim of mistreatment from the men around her she does not stay passive in her </w:t>
      </w:r>
      <w:r w:rsidR="00EF511E">
        <w:rPr>
          <w:rFonts w:ascii="Times New Roman" w:hAnsi="Times New Roman" w:cs="Times New Roman"/>
          <w:sz w:val="24"/>
          <w:szCs w:val="24"/>
        </w:rPr>
        <w:lastRenderedPageBreak/>
        <w:t>victimhood, instead using her cunning and resourcefulness to send a message to her brother who seeks vengeance on her behalf.</w:t>
      </w:r>
    </w:p>
    <w:p w:rsidR="00372FDA" w:rsidRDefault="00372FDA" w:rsidP="009E5AA1">
      <w:pPr>
        <w:spacing w:line="480" w:lineRule="auto"/>
        <w:rPr>
          <w:rFonts w:ascii="Times New Roman" w:hAnsi="Times New Roman" w:cs="Times New Roman"/>
          <w:sz w:val="24"/>
          <w:szCs w:val="24"/>
        </w:rPr>
      </w:pPr>
      <w:r>
        <w:rPr>
          <w:rFonts w:ascii="Times New Roman" w:hAnsi="Times New Roman" w:cs="Times New Roman"/>
          <w:sz w:val="24"/>
          <w:szCs w:val="24"/>
        </w:rPr>
        <w:t xml:space="preserve">On a broader scale, Branwen is interesting because of her part in the theme of motherhood, kinship, and independence that runs through all of the Four Branches. </w:t>
      </w:r>
      <w:r w:rsidR="003A22A0">
        <w:rPr>
          <w:rFonts w:ascii="Times New Roman" w:hAnsi="Times New Roman" w:cs="Times New Roman"/>
          <w:sz w:val="24"/>
          <w:szCs w:val="24"/>
        </w:rPr>
        <w:t>As one would expect in a set of narratives dealing with nobility, the subject of heirs is a significant one as is obvious from the First Branch when Pwyll’s council attempt to convince him to take another wife</w:t>
      </w:r>
      <w:r w:rsidR="0079034A">
        <w:rPr>
          <w:rFonts w:ascii="Times New Roman" w:hAnsi="Times New Roman" w:cs="Times New Roman"/>
          <w:sz w:val="24"/>
          <w:szCs w:val="24"/>
        </w:rPr>
        <w:t>,</w:t>
      </w:r>
      <w:r w:rsidR="003A22A0">
        <w:rPr>
          <w:rFonts w:ascii="Times New Roman" w:hAnsi="Times New Roman" w:cs="Times New Roman"/>
          <w:sz w:val="24"/>
          <w:szCs w:val="24"/>
        </w:rPr>
        <w:t xml:space="preserve"> when Rhiannon has failed to bear him a child in their first three years of marriage.</w:t>
      </w:r>
      <w:r w:rsidR="00C058ED">
        <w:rPr>
          <w:rFonts w:ascii="Times New Roman" w:hAnsi="Times New Roman" w:cs="Times New Roman"/>
          <w:sz w:val="24"/>
          <w:szCs w:val="24"/>
        </w:rPr>
        <w:t xml:space="preserve"> What is particularly interesting however is the consistently negative effect that motherhood</w:t>
      </w:r>
      <w:r w:rsidR="00E055B3">
        <w:rPr>
          <w:rFonts w:ascii="Times New Roman" w:hAnsi="Times New Roman" w:cs="Times New Roman"/>
          <w:sz w:val="24"/>
          <w:szCs w:val="24"/>
        </w:rPr>
        <w:t xml:space="preserve"> and marriage</w:t>
      </w:r>
      <w:r w:rsidR="00C058ED">
        <w:rPr>
          <w:rFonts w:ascii="Times New Roman" w:hAnsi="Times New Roman" w:cs="Times New Roman"/>
          <w:sz w:val="24"/>
          <w:szCs w:val="24"/>
        </w:rPr>
        <w:t xml:space="preserve"> has on the female characters.</w:t>
      </w:r>
      <w:r w:rsidR="005C6ABF">
        <w:rPr>
          <w:rStyle w:val="FootnoteReference"/>
          <w:rFonts w:ascii="Times New Roman" w:hAnsi="Times New Roman" w:cs="Times New Roman"/>
          <w:sz w:val="24"/>
          <w:szCs w:val="24"/>
        </w:rPr>
        <w:footnoteReference w:id="38"/>
      </w:r>
      <w:r w:rsidR="00E055B3">
        <w:rPr>
          <w:rFonts w:ascii="Times New Roman" w:hAnsi="Times New Roman" w:cs="Times New Roman"/>
          <w:sz w:val="24"/>
          <w:szCs w:val="24"/>
        </w:rPr>
        <w:t xml:space="preserve"> In the case of Branwen, it is only after </w:t>
      </w:r>
      <w:r w:rsidR="00E055B3" w:rsidRPr="00E055B3">
        <w:rPr>
          <w:rFonts w:ascii="Times New Roman" w:hAnsi="Times New Roman" w:cs="Times New Roman"/>
          <w:sz w:val="24"/>
          <w:szCs w:val="24"/>
        </w:rPr>
        <w:t xml:space="preserve">she has </w:t>
      </w:r>
      <w:r w:rsidR="00E055B3">
        <w:rPr>
          <w:rFonts w:ascii="Times New Roman" w:hAnsi="Times New Roman" w:cs="Times New Roman"/>
          <w:sz w:val="24"/>
          <w:szCs w:val="24"/>
        </w:rPr>
        <w:t xml:space="preserve">her son Gwern </w:t>
      </w:r>
      <w:r w:rsidR="00E055B3" w:rsidRPr="00E055B3">
        <w:rPr>
          <w:rFonts w:ascii="Times New Roman" w:hAnsi="Times New Roman" w:cs="Times New Roman"/>
          <w:sz w:val="24"/>
          <w:szCs w:val="24"/>
        </w:rPr>
        <w:t>that Matholwch banishes her from his chambers and to the kitchen, presumably because she has completed her role as heir-bearer.</w:t>
      </w:r>
      <w:r w:rsidR="005C6ABF">
        <w:rPr>
          <w:rStyle w:val="FootnoteReference"/>
          <w:rFonts w:ascii="Times New Roman" w:hAnsi="Times New Roman" w:cs="Times New Roman"/>
          <w:sz w:val="24"/>
          <w:szCs w:val="24"/>
        </w:rPr>
        <w:footnoteReference w:id="39"/>
      </w:r>
      <w:r w:rsidR="00E055B3">
        <w:rPr>
          <w:rFonts w:ascii="Times New Roman" w:hAnsi="Times New Roman" w:cs="Times New Roman"/>
          <w:sz w:val="24"/>
          <w:szCs w:val="24"/>
        </w:rPr>
        <w:t xml:space="preserve"> In this sense we can argue that Branwen suffers from her role as a mother. </w:t>
      </w:r>
      <w:r w:rsidR="004C795D">
        <w:rPr>
          <w:rFonts w:ascii="Times New Roman" w:hAnsi="Times New Roman" w:cs="Times New Roman"/>
          <w:sz w:val="24"/>
          <w:szCs w:val="24"/>
        </w:rPr>
        <w:t>On the other hand, in her banishment Branwen becomes an estranged wife, and as Winward explains, for a previously passive character such as Branwen, periods of estrangement are often the key to provoke them into activity.</w:t>
      </w:r>
      <w:r w:rsidR="005C6ABF">
        <w:rPr>
          <w:rStyle w:val="FootnoteReference"/>
          <w:rFonts w:ascii="Times New Roman" w:hAnsi="Times New Roman" w:cs="Times New Roman"/>
          <w:sz w:val="24"/>
          <w:szCs w:val="24"/>
        </w:rPr>
        <w:footnoteReference w:id="40"/>
      </w:r>
    </w:p>
    <w:p w:rsidR="00281DF4" w:rsidRDefault="00281DF4" w:rsidP="009E5AA1">
      <w:pPr>
        <w:spacing w:line="480" w:lineRule="auto"/>
        <w:rPr>
          <w:rFonts w:ascii="Times New Roman" w:hAnsi="Times New Roman" w:cs="Times New Roman"/>
          <w:sz w:val="24"/>
          <w:szCs w:val="24"/>
        </w:rPr>
      </w:pPr>
      <w:r>
        <w:rPr>
          <w:rFonts w:ascii="Times New Roman" w:hAnsi="Times New Roman" w:cs="Times New Roman"/>
          <w:sz w:val="24"/>
          <w:szCs w:val="24"/>
        </w:rPr>
        <w:t>The impact of motherhood and marriage on female independence is even clearer in the case of Rhiannon.</w:t>
      </w:r>
      <w:r w:rsidR="009E3B09">
        <w:rPr>
          <w:rFonts w:ascii="Times New Roman" w:hAnsi="Times New Roman" w:cs="Times New Roman"/>
          <w:sz w:val="24"/>
          <w:szCs w:val="24"/>
        </w:rPr>
        <w:t xml:space="preserve"> As a single woman Rhiannon possesses a forthrightness and authority that few o</w:t>
      </w:r>
      <w:r w:rsidR="00DD6BB8">
        <w:rPr>
          <w:rFonts w:ascii="Times New Roman" w:hAnsi="Times New Roman" w:cs="Times New Roman"/>
          <w:sz w:val="24"/>
          <w:szCs w:val="24"/>
        </w:rPr>
        <w:t>ther</w:t>
      </w:r>
      <w:r w:rsidR="009E3B09">
        <w:rPr>
          <w:rFonts w:ascii="Times New Roman" w:hAnsi="Times New Roman" w:cs="Times New Roman"/>
          <w:sz w:val="24"/>
          <w:szCs w:val="24"/>
        </w:rPr>
        <w:t xml:space="preserve"> characters can match</w:t>
      </w:r>
      <w:r w:rsidR="006D401F">
        <w:rPr>
          <w:rFonts w:ascii="Times New Roman" w:hAnsi="Times New Roman" w:cs="Times New Roman"/>
          <w:sz w:val="24"/>
          <w:szCs w:val="24"/>
        </w:rPr>
        <w:t>, and this carries over to the beginning of her marriage to Pwyll when they reign together as equals. However when the men of Dyfed express worries over her fertility, we see how quickly and dramatically she is reduced to a single function, emphasised by the fact that in their discussion the men of Dyfed do not refer to her by name or title, but merely her gender.</w:t>
      </w:r>
      <w:r w:rsidR="005C6ABF">
        <w:rPr>
          <w:rStyle w:val="FootnoteReference"/>
          <w:rFonts w:ascii="Times New Roman" w:hAnsi="Times New Roman" w:cs="Times New Roman"/>
          <w:sz w:val="24"/>
          <w:szCs w:val="24"/>
        </w:rPr>
        <w:footnoteReference w:id="41"/>
      </w:r>
    </w:p>
    <w:p w:rsidR="00076E74" w:rsidRDefault="00076E74" w:rsidP="009E5AA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Winward argues that </w:t>
      </w:r>
      <w:r w:rsidR="00E17E8C">
        <w:rPr>
          <w:rFonts w:ascii="Times New Roman" w:hAnsi="Times New Roman" w:cs="Times New Roman"/>
          <w:sz w:val="24"/>
          <w:szCs w:val="24"/>
        </w:rPr>
        <w:t>Rhiannon’s inability to convince the chamber women to confess the truth regarding the disappearance of her son is further evidence of her abrupt loss of independence, status, and influence, and regards her simple acceptance of her undeserving punishment as defeatist and in sharp contrast to her characterisation as a single woman.</w:t>
      </w:r>
      <w:r w:rsidR="00A01872">
        <w:rPr>
          <w:rStyle w:val="FootnoteReference"/>
          <w:rFonts w:ascii="Times New Roman" w:hAnsi="Times New Roman" w:cs="Times New Roman"/>
          <w:sz w:val="24"/>
          <w:szCs w:val="24"/>
        </w:rPr>
        <w:footnoteReference w:id="42"/>
      </w:r>
      <w:r w:rsidR="008F1698">
        <w:rPr>
          <w:rFonts w:ascii="Times New Roman" w:hAnsi="Times New Roman" w:cs="Times New Roman"/>
          <w:sz w:val="24"/>
          <w:szCs w:val="24"/>
        </w:rPr>
        <w:t xml:space="preserve"> A more favourable interpretation would be that this episode simply shows another facet of Rhiannon’s character, after all this is the first time we see Rhiannon interacting with other women and her approach is starkly different</w:t>
      </w:r>
      <w:r w:rsidR="00500AF6">
        <w:rPr>
          <w:rFonts w:ascii="Times New Roman" w:hAnsi="Times New Roman" w:cs="Times New Roman"/>
          <w:sz w:val="24"/>
          <w:szCs w:val="24"/>
        </w:rPr>
        <w:t xml:space="preserve"> to her dealings with men. When confronting the chamber women she shows compassion and empathy ‘you poor creatures’, </w:t>
      </w:r>
      <w:r w:rsidR="00A52285">
        <w:rPr>
          <w:rFonts w:ascii="Times New Roman" w:hAnsi="Times New Roman" w:cs="Times New Roman"/>
          <w:sz w:val="24"/>
          <w:szCs w:val="24"/>
        </w:rPr>
        <w:t xml:space="preserve">she entreats but does not manipulate, and </w:t>
      </w:r>
      <w:r w:rsidR="00500AF6">
        <w:rPr>
          <w:rFonts w:ascii="Times New Roman" w:hAnsi="Times New Roman" w:cs="Times New Roman"/>
          <w:sz w:val="24"/>
          <w:szCs w:val="24"/>
        </w:rPr>
        <w:t>ultima</w:t>
      </w:r>
      <w:r w:rsidR="00A52285">
        <w:rPr>
          <w:rFonts w:ascii="Times New Roman" w:hAnsi="Times New Roman" w:cs="Times New Roman"/>
          <w:sz w:val="24"/>
          <w:szCs w:val="24"/>
        </w:rPr>
        <w:t>tely and pragmatically accepts</w:t>
      </w:r>
      <w:r w:rsidR="00500AF6">
        <w:rPr>
          <w:rFonts w:ascii="Times New Roman" w:hAnsi="Times New Roman" w:cs="Times New Roman"/>
          <w:sz w:val="24"/>
          <w:szCs w:val="24"/>
        </w:rPr>
        <w:t xml:space="preserve"> the punishment rather than be at conflict with her fellow women.</w:t>
      </w:r>
      <w:r w:rsidR="00A01872">
        <w:rPr>
          <w:rStyle w:val="FootnoteReference"/>
          <w:rFonts w:ascii="Times New Roman" w:hAnsi="Times New Roman" w:cs="Times New Roman"/>
          <w:sz w:val="24"/>
          <w:szCs w:val="24"/>
        </w:rPr>
        <w:footnoteReference w:id="43"/>
      </w:r>
    </w:p>
    <w:p w:rsidR="00183529" w:rsidRDefault="00183529" w:rsidP="009E5AA1">
      <w:pPr>
        <w:spacing w:line="480" w:lineRule="auto"/>
        <w:rPr>
          <w:rFonts w:ascii="Times New Roman" w:hAnsi="Times New Roman" w:cs="Times New Roman"/>
          <w:sz w:val="24"/>
          <w:szCs w:val="24"/>
        </w:rPr>
      </w:pPr>
      <w:r>
        <w:rPr>
          <w:rFonts w:ascii="Times New Roman" w:hAnsi="Times New Roman" w:cs="Times New Roman"/>
          <w:sz w:val="24"/>
          <w:szCs w:val="24"/>
        </w:rPr>
        <w:t>Winward also argues for the importance of context, and suggests that the author would naturally lose interest in Rhiannon once she becomes wife and mother for in becoming so she has less capacity to take part in adventures</w:t>
      </w:r>
      <w:r w:rsidR="00D93BA9">
        <w:rPr>
          <w:rFonts w:ascii="Times New Roman" w:hAnsi="Times New Roman" w:cs="Times New Roman"/>
          <w:sz w:val="24"/>
          <w:szCs w:val="24"/>
        </w:rPr>
        <w:t>, suggesting that therefore she loses some of her characterisation</w:t>
      </w:r>
      <w:r>
        <w:rPr>
          <w:rFonts w:ascii="Times New Roman" w:hAnsi="Times New Roman" w:cs="Times New Roman"/>
          <w:sz w:val="24"/>
          <w:szCs w:val="24"/>
        </w:rPr>
        <w:t>.</w:t>
      </w:r>
      <w:r w:rsidR="00A01872">
        <w:rPr>
          <w:rStyle w:val="FootnoteReference"/>
          <w:rFonts w:ascii="Times New Roman" w:hAnsi="Times New Roman" w:cs="Times New Roman"/>
          <w:sz w:val="24"/>
          <w:szCs w:val="24"/>
        </w:rPr>
        <w:footnoteReference w:id="44"/>
      </w:r>
      <w:r>
        <w:rPr>
          <w:rFonts w:ascii="Times New Roman" w:hAnsi="Times New Roman" w:cs="Times New Roman"/>
          <w:sz w:val="24"/>
          <w:szCs w:val="24"/>
        </w:rPr>
        <w:t xml:space="preserve"> Cigfa disproves this I would argue, present as she was throughout the full adventure in the Third Branch, and Goewin as mentioned shows how even a character with little description can be interesting. Furthe</w:t>
      </w:r>
      <w:r w:rsidR="00D93BA9">
        <w:rPr>
          <w:rFonts w:ascii="Times New Roman" w:hAnsi="Times New Roman" w:cs="Times New Roman"/>
          <w:sz w:val="24"/>
          <w:szCs w:val="24"/>
        </w:rPr>
        <w:t>rmore a character like Manawydan, who in contrast is given a great amount of description and placed at the centre of his branch, is nonetheless rather bland, with no complexity to his character</w:t>
      </w:r>
      <w:r w:rsidR="009F4126">
        <w:rPr>
          <w:rFonts w:ascii="Times New Roman" w:hAnsi="Times New Roman" w:cs="Times New Roman"/>
          <w:sz w:val="24"/>
          <w:szCs w:val="24"/>
        </w:rPr>
        <w:t xml:space="preserve"> unlike Rhiannon or Aranrhod</w:t>
      </w:r>
      <w:r w:rsidR="00D93BA9">
        <w:rPr>
          <w:rFonts w:ascii="Times New Roman" w:hAnsi="Times New Roman" w:cs="Times New Roman"/>
          <w:sz w:val="24"/>
          <w:szCs w:val="24"/>
        </w:rPr>
        <w:t>. Nor does he seem to develop in any way o</w:t>
      </w:r>
      <w:r w:rsidR="00966D5B">
        <w:rPr>
          <w:rFonts w:ascii="Times New Roman" w:hAnsi="Times New Roman" w:cs="Times New Roman"/>
          <w:sz w:val="24"/>
          <w:szCs w:val="24"/>
        </w:rPr>
        <w:t>ver the course of the narrative unlike Pwyll who develops from a rash and impetuous youth such as when he agrees to Arawn’s terms without hearing them first, to a wise and patient ruler, as shown in how he deals with the accusations against Rhiannon.</w:t>
      </w:r>
      <w:r w:rsidR="00A01872">
        <w:rPr>
          <w:rStyle w:val="FootnoteReference"/>
          <w:rFonts w:ascii="Times New Roman" w:hAnsi="Times New Roman" w:cs="Times New Roman"/>
          <w:sz w:val="24"/>
          <w:szCs w:val="24"/>
        </w:rPr>
        <w:footnoteReference w:id="45"/>
      </w:r>
    </w:p>
    <w:p w:rsidR="00486783" w:rsidRDefault="00486783" w:rsidP="00486783">
      <w:pPr>
        <w:spacing w:line="480" w:lineRule="auto"/>
        <w:rPr>
          <w:rFonts w:ascii="Times New Roman" w:hAnsi="Times New Roman" w:cs="Times New Roman"/>
          <w:sz w:val="24"/>
          <w:szCs w:val="24"/>
        </w:rPr>
      </w:pPr>
      <w:r w:rsidRPr="00486783">
        <w:rPr>
          <w:rFonts w:ascii="Times New Roman" w:hAnsi="Times New Roman" w:cs="Times New Roman"/>
          <w:sz w:val="24"/>
          <w:szCs w:val="24"/>
        </w:rPr>
        <w:lastRenderedPageBreak/>
        <w:t xml:space="preserve">After Pwyll’s death Rhiannon </w:t>
      </w:r>
      <w:r>
        <w:rPr>
          <w:rFonts w:ascii="Times New Roman" w:hAnsi="Times New Roman" w:cs="Times New Roman"/>
          <w:sz w:val="24"/>
          <w:szCs w:val="24"/>
        </w:rPr>
        <w:t xml:space="preserve">regains some of the influence she held as a single woman as demonstrated by the fact that she </w:t>
      </w:r>
      <w:r w:rsidRPr="00486783">
        <w:rPr>
          <w:rFonts w:ascii="Times New Roman" w:hAnsi="Times New Roman" w:cs="Times New Roman"/>
          <w:sz w:val="24"/>
          <w:szCs w:val="24"/>
        </w:rPr>
        <w:t>is free to accept or decline the marriag</w:t>
      </w:r>
      <w:r>
        <w:rPr>
          <w:rFonts w:ascii="Times New Roman" w:hAnsi="Times New Roman" w:cs="Times New Roman"/>
          <w:sz w:val="24"/>
          <w:szCs w:val="24"/>
        </w:rPr>
        <w:t>e to Manawydan, hunts alongside</w:t>
      </w:r>
      <w:r w:rsidRPr="00486783">
        <w:rPr>
          <w:rFonts w:ascii="Times New Roman" w:hAnsi="Times New Roman" w:cs="Times New Roman"/>
          <w:sz w:val="24"/>
          <w:szCs w:val="24"/>
        </w:rPr>
        <w:t xml:space="preserve"> the men, is praised for her speech ahead of her looks, and takes the initiative when going after Pryderi when he disappears. Winward argues </w:t>
      </w:r>
      <w:r>
        <w:rPr>
          <w:rFonts w:ascii="Times New Roman" w:hAnsi="Times New Roman" w:cs="Times New Roman"/>
          <w:sz w:val="24"/>
          <w:szCs w:val="24"/>
        </w:rPr>
        <w:t xml:space="preserve">that </w:t>
      </w:r>
      <w:r w:rsidRPr="00486783">
        <w:rPr>
          <w:rFonts w:ascii="Times New Roman" w:hAnsi="Times New Roman" w:cs="Times New Roman"/>
          <w:sz w:val="24"/>
          <w:szCs w:val="24"/>
        </w:rPr>
        <w:t>this is because she has reverted to being a wife</w:t>
      </w:r>
      <w:r w:rsidR="00B52301">
        <w:rPr>
          <w:rFonts w:ascii="Times New Roman" w:hAnsi="Times New Roman" w:cs="Times New Roman"/>
          <w:sz w:val="24"/>
          <w:szCs w:val="24"/>
        </w:rPr>
        <w:t>,</w:t>
      </w:r>
      <w:r w:rsidRPr="00486783">
        <w:rPr>
          <w:rFonts w:ascii="Times New Roman" w:hAnsi="Times New Roman" w:cs="Times New Roman"/>
          <w:sz w:val="24"/>
          <w:szCs w:val="24"/>
        </w:rPr>
        <w:t xml:space="preserve"> rather than a mother with the pressure to produce </w:t>
      </w:r>
      <w:r>
        <w:rPr>
          <w:rFonts w:ascii="Times New Roman" w:hAnsi="Times New Roman" w:cs="Times New Roman"/>
          <w:sz w:val="24"/>
          <w:szCs w:val="24"/>
        </w:rPr>
        <w:t>an heir as in the First Branch.</w:t>
      </w:r>
      <w:r w:rsidR="00A01872">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However Byfield points out that by choosing to go after her son against her new husband’s wishes, Rhiannon is actually choosing her duty as a mother over her duties as a wife</w:t>
      </w:r>
      <w:r w:rsidR="006A08FD">
        <w:rPr>
          <w:rFonts w:ascii="Times New Roman" w:hAnsi="Times New Roman" w:cs="Times New Roman"/>
          <w:sz w:val="24"/>
          <w:szCs w:val="24"/>
        </w:rPr>
        <w:t>, although this is ultimately to her detriment as she is trapped alongside Pryderi, and so once again a female character suffers for her role as mother.</w:t>
      </w:r>
      <w:r w:rsidR="00A01872">
        <w:rPr>
          <w:rStyle w:val="FootnoteReference"/>
          <w:rFonts w:ascii="Times New Roman" w:hAnsi="Times New Roman" w:cs="Times New Roman"/>
          <w:sz w:val="24"/>
          <w:szCs w:val="24"/>
        </w:rPr>
        <w:footnoteReference w:id="47"/>
      </w:r>
    </w:p>
    <w:p w:rsidR="00421DD5" w:rsidRDefault="00421DD5" w:rsidP="00486783">
      <w:pPr>
        <w:spacing w:line="480" w:lineRule="auto"/>
        <w:rPr>
          <w:rFonts w:ascii="Times New Roman" w:hAnsi="Times New Roman" w:cs="Times New Roman"/>
          <w:sz w:val="24"/>
          <w:szCs w:val="24"/>
        </w:rPr>
      </w:pPr>
      <w:r>
        <w:rPr>
          <w:rFonts w:ascii="Times New Roman" w:hAnsi="Times New Roman" w:cs="Times New Roman"/>
          <w:sz w:val="24"/>
          <w:szCs w:val="24"/>
        </w:rPr>
        <w:t>On the other side of the motherhood issue is the character of Aranrhod, along with Rhiannon one of the best and most fully rounded characters of the Four Branches.</w:t>
      </w:r>
      <w:r w:rsidR="00A01872">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Aranrhod, like Branwen, is not counted among the manipulators but what she does instead is equally if not more interesting. For while Rhiannon, Cigfa, Goewin, and Blodeuedd each skilfully exert their will and independence from within the confines of the patriarchal system in which they live, Aranrhod turns her back on the system entirely, flouting all societal expectations and conventions altogether.</w:t>
      </w:r>
      <w:r w:rsidR="00A01872">
        <w:rPr>
          <w:rStyle w:val="FootnoteReference"/>
          <w:rFonts w:ascii="Times New Roman" w:hAnsi="Times New Roman" w:cs="Times New Roman"/>
          <w:sz w:val="24"/>
          <w:szCs w:val="24"/>
        </w:rPr>
        <w:footnoteReference w:id="49"/>
      </w:r>
      <w:r>
        <w:rPr>
          <w:rFonts w:ascii="Times New Roman" w:hAnsi="Times New Roman" w:cs="Times New Roman"/>
          <w:sz w:val="24"/>
          <w:szCs w:val="24"/>
        </w:rPr>
        <w:t xml:space="preserve"> </w:t>
      </w:r>
      <w:r w:rsidR="00953422">
        <w:rPr>
          <w:rFonts w:ascii="Times New Roman" w:hAnsi="Times New Roman" w:cs="Times New Roman"/>
          <w:sz w:val="24"/>
          <w:szCs w:val="24"/>
        </w:rPr>
        <w:t>Aranrhod is in fact the only one to escape the negative impact of motherhood, as clearly demonstrated when she rejects her maternal responsibilities, and she is able to do so only by completely retreating from society.</w:t>
      </w:r>
      <w:r w:rsidR="00A01872">
        <w:rPr>
          <w:rStyle w:val="FootnoteReference"/>
          <w:rFonts w:ascii="Times New Roman" w:hAnsi="Times New Roman" w:cs="Times New Roman"/>
          <w:sz w:val="24"/>
          <w:szCs w:val="24"/>
        </w:rPr>
        <w:footnoteReference w:id="50"/>
      </w:r>
    </w:p>
    <w:p w:rsidR="00C87FA6" w:rsidRDefault="00B52301" w:rsidP="00486783">
      <w:pPr>
        <w:spacing w:line="480" w:lineRule="auto"/>
        <w:rPr>
          <w:rFonts w:ascii="Times New Roman" w:hAnsi="Times New Roman" w:cs="Times New Roman"/>
          <w:sz w:val="24"/>
          <w:szCs w:val="24"/>
        </w:rPr>
      </w:pPr>
      <w:r>
        <w:rPr>
          <w:rFonts w:ascii="Times New Roman" w:hAnsi="Times New Roman" w:cs="Times New Roman"/>
          <w:sz w:val="24"/>
          <w:szCs w:val="24"/>
        </w:rPr>
        <w:t>While Math</w:t>
      </w:r>
      <w:r w:rsidR="00C87FA6">
        <w:rPr>
          <w:rFonts w:ascii="Times New Roman" w:hAnsi="Times New Roman" w:cs="Times New Roman"/>
          <w:sz w:val="24"/>
          <w:szCs w:val="24"/>
        </w:rPr>
        <w:t xml:space="preserve"> as the ruler of Gwynedd is technically Aranrhod’s lord, and she does answer his summons, for the most part she lives outside of male protection in her own fortress Caer Aranrhod </w:t>
      </w:r>
      <w:r>
        <w:rPr>
          <w:rFonts w:ascii="Times New Roman" w:hAnsi="Times New Roman" w:cs="Times New Roman"/>
          <w:sz w:val="24"/>
          <w:szCs w:val="24"/>
        </w:rPr>
        <w:t>where she acts as lord</w:t>
      </w:r>
      <w:r w:rsidR="009869AA">
        <w:rPr>
          <w:rFonts w:ascii="Times New Roman" w:hAnsi="Times New Roman" w:cs="Times New Roman"/>
          <w:sz w:val="24"/>
          <w:szCs w:val="24"/>
        </w:rPr>
        <w:t>.</w:t>
      </w:r>
      <w:r w:rsidR="00A01872">
        <w:rPr>
          <w:rStyle w:val="FootnoteReference"/>
          <w:rFonts w:ascii="Times New Roman" w:hAnsi="Times New Roman" w:cs="Times New Roman"/>
          <w:sz w:val="24"/>
          <w:szCs w:val="24"/>
        </w:rPr>
        <w:footnoteReference w:id="51"/>
      </w:r>
      <w:r w:rsidR="009869AA">
        <w:rPr>
          <w:rFonts w:ascii="Times New Roman" w:hAnsi="Times New Roman" w:cs="Times New Roman"/>
          <w:sz w:val="24"/>
          <w:szCs w:val="24"/>
        </w:rPr>
        <w:t xml:space="preserve"> This</w:t>
      </w:r>
      <w:r>
        <w:rPr>
          <w:rFonts w:ascii="Times New Roman" w:hAnsi="Times New Roman" w:cs="Times New Roman"/>
          <w:sz w:val="24"/>
          <w:szCs w:val="24"/>
        </w:rPr>
        <w:t xml:space="preserve"> implies she holds a great deal of power</w:t>
      </w:r>
      <w:r w:rsidR="009869AA">
        <w:rPr>
          <w:rFonts w:ascii="Times New Roman" w:hAnsi="Times New Roman" w:cs="Times New Roman"/>
          <w:sz w:val="24"/>
          <w:szCs w:val="24"/>
        </w:rPr>
        <w:t xml:space="preserve">, even more so </w:t>
      </w:r>
      <w:r w:rsidR="009869AA">
        <w:rPr>
          <w:rFonts w:ascii="Times New Roman" w:hAnsi="Times New Roman" w:cs="Times New Roman"/>
          <w:sz w:val="24"/>
          <w:szCs w:val="24"/>
        </w:rPr>
        <w:lastRenderedPageBreak/>
        <w:t>than her brothers. Furthermore her fortress</w:t>
      </w:r>
      <w:r w:rsidR="00C87FA6">
        <w:rPr>
          <w:rFonts w:ascii="Times New Roman" w:hAnsi="Times New Roman" w:cs="Times New Roman"/>
          <w:sz w:val="24"/>
          <w:szCs w:val="24"/>
        </w:rPr>
        <w:t xml:space="preserve"> is described as being a fair distance from Math’s court, and in her isolation it would seem that Aranrhod operates outside of the law.</w:t>
      </w:r>
      <w:r w:rsidR="00A01872">
        <w:rPr>
          <w:rStyle w:val="FootnoteReference"/>
          <w:rFonts w:ascii="Times New Roman" w:hAnsi="Times New Roman" w:cs="Times New Roman"/>
          <w:sz w:val="24"/>
          <w:szCs w:val="24"/>
        </w:rPr>
        <w:footnoteReference w:id="52"/>
      </w:r>
      <w:r w:rsidR="00C87FA6">
        <w:rPr>
          <w:rFonts w:ascii="Times New Roman" w:hAnsi="Times New Roman" w:cs="Times New Roman"/>
          <w:sz w:val="24"/>
          <w:szCs w:val="24"/>
        </w:rPr>
        <w:t xml:space="preserve"> One might for example assume that Math would punish Aranrhod in response to Gwydion’s complaints against her, and yet his only actions are to assist in the creation of Blodeuedd.</w:t>
      </w:r>
      <w:r>
        <w:rPr>
          <w:rFonts w:ascii="Times New Roman" w:hAnsi="Times New Roman" w:cs="Times New Roman"/>
          <w:sz w:val="24"/>
          <w:szCs w:val="24"/>
        </w:rPr>
        <w:t xml:space="preserve"> Aranrhod</w:t>
      </w:r>
      <w:r w:rsidR="009869AA">
        <w:rPr>
          <w:rFonts w:ascii="Times New Roman" w:hAnsi="Times New Roman" w:cs="Times New Roman"/>
          <w:sz w:val="24"/>
          <w:szCs w:val="24"/>
        </w:rPr>
        <w:t xml:space="preserve"> as such,</w:t>
      </w:r>
      <w:r>
        <w:rPr>
          <w:rFonts w:ascii="Times New Roman" w:hAnsi="Times New Roman" w:cs="Times New Roman"/>
          <w:sz w:val="24"/>
          <w:szCs w:val="24"/>
        </w:rPr>
        <w:t xml:space="preserve"> is perhaps the only woman in the Four Branches that comes close to true independence</w:t>
      </w:r>
      <w:r w:rsidR="009869AA">
        <w:rPr>
          <w:rFonts w:ascii="Times New Roman" w:hAnsi="Times New Roman" w:cs="Times New Roman"/>
          <w:sz w:val="24"/>
          <w:szCs w:val="24"/>
        </w:rPr>
        <w:t>.</w:t>
      </w:r>
      <w:r w:rsidR="00A01872">
        <w:rPr>
          <w:rStyle w:val="FootnoteReference"/>
          <w:rFonts w:ascii="Times New Roman" w:hAnsi="Times New Roman" w:cs="Times New Roman"/>
          <w:sz w:val="24"/>
          <w:szCs w:val="24"/>
        </w:rPr>
        <w:footnoteReference w:id="53"/>
      </w:r>
    </w:p>
    <w:p w:rsidR="004B25AD" w:rsidRDefault="009869AA" w:rsidP="00486783">
      <w:pPr>
        <w:spacing w:line="480" w:lineRule="auto"/>
        <w:rPr>
          <w:rFonts w:ascii="Times New Roman" w:hAnsi="Times New Roman" w:cs="Times New Roman"/>
          <w:sz w:val="24"/>
          <w:szCs w:val="24"/>
        </w:rPr>
      </w:pPr>
      <w:r>
        <w:rPr>
          <w:rFonts w:ascii="Times New Roman" w:hAnsi="Times New Roman" w:cs="Times New Roman"/>
          <w:sz w:val="24"/>
          <w:szCs w:val="24"/>
        </w:rPr>
        <w:t>Another aspect of Aranrhod that makes her so interesting is her subjective nature, for both her speech and actions throughout the Fourth Branch give rise to multiple interpretations of her character.</w:t>
      </w:r>
      <w:r w:rsidR="00B75212">
        <w:rPr>
          <w:rFonts w:ascii="Times New Roman" w:hAnsi="Times New Roman" w:cs="Times New Roman"/>
          <w:sz w:val="24"/>
          <w:szCs w:val="24"/>
        </w:rPr>
        <w:t xml:space="preserve"> On one hand Aranrhod can be considered fairly villainous, not only does she abandon her children but goes to some lengths to try and deny her son Lleu any social existence. The Welsh Laws state that a child was legally considered a foetus until they were baptized and given a name, usually including a patronymic, at which point their sex and kinship were publically recognised.</w:t>
      </w:r>
      <w:r w:rsidR="00A01872">
        <w:rPr>
          <w:rStyle w:val="FootnoteReference"/>
          <w:rFonts w:ascii="Times New Roman" w:hAnsi="Times New Roman" w:cs="Times New Roman"/>
          <w:sz w:val="24"/>
          <w:szCs w:val="24"/>
        </w:rPr>
        <w:footnoteReference w:id="54"/>
      </w:r>
      <w:r w:rsidR="00B75212">
        <w:rPr>
          <w:rFonts w:ascii="Times New Roman" w:hAnsi="Times New Roman" w:cs="Times New Roman"/>
          <w:sz w:val="24"/>
          <w:szCs w:val="24"/>
        </w:rPr>
        <w:t xml:space="preserve"> Therefore by denying to name her son, Aranrhod denies him gender and kin at the same time. She significantly also tries to deny him weapons, as the taking of arms was considered a key rite of passage for the Celtic warrior.</w:t>
      </w:r>
      <w:r w:rsidR="00A01872">
        <w:rPr>
          <w:rStyle w:val="FootnoteReference"/>
          <w:rFonts w:ascii="Times New Roman" w:hAnsi="Times New Roman" w:cs="Times New Roman"/>
          <w:sz w:val="24"/>
          <w:szCs w:val="24"/>
        </w:rPr>
        <w:footnoteReference w:id="55"/>
      </w:r>
      <w:r w:rsidR="004B25AD">
        <w:rPr>
          <w:rFonts w:ascii="Times New Roman" w:hAnsi="Times New Roman" w:cs="Times New Roman"/>
          <w:sz w:val="24"/>
          <w:szCs w:val="24"/>
        </w:rPr>
        <w:t xml:space="preserve"> When she is questioned about her virginity at the start of the text, her answer is ambiguous and confusing which may suggest deception and manipulation is taking place.</w:t>
      </w:r>
      <w:r w:rsidR="00A01872">
        <w:rPr>
          <w:rStyle w:val="FootnoteReference"/>
          <w:rFonts w:ascii="Times New Roman" w:hAnsi="Times New Roman" w:cs="Times New Roman"/>
          <w:sz w:val="24"/>
          <w:szCs w:val="24"/>
        </w:rPr>
        <w:footnoteReference w:id="56"/>
      </w:r>
      <w:r w:rsidR="004B25AD">
        <w:rPr>
          <w:rFonts w:ascii="Times New Roman" w:hAnsi="Times New Roman" w:cs="Times New Roman"/>
          <w:sz w:val="24"/>
          <w:szCs w:val="24"/>
        </w:rPr>
        <w:t xml:space="preserve"> </w:t>
      </w:r>
    </w:p>
    <w:p w:rsidR="009869AA" w:rsidRDefault="004B25AD" w:rsidP="00486783">
      <w:pPr>
        <w:spacing w:line="480" w:lineRule="auto"/>
        <w:rPr>
          <w:rFonts w:ascii="Times New Roman" w:hAnsi="Times New Roman" w:cs="Times New Roman"/>
          <w:sz w:val="24"/>
          <w:szCs w:val="24"/>
        </w:rPr>
      </w:pPr>
      <w:r>
        <w:rPr>
          <w:rFonts w:ascii="Times New Roman" w:hAnsi="Times New Roman" w:cs="Times New Roman"/>
          <w:sz w:val="24"/>
          <w:szCs w:val="24"/>
        </w:rPr>
        <w:t>Although as we have seen with regards to the other female characters, manipulation is not necessarily the prerogative of villains. In fact a truly villainous character of the Four Branches, such as Efnysien</w:t>
      </w:r>
      <w:r w:rsidR="00E52589">
        <w:rPr>
          <w:rFonts w:ascii="Times New Roman" w:hAnsi="Times New Roman" w:cs="Times New Roman"/>
          <w:sz w:val="24"/>
          <w:szCs w:val="24"/>
        </w:rPr>
        <w:t xml:space="preserve">, whose psychopathic actions like maiming the horses and murdering Gwern he enacts in full awareness of what the consequences will be, does not use </w:t>
      </w:r>
      <w:r w:rsidR="00E52589">
        <w:rPr>
          <w:rFonts w:ascii="Times New Roman" w:hAnsi="Times New Roman" w:cs="Times New Roman"/>
          <w:sz w:val="24"/>
          <w:szCs w:val="24"/>
        </w:rPr>
        <w:lastRenderedPageBreak/>
        <w:t>manipulation or deception at all.</w:t>
      </w:r>
      <w:r w:rsidR="008B61BD">
        <w:rPr>
          <w:rFonts w:ascii="Times New Roman" w:hAnsi="Times New Roman" w:cs="Times New Roman"/>
          <w:sz w:val="24"/>
          <w:szCs w:val="24"/>
        </w:rPr>
        <w:t xml:space="preserve"> One interpretation of the virginity scene even suggests that Aranrhod is a victim of Math’s, in contrast to his general characterisation as a wise and dutiful lord. From this perspective the </w:t>
      </w:r>
      <w:r w:rsidR="008B61BD" w:rsidRPr="008B61BD">
        <w:rPr>
          <w:rFonts w:ascii="Times New Roman" w:hAnsi="Times New Roman" w:cs="Times New Roman"/>
          <w:sz w:val="24"/>
          <w:szCs w:val="24"/>
        </w:rPr>
        <w:t>ordeal can be seen as decidedly sinister</w:t>
      </w:r>
      <w:r w:rsidR="008B61BD">
        <w:rPr>
          <w:rFonts w:ascii="Times New Roman" w:hAnsi="Times New Roman" w:cs="Times New Roman"/>
          <w:sz w:val="24"/>
          <w:szCs w:val="24"/>
        </w:rPr>
        <w:t>. W</w:t>
      </w:r>
      <w:r w:rsidR="008B61BD" w:rsidRPr="008B61BD">
        <w:rPr>
          <w:rFonts w:ascii="Times New Roman" w:hAnsi="Times New Roman" w:cs="Times New Roman"/>
          <w:sz w:val="24"/>
          <w:szCs w:val="24"/>
        </w:rPr>
        <w:t>hen we consider Math’s words after he commands Aranrhod to step ‘and if you a</w:t>
      </w:r>
      <w:r w:rsidR="008B61BD">
        <w:rPr>
          <w:rFonts w:ascii="Times New Roman" w:hAnsi="Times New Roman" w:cs="Times New Roman"/>
          <w:sz w:val="24"/>
          <w:szCs w:val="24"/>
        </w:rPr>
        <w:t>re a virgin, I will know’,</w:t>
      </w:r>
      <w:r w:rsidR="00A01872">
        <w:rPr>
          <w:rStyle w:val="FootnoteReference"/>
          <w:rFonts w:ascii="Times New Roman" w:hAnsi="Times New Roman" w:cs="Times New Roman"/>
          <w:sz w:val="24"/>
          <w:szCs w:val="24"/>
        </w:rPr>
        <w:footnoteReference w:id="57"/>
      </w:r>
      <w:r w:rsidR="008B61BD">
        <w:rPr>
          <w:rFonts w:ascii="Times New Roman" w:hAnsi="Times New Roman" w:cs="Times New Roman"/>
          <w:sz w:val="24"/>
          <w:szCs w:val="24"/>
        </w:rPr>
        <w:t xml:space="preserve"> this</w:t>
      </w:r>
      <w:r w:rsidR="008B61BD" w:rsidRPr="008B61BD">
        <w:rPr>
          <w:rFonts w:ascii="Times New Roman" w:hAnsi="Times New Roman" w:cs="Times New Roman"/>
          <w:sz w:val="24"/>
          <w:szCs w:val="24"/>
        </w:rPr>
        <w:t xml:space="preserve"> suggests that Math’s </w:t>
      </w:r>
      <w:r w:rsidR="008B61BD">
        <w:rPr>
          <w:rFonts w:ascii="Times New Roman" w:hAnsi="Times New Roman" w:cs="Times New Roman"/>
          <w:i/>
          <w:sz w:val="24"/>
          <w:szCs w:val="24"/>
        </w:rPr>
        <w:t xml:space="preserve">hutlath </w:t>
      </w:r>
      <w:r w:rsidR="008B61BD">
        <w:rPr>
          <w:rFonts w:ascii="Times New Roman" w:hAnsi="Times New Roman" w:cs="Times New Roman"/>
          <w:sz w:val="24"/>
          <w:szCs w:val="24"/>
        </w:rPr>
        <w:t>(</w:t>
      </w:r>
      <w:r w:rsidR="008B61BD" w:rsidRPr="008B61BD">
        <w:rPr>
          <w:rFonts w:ascii="Times New Roman" w:hAnsi="Times New Roman" w:cs="Times New Roman"/>
          <w:sz w:val="24"/>
          <w:szCs w:val="24"/>
        </w:rPr>
        <w:t>magic rod</w:t>
      </w:r>
      <w:r w:rsidR="008B61BD">
        <w:rPr>
          <w:rFonts w:ascii="Times New Roman" w:hAnsi="Times New Roman" w:cs="Times New Roman"/>
          <w:sz w:val="24"/>
          <w:szCs w:val="24"/>
        </w:rPr>
        <w:t>)</w:t>
      </w:r>
      <w:r w:rsidR="008B61BD" w:rsidRPr="008B61BD">
        <w:rPr>
          <w:rFonts w:ascii="Times New Roman" w:hAnsi="Times New Roman" w:cs="Times New Roman"/>
          <w:sz w:val="24"/>
          <w:szCs w:val="24"/>
        </w:rPr>
        <w:t xml:space="preserve"> will communicate intimate knowledge of Aranrhod’s body to him which is quite the violation, especially when we consider that Aranrhod is being commanded to take part in the ordeal rather than doing so by choice. The process is also much more involved and intimate in its implications than the other times the </w:t>
      </w:r>
      <w:r w:rsidR="008B61BD" w:rsidRPr="008B61BD">
        <w:rPr>
          <w:rFonts w:ascii="Times New Roman" w:hAnsi="Times New Roman" w:cs="Times New Roman"/>
          <w:i/>
          <w:sz w:val="24"/>
          <w:szCs w:val="24"/>
        </w:rPr>
        <w:t>hutlath</w:t>
      </w:r>
      <w:r w:rsidR="008B61BD" w:rsidRPr="008B61BD">
        <w:rPr>
          <w:rFonts w:ascii="Times New Roman" w:hAnsi="Times New Roman" w:cs="Times New Roman"/>
          <w:sz w:val="24"/>
          <w:szCs w:val="24"/>
        </w:rPr>
        <w:t xml:space="preserve"> is used, where Math or Gwydion simply strike the person with it to transform them.</w:t>
      </w:r>
      <w:r w:rsidR="00A01872">
        <w:rPr>
          <w:rStyle w:val="FootnoteReference"/>
          <w:rFonts w:ascii="Times New Roman" w:hAnsi="Times New Roman" w:cs="Times New Roman"/>
          <w:sz w:val="24"/>
          <w:szCs w:val="24"/>
        </w:rPr>
        <w:footnoteReference w:id="58"/>
      </w:r>
    </w:p>
    <w:p w:rsidR="00F42E8A" w:rsidRDefault="00F42E8A" w:rsidP="00486783">
      <w:pPr>
        <w:spacing w:line="480" w:lineRule="auto"/>
        <w:rPr>
          <w:rFonts w:ascii="Times New Roman" w:hAnsi="Times New Roman" w:cs="Times New Roman"/>
          <w:sz w:val="24"/>
          <w:szCs w:val="24"/>
        </w:rPr>
      </w:pPr>
      <w:r>
        <w:rPr>
          <w:rFonts w:ascii="Times New Roman" w:hAnsi="Times New Roman" w:cs="Times New Roman"/>
          <w:sz w:val="24"/>
          <w:szCs w:val="24"/>
        </w:rPr>
        <w:t>Therefore for all that Gwydion may call his sister a wicked woman, the fact that Aranrhod</w:t>
      </w:r>
      <w:r w:rsidRPr="00F42E8A">
        <w:rPr>
          <w:rFonts w:ascii="Times New Roman" w:hAnsi="Times New Roman" w:cs="Times New Roman"/>
          <w:sz w:val="24"/>
          <w:szCs w:val="24"/>
        </w:rPr>
        <w:t xml:space="preserve"> is never condemned for her actions by anyone more respectable than Gwydion, as well as the portrayal we are given of h</w:t>
      </w:r>
      <w:r w:rsidR="00DD54FA">
        <w:rPr>
          <w:rFonts w:ascii="Times New Roman" w:hAnsi="Times New Roman" w:cs="Times New Roman"/>
          <w:sz w:val="24"/>
          <w:szCs w:val="24"/>
        </w:rPr>
        <w:t xml:space="preserve">er as courteous, welcoming, </w:t>
      </w:r>
      <w:r w:rsidRPr="00F42E8A">
        <w:rPr>
          <w:rFonts w:ascii="Times New Roman" w:hAnsi="Times New Roman" w:cs="Times New Roman"/>
          <w:sz w:val="24"/>
          <w:szCs w:val="24"/>
        </w:rPr>
        <w:t>responsible for her people, as well as having a good sense of humour, suggests that the characterization here is far from black and white.</w:t>
      </w:r>
      <w:r w:rsidR="00A01872">
        <w:rPr>
          <w:rStyle w:val="FootnoteReference"/>
          <w:rFonts w:ascii="Times New Roman" w:hAnsi="Times New Roman" w:cs="Times New Roman"/>
          <w:sz w:val="24"/>
          <w:szCs w:val="24"/>
        </w:rPr>
        <w:footnoteReference w:id="59"/>
      </w:r>
    </w:p>
    <w:p w:rsidR="00F42E8A" w:rsidRDefault="00F42E8A" w:rsidP="00486783">
      <w:pPr>
        <w:spacing w:line="480" w:lineRule="auto"/>
        <w:rPr>
          <w:rFonts w:ascii="Times New Roman" w:hAnsi="Times New Roman" w:cs="Times New Roman"/>
          <w:sz w:val="24"/>
          <w:szCs w:val="24"/>
        </w:rPr>
      </w:pPr>
      <w:r>
        <w:rPr>
          <w:rFonts w:ascii="Times New Roman" w:hAnsi="Times New Roman" w:cs="Times New Roman"/>
          <w:sz w:val="24"/>
          <w:szCs w:val="24"/>
        </w:rPr>
        <w:t>Additionally t</w:t>
      </w:r>
      <w:r w:rsidRPr="00F42E8A">
        <w:rPr>
          <w:rFonts w:ascii="Times New Roman" w:hAnsi="Times New Roman" w:cs="Times New Roman"/>
          <w:sz w:val="24"/>
          <w:szCs w:val="24"/>
        </w:rPr>
        <w:t>he assumption has long been that Aranrhod rejects her son out of humiliation and shame for the nature of his birth, but Winward points out that it makes more sense that Aranrhod is simply trying to avoid a situation which would rob her of her independence and individuality, something that the other characters in the Four Branches show, is the price of motherhood.</w:t>
      </w:r>
      <w:r w:rsidR="00A01872">
        <w:rPr>
          <w:rStyle w:val="FootnoteReference"/>
          <w:rFonts w:ascii="Times New Roman" w:hAnsi="Times New Roman" w:cs="Times New Roman"/>
          <w:sz w:val="24"/>
          <w:szCs w:val="24"/>
        </w:rPr>
        <w:footnoteReference w:id="60"/>
      </w:r>
      <w:r>
        <w:rPr>
          <w:rFonts w:ascii="Times New Roman" w:hAnsi="Times New Roman" w:cs="Times New Roman"/>
          <w:sz w:val="24"/>
          <w:szCs w:val="24"/>
        </w:rPr>
        <w:t xml:space="preserve"> This seems to be supported by the fact that it is Gwydion, a representative of patriarchal society, who attempts to force her into accepting her maternal responsibilities.</w:t>
      </w:r>
      <w:r w:rsidR="00A01872">
        <w:rPr>
          <w:rStyle w:val="FootnoteReference"/>
          <w:rFonts w:ascii="Times New Roman" w:hAnsi="Times New Roman" w:cs="Times New Roman"/>
          <w:sz w:val="24"/>
          <w:szCs w:val="24"/>
        </w:rPr>
        <w:footnoteReference w:id="61"/>
      </w:r>
    </w:p>
    <w:p w:rsidR="00F42E8A" w:rsidRDefault="00F42E8A" w:rsidP="0048678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Gwydion plays a similar role in the case of Blodeuedd, who just like Aranrhod, can be interpreted in multiple ways.</w:t>
      </w:r>
      <w:r w:rsidR="00183B8E">
        <w:rPr>
          <w:rFonts w:ascii="Times New Roman" w:hAnsi="Times New Roman" w:cs="Times New Roman"/>
          <w:sz w:val="24"/>
          <w:szCs w:val="24"/>
        </w:rPr>
        <w:t xml:space="preserve"> On the one hand Blodeuedd lies with a man other than her husband, and conspires with him to murder Lleu, playing the role of a femme fatale.</w:t>
      </w:r>
      <w:r w:rsidR="00A01872">
        <w:rPr>
          <w:rStyle w:val="FootnoteReference"/>
          <w:rFonts w:ascii="Times New Roman" w:hAnsi="Times New Roman" w:cs="Times New Roman"/>
          <w:sz w:val="24"/>
          <w:szCs w:val="24"/>
        </w:rPr>
        <w:footnoteReference w:id="62"/>
      </w:r>
      <w:r w:rsidR="00183B8E">
        <w:rPr>
          <w:rFonts w:ascii="Times New Roman" w:hAnsi="Times New Roman" w:cs="Times New Roman"/>
          <w:sz w:val="24"/>
          <w:szCs w:val="24"/>
        </w:rPr>
        <w:t xml:space="preserve"> Furthermore she acts in an arguably possessive and controlling way in her relationship with Gronw, making it clear that he is only allowed to leave her side when and if she permits it.</w:t>
      </w:r>
      <w:r w:rsidR="00A01872">
        <w:rPr>
          <w:rStyle w:val="FootnoteReference"/>
          <w:rFonts w:ascii="Times New Roman" w:hAnsi="Times New Roman" w:cs="Times New Roman"/>
          <w:sz w:val="24"/>
          <w:szCs w:val="24"/>
        </w:rPr>
        <w:footnoteReference w:id="63"/>
      </w:r>
      <w:r w:rsidR="00A06707">
        <w:rPr>
          <w:rFonts w:ascii="Times New Roman" w:hAnsi="Times New Roman" w:cs="Times New Roman"/>
          <w:sz w:val="24"/>
          <w:szCs w:val="24"/>
        </w:rPr>
        <w:t xml:space="preserve"> But on the other hand her amoral behaviour may be attributed to her frustration at being trapped under the male authority of Lleu and Gwydion, and her subsequent utter lack of agency and independence.</w:t>
      </w:r>
      <w:r w:rsidR="00A01872">
        <w:rPr>
          <w:rStyle w:val="FootnoteReference"/>
          <w:rFonts w:ascii="Times New Roman" w:hAnsi="Times New Roman" w:cs="Times New Roman"/>
          <w:sz w:val="24"/>
          <w:szCs w:val="24"/>
        </w:rPr>
        <w:footnoteReference w:id="64"/>
      </w:r>
    </w:p>
    <w:p w:rsidR="00781428" w:rsidRDefault="00206DEF" w:rsidP="00486783">
      <w:pPr>
        <w:spacing w:line="480" w:lineRule="auto"/>
        <w:rPr>
          <w:rFonts w:ascii="Times New Roman" w:hAnsi="Times New Roman" w:cs="Times New Roman"/>
          <w:sz w:val="24"/>
          <w:szCs w:val="24"/>
        </w:rPr>
      </w:pPr>
      <w:r>
        <w:rPr>
          <w:rFonts w:ascii="Times New Roman" w:hAnsi="Times New Roman" w:cs="Times New Roman"/>
          <w:sz w:val="24"/>
          <w:szCs w:val="24"/>
        </w:rPr>
        <w:t>As is evident, there is plenty to discuss when considering the characters of the Four Branches, and especially in the case of the women despite their being so many more male characters. When it comes to power and the use of that power, the female characters are clearly more interesting as they strive and often succeed to exert their will i</w:t>
      </w:r>
      <w:r w:rsidR="00DB0B8C">
        <w:rPr>
          <w:rFonts w:ascii="Times New Roman" w:hAnsi="Times New Roman" w:cs="Times New Roman"/>
          <w:sz w:val="24"/>
          <w:szCs w:val="24"/>
        </w:rPr>
        <w:t>n a society that would try to deny them, all by using their keen understanding of the system itself and the place of women within it. They act upon this understanding in ways that are clearly distinct from each other, whether that be manipulation of the male characters, or rejection of the system altogether.</w:t>
      </w:r>
      <w:r w:rsidR="00AA4019">
        <w:rPr>
          <w:rFonts w:ascii="Times New Roman" w:hAnsi="Times New Roman" w:cs="Times New Roman"/>
          <w:sz w:val="24"/>
          <w:szCs w:val="24"/>
        </w:rPr>
        <w:t xml:space="preserve"> While both female and male characters are seen to develop over the course of the narrative, it is the former that are most affected by the themes of motherhood and kinship, particularly in regards to their characterisation. Furthermore while there are examples of characters from both genders that demonstrate ambiguous morals or multiple interpretations of character, I would argue that it is the female characters like Aranrhod and Blodeuedd that offer the most interesting discourse in this area, and indeed it is the women in general that </w:t>
      </w:r>
      <w:r w:rsidR="008700CB">
        <w:rPr>
          <w:rFonts w:ascii="Times New Roman" w:hAnsi="Times New Roman" w:cs="Times New Roman"/>
          <w:sz w:val="24"/>
          <w:szCs w:val="24"/>
        </w:rPr>
        <w:t>are the most interesting characters in the Four Branches.</w:t>
      </w:r>
    </w:p>
    <w:p w:rsidR="00781428" w:rsidRDefault="00781428">
      <w:pPr>
        <w:rPr>
          <w:rFonts w:ascii="Times New Roman" w:hAnsi="Times New Roman" w:cs="Times New Roman"/>
          <w:sz w:val="24"/>
          <w:szCs w:val="24"/>
        </w:rPr>
      </w:pPr>
      <w:r>
        <w:rPr>
          <w:rFonts w:ascii="Times New Roman" w:hAnsi="Times New Roman" w:cs="Times New Roman"/>
          <w:sz w:val="24"/>
          <w:szCs w:val="24"/>
        </w:rPr>
        <w:br w:type="page"/>
      </w:r>
    </w:p>
    <w:p w:rsidR="00525051" w:rsidRDefault="00781428" w:rsidP="00486783">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rsidR="000524CB" w:rsidRDefault="000524CB" w:rsidP="00437711">
      <w:pPr>
        <w:spacing w:line="240" w:lineRule="auto"/>
        <w:rPr>
          <w:rFonts w:ascii="Times New Roman" w:hAnsi="Times New Roman" w:cs="Times New Roman"/>
          <w:sz w:val="24"/>
          <w:szCs w:val="24"/>
        </w:rPr>
      </w:pPr>
      <w:r w:rsidRPr="000524CB">
        <w:rPr>
          <w:rFonts w:ascii="Times New Roman" w:hAnsi="Times New Roman" w:cs="Times New Roman"/>
          <w:sz w:val="24"/>
          <w:szCs w:val="24"/>
        </w:rPr>
        <w:t>Bollard</w:t>
      </w:r>
      <w:r>
        <w:rPr>
          <w:rFonts w:ascii="Times New Roman" w:hAnsi="Times New Roman" w:cs="Times New Roman"/>
          <w:sz w:val="24"/>
          <w:szCs w:val="24"/>
        </w:rPr>
        <w:t>, J.K.</w:t>
      </w:r>
      <w:r w:rsidRPr="000524CB">
        <w:rPr>
          <w:rFonts w:ascii="Times New Roman" w:hAnsi="Times New Roman" w:cs="Times New Roman"/>
          <w:sz w:val="24"/>
          <w:szCs w:val="24"/>
        </w:rPr>
        <w:t xml:space="preserve">, ‘The Role of Myth and Tradition in the Four Branches of the Mabinogi’, </w:t>
      </w:r>
      <w:r w:rsidRPr="000524CB">
        <w:rPr>
          <w:rFonts w:ascii="Times New Roman" w:hAnsi="Times New Roman" w:cs="Times New Roman"/>
          <w:i/>
          <w:sz w:val="24"/>
          <w:szCs w:val="24"/>
        </w:rPr>
        <w:t>Cambridge Medieval Studies</w:t>
      </w:r>
      <w:r w:rsidRPr="000524CB">
        <w:rPr>
          <w:rFonts w:ascii="Times New Roman" w:hAnsi="Times New Roman" w:cs="Times New Roman"/>
          <w:sz w:val="24"/>
          <w:szCs w:val="24"/>
        </w:rPr>
        <w:t>, 6, (1983), 67-86</w:t>
      </w:r>
      <w:r>
        <w:rPr>
          <w:rFonts w:ascii="Times New Roman" w:hAnsi="Times New Roman" w:cs="Times New Roman"/>
          <w:sz w:val="24"/>
          <w:szCs w:val="24"/>
        </w:rPr>
        <w:t>.</w:t>
      </w:r>
    </w:p>
    <w:p w:rsidR="00502446" w:rsidRDefault="00502446" w:rsidP="00437711">
      <w:pPr>
        <w:spacing w:line="240" w:lineRule="auto"/>
        <w:rPr>
          <w:rFonts w:ascii="Times New Roman" w:hAnsi="Times New Roman" w:cs="Times New Roman"/>
          <w:sz w:val="24"/>
          <w:szCs w:val="24"/>
        </w:rPr>
      </w:pPr>
      <w:r w:rsidRPr="00502446">
        <w:rPr>
          <w:rFonts w:ascii="Times New Roman" w:hAnsi="Times New Roman" w:cs="Times New Roman"/>
          <w:sz w:val="24"/>
          <w:szCs w:val="24"/>
        </w:rPr>
        <w:t>Byfield</w:t>
      </w:r>
      <w:r>
        <w:rPr>
          <w:rFonts w:ascii="Times New Roman" w:hAnsi="Times New Roman" w:cs="Times New Roman"/>
          <w:sz w:val="24"/>
          <w:szCs w:val="24"/>
        </w:rPr>
        <w:t>, C.E.</w:t>
      </w:r>
      <w:r w:rsidRPr="00502446">
        <w:rPr>
          <w:rFonts w:ascii="Times New Roman" w:hAnsi="Times New Roman" w:cs="Times New Roman"/>
          <w:sz w:val="24"/>
          <w:szCs w:val="24"/>
        </w:rPr>
        <w:t xml:space="preserve">, ‘Character and Conflict in the Four Branches of the Mabinogi’, </w:t>
      </w:r>
      <w:r w:rsidRPr="00502446">
        <w:rPr>
          <w:rFonts w:ascii="Times New Roman" w:hAnsi="Times New Roman" w:cs="Times New Roman"/>
          <w:i/>
          <w:sz w:val="24"/>
          <w:szCs w:val="24"/>
        </w:rPr>
        <w:t xml:space="preserve">Bulletin of the Board of Celtic Studies, </w:t>
      </w:r>
      <w:r w:rsidRPr="00502446">
        <w:rPr>
          <w:rFonts w:ascii="Times New Roman" w:hAnsi="Times New Roman" w:cs="Times New Roman"/>
          <w:sz w:val="24"/>
          <w:szCs w:val="24"/>
        </w:rPr>
        <w:t>40, 51-72</w:t>
      </w:r>
      <w:r>
        <w:rPr>
          <w:rFonts w:ascii="Times New Roman" w:hAnsi="Times New Roman" w:cs="Times New Roman"/>
          <w:sz w:val="24"/>
          <w:szCs w:val="24"/>
        </w:rPr>
        <w:t>.</w:t>
      </w:r>
    </w:p>
    <w:p w:rsidR="00365BCF" w:rsidRDefault="00365BCF" w:rsidP="00437711">
      <w:pPr>
        <w:spacing w:line="240" w:lineRule="auto"/>
        <w:rPr>
          <w:rFonts w:ascii="Times New Roman" w:hAnsi="Times New Roman" w:cs="Times New Roman"/>
          <w:sz w:val="24"/>
          <w:szCs w:val="24"/>
        </w:rPr>
      </w:pPr>
      <w:r w:rsidRPr="00365BCF">
        <w:rPr>
          <w:rFonts w:ascii="Times New Roman" w:hAnsi="Times New Roman" w:cs="Times New Roman"/>
          <w:sz w:val="24"/>
          <w:szCs w:val="24"/>
        </w:rPr>
        <w:t>Davies</w:t>
      </w:r>
      <w:r>
        <w:rPr>
          <w:rFonts w:ascii="Times New Roman" w:hAnsi="Times New Roman" w:cs="Times New Roman"/>
          <w:sz w:val="24"/>
          <w:szCs w:val="24"/>
        </w:rPr>
        <w:t>, S.</w:t>
      </w:r>
      <w:r w:rsidRPr="00365BCF">
        <w:rPr>
          <w:rFonts w:ascii="Times New Roman" w:hAnsi="Times New Roman" w:cs="Times New Roman"/>
          <w:sz w:val="24"/>
          <w:szCs w:val="24"/>
        </w:rPr>
        <w:t xml:space="preserve">, </w:t>
      </w:r>
      <w:r w:rsidRPr="00365BCF">
        <w:rPr>
          <w:rFonts w:ascii="Times New Roman" w:hAnsi="Times New Roman" w:cs="Times New Roman"/>
          <w:i/>
          <w:sz w:val="24"/>
          <w:szCs w:val="24"/>
        </w:rPr>
        <w:t xml:space="preserve">The Mabinogion </w:t>
      </w:r>
      <w:r w:rsidRPr="00365BCF">
        <w:rPr>
          <w:rFonts w:ascii="Times New Roman" w:hAnsi="Times New Roman" w:cs="Times New Roman"/>
          <w:sz w:val="24"/>
          <w:szCs w:val="24"/>
        </w:rPr>
        <w:t>(Oxford: Oxford University Press, 2007</w:t>
      </w:r>
      <w:r>
        <w:rPr>
          <w:rFonts w:ascii="Times New Roman" w:hAnsi="Times New Roman" w:cs="Times New Roman"/>
          <w:sz w:val="24"/>
          <w:szCs w:val="24"/>
        </w:rPr>
        <w:t>).</w:t>
      </w:r>
    </w:p>
    <w:p w:rsidR="00365BCF" w:rsidRDefault="00365BCF" w:rsidP="00437711">
      <w:pPr>
        <w:spacing w:line="240" w:lineRule="auto"/>
        <w:rPr>
          <w:rFonts w:ascii="Times New Roman" w:hAnsi="Times New Roman" w:cs="Times New Roman"/>
          <w:sz w:val="24"/>
          <w:szCs w:val="24"/>
        </w:rPr>
      </w:pPr>
      <w:r w:rsidRPr="00365BCF">
        <w:rPr>
          <w:rFonts w:ascii="Times New Roman" w:hAnsi="Times New Roman" w:cs="Times New Roman"/>
          <w:sz w:val="24"/>
          <w:szCs w:val="24"/>
        </w:rPr>
        <w:t>Ford</w:t>
      </w:r>
      <w:r>
        <w:rPr>
          <w:rFonts w:ascii="Times New Roman" w:hAnsi="Times New Roman" w:cs="Times New Roman"/>
          <w:sz w:val="24"/>
          <w:szCs w:val="24"/>
        </w:rPr>
        <w:t>, P.K.</w:t>
      </w:r>
      <w:r w:rsidRPr="00365BCF">
        <w:rPr>
          <w:rFonts w:ascii="Times New Roman" w:hAnsi="Times New Roman" w:cs="Times New Roman"/>
          <w:sz w:val="24"/>
          <w:szCs w:val="24"/>
        </w:rPr>
        <w:t xml:space="preserve">, ‘Branwen: A Study of the Celtic Affinities’, </w:t>
      </w:r>
      <w:r w:rsidRPr="00365BCF">
        <w:rPr>
          <w:rFonts w:ascii="Times New Roman" w:hAnsi="Times New Roman" w:cs="Times New Roman"/>
          <w:i/>
          <w:sz w:val="24"/>
          <w:szCs w:val="24"/>
        </w:rPr>
        <w:t xml:space="preserve">Studia Celtica, </w:t>
      </w:r>
      <w:r w:rsidRPr="00365BCF">
        <w:rPr>
          <w:rFonts w:ascii="Times New Roman" w:hAnsi="Times New Roman" w:cs="Times New Roman"/>
          <w:sz w:val="24"/>
          <w:szCs w:val="24"/>
        </w:rPr>
        <w:t>22/3, (1987/8), 29-41</w:t>
      </w:r>
      <w:r>
        <w:rPr>
          <w:rFonts w:ascii="Times New Roman" w:hAnsi="Times New Roman" w:cs="Times New Roman"/>
          <w:sz w:val="24"/>
          <w:szCs w:val="24"/>
        </w:rPr>
        <w:t>.</w:t>
      </w:r>
    </w:p>
    <w:p w:rsidR="00751842" w:rsidRDefault="00751842" w:rsidP="00437711">
      <w:pPr>
        <w:spacing w:line="240" w:lineRule="auto"/>
        <w:rPr>
          <w:rFonts w:ascii="Times New Roman" w:hAnsi="Times New Roman" w:cs="Times New Roman"/>
          <w:sz w:val="24"/>
          <w:szCs w:val="24"/>
        </w:rPr>
      </w:pPr>
      <w:r w:rsidRPr="00751842">
        <w:rPr>
          <w:rFonts w:ascii="Times New Roman" w:hAnsi="Times New Roman" w:cs="Times New Roman"/>
          <w:sz w:val="24"/>
          <w:szCs w:val="24"/>
        </w:rPr>
        <w:t>Ford</w:t>
      </w:r>
      <w:r>
        <w:rPr>
          <w:rFonts w:ascii="Times New Roman" w:hAnsi="Times New Roman" w:cs="Times New Roman"/>
          <w:sz w:val="24"/>
          <w:szCs w:val="24"/>
        </w:rPr>
        <w:t>, P.K.</w:t>
      </w:r>
      <w:r w:rsidRPr="00751842">
        <w:rPr>
          <w:rFonts w:ascii="Times New Roman" w:hAnsi="Times New Roman" w:cs="Times New Roman"/>
          <w:sz w:val="24"/>
          <w:szCs w:val="24"/>
        </w:rPr>
        <w:t xml:space="preserve">, ‘Prolegomena to a Reading of the Mabinogi: Pwyll and Manawydan’, </w:t>
      </w:r>
      <w:r w:rsidRPr="00751842">
        <w:rPr>
          <w:rFonts w:ascii="Times New Roman" w:hAnsi="Times New Roman" w:cs="Times New Roman"/>
          <w:i/>
          <w:sz w:val="24"/>
          <w:szCs w:val="24"/>
        </w:rPr>
        <w:t xml:space="preserve">Studia Celtica, </w:t>
      </w:r>
      <w:r w:rsidRPr="00751842">
        <w:rPr>
          <w:rFonts w:ascii="Times New Roman" w:hAnsi="Times New Roman" w:cs="Times New Roman"/>
          <w:sz w:val="24"/>
          <w:szCs w:val="24"/>
        </w:rPr>
        <w:t>16/17, (1981/82), 110-125</w:t>
      </w:r>
      <w:r w:rsidR="00626DAC">
        <w:rPr>
          <w:rFonts w:ascii="Times New Roman" w:hAnsi="Times New Roman" w:cs="Times New Roman"/>
          <w:sz w:val="24"/>
          <w:szCs w:val="24"/>
        </w:rPr>
        <w:t>.</w:t>
      </w:r>
    </w:p>
    <w:p w:rsidR="00626DAC" w:rsidRDefault="00626DAC" w:rsidP="00437711">
      <w:pPr>
        <w:spacing w:line="240" w:lineRule="auto"/>
        <w:rPr>
          <w:rFonts w:ascii="Times New Roman" w:hAnsi="Times New Roman" w:cs="Times New Roman"/>
          <w:sz w:val="24"/>
          <w:szCs w:val="24"/>
        </w:rPr>
      </w:pPr>
      <w:r w:rsidRPr="00626DAC">
        <w:rPr>
          <w:rFonts w:ascii="Times New Roman" w:hAnsi="Times New Roman" w:cs="Times New Roman"/>
          <w:sz w:val="24"/>
          <w:szCs w:val="24"/>
        </w:rPr>
        <w:t>Hanson-Smith</w:t>
      </w:r>
      <w:r>
        <w:rPr>
          <w:rFonts w:ascii="Times New Roman" w:hAnsi="Times New Roman" w:cs="Times New Roman"/>
          <w:sz w:val="24"/>
          <w:szCs w:val="24"/>
        </w:rPr>
        <w:t>, E.</w:t>
      </w:r>
      <w:r w:rsidRPr="00626DAC">
        <w:rPr>
          <w:rFonts w:ascii="Times New Roman" w:hAnsi="Times New Roman" w:cs="Times New Roman"/>
          <w:sz w:val="24"/>
          <w:szCs w:val="24"/>
        </w:rPr>
        <w:t xml:space="preserve">, ‘Pwyll Prince of Dyfed: The Narrative Structure’, </w:t>
      </w:r>
      <w:r w:rsidRPr="00626DAC">
        <w:rPr>
          <w:rFonts w:ascii="Times New Roman" w:hAnsi="Times New Roman" w:cs="Times New Roman"/>
          <w:i/>
          <w:sz w:val="24"/>
          <w:szCs w:val="24"/>
        </w:rPr>
        <w:t xml:space="preserve">Studia Celtica, </w:t>
      </w:r>
      <w:r w:rsidRPr="00626DAC">
        <w:rPr>
          <w:rFonts w:ascii="Times New Roman" w:hAnsi="Times New Roman" w:cs="Times New Roman"/>
          <w:sz w:val="24"/>
          <w:szCs w:val="24"/>
        </w:rPr>
        <w:t>16/17, (1981/82), 126-134</w:t>
      </w:r>
      <w:r>
        <w:rPr>
          <w:rFonts w:ascii="Times New Roman" w:hAnsi="Times New Roman" w:cs="Times New Roman"/>
          <w:sz w:val="24"/>
          <w:szCs w:val="24"/>
        </w:rPr>
        <w:t>.</w:t>
      </w:r>
    </w:p>
    <w:p w:rsidR="00781428" w:rsidRDefault="00525051" w:rsidP="00437711">
      <w:pPr>
        <w:spacing w:line="240" w:lineRule="auto"/>
        <w:rPr>
          <w:rFonts w:ascii="Times New Roman" w:hAnsi="Times New Roman" w:cs="Times New Roman"/>
          <w:sz w:val="24"/>
          <w:szCs w:val="24"/>
        </w:rPr>
      </w:pPr>
      <w:r w:rsidRPr="00525051">
        <w:rPr>
          <w:rFonts w:ascii="Times New Roman" w:hAnsi="Times New Roman" w:cs="Times New Roman"/>
          <w:sz w:val="24"/>
          <w:szCs w:val="24"/>
        </w:rPr>
        <w:t>Hemming</w:t>
      </w:r>
      <w:r>
        <w:rPr>
          <w:rFonts w:ascii="Times New Roman" w:hAnsi="Times New Roman" w:cs="Times New Roman"/>
          <w:sz w:val="24"/>
          <w:szCs w:val="24"/>
        </w:rPr>
        <w:t>, J.</w:t>
      </w:r>
      <w:r w:rsidRPr="00525051">
        <w:rPr>
          <w:rFonts w:ascii="Times New Roman" w:hAnsi="Times New Roman" w:cs="Times New Roman"/>
          <w:sz w:val="24"/>
          <w:szCs w:val="24"/>
        </w:rPr>
        <w:t xml:space="preserve">, </w:t>
      </w:r>
      <w:r w:rsidR="00751842" w:rsidRPr="00751842">
        <w:rPr>
          <w:rFonts w:ascii="Times New Roman" w:hAnsi="Times New Roman" w:cs="Times New Roman"/>
          <w:sz w:val="24"/>
          <w:szCs w:val="24"/>
        </w:rPr>
        <w:t>‘Ancient Tradition or Authorial Invention?: The “Mythological” Names in the Four Branches’</w:t>
      </w:r>
      <w:r w:rsidR="00751842">
        <w:rPr>
          <w:rFonts w:ascii="Times New Roman" w:hAnsi="Times New Roman" w:cs="Times New Roman"/>
          <w:sz w:val="24"/>
          <w:szCs w:val="24"/>
        </w:rPr>
        <w:t xml:space="preserve">, </w:t>
      </w:r>
      <w:r w:rsidRPr="00525051">
        <w:rPr>
          <w:rFonts w:ascii="Times New Roman" w:hAnsi="Times New Roman" w:cs="Times New Roman"/>
          <w:i/>
          <w:sz w:val="24"/>
          <w:szCs w:val="24"/>
        </w:rPr>
        <w:t>Myth in Celtic Literatures</w:t>
      </w:r>
      <w:r w:rsidRPr="00525051">
        <w:rPr>
          <w:rFonts w:ascii="Times New Roman" w:hAnsi="Times New Roman" w:cs="Times New Roman"/>
          <w:sz w:val="24"/>
          <w:szCs w:val="24"/>
        </w:rPr>
        <w:t>, ed. Nagy</w:t>
      </w:r>
      <w:r>
        <w:rPr>
          <w:rFonts w:ascii="Times New Roman" w:hAnsi="Times New Roman" w:cs="Times New Roman"/>
          <w:sz w:val="24"/>
          <w:szCs w:val="24"/>
        </w:rPr>
        <w:t>, J.F.,</w:t>
      </w:r>
      <w:r w:rsidRPr="00525051">
        <w:rPr>
          <w:rFonts w:ascii="Times New Roman" w:hAnsi="Times New Roman" w:cs="Times New Roman"/>
          <w:sz w:val="24"/>
          <w:szCs w:val="24"/>
        </w:rPr>
        <w:t xml:space="preserve"> (Dublin: Four Courts Press, 2007)</w:t>
      </w:r>
      <w:r>
        <w:rPr>
          <w:rFonts w:ascii="Times New Roman" w:hAnsi="Times New Roman" w:cs="Times New Roman"/>
          <w:sz w:val="24"/>
          <w:szCs w:val="24"/>
        </w:rPr>
        <w:t>.</w:t>
      </w:r>
    </w:p>
    <w:p w:rsidR="00751842" w:rsidRDefault="00751842" w:rsidP="00437711">
      <w:pPr>
        <w:spacing w:line="240" w:lineRule="auto"/>
        <w:rPr>
          <w:rFonts w:ascii="Times New Roman" w:hAnsi="Times New Roman" w:cs="Times New Roman"/>
          <w:sz w:val="24"/>
          <w:szCs w:val="24"/>
        </w:rPr>
      </w:pPr>
      <w:r w:rsidRPr="00751842">
        <w:rPr>
          <w:rFonts w:ascii="Times New Roman" w:hAnsi="Times New Roman" w:cs="Times New Roman"/>
          <w:sz w:val="24"/>
          <w:szCs w:val="24"/>
        </w:rPr>
        <w:t>Hutton</w:t>
      </w:r>
      <w:r>
        <w:rPr>
          <w:rFonts w:ascii="Times New Roman" w:hAnsi="Times New Roman" w:cs="Times New Roman"/>
          <w:sz w:val="24"/>
          <w:szCs w:val="24"/>
        </w:rPr>
        <w:t>, R.</w:t>
      </w:r>
      <w:r w:rsidRPr="00751842">
        <w:rPr>
          <w:rFonts w:ascii="Times New Roman" w:hAnsi="Times New Roman" w:cs="Times New Roman"/>
          <w:sz w:val="24"/>
          <w:szCs w:val="24"/>
        </w:rPr>
        <w:t xml:space="preserve">, ‘Medieval Welsh Literature and Pre-Christian Deities’, </w:t>
      </w:r>
      <w:r w:rsidRPr="00751842">
        <w:rPr>
          <w:rFonts w:ascii="Times New Roman" w:hAnsi="Times New Roman" w:cs="Times New Roman"/>
          <w:i/>
          <w:sz w:val="24"/>
          <w:szCs w:val="24"/>
        </w:rPr>
        <w:t xml:space="preserve">Cambrian Medieval Celtic Studies, </w:t>
      </w:r>
      <w:r w:rsidRPr="00751842">
        <w:rPr>
          <w:rFonts w:ascii="Times New Roman" w:hAnsi="Times New Roman" w:cs="Times New Roman"/>
          <w:sz w:val="24"/>
          <w:szCs w:val="24"/>
        </w:rPr>
        <w:t>61, 57-85</w:t>
      </w:r>
      <w:r w:rsidR="00437711">
        <w:rPr>
          <w:rFonts w:ascii="Times New Roman" w:hAnsi="Times New Roman" w:cs="Times New Roman"/>
          <w:sz w:val="24"/>
          <w:szCs w:val="24"/>
        </w:rPr>
        <w:t>.</w:t>
      </w:r>
    </w:p>
    <w:p w:rsidR="00751842" w:rsidRDefault="00751842" w:rsidP="00437711">
      <w:pPr>
        <w:spacing w:line="240" w:lineRule="auto"/>
        <w:rPr>
          <w:rFonts w:ascii="Times New Roman" w:hAnsi="Times New Roman" w:cs="Times New Roman"/>
          <w:sz w:val="24"/>
          <w:szCs w:val="24"/>
        </w:rPr>
      </w:pPr>
      <w:r w:rsidRPr="00751842">
        <w:rPr>
          <w:rFonts w:ascii="Times New Roman" w:hAnsi="Times New Roman" w:cs="Times New Roman"/>
          <w:sz w:val="24"/>
          <w:szCs w:val="24"/>
        </w:rPr>
        <w:t>Kapphahn</w:t>
      </w:r>
      <w:r>
        <w:rPr>
          <w:rFonts w:ascii="Times New Roman" w:hAnsi="Times New Roman" w:cs="Times New Roman"/>
          <w:sz w:val="24"/>
          <w:szCs w:val="24"/>
        </w:rPr>
        <w:t>, K.R.L.</w:t>
      </w:r>
      <w:r w:rsidRPr="00751842">
        <w:rPr>
          <w:rFonts w:ascii="Times New Roman" w:hAnsi="Times New Roman" w:cs="Times New Roman"/>
          <w:sz w:val="24"/>
          <w:szCs w:val="24"/>
        </w:rPr>
        <w:t xml:space="preserve">, </w:t>
      </w:r>
      <w:r w:rsidRPr="00751842">
        <w:rPr>
          <w:rFonts w:ascii="Times New Roman" w:hAnsi="Times New Roman" w:cs="Times New Roman"/>
          <w:i/>
          <w:sz w:val="24"/>
          <w:szCs w:val="24"/>
        </w:rPr>
        <w:t xml:space="preserve">Constructions of Gender in Medieval Welsh Literature, </w:t>
      </w:r>
      <w:r w:rsidRPr="00751842">
        <w:rPr>
          <w:rFonts w:ascii="Times New Roman" w:hAnsi="Times New Roman" w:cs="Times New Roman"/>
          <w:sz w:val="24"/>
          <w:szCs w:val="24"/>
        </w:rPr>
        <w:t>(Unpublished MA thesis) Aberystwyth University, 2009</w:t>
      </w:r>
      <w:r>
        <w:rPr>
          <w:rFonts w:ascii="Times New Roman" w:hAnsi="Times New Roman" w:cs="Times New Roman"/>
          <w:sz w:val="24"/>
          <w:szCs w:val="24"/>
        </w:rPr>
        <w:t>.</w:t>
      </w:r>
    </w:p>
    <w:p w:rsidR="00525051" w:rsidRDefault="00525051" w:rsidP="00437711">
      <w:pPr>
        <w:spacing w:line="240" w:lineRule="auto"/>
        <w:rPr>
          <w:rFonts w:ascii="Times New Roman" w:hAnsi="Times New Roman" w:cs="Times New Roman"/>
          <w:sz w:val="24"/>
          <w:szCs w:val="24"/>
        </w:rPr>
      </w:pPr>
      <w:r w:rsidRPr="00525051">
        <w:rPr>
          <w:rFonts w:ascii="Times New Roman" w:hAnsi="Times New Roman" w:cs="Times New Roman"/>
          <w:sz w:val="24"/>
          <w:szCs w:val="24"/>
        </w:rPr>
        <w:t>Mac Cana</w:t>
      </w:r>
      <w:r>
        <w:rPr>
          <w:rFonts w:ascii="Times New Roman" w:hAnsi="Times New Roman" w:cs="Times New Roman"/>
          <w:sz w:val="24"/>
          <w:szCs w:val="24"/>
        </w:rPr>
        <w:t>, P.</w:t>
      </w:r>
      <w:r w:rsidRPr="00525051">
        <w:rPr>
          <w:rFonts w:ascii="Times New Roman" w:hAnsi="Times New Roman" w:cs="Times New Roman"/>
          <w:sz w:val="24"/>
          <w:szCs w:val="24"/>
        </w:rPr>
        <w:t xml:space="preserve">, </w:t>
      </w:r>
      <w:r w:rsidRPr="00525051">
        <w:rPr>
          <w:rFonts w:ascii="Times New Roman" w:hAnsi="Times New Roman" w:cs="Times New Roman"/>
          <w:i/>
          <w:sz w:val="24"/>
          <w:szCs w:val="24"/>
        </w:rPr>
        <w:t>The Mabinogi</w:t>
      </w:r>
      <w:r w:rsidRPr="00525051">
        <w:rPr>
          <w:rFonts w:ascii="Times New Roman" w:hAnsi="Times New Roman" w:cs="Times New Roman"/>
          <w:sz w:val="24"/>
          <w:szCs w:val="24"/>
        </w:rPr>
        <w:t>, (Cardiff: University Wales Press, 1992)</w:t>
      </w:r>
      <w:r>
        <w:rPr>
          <w:rFonts w:ascii="Times New Roman" w:hAnsi="Times New Roman" w:cs="Times New Roman"/>
          <w:sz w:val="24"/>
          <w:szCs w:val="24"/>
        </w:rPr>
        <w:t>.</w:t>
      </w:r>
    </w:p>
    <w:p w:rsidR="00502446" w:rsidRDefault="00502446" w:rsidP="00437711">
      <w:pPr>
        <w:spacing w:line="240" w:lineRule="auto"/>
        <w:rPr>
          <w:rFonts w:ascii="Times New Roman" w:hAnsi="Times New Roman" w:cs="Times New Roman"/>
          <w:sz w:val="24"/>
          <w:szCs w:val="24"/>
        </w:rPr>
      </w:pPr>
      <w:r w:rsidRPr="00502446">
        <w:rPr>
          <w:rFonts w:ascii="Times New Roman" w:hAnsi="Times New Roman" w:cs="Times New Roman"/>
          <w:sz w:val="24"/>
          <w:szCs w:val="24"/>
        </w:rPr>
        <w:t>Roberts</w:t>
      </w:r>
      <w:r>
        <w:rPr>
          <w:rFonts w:ascii="Times New Roman" w:hAnsi="Times New Roman" w:cs="Times New Roman"/>
          <w:sz w:val="24"/>
          <w:szCs w:val="24"/>
        </w:rPr>
        <w:t>, B.F.</w:t>
      </w:r>
      <w:r w:rsidRPr="00502446">
        <w:rPr>
          <w:rFonts w:ascii="Times New Roman" w:hAnsi="Times New Roman" w:cs="Times New Roman"/>
          <w:sz w:val="24"/>
          <w:szCs w:val="24"/>
        </w:rPr>
        <w:t xml:space="preserve">, </w:t>
      </w:r>
      <w:r w:rsidRPr="00502446">
        <w:rPr>
          <w:rFonts w:ascii="Times New Roman" w:hAnsi="Times New Roman" w:cs="Times New Roman"/>
          <w:i/>
          <w:sz w:val="24"/>
          <w:szCs w:val="24"/>
        </w:rPr>
        <w:t xml:space="preserve">Studies on Middle Welsh Literature, </w:t>
      </w:r>
      <w:r w:rsidRPr="00502446">
        <w:rPr>
          <w:rFonts w:ascii="Times New Roman" w:hAnsi="Times New Roman" w:cs="Times New Roman"/>
          <w:sz w:val="24"/>
          <w:szCs w:val="24"/>
        </w:rPr>
        <w:t>(New York: Edwin Mellen Press, 1992)</w:t>
      </w:r>
      <w:r>
        <w:rPr>
          <w:rFonts w:ascii="Times New Roman" w:hAnsi="Times New Roman" w:cs="Times New Roman"/>
          <w:sz w:val="24"/>
          <w:szCs w:val="24"/>
        </w:rPr>
        <w:t>.</w:t>
      </w:r>
    </w:p>
    <w:p w:rsidR="00437711" w:rsidRDefault="00437711" w:rsidP="00437711">
      <w:pPr>
        <w:spacing w:line="240" w:lineRule="auto"/>
        <w:rPr>
          <w:rFonts w:ascii="Times New Roman" w:hAnsi="Times New Roman" w:cs="Times New Roman"/>
          <w:sz w:val="24"/>
          <w:szCs w:val="24"/>
        </w:rPr>
      </w:pPr>
      <w:r w:rsidRPr="00437711">
        <w:rPr>
          <w:rFonts w:ascii="Times New Roman" w:hAnsi="Times New Roman" w:cs="Times New Roman"/>
          <w:sz w:val="24"/>
          <w:szCs w:val="24"/>
        </w:rPr>
        <w:t>Sheehan</w:t>
      </w:r>
      <w:r>
        <w:rPr>
          <w:rFonts w:ascii="Times New Roman" w:hAnsi="Times New Roman" w:cs="Times New Roman"/>
          <w:sz w:val="24"/>
          <w:szCs w:val="24"/>
        </w:rPr>
        <w:t>, S.</w:t>
      </w:r>
      <w:r w:rsidRPr="00437711">
        <w:rPr>
          <w:rFonts w:ascii="Times New Roman" w:hAnsi="Times New Roman" w:cs="Times New Roman"/>
          <w:sz w:val="24"/>
          <w:szCs w:val="24"/>
        </w:rPr>
        <w:t xml:space="preserve">, ‘Matrilineal Subjects: Ambiguity, Bodies, and Metamorphosis in the Fourth Branch of the Mabinogi’, </w:t>
      </w:r>
      <w:r w:rsidRPr="00437711">
        <w:rPr>
          <w:rFonts w:ascii="Times New Roman" w:hAnsi="Times New Roman" w:cs="Times New Roman"/>
          <w:i/>
          <w:sz w:val="24"/>
          <w:szCs w:val="24"/>
        </w:rPr>
        <w:t xml:space="preserve">Signs, </w:t>
      </w:r>
      <w:r w:rsidRPr="00437711">
        <w:rPr>
          <w:rFonts w:ascii="Times New Roman" w:hAnsi="Times New Roman" w:cs="Times New Roman"/>
          <w:sz w:val="24"/>
          <w:szCs w:val="24"/>
        </w:rPr>
        <w:t>34, 2, (2009), 319-342</w:t>
      </w:r>
      <w:r>
        <w:rPr>
          <w:rFonts w:ascii="Times New Roman" w:hAnsi="Times New Roman" w:cs="Times New Roman"/>
          <w:sz w:val="24"/>
          <w:szCs w:val="24"/>
        </w:rPr>
        <w:t>.</w:t>
      </w:r>
    </w:p>
    <w:p w:rsidR="00525051" w:rsidRPr="00525051" w:rsidRDefault="00525051" w:rsidP="00437711">
      <w:pPr>
        <w:spacing w:line="240" w:lineRule="auto"/>
        <w:rPr>
          <w:rFonts w:ascii="Times New Roman" w:hAnsi="Times New Roman" w:cs="Times New Roman"/>
          <w:sz w:val="24"/>
          <w:szCs w:val="24"/>
        </w:rPr>
      </w:pPr>
      <w:r w:rsidRPr="00525051">
        <w:rPr>
          <w:rFonts w:ascii="Times New Roman" w:hAnsi="Times New Roman" w:cs="Times New Roman"/>
          <w:sz w:val="24"/>
          <w:szCs w:val="24"/>
        </w:rPr>
        <w:t>Winward,</w:t>
      </w:r>
      <w:r>
        <w:rPr>
          <w:rFonts w:ascii="Times New Roman" w:hAnsi="Times New Roman" w:cs="Times New Roman"/>
          <w:sz w:val="24"/>
          <w:szCs w:val="24"/>
        </w:rPr>
        <w:t xml:space="preserve"> F.</w:t>
      </w:r>
      <w:r w:rsidRPr="00525051">
        <w:rPr>
          <w:rFonts w:ascii="Times New Roman" w:hAnsi="Times New Roman" w:cs="Times New Roman"/>
          <w:sz w:val="24"/>
          <w:szCs w:val="24"/>
        </w:rPr>
        <w:t xml:space="preserve"> ‘Some Aspects of the Women in the Four Branches’, </w:t>
      </w:r>
      <w:r w:rsidRPr="00525051">
        <w:rPr>
          <w:rFonts w:ascii="Times New Roman" w:hAnsi="Times New Roman" w:cs="Times New Roman"/>
          <w:i/>
          <w:sz w:val="24"/>
          <w:szCs w:val="24"/>
        </w:rPr>
        <w:t xml:space="preserve">Cambrian Medieval Celtic Studies, </w:t>
      </w:r>
      <w:r w:rsidRPr="00525051">
        <w:rPr>
          <w:rFonts w:ascii="Times New Roman" w:hAnsi="Times New Roman" w:cs="Times New Roman"/>
          <w:sz w:val="24"/>
          <w:szCs w:val="24"/>
        </w:rPr>
        <w:t>34, (1997), 77-106</w:t>
      </w:r>
      <w:r>
        <w:rPr>
          <w:rFonts w:ascii="Times New Roman" w:hAnsi="Times New Roman" w:cs="Times New Roman"/>
          <w:sz w:val="24"/>
          <w:szCs w:val="24"/>
        </w:rPr>
        <w:t>.</w:t>
      </w:r>
    </w:p>
    <w:sectPr w:rsidR="00525051" w:rsidRPr="0052505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208C" w:rsidRDefault="007A208C" w:rsidP="00B56D7B">
      <w:pPr>
        <w:spacing w:after="0" w:line="240" w:lineRule="auto"/>
      </w:pPr>
      <w:r>
        <w:separator/>
      </w:r>
    </w:p>
  </w:endnote>
  <w:endnote w:type="continuationSeparator" w:id="0">
    <w:p w:rsidR="007A208C" w:rsidRDefault="007A208C" w:rsidP="00B56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784932"/>
      <w:docPartObj>
        <w:docPartGallery w:val="Page Numbers (Bottom of Page)"/>
        <w:docPartUnique/>
      </w:docPartObj>
    </w:sdtPr>
    <w:sdtEndPr>
      <w:rPr>
        <w:noProof/>
      </w:rPr>
    </w:sdtEndPr>
    <w:sdtContent>
      <w:p w:rsidR="00703FC3" w:rsidRDefault="00703FC3">
        <w:pPr>
          <w:pStyle w:val="Footer"/>
        </w:pPr>
        <w:r>
          <w:fldChar w:fldCharType="begin"/>
        </w:r>
        <w:r>
          <w:instrText xml:space="preserve"> PAGE   \* MERGEFORMAT </w:instrText>
        </w:r>
        <w:r>
          <w:fldChar w:fldCharType="separate"/>
        </w:r>
        <w:r w:rsidR="00CD3B97">
          <w:rPr>
            <w:noProof/>
          </w:rPr>
          <w:t>32</w:t>
        </w:r>
        <w:r>
          <w:rPr>
            <w:noProof/>
          </w:rPr>
          <w:fldChar w:fldCharType="end"/>
        </w:r>
      </w:p>
    </w:sdtContent>
  </w:sdt>
  <w:p w:rsidR="00703FC3" w:rsidRDefault="00703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208C" w:rsidRDefault="007A208C" w:rsidP="00B56D7B">
      <w:pPr>
        <w:spacing w:after="0" w:line="240" w:lineRule="auto"/>
      </w:pPr>
      <w:r>
        <w:separator/>
      </w:r>
    </w:p>
  </w:footnote>
  <w:footnote w:type="continuationSeparator" w:id="0">
    <w:p w:rsidR="007A208C" w:rsidRDefault="007A208C" w:rsidP="00B56D7B">
      <w:pPr>
        <w:spacing w:after="0" w:line="240" w:lineRule="auto"/>
      </w:pPr>
      <w:r>
        <w:continuationSeparator/>
      </w:r>
    </w:p>
  </w:footnote>
  <w:footnote w:id="1">
    <w:p w:rsidR="00703FC3" w:rsidRDefault="00703FC3">
      <w:pPr>
        <w:pStyle w:val="FootnoteText"/>
      </w:pPr>
      <w:r>
        <w:rPr>
          <w:rStyle w:val="FootnoteReference"/>
        </w:rPr>
        <w:footnoteRef/>
      </w:r>
      <w:r>
        <w:t xml:space="preserve"> </w:t>
      </w:r>
      <w:bookmarkStart w:id="6" w:name="_Hlk534211120"/>
      <w:r>
        <w:t>J. Hemming</w:t>
      </w:r>
      <w:r w:rsidR="00751842">
        <w:t xml:space="preserve">, ‘Ancient Tradition or Authorial Invention?: The “Mythological” Names in the Four Branches’, </w:t>
      </w:r>
      <w:r>
        <w:rPr>
          <w:i/>
        </w:rPr>
        <w:t>Myth in Celtic Literatures</w:t>
      </w:r>
      <w:r>
        <w:t>, ed. J.F. Nagy (Dublin: Four Courts Press, 2007)</w:t>
      </w:r>
      <w:bookmarkEnd w:id="6"/>
      <w:r>
        <w:t>, p. 83.</w:t>
      </w:r>
    </w:p>
  </w:footnote>
  <w:footnote w:id="2">
    <w:p w:rsidR="00703FC3" w:rsidRPr="0016648F" w:rsidRDefault="00703FC3">
      <w:pPr>
        <w:pStyle w:val="FootnoteText"/>
      </w:pPr>
      <w:r>
        <w:rPr>
          <w:rStyle w:val="FootnoteReference"/>
        </w:rPr>
        <w:footnoteRef/>
      </w:r>
      <w:r>
        <w:t xml:space="preserve"> P. </w:t>
      </w:r>
      <w:bookmarkStart w:id="7" w:name="_Hlk534211173"/>
      <w:r>
        <w:t xml:space="preserve">Mac Cana, </w:t>
      </w:r>
      <w:r>
        <w:rPr>
          <w:i/>
        </w:rPr>
        <w:t xml:space="preserve">The Mabinogi, </w:t>
      </w:r>
      <w:r>
        <w:t>(Cardiff: University Wales Press, 1992)</w:t>
      </w:r>
      <w:bookmarkEnd w:id="7"/>
      <w:r>
        <w:t xml:space="preserve">, p. 55; J. Hemming, </w:t>
      </w:r>
      <w:r>
        <w:rPr>
          <w:i/>
        </w:rPr>
        <w:t>Myth in Celtic Literatures</w:t>
      </w:r>
      <w:r>
        <w:t xml:space="preserve">; </w:t>
      </w:r>
      <w:bookmarkStart w:id="8" w:name="_Hlk534211272"/>
      <w:r>
        <w:t xml:space="preserve">F. Winward, ‘Some Aspects of the Women in the Four Branches’, </w:t>
      </w:r>
      <w:r>
        <w:rPr>
          <w:i/>
        </w:rPr>
        <w:t xml:space="preserve">Cambrian Medieval Celtic Studies, </w:t>
      </w:r>
      <w:r>
        <w:t>34, (1997), 77-106</w:t>
      </w:r>
      <w:bookmarkEnd w:id="8"/>
      <w:r>
        <w:t>, p. 79.</w:t>
      </w:r>
    </w:p>
  </w:footnote>
  <w:footnote w:id="3">
    <w:p w:rsidR="00703FC3" w:rsidRPr="0016648F" w:rsidRDefault="00703FC3">
      <w:pPr>
        <w:pStyle w:val="FootnoteText"/>
        <w:rPr>
          <w:i/>
        </w:rPr>
      </w:pPr>
      <w:r>
        <w:rPr>
          <w:rStyle w:val="FootnoteReference"/>
        </w:rPr>
        <w:footnoteRef/>
      </w:r>
      <w:r>
        <w:t xml:space="preserve"> </w:t>
      </w:r>
      <w:bookmarkStart w:id="9" w:name="_Hlk534211314"/>
      <w:r>
        <w:t xml:space="preserve">B.F. Roberts, </w:t>
      </w:r>
      <w:r>
        <w:rPr>
          <w:i/>
        </w:rPr>
        <w:t xml:space="preserve">Studies on Middle Welsh Literature, </w:t>
      </w:r>
      <w:r>
        <w:t>(New York: Edwin Mellen Press, 1992)</w:t>
      </w:r>
      <w:bookmarkEnd w:id="9"/>
      <w:r>
        <w:t>, p. 84.</w:t>
      </w:r>
    </w:p>
  </w:footnote>
  <w:footnote w:id="4">
    <w:p w:rsidR="00703FC3" w:rsidRDefault="00703FC3">
      <w:pPr>
        <w:pStyle w:val="FootnoteText"/>
      </w:pPr>
      <w:r>
        <w:rPr>
          <w:rStyle w:val="FootnoteReference"/>
        </w:rPr>
        <w:footnoteRef/>
      </w:r>
      <w:r>
        <w:t xml:space="preserve"> Ibid.</w:t>
      </w:r>
    </w:p>
  </w:footnote>
  <w:footnote w:id="5">
    <w:p w:rsidR="00703FC3" w:rsidRDefault="00703FC3">
      <w:pPr>
        <w:pStyle w:val="FootnoteText"/>
      </w:pPr>
      <w:r>
        <w:rPr>
          <w:rStyle w:val="FootnoteReference"/>
        </w:rPr>
        <w:footnoteRef/>
      </w:r>
      <w:r>
        <w:t xml:space="preserve"> </w:t>
      </w:r>
      <w:bookmarkStart w:id="10" w:name="_Hlk534211351"/>
      <w:r>
        <w:t xml:space="preserve">C.E. Byfield, ‘Character and Conflict in the Four Branches of the Mabinogi’, </w:t>
      </w:r>
      <w:r>
        <w:rPr>
          <w:i/>
        </w:rPr>
        <w:t xml:space="preserve">Bulletin of the Board of Celtic Studies, </w:t>
      </w:r>
      <w:r>
        <w:t>40, 51-72</w:t>
      </w:r>
      <w:bookmarkEnd w:id="10"/>
      <w:r>
        <w:t>, p. 52.</w:t>
      </w:r>
    </w:p>
  </w:footnote>
  <w:footnote w:id="6">
    <w:p w:rsidR="00703FC3" w:rsidRDefault="00703FC3">
      <w:pPr>
        <w:pStyle w:val="FootnoteText"/>
      </w:pPr>
      <w:r>
        <w:rPr>
          <w:rStyle w:val="FootnoteReference"/>
        </w:rPr>
        <w:footnoteRef/>
      </w:r>
      <w:r>
        <w:t xml:space="preserve"> Ibid.</w:t>
      </w:r>
    </w:p>
  </w:footnote>
  <w:footnote w:id="7">
    <w:p w:rsidR="00703FC3" w:rsidRPr="00002CCF" w:rsidRDefault="00703FC3">
      <w:pPr>
        <w:pStyle w:val="FootnoteText"/>
      </w:pPr>
      <w:r>
        <w:rPr>
          <w:rStyle w:val="FootnoteReference"/>
        </w:rPr>
        <w:footnoteRef/>
      </w:r>
      <w:r>
        <w:t xml:space="preserve"> </w:t>
      </w:r>
      <w:bookmarkStart w:id="11" w:name="_Hlk534211391"/>
      <w:r>
        <w:t xml:space="preserve">S. Davies, </w:t>
      </w:r>
      <w:r>
        <w:rPr>
          <w:i/>
        </w:rPr>
        <w:t xml:space="preserve">The Mabinogion </w:t>
      </w:r>
      <w:r>
        <w:t>(Oxford: Oxford University Press, 2007</w:t>
      </w:r>
      <w:bookmarkEnd w:id="11"/>
      <w:r>
        <w:t>), p. 10.</w:t>
      </w:r>
    </w:p>
  </w:footnote>
  <w:footnote w:id="8">
    <w:p w:rsidR="00703FC3" w:rsidRPr="00414D50" w:rsidRDefault="00703FC3">
      <w:pPr>
        <w:pStyle w:val="FootnoteText"/>
      </w:pPr>
      <w:r>
        <w:rPr>
          <w:rStyle w:val="FootnoteReference"/>
        </w:rPr>
        <w:footnoteRef/>
      </w:r>
      <w:r>
        <w:t xml:space="preserve"> </w:t>
      </w:r>
      <w:bookmarkStart w:id="12" w:name="_Hlk534211425"/>
      <w:r>
        <w:t xml:space="preserve">P.K. Ford, ‘Branwen: A Study of the Celtic Affinities’, </w:t>
      </w:r>
      <w:r>
        <w:rPr>
          <w:i/>
        </w:rPr>
        <w:t xml:space="preserve">Studia Celtica, </w:t>
      </w:r>
      <w:r>
        <w:t>22/3, (1987/8), 29-41</w:t>
      </w:r>
      <w:bookmarkEnd w:id="12"/>
      <w:r>
        <w:t>, p. 29.</w:t>
      </w:r>
    </w:p>
  </w:footnote>
  <w:footnote w:id="9">
    <w:p w:rsidR="00703FC3" w:rsidRDefault="00703FC3">
      <w:pPr>
        <w:pStyle w:val="FootnoteText"/>
      </w:pPr>
      <w:r>
        <w:rPr>
          <w:rStyle w:val="FootnoteReference"/>
        </w:rPr>
        <w:footnoteRef/>
      </w:r>
      <w:r>
        <w:t xml:space="preserve"> </w:t>
      </w:r>
      <w:bookmarkStart w:id="13" w:name="_Hlk534211471"/>
      <w:r>
        <w:t xml:space="preserve">K.R.L. Kapphahn, </w:t>
      </w:r>
      <w:r>
        <w:rPr>
          <w:i/>
        </w:rPr>
        <w:t xml:space="preserve">Constructions of Gender in Medieval Welsh Literature, </w:t>
      </w:r>
      <w:r>
        <w:t>(Unpublished MA thesis) Aberystwyth University, 2009</w:t>
      </w:r>
      <w:bookmarkEnd w:id="13"/>
      <w:r>
        <w:t>, p. 37.</w:t>
      </w:r>
    </w:p>
  </w:footnote>
  <w:footnote w:id="10">
    <w:p w:rsidR="00703FC3" w:rsidRDefault="00703FC3">
      <w:pPr>
        <w:pStyle w:val="FootnoteText"/>
      </w:pPr>
      <w:r>
        <w:rPr>
          <w:rStyle w:val="FootnoteReference"/>
        </w:rPr>
        <w:footnoteRef/>
      </w:r>
      <w:r>
        <w:t xml:space="preserve"> F. Winward, </w:t>
      </w:r>
      <w:r>
        <w:rPr>
          <w:i/>
        </w:rPr>
        <w:t xml:space="preserve">Cambrian Medieval Celtic Studies, </w:t>
      </w:r>
      <w:r>
        <w:t>p. 84.</w:t>
      </w:r>
    </w:p>
  </w:footnote>
  <w:footnote w:id="11">
    <w:p w:rsidR="00703FC3" w:rsidRDefault="00703FC3">
      <w:pPr>
        <w:pStyle w:val="FootnoteText"/>
      </w:pPr>
      <w:r>
        <w:rPr>
          <w:rStyle w:val="FootnoteReference"/>
        </w:rPr>
        <w:footnoteRef/>
      </w:r>
      <w:r>
        <w:t xml:space="preserve"> Ibid.</w:t>
      </w:r>
    </w:p>
  </w:footnote>
  <w:footnote w:id="12">
    <w:p w:rsidR="00703FC3" w:rsidRDefault="00703FC3">
      <w:pPr>
        <w:pStyle w:val="FootnoteText"/>
      </w:pPr>
      <w:r>
        <w:rPr>
          <w:rStyle w:val="FootnoteReference"/>
        </w:rPr>
        <w:footnoteRef/>
      </w:r>
      <w:r>
        <w:t xml:space="preserve"> </w:t>
      </w:r>
      <w:bookmarkStart w:id="14" w:name="_Hlk534211508"/>
      <w:r>
        <w:t xml:space="preserve">P.K. Ford, ‘Prolegomena to a Reading of the Mabinogi: Pwyll and Manawydan’, </w:t>
      </w:r>
      <w:r>
        <w:rPr>
          <w:i/>
        </w:rPr>
        <w:t xml:space="preserve">Studia Celtica, </w:t>
      </w:r>
      <w:r>
        <w:t>16/17, (1981/82), 110-125</w:t>
      </w:r>
      <w:bookmarkEnd w:id="14"/>
      <w:r>
        <w:t>, p. 118.</w:t>
      </w:r>
    </w:p>
  </w:footnote>
  <w:footnote w:id="13">
    <w:p w:rsidR="00703FC3" w:rsidRDefault="00703FC3">
      <w:pPr>
        <w:pStyle w:val="FootnoteText"/>
      </w:pPr>
      <w:r>
        <w:rPr>
          <w:rStyle w:val="FootnoteReference"/>
        </w:rPr>
        <w:footnoteRef/>
      </w:r>
      <w:r>
        <w:t xml:space="preserve"> </w:t>
      </w:r>
      <w:bookmarkStart w:id="15" w:name="_Hlk534211552"/>
      <w:r>
        <w:t xml:space="preserve">R. Hutton, ‘Medieval Welsh Literature and Pre-Christian Deities’, </w:t>
      </w:r>
      <w:r>
        <w:rPr>
          <w:i/>
        </w:rPr>
        <w:t xml:space="preserve">Cambrian Medieval Celtic Studies, </w:t>
      </w:r>
      <w:r>
        <w:t>61, 57-85</w:t>
      </w:r>
      <w:bookmarkEnd w:id="15"/>
      <w:r>
        <w:t>, p. 83.</w:t>
      </w:r>
    </w:p>
  </w:footnote>
  <w:footnote w:id="14">
    <w:p w:rsidR="00703FC3" w:rsidRDefault="00703FC3">
      <w:pPr>
        <w:pStyle w:val="FootnoteText"/>
      </w:pPr>
      <w:r>
        <w:rPr>
          <w:rStyle w:val="FootnoteReference"/>
        </w:rPr>
        <w:footnoteRef/>
      </w:r>
      <w:r>
        <w:t xml:space="preserve"> J. Hemming, </w:t>
      </w:r>
      <w:r>
        <w:rPr>
          <w:i/>
        </w:rPr>
        <w:t>Myth in Celtic Literatures</w:t>
      </w:r>
      <w:r>
        <w:t>, p. 98.</w:t>
      </w:r>
    </w:p>
  </w:footnote>
  <w:footnote w:id="15">
    <w:p w:rsidR="00703FC3" w:rsidRPr="00D133D0" w:rsidRDefault="00703FC3">
      <w:pPr>
        <w:pStyle w:val="FootnoteText"/>
      </w:pPr>
      <w:r>
        <w:rPr>
          <w:rStyle w:val="FootnoteReference"/>
        </w:rPr>
        <w:footnoteRef/>
      </w:r>
      <w:r>
        <w:t xml:space="preserve"> J.K. Bollard, ‘The Role of Myth and Tradition in the Four Branches of the Mabinogi’, </w:t>
      </w:r>
      <w:r>
        <w:rPr>
          <w:i/>
        </w:rPr>
        <w:t>Cambridge Medieval Studies</w:t>
      </w:r>
      <w:r>
        <w:t>, 6, (1983), 67-86, p. 84.</w:t>
      </w:r>
    </w:p>
  </w:footnote>
  <w:footnote w:id="16">
    <w:p w:rsidR="00703FC3" w:rsidRDefault="00703FC3">
      <w:pPr>
        <w:pStyle w:val="FootnoteText"/>
      </w:pPr>
      <w:r>
        <w:rPr>
          <w:rStyle w:val="FootnoteReference"/>
        </w:rPr>
        <w:footnoteRef/>
      </w:r>
      <w:r>
        <w:t xml:space="preserve"> F. Winward, </w:t>
      </w:r>
      <w:r>
        <w:rPr>
          <w:i/>
        </w:rPr>
        <w:t xml:space="preserve">Cambrian Medieval Celtic Studies, </w:t>
      </w:r>
      <w:r>
        <w:t>p. 102.</w:t>
      </w:r>
    </w:p>
  </w:footnote>
  <w:footnote w:id="17">
    <w:p w:rsidR="00703FC3" w:rsidRDefault="00703FC3">
      <w:pPr>
        <w:pStyle w:val="FootnoteText"/>
      </w:pPr>
      <w:r>
        <w:rPr>
          <w:rStyle w:val="FootnoteReference"/>
        </w:rPr>
        <w:footnoteRef/>
      </w:r>
      <w:r>
        <w:t xml:space="preserve"> C.E. Byfield, </w:t>
      </w:r>
      <w:r>
        <w:rPr>
          <w:i/>
        </w:rPr>
        <w:t xml:space="preserve">Bulletin of the Board of Celtic Studies, </w:t>
      </w:r>
      <w:r>
        <w:t>p. 54.</w:t>
      </w:r>
    </w:p>
  </w:footnote>
  <w:footnote w:id="18">
    <w:p w:rsidR="00703FC3" w:rsidRDefault="00703FC3">
      <w:pPr>
        <w:pStyle w:val="FootnoteText"/>
      </w:pPr>
      <w:r>
        <w:rPr>
          <w:rStyle w:val="FootnoteReference"/>
        </w:rPr>
        <w:footnoteRef/>
      </w:r>
      <w:r>
        <w:t xml:space="preserve"> F. Winward, </w:t>
      </w:r>
      <w:r>
        <w:rPr>
          <w:i/>
        </w:rPr>
        <w:t xml:space="preserve">Cambrian Medieval Celtic Studies, </w:t>
      </w:r>
      <w:r>
        <w:t>p. 86.</w:t>
      </w:r>
    </w:p>
  </w:footnote>
  <w:footnote w:id="19">
    <w:p w:rsidR="00703FC3" w:rsidRDefault="00703FC3">
      <w:pPr>
        <w:pStyle w:val="FootnoteText"/>
      </w:pPr>
      <w:r>
        <w:rPr>
          <w:rStyle w:val="FootnoteReference"/>
        </w:rPr>
        <w:footnoteRef/>
      </w:r>
      <w:r>
        <w:t xml:space="preserve"> E. Hanson-Smith, ‘Pwyll Prince of Dyfed: The Narrative Structure’, </w:t>
      </w:r>
      <w:r>
        <w:rPr>
          <w:i/>
        </w:rPr>
        <w:t xml:space="preserve">Studia Celtica, </w:t>
      </w:r>
      <w:r>
        <w:t>16/17, (1981/82), 126-134, p. 130.</w:t>
      </w:r>
    </w:p>
  </w:footnote>
  <w:footnote w:id="20">
    <w:p w:rsidR="00703FC3" w:rsidRDefault="00703FC3">
      <w:pPr>
        <w:pStyle w:val="FootnoteText"/>
      </w:pPr>
      <w:r>
        <w:rPr>
          <w:rStyle w:val="FootnoteReference"/>
        </w:rPr>
        <w:footnoteRef/>
      </w:r>
      <w:r>
        <w:t xml:space="preserve"> F. Winward, </w:t>
      </w:r>
      <w:r>
        <w:rPr>
          <w:i/>
        </w:rPr>
        <w:t xml:space="preserve">Cambrian Medieval Celtic Studies, </w:t>
      </w:r>
      <w:r>
        <w:t>p. 86.</w:t>
      </w:r>
    </w:p>
  </w:footnote>
  <w:footnote w:id="21">
    <w:p w:rsidR="00703FC3" w:rsidRPr="00002CCF" w:rsidRDefault="00703FC3" w:rsidP="005F3151">
      <w:pPr>
        <w:pStyle w:val="FootnoteText"/>
      </w:pPr>
      <w:r>
        <w:rPr>
          <w:rStyle w:val="FootnoteReference"/>
        </w:rPr>
        <w:footnoteRef/>
      </w:r>
      <w:r>
        <w:t xml:space="preserve"> S. Davies, </w:t>
      </w:r>
      <w:r>
        <w:rPr>
          <w:i/>
        </w:rPr>
        <w:t>The Mabinogion</w:t>
      </w:r>
      <w:r>
        <w:t>, p. 12.</w:t>
      </w:r>
    </w:p>
    <w:p w:rsidR="00703FC3" w:rsidRDefault="00703FC3">
      <w:pPr>
        <w:pStyle w:val="FootnoteText"/>
      </w:pPr>
    </w:p>
  </w:footnote>
  <w:footnote w:id="22">
    <w:p w:rsidR="00703FC3" w:rsidRDefault="00703FC3">
      <w:pPr>
        <w:pStyle w:val="FootnoteText"/>
      </w:pPr>
      <w:r>
        <w:rPr>
          <w:rStyle w:val="FootnoteReference"/>
        </w:rPr>
        <w:footnoteRef/>
      </w:r>
      <w:r>
        <w:t xml:space="preserve"> C.E. Byfield, </w:t>
      </w:r>
      <w:r>
        <w:rPr>
          <w:i/>
        </w:rPr>
        <w:t>Bulletin of the Board of Celtic Studies</w:t>
      </w:r>
      <w:r>
        <w:t>, p. 53.</w:t>
      </w:r>
    </w:p>
  </w:footnote>
  <w:footnote w:id="23">
    <w:p w:rsidR="00703FC3" w:rsidRDefault="00703FC3">
      <w:pPr>
        <w:pStyle w:val="FootnoteText"/>
      </w:pPr>
      <w:r>
        <w:rPr>
          <w:rStyle w:val="FootnoteReference"/>
        </w:rPr>
        <w:footnoteRef/>
      </w:r>
      <w:r>
        <w:t xml:space="preserve"> F. Winward, </w:t>
      </w:r>
      <w:r>
        <w:rPr>
          <w:i/>
        </w:rPr>
        <w:t xml:space="preserve">Cambrian Medieval Celtic Studies, </w:t>
      </w:r>
      <w:r>
        <w:t>p. 86.</w:t>
      </w:r>
    </w:p>
  </w:footnote>
  <w:footnote w:id="24">
    <w:p w:rsidR="00703FC3" w:rsidRDefault="00703FC3">
      <w:pPr>
        <w:pStyle w:val="FootnoteText"/>
      </w:pPr>
      <w:r>
        <w:rPr>
          <w:rStyle w:val="FootnoteReference"/>
        </w:rPr>
        <w:footnoteRef/>
      </w:r>
      <w:r>
        <w:t xml:space="preserve"> </w:t>
      </w:r>
      <w:r w:rsidR="00015968">
        <w:t>Ibid.</w:t>
      </w:r>
      <w:r>
        <w:rPr>
          <w:i/>
        </w:rPr>
        <w:t xml:space="preserve">, </w:t>
      </w:r>
      <w:r>
        <w:t>p. 78.</w:t>
      </w:r>
    </w:p>
  </w:footnote>
  <w:footnote w:id="25">
    <w:p w:rsidR="00703FC3" w:rsidRDefault="00703FC3">
      <w:pPr>
        <w:pStyle w:val="FootnoteText"/>
      </w:pPr>
      <w:r>
        <w:rPr>
          <w:rStyle w:val="FootnoteReference"/>
        </w:rPr>
        <w:footnoteRef/>
      </w:r>
      <w:r>
        <w:t xml:space="preserve"> </w:t>
      </w:r>
      <w:r w:rsidR="00015968">
        <w:t xml:space="preserve">Ibid., </w:t>
      </w:r>
      <w:r>
        <w:t>p. 87.</w:t>
      </w:r>
    </w:p>
  </w:footnote>
  <w:footnote w:id="26">
    <w:p w:rsidR="00703FC3" w:rsidRDefault="00703FC3">
      <w:pPr>
        <w:pStyle w:val="FootnoteText"/>
      </w:pPr>
      <w:r>
        <w:rPr>
          <w:rStyle w:val="FootnoteReference"/>
        </w:rPr>
        <w:footnoteRef/>
      </w:r>
      <w:r>
        <w:t xml:space="preserve"> Ibid.</w:t>
      </w:r>
    </w:p>
  </w:footnote>
  <w:footnote w:id="27">
    <w:p w:rsidR="00703FC3" w:rsidRDefault="00703FC3">
      <w:pPr>
        <w:pStyle w:val="FootnoteText"/>
      </w:pPr>
      <w:r>
        <w:rPr>
          <w:rStyle w:val="FootnoteReference"/>
        </w:rPr>
        <w:footnoteRef/>
      </w:r>
      <w:r>
        <w:t xml:space="preserve"> C.E. Byfield, </w:t>
      </w:r>
      <w:r>
        <w:rPr>
          <w:i/>
        </w:rPr>
        <w:t xml:space="preserve">Bulletin of the Board of Celtic Studies, </w:t>
      </w:r>
      <w:r>
        <w:t>p. 64.</w:t>
      </w:r>
    </w:p>
  </w:footnote>
  <w:footnote w:id="28">
    <w:p w:rsidR="00703FC3" w:rsidRDefault="00703FC3">
      <w:pPr>
        <w:pStyle w:val="FootnoteText"/>
      </w:pPr>
      <w:r>
        <w:rPr>
          <w:rStyle w:val="FootnoteReference"/>
        </w:rPr>
        <w:footnoteRef/>
      </w:r>
      <w:r>
        <w:t xml:space="preserve"> F. Winward, </w:t>
      </w:r>
      <w:r>
        <w:rPr>
          <w:i/>
        </w:rPr>
        <w:t xml:space="preserve">Cambrian Medieval Celtic Studies, </w:t>
      </w:r>
      <w:r>
        <w:t>p. 96.</w:t>
      </w:r>
    </w:p>
  </w:footnote>
  <w:footnote w:id="29">
    <w:p w:rsidR="00703FC3" w:rsidRDefault="00703FC3">
      <w:pPr>
        <w:pStyle w:val="FootnoteText"/>
      </w:pPr>
      <w:r>
        <w:rPr>
          <w:rStyle w:val="FootnoteReference"/>
        </w:rPr>
        <w:footnoteRef/>
      </w:r>
      <w:r>
        <w:t xml:space="preserve"> Ibid.</w:t>
      </w:r>
    </w:p>
  </w:footnote>
  <w:footnote w:id="30">
    <w:p w:rsidR="00703FC3" w:rsidRDefault="00703FC3">
      <w:pPr>
        <w:pStyle w:val="FootnoteText"/>
      </w:pPr>
      <w:r>
        <w:rPr>
          <w:rStyle w:val="FootnoteReference"/>
        </w:rPr>
        <w:footnoteRef/>
      </w:r>
      <w:r>
        <w:t xml:space="preserve"> </w:t>
      </w:r>
      <w:r w:rsidR="00015968">
        <w:t xml:space="preserve">Ibid., </w:t>
      </w:r>
      <w:r>
        <w:t>p. 97.</w:t>
      </w:r>
    </w:p>
  </w:footnote>
  <w:footnote w:id="31">
    <w:p w:rsidR="00703FC3" w:rsidRDefault="00703FC3">
      <w:pPr>
        <w:pStyle w:val="FootnoteText"/>
      </w:pPr>
      <w:r>
        <w:rPr>
          <w:rStyle w:val="FootnoteReference"/>
        </w:rPr>
        <w:footnoteRef/>
      </w:r>
      <w:r>
        <w:t xml:space="preserve"> C.E. Byfield, </w:t>
      </w:r>
      <w:r>
        <w:rPr>
          <w:i/>
        </w:rPr>
        <w:t xml:space="preserve">Bulletin of the Board of Celtic Studies, </w:t>
      </w:r>
      <w:r>
        <w:t>p. 66.</w:t>
      </w:r>
    </w:p>
  </w:footnote>
  <w:footnote w:id="32">
    <w:p w:rsidR="00703FC3" w:rsidRDefault="00703FC3">
      <w:pPr>
        <w:pStyle w:val="FootnoteText"/>
      </w:pPr>
      <w:r>
        <w:rPr>
          <w:rStyle w:val="FootnoteReference"/>
        </w:rPr>
        <w:footnoteRef/>
      </w:r>
      <w:r>
        <w:t xml:space="preserve"> C.E. Byfield, </w:t>
      </w:r>
      <w:r>
        <w:rPr>
          <w:i/>
        </w:rPr>
        <w:t xml:space="preserve">Bulletin of the Board of Celtic Studies, </w:t>
      </w:r>
      <w:r>
        <w:t>p. 67.</w:t>
      </w:r>
    </w:p>
  </w:footnote>
  <w:footnote w:id="33">
    <w:p w:rsidR="00703FC3" w:rsidRDefault="00703FC3">
      <w:pPr>
        <w:pStyle w:val="FootnoteText"/>
      </w:pPr>
      <w:r>
        <w:rPr>
          <w:rStyle w:val="FootnoteReference"/>
        </w:rPr>
        <w:footnoteRef/>
      </w:r>
      <w:r>
        <w:t xml:space="preserve"> F. Winward, </w:t>
      </w:r>
      <w:r>
        <w:rPr>
          <w:i/>
        </w:rPr>
        <w:t xml:space="preserve">Cambrian Medieval Celtic Studies, </w:t>
      </w:r>
      <w:r>
        <w:t>p. 102.</w:t>
      </w:r>
    </w:p>
  </w:footnote>
  <w:footnote w:id="34">
    <w:p w:rsidR="00703FC3" w:rsidRDefault="00703FC3">
      <w:pPr>
        <w:pStyle w:val="FootnoteText"/>
      </w:pPr>
      <w:r>
        <w:rPr>
          <w:rStyle w:val="FootnoteReference"/>
        </w:rPr>
        <w:footnoteRef/>
      </w:r>
      <w:r>
        <w:t xml:space="preserve"> </w:t>
      </w:r>
      <w:r w:rsidR="002E0DFF">
        <w:t xml:space="preserve">C.E. Byfield, </w:t>
      </w:r>
      <w:r w:rsidR="002E0DFF">
        <w:rPr>
          <w:i/>
        </w:rPr>
        <w:t xml:space="preserve">Bulletin of the Board of Celtic Studies, </w:t>
      </w:r>
      <w:r w:rsidR="002E0DFF">
        <w:t>p. 68.</w:t>
      </w:r>
    </w:p>
  </w:footnote>
  <w:footnote w:id="35">
    <w:p w:rsidR="00703FC3" w:rsidRDefault="00703FC3">
      <w:pPr>
        <w:pStyle w:val="FootnoteText"/>
      </w:pPr>
      <w:r>
        <w:rPr>
          <w:rStyle w:val="FootnoteReference"/>
        </w:rPr>
        <w:footnoteRef/>
      </w:r>
      <w:r>
        <w:t xml:space="preserve"> </w:t>
      </w:r>
      <w:r w:rsidR="002E0DFF">
        <w:t xml:space="preserve">F. Winward, </w:t>
      </w:r>
      <w:r w:rsidR="002E0DFF">
        <w:rPr>
          <w:i/>
        </w:rPr>
        <w:t xml:space="preserve">Cambrian Medieval Celtic Studies, </w:t>
      </w:r>
      <w:r w:rsidR="002E0DFF">
        <w:t>p. 102.</w:t>
      </w:r>
    </w:p>
  </w:footnote>
  <w:footnote w:id="36">
    <w:p w:rsidR="00703FC3" w:rsidRDefault="00703FC3">
      <w:pPr>
        <w:pStyle w:val="FootnoteText"/>
      </w:pPr>
      <w:r>
        <w:rPr>
          <w:rStyle w:val="FootnoteReference"/>
        </w:rPr>
        <w:footnoteRef/>
      </w:r>
      <w:r>
        <w:t xml:space="preserve"> </w:t>
      </w:r>
      <w:r w:rsidR="002E0DFF">
        <w:t>Ibid.</w:t>
      </w:r>
    </w:p>
  </w:footnote>
  <w:footnote w:id="37">
    <w:p w:rsidR="00703FC3" w:rsidRDefault="00703FC3">
      <w:pPr>
        <w:pStyle w:val="FootnoteText"/>
      </w:pPr>
      <w:r>
        <w:rPr>
          <w:rStyle w:val="FootnoteReference"/>
        </w:rPr>
        <w:footnoteRef/>
      </w:r>
      <w:r>
        <w:t xml:space="preserve"> </w:t>
      </w:r>
      <w:r w:rsidR="002E0DFF">
        <w:t xml:space="preserve">C.E. Byfield, </w:t>
      </w:r>
      <w:r w:rsidR="002E0DFF">
        <w:rPr>
          <w:i/>
        </w:rPr>
        <w:t xml:space="preserve">Bulletin of the Board of Celtic Studies, </w:t>
      </w:r>
      <w:r w:rsidR="002E0DFF">
        <w:t>p. 57.</w:t>
      </w:r>
    </w:p>
  </w:footnote>
  <w:footnote w:id="38">
    <w:p w:rsidR="00703FC3" w:rsidRDefault="00703FC3">
      <w:pPr>
        <w:pStyle w:val="FootnoteText"/>
      </w:pPr>
      <w:r>
        <w:rPr>
          <w:rStyle w:val="FootnoteReference"/>
        </w:rPr>
        <w:footnoteRef/>
      </w:r>
      <w:r>
        <w:t xml:space="preserve"> </w:t>
      </w:r>
      <w:r w:rsidR="00CD3B97">
        <w:t xml:space="preserve">F. Winward, </w:t>
      </w:r>
      <w:r w:rsidR="00CD3B97">
        <w:rPr>
          <w:i/>
        </w:rPr>
        <w:t xml:space="preserve">Cambrian Medieval Celtic Studies, </w:t>
      </w:r>
      <w:r w:rsidR="00CD3B97">
        <w:t>p. 97.</w:t>
      </w:r>
    </w:p>
  </w:footnote>
  <w:footnote w:id="39">
    <w:p w:rsidR="00703FC3" w:rsidRDefault="00703FC3">
      <w:pPr>
        <w:pStyle w:val="FootnoteText"/>
      </w:pPr>
      <w:r>
        <w:rPr>
          <w:rStyle w:val="FootnoteReference"/>
        </w:rPr>
        <w:footnoteRef/>
      </w:r>
      <w:r>
        <w:t xml:space="preserve"> </w:t>
      </w:r>
      <w:r w:rsidR="00015968">
        <w:t>Ibid.</w:t>
      </w:r>
      <w:r w:rsidR="00CD3B97">
        <w:rPr>
          <w:i/>
        </w:rPr>
        <w:t xml:space="preserve">, </w:t>
      </w:r>
      <w:r w:rsidR="00CD3B97">
        <w:t>p. 99</w:t>
      </w:r>
    </w:p>
  </w:footnote>
  <w:footnote w:id="40">
    <w:p w:rsidR="00703FC3" w:rsidRDefault="00703FC3">
      <w:pPr>
        <w:pStyle w:val="FootnoteText"/>
      </w:pPr>
      <w:r>
        <w:rPr>
          <w:rStyle w:val="FootnoteReference"/>
        </w:rPr>
        <w:footnoteRef/>
      </w:r>
      <w:r>
        <w:t xml:space="preserve"> </w:t>
      </w:r>
      <w:r w:rsidR="00015968">
        <w:t>Ibid.</w:t>
      </w:r>
      <w:r w:rsidR="00CD3B97">
        <w:rPr>
          <w:i/>
        </w:rPr>
        <w:t xml:space="preserve">, </w:t>
      </w:r>
      <w:r w:rsidR="00CD3B97">
        <w:t>p. 93.</w:t>
      </w:r>
    </w:p>
  </w:footnote>
  <w:footnote w:id="41">
    <w:p w:rsidR="00703FC3" w:rsidRPr="00F86338" w:rsidRDefault="00703FC3">
      <w:pPr>
        <w:pStyle w:val="FootnoteText"/>
      </w:pPr>
      <w:r>
        <w:rPr>
          <w:rStyle w:val="FootnoteReference"/>
        </w:rPr>
        <w:footnoteRef/>
      </w:r>
      <w:r>
        <w:t xml:space="preserve"> </w:t>
      </w:r>
      <w:r w:rsidR="00015968">
        <w:t>Ibid.</w:t>
      </w:r>
      <w:r w:rsidR="00F86338">
        <w:rPr>
          <w:i/>
        </w:rPr>
        <w:t xml:space="preserve">, </w:t>
      </w:r>
      <w:r w:rsidR="00F86338">
        <w:t>p. 98</w:t>
      </w:r>
    </w:p>
  </w:footnote>
  <w:footnote w:id="42">
    <w:p w:rsidR="00703FC3" w:rsidRDefault="00703FC3">
      <w:pPr>
        <w:pStyle w:val="FootnoteText"/>
      </w:pPr>
      <w:r>
        <w:rPr>
          <w:rStyle w:val="FootnoteReference"/>
        </w:rPr>
        <w:footnoteRef/>
      </w:r>
      <w:r>
        <w:t xml:space="preserve"> </w:t>
      </w:r>
      <w:r w:rsidR="00F86338">
        <w:t>Ibid.</w:t>
      </w:r>
    </w:p>
  </w:footnote>
  <w:footnote w:id="43">
    <w:p w:rsidR="00703FC3" w:rsidRDefault="00703FC3">
      <w:pPr>
        <w:pStyle w:val="FootnoteText"/>
      </w:pPr>
      <w:r>
        <w:rPr>
          <w:rStyle w:val="FootnoteReference"/>
        </w:rPr>
        <w:footnoteRef/>
      </w:r>
      <w:r>
        <w:t xml:space="preserve"> </w:t>
      </w:r>
      <w:r w:rsidR="00D8138D">
        <w:t>Ibid.</w:t>
      </w:r>
    </w:p>
  </w:footnote>
  <w:footnote w:id="44">
    <w:p w:rsidR="00703FC3" w:rsidRDefault="00703FC3">
      <w:pPr>
        <w:pStyle w:val="FootnoteText"/>
      </w:pPr>
      <w:r>
        <w:rPr>
          <w:rStyle w:val="FootnoteReference"/>
        </w:rPr>
        <w:footnoteRef/>
      </w:r>
      <w:r>
        <w:t xml:space="preserve"> </w:t>
      </w:r>
      <w:r w:rsidR="00015968">
        <w:t>Ibid.</w:t>
      </w:r>
      <w:r w:rsidR="00D8138D">
        <w:rPr>
          <w:i/>
        </w:rPr>
        <w:t xml:space="preserve">, </w:t>
      </w:r>
      <w:r w:rsidR="00D8138D">
        <w:t>p. 101.</w:t>
      </w:r>
    </w:p>
  </w:footnote>
  <w:footnote w:id="45">
    <w:p w:rsidR="00703FC3" w:rsidRDefault="00703FC3">
      <w:pPr>
        <w:pStyle w:val="FootnoteText"/>
      </w:pPr>
      <w:r>
        <w:rPr>
          <w:rStyle w:val="FootnoteReference"/>
        </w:rPr>
        <w:footnoteRef/>
      </w:r>
      <w:r>
        <w:t xml:space="preserve"> </w:t>
      </w:r>
      <w:r w:rsidR="00D8138D">
        <w:t xml:space="preserve">C.E. Byfield, </w:t>
      </w:r>
      <w:r w:rsidR="00D8138D">
        <w:rPr>
          <w:i/>
        </w:rPr>
        <w:t xml:space="preserve">Bulletin of the Board of Celtic Studies, </w:t>
      </w:r>
      <w:r w:rsidR="00D8138D">
        <w:t>p. 52.</w:t>
      </w:r>
    </w:p>
  </w:footnote>
  <w:footnote w:id="46">
    <w:p w:rsidR="00703FC3" w:rsidRDefault="00703FC3">
      <w:pPr>
        <w:pStyle w:val="FootnoteText"/>
      </w:pPr>
      <w:r>
        <w:rPr>
          <w:rStyle w:val="FootnoteReference"/>
        </w:rPr>
        <w:footnoteRef/>
      </w:r>
      <w:r>
        <w:t xml:space="preserve"> </w:t>
      </w:r>
      <w:r w:rsidR="00CE6226">
        <w:t xml:space="preserve">F. Winward, </w:t>
      </w:r>
      <w:r w:rsidR="00CE6226">
        <w:rPr>
          <w:i/>
        </w:rPr>
        <w:t xml:space="preserve">Cambrian Medieval Celtic Studies, </w:t>
      </w:r>
      <w:r w:rsidR="00CE6226">
        <w:t>p. 99.</w:t>
      </w:r>
    </w:p>
  </w:footnote>
  <w:footnote w:id="47">
    <w:p w:rsidR="00703FC3" w:rsidRDefault="00703FC3">
      <w:pPr>
        <w:pStyle w:val="FootnoteText"/>
      </w:pPr>
      <w:r>
        <w:rPr>
          <w:rStyle w:val="FootnoteReference"/>
        </w:rPr>
        <w:footnoteRef/>
      </w:r>
      <w:r>
        <w:t xml:space="preserve"> </w:t>
      </w:r>
      <w:r w:rsidR="00E31947">
        <w:t xml:space="preserve">C.E. Byfield, </w:t>
      </w:r>
      <w:r w:rsidR="00E31947">
        <w:rPr>
          <w:i/>
        </w:rPr>
        <w:t xml:space="preserve">Bulletin of the Board of Celtic Studies, </w:t>
      </w:r>
      <w:r w:rsidR="00E31947">
        <w:t>p. 64.</w:t>
      </w:r>
    </w:p>
  </w:footnote>
  <w:footnote w:id="48">
    <w:p w:rsidR="00703FC3" w:rsidRDefault="00703FC3">
      <w:pPr>
        <w:pStyle w:val="FootnoteText"/>
      </w:pPr>
      <w:r>
        <w:rPr>
          <w:rStyle w:val="FootnoteReference"/>
        </w:rPr>
        <w:footnoteRef/>
      </w:r>
      <w:r>
        <w:t xml:space="preserve"> </w:t>
      </w:r>
      <w:r w:rsidR="00443D87">
        <w:t xml:space="preserve">J. Hemming, </w:t>
      </w:r>
      <w:r w:rsidR="00443D87" w:rsidRPr="003F438D">
        <w:rPr>
          <w:i/>
        </w:rPr>
        <w:t>Myth in Celtic Literatures</w:t>
      </w:r>
      <w:r w:rsidR="00443D87">
        <w:t>, p. 100.</w:t>
      </w:r>
    </w:p>
  </w:footnote>
  <w:footnote w:id="49">
    <w:p w:rsidR="00703FC3" w:rsidRDefault="00703FC3">
      <w:pPr>
        <w:pStyle w:val="FootnoteText"/>
      </w:pPr>
      <w:r>
        <w:rPr>
          <w:rStyle w:val="FootnoteReference"/>
        </w:rPr>
        <w:footnoteRef/>
      </w:r>
      <w:r>
        <w:t xml:space="preserve"> </w:t>
      </w:r>
      <w:r w:rsidR="00443D87">
        <w:t xml:space="preserve">F. Winward, </w:t>
      </w:r>
      <w:r w:rsidR="00443D87">
        <w:rPr>
          <w:i/>
        </w:rPr>
        <w:t xml:space="preserve">Cambrian Medieval Celtic Studies, </w:t>
      </w:r>
      <w:r w:rsidR="00443D87">
        <w:t>p. 89.</w:t>
      </w:r>
    </w:p>
  </w:footnote>
  <w:footnote w:id="50">
    <w:p w:rsidR="00703FC3" w:rsidRDefault="00703FC3">
      <w:pPr>
        <w:pStyle w:val="FootnoteText"/>
      </w:pPr>
      <w:r>
        <w:rPr>
          <w:rStyle w:val="FootnoteReference"/>
        </w:rPr>
        <w:footnoteRef/>
      </w:r>
      <w:r>
        <w:t xml:space="preserve"> </w:t>
      </w:r>
      <w:r w:rsidR="00015968">
        <w:t>Ibid.</w:t>
      </w:r>
      <w:r w:rsidR="00443D87">
        <w:rPr>
          <w:i/>
        </w:rPr>
        <w:t xml:space="preserve">, </w:t>
      </w:r>
      <w:r w:rsidR="00443D87">
        <w:t>p. 101.</w:t>
      </w:r>
    </w:p>
  </w:footnote>
  <w:footnote w:id="51">
    <w:p w:rsidR="00703FC3" w:rsidRDefault="00703FC3">
      <w:pPr>
        <w:pStyle w:val="FootnoteText"/>
      </w:pPr>
      <w:r>
        <w:rPr>
          <w:rStyle w:val="FootnoteReference"/>
        </w:rPr>
        <w:footnoteRef/>
      </w:r>
      <w:r>
        <w:t xml:space="preserve"> </w:t>
      </w:r>
      <w:r w:rsidR="00015968">
        <w:t>Ibid.</w:t>
      </w:r>
      <w:r w:rsidR="00443D87">
        <w:rPr>
          <w:i/>
        </w:rPr>
        <w:t xml:space="preserve">, </w:t>
      </w:r>
      <w:r w:rsidR="00443D87">
        <w:t>p. 88.</w:t>
      </w:r>
    </w:p>
  </w:footnote>
  <w:footnote w:id="52">
    <w:p w:rsidR="00703FC3" w:rsidRDefault="00703FC3">
      <w:pPr>
        <w:pStyle w:val="FootnoteText"/>
      </w:pPr>
      <w:r>
        <w:rPr>
          <w:rStyle w:val="FootnoteReference"/>
        </w:rPr>
        <w:footnoteRef/>
      </w:r>
      <w:r>
        <w:t xml:space="preserve"> </w:t>
      </w:r>
      <w:r w:rsidR="00443D87">
        <w:t>Ibid.</w:t>
      </w:r>
    </w:p>
  </w:footnote>
  <w:footnote w:id="53">
    <w:p w:rsidR="00703FC3" w:rsidRDefault="00703FC3">
      <w:pPr>
        <w:pStyle w:val="FootnoteText"/>
      </w:pPr>
      <w:r>
        <w:rPr>
          <w:rStyle w:val="FootnoteReference"/>
        </w:rPr>
        <w:footnoteRef/>
      </w:r>
      <w:r>
        <w:t xml:space="preserve"> </w:t>
      </w:r>
      <w:r w:rsidR="00A652DD">
        <w:t>Ibid.</w:t>
      </w:r>
    </w:p>
  </w:footnote>
  <w:footnote w:id="54">
    <w:p w:rsidR="00703FC3" w:rsidRDefault="00703FC3">
      <w:pPr>
        <w:pStyle w:val="FootnoteText"/>
      </w:pPr>
      <w:r>
        <w:rPr>
          <w:rStyle w:val="FootnoteReference"/>
        </w:rPr>
        <w:footnoteRef/>
      </w:r>
      <w:r>
        <w:t xml:space="preserve"> </w:t>
      </w:r>
      <w:r w:rsidR="00015968">
        <w:t>Ibid.</w:t>
      </w:r>
      <w:r w:rsidR="00A652DD">
        <w:rPr>
          <w:i/>
        </w:rPr>
        <w:t xml:space="preserve">, </w:t>
      </w:r>
      <w:r w:rsidR="00A652DD">
        <w:t>p. 100</w:t>
      </w:r>
    </w:p>
  </w:footnote>
  <w:footnote w:id="55">
    <w:p w:rsidR="00703FC3" w:rsidRDefault="00703FC3">
      <w:pPr>
        <w:pStyle w:val="FootnoteText"/>
      </w:pPr>
      <w:r>
        <w:rPr>
          <w:rStyle w:val="FootnoteReference"/>
        </w:rPr>
        <w:footnoteRef/>
      </w:r>
      <w:r>
        <w:t xml:space="preserve"> </w:t>
      </w:r>
      <w:r w:rsidR="00A652DD">
        <w:t>Ibid.</w:t>
      </w:r>
    </w:p>
  </w:footnote>
  <w:footnote w:id="56">
    <w:p w:rsidR="00703FC3" w:rsidRPr="00A652DD" w:rsidRDefault="00703FC3">
      <w:pPr>
        <w:pStyle w:val="FootnoteText"/>
      </w:pPr>
      <w:r>
        <w:rPr>
          <w:rStyle w:val="FootnoteReference"/>
        </w:rPr>
        <w:footnoteRef/>
      </w:r>
      <w:r>
        <w:t xml:space="preserve"> </w:t>
      </w:r>
      <w:r w:rsidR="00A652DD">
        <w:t xml:space="preserve">S. Sheehan, ‘Matrilineal Subjects: Ambiguity, Bodies, and Metamorphosis in the Fourth Branch of the Mabinogi’, </w:t>
      </w:r>
      <w:r w:rsidR="00A652DD">
        <w:rPr>
          <w:i/>
        </w:rPr>
        <w:t xml:space="preserve">Signs, </w:t>
      </w:r>
      <w:r w:rsidR="00A652DD">
        <w:t>34, 2, (2009), 319-342, p. 325.</w:t>
      </w:r>
    </w:p>
  </w:footnote>
  <w:footnote w:id="57">
    <w:p w:rsidR="00703FC3" w:rsidRDefault="00703FC3">
      <w:pPr>
        <w:pStyle w:val="FootnoteText"/>
      </w:pPr>
      <w:r>
        <w:rPr>
          <w:rStyle w:val="FootnoteReference"/>
        </w:rPr>
        <w:footnoteRef/>
      </w:r>
      <w:r>
        <w:t xml:space="preserve"> </w:t>
      </w:r>
      <w:r w:rsidR="00A652DD">
        <w:t xml:space="preserve">S. Davies, </w:t>
      </w:r>
      <w:r w:rsidR="00A652DD">
        <w:rPr>
          <w:i/>
        </w:rPr>
        <w:t>The Mabinogion</w:t>
      </w:r>
      <w:r w:rsidR="00A652DD">
        <w:t>, p.</w:t>
      </w:r>
      <w:r w:rsidR="00015968">
        <w:t xml:space="preserve"> 54.</w:t>
      </w:r>
    </w:p>
  </w:footnote>
  <w:footnote w:id="58">
    <w:p w:rsidR="00703FC3" w:rsidRDefault="00703FC3">
      <w:pPr>
        <w:pStyle w:val="FootnoteText"/>
      </w:pPr>
      <w:r>
        <w:rPr>
          <w:rStyle w:val="FootnoteReference"/>
        </w:rPr>
        <w:footnoteRef/>
      </w:r>
      <w:r>
        <w:t xml:space="preserve"> </w:t>
      </w:r>
      <w:r w:rsidR="00015968">
        <w:t>S. Sheehan, ‘Matrilineal Subjects’, p. 326.</w:t>
      </w:r>
    </w:p>
  </w:footnote>
  <w:footnote w:id="59">
    <w:p w:rsidR="00703FC3" w:rsidRDefault="00703FC3">
      <w:pPr>
        <w:pStyle w:val="FootnoteText"/>
      </w:pPr>
      <w:r>
        <w:rPr>
          <w:rStyle w:val="FootnoteReference"/>
        </w:rPr>
        <w:footnoteRef/>
      </w:r>
      <w:r>
        <w:t xml:space="preserve"> </w:t>
      </w:r>
      <w:r w:rsidR="00015968">
        <w:t xml:space="preserve">F. Winward, </w:t>
      </w:r>
      <w:r w:rsidR="00015968">
        <w:rPr>
          <w:i/>
        </w:rPr>
        <w:t xml:space="preserve">Cambrian Medieval Celtic Studies, </w:t>
      </w:r>
      <w:r w:rsidR="00015968">
        <w:t>p.</w:t>
      </w:r>
      <w:r w:rsidR="00620B6B">
        <w:t xml:space="preserve"> 103.</w:t>
      </w:r>
    </w:p>
  </w:footnote>
  <w:footnote w:id="60">
    <w:p w:rsidR="00703FC3" w:rsidRDefault="00703FC3">
      <w:pPr>
        <w:pStyle w:val="FootnoteText"/>
      </w:pPr>
      <w:r>
        <w:rPr>
          <w:rStyle w:val="FootnoteReference"/>
        </w:rPr>
        <w:footnoteRef/>
      </w:r>
      <w:r>
        <w:t xml:space="preserve"> </w:t>
      </w:r>
      <w:r w:rsidR="00620B6B">
        <w:t>Ibid., p. 100.</w:t>
      </w:r>
    </w:p>
  </w:footnote>
  <w:footnote w:id="61">
    <w:p w:rsidR="00703FC3" w:rsidRDefault="00703FC3">
      <w:pPr>
        <w:pStyle w:val="FootnoteText"/>
      </w:pPr>
      <w:r>
        <w:rPr>
          <w:rStyle w:val="FootnoteReference"/>
        </w:rPr>
        <w:footnoteRef/>
      </w:r>
      <w:r>
        <w:t xml:space="preserve"> </w:t>
      </w:r>
      <w:r w:rsidR="00620B6B">
        <w:t>Ibid. p. 101.</w:t>
      </w:r>
    </w:p>
  </w:footnote>
  <w:footnote w:id="62">
    <w:p w:rsidR="00703FC3" w:rsidRDefault="00703FC3">
      <w:pPr>
        <w:pStyle w:val="FootnoteText"/>
      </w:pPr>
      <w:r>
        <w:rPr>
          <w:rStyle w:val="FootnoteReference"/>
        </w:rPr>
        <w:footnoteRef/>
      </w:r>
      <w:r>
        <w:t xml:space="preserve"> </w:t>
      </w:r>
      <w:r w:rsidR="00620B6B">
        <w:t xml:space="preserve">P. Mac Cana, </w:t>
      </w:r>
      <w:r w:rsidR="00620B6B">
        <w:rPr>
          <w:i/>
        </w:rPr>
        <w:t>The Mabinogi</w:t>
      </w:r>
      <w:r w:rsidR="00620B6B">
        <w:t>, p. 56.</w:t>
      </w:r>
    </w:p>
  </w:footnote>
  <w:footnote w:id="63">
    <w:p w:rsidR="00703FC3" w:rsidRDefault="00703FC3">
      <w:pPr>
        <w:pStyle w:val="FootnoteText"/>
      </w:pPr>
      <w:r>
        <w:rPr>
          <w:rStyle w:val="FootnoteReference"/>
        </w:rPr>
        <w:footnoteRef/>
      </w:r>
      <w:r>
        <w:t xml:space="preserve"> </w:t>
      </w:r>
      <w:r w:rsidR="00620B6B">
        <w:t xml:space="preserve">F. Winward, </w:t>
      </w:r>
      <w:r w:rsidR="00620B6B">
        <w:rPr>
          <w:i/>
        </w:rPr>
        <w:t xml:space="preserve">Cambrian Medieval Celtic Studies, </w:t>
      </w:r>
      <w:r w:rsidR="00620B6B">
        <w:t>p. 96.</w:t>
      </w:r>
    </w:p>
  </w:footnote>
  <w:footnote w:id="64">
    <w:p w:rsidR="00703FC3" w:rsidRDefault="00703FC3">
      <w:pPr>
        <w:pStyle w:val="FootnoteText"/>
      </w:pPr>
      <w:r>
        <w:rPr>
          <w:rStyle w:val="FootnoteReference"/>
        </w:rPr>
        <w:footnoteRef/>
      </w:r>
      <w:r>
        <w:t xml:space="preserve"> </w:t>
      </w:r>
      <w:r w:rsidR="00620B6B">
        <w:t>Ibid., p. 97.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E731A"/>
    <w:multiLevelType w:val="hybridMultilevel"/>
    <w:tmpl w:val="E2440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A5D26"/>
    <w:multiLevelType w:val="multilevel"/>
    <w:tmpl w:val="8FAC5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0B230C"/>
    <w:multiLevelType w:val="hybridMultilevel"/>
    <w:tmpl w:val="75AA9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53F55"/>
    <w:multiLevelType w:val="hybridMultilevel"/>
    <w:tmpl w:val="CD66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F43C0"/>
    <w:multiLevelType w:val="hybridMultilevel"/>
    <w:tmpl w:val="B24EE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61B03"/>
    <w:multiLevelType w:val="hybridMultilevel"/>
    <w:tmpl w:val="E0A0F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43885"/>
    <w:multiLevelType w:val="hybridMultilevel"/>
    <w:tmpl w:val="00B0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052976"/>
    <w:multiLevelType w:val="hybridMultilevel"/>
    <w:tmpl w:val="8214A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F507CF"/>
    <w:multiLevelType w:val="hybridMultilevel"/>
    <w:tmpl w:val="77244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696A65"/>
    <w:multiLevelType w:val="hybridMultilevel"/>
    <w:tmpl w:val="FA401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F72530"/>
    <w:multiLevelType w:val="hybridMultilevel"/>
    <w:tmpl w:val="9CECB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3D7CDA"/>
    <w:multiLevelType w:val="hybridMultilevel"/>
    <w:tmpl w:val="F214A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166F84"/>
    <w:multiLevelType w:val="hybridMultilevel"/>
    <w:tmpl w:val="BCA0BE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E8710E"/>
    <w:multiLevelType w:val="hybridMultilevel"/>
    <w:tmpl w:val="FB00F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745D6B"/>
    <w:multiLevelType w:val="hybridMultilevel"/>
    <w:tmpl w:val="1DBC3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B43095"/>
    <w:multiLevelType w:val="hybridMultilevel"/>
    <w:tmpl w:val="FB767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AE61B8"/>
    <w:multiLevelType w:val="hybridMultilevel"/>
    <w:tmpl w:val="58AC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4F46D3"/>
    <w:multiLevelType w:val="hybridMultilevel"/>
    <w:tmpl w:val="7AA0B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6E6723"/>
    <w:multiLevelType w:val="hybridMultilevel"/>
    <w:tmpl w:val="E3E0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B633C8"/>
    <w:multiLevelType w:val="hybridMultilevel"/>
    <w:tmpl w:val="6696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0819BF"/>
    <w:multiLevelType w:val="hybridMultilevel"/>
    <w:tmpl w:val="FAB46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7"/>
  </w:num>
  <w:num w:numId="3">
    <w:abstractNumId w:val="16"/>
  </w:num>
  <w:num w:numId="4">
    <w:abstractNumId w:val="11"/>
  </w:num>
  <w:num w:numId="5">
    <w:abstractNumId w:val="14"/>
  </w:num>
  <w:num w:numId="6">
    <w:abstractNumId w:val="9"/>
  </w:num>
  <w:num w:numId="7">
    <w:abstractNumId w:val="0"/>
  </w:num>
  <w:num w:numId="8">
    <w:abstractNumId w:val="10"/>
  </w:num>
  <w:num w:numId="9">
    <w:abstractNumId w:val="3"/>
  </w:num>
  <w:num w:numId="10">
    <w:abstractNumId w:val="6"/>
  </w:num>
  <w:num w:numId="11">
    <w:abstractNumId w:val="20"/>
  </w:num>
  <w:num w:numId="12">
    <w:abstractNumId w:val="18"/>
  </w:num>
  <w:num w:numId="13">
    <w:abstractNumId w:val="15"/>
  </w:num>
  <w:num w:numId="14">
    <w:abstractNumId w:val="5"/>
  </w:num>
  <w:num w:numId="15">
    <w:abstractNumId w:val="2"/>
  </w:num>
  <w:num w:numId="16">
    <w:abstractNumId w:val="13"/>
  </w:num>
  <w:num w:numId="17">
    <w:abstractNumId w:val="19"/>
  </w:num>
  <w:num w:numId="18">
    <w:abstractNumId w:val="4"/>
  </w:num>
  <w:num w:numId="19">
    <w:abstractNumId w:val="7"/>
  </w:num>
  <w:num w:numId="20">
    <w:abstractNumId w:val="12"/>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E98"/>
    <w:rsid w:val="000010F8"/>
    <w:rsid w:val="00002CCF"/>
    <w:rsid w:val="00015968"/>
    <w:rsid w:val="00021A4B"/>
    <w:rsid w:val="00047990"/>
    <w:rsid w:val="000524CB"/>
    <w:rsid w:val="00061E3D"/>
    <w:rsid w:val="00065C9F"/>
    <w:rsid w:val="00076E74"/>
    <w:rsid w:val="000E1F4C"/>
    <w:rsid w:val="00101460"/>
    <w:rsid w:val="00111BAB"/>
    <w:rsid w:val="00122DEA"/>
    <w:rsid w:val="001344DC"/>
    <w:rsid w:val="00134CF7"/>
    <w:rsid w:val="0014366B"/>
    <w:rsid w:val="001444A1"/>
    <w:rsid w:val="0016648F"/>
    <w:rsid w:val="0017274D"/>
    <w:rsid w:val="001741DD"/>
    <w:rsid w:val="001745F0"/>
    <w:rsid w:val="00183529"/>
    <w:rsid w:val="00183B8E"/>
    <w:rsid w:val="00190E19"/>
    <w:rsid w:val="001963EA"/>
    <w:rsid w:val="001A4B13"/>
    <w:rsid w:val="001E42EC"/>
    <w:rsid w:val="00201881"/>
    <w:rsid w:val="0020571D"/>
    <w:rsid w:val="00206DEF"/>
    <w:rsid w:val="00214DAB"/>
    <w:rsid w:val="0023435B"/>
    <w:rsid w:val="00253542"/>
    <w:rsid w:val="00262C90"/>
    <w:rsid w:val="002635F5"/>
    <w:rsid w:val="002773CA"/>
    <w:rsid w:val="00281DF4"/>
    <w:rsid w:val="00292A56"/>
    <w:rsid w:val="002C571E"/>
    <w:rsid w:val="002C5F0D"/>
    <w:rsid w:val="002E0DFF"/>
    <w:rsid w:val="002F1952"/>
    <w:rsid w:val="002F2813"/>
    <w:rsid w:val="002F3DBB"/>
    <w:rsid w:val="003353F7"/>
    <w:rsid w:val="00365BCF"/>
    <w:rsid w:val="0036749F"/>
    <w:rsid w:val="00372FDA"/>
    <w:rsid w:val="0039225E"/>
    <w:rsid w:val="003A22A0"/>
    <w:rsid w:val="003C44F7"/>
    <w:rsid w:val="003E5DEE"/>
    <w:rsid w:val="00414D50"/>
    <w:rsid w:val="00421DD5"/>
    <w:rsid w:val="00437711"/>
    <w:rsid w:val="00443D87"/>
    <w:rsid w:val="0045277E"/>
    <w:rsid w:val="0045315B"/>
    <w:rsid w:val="00466CE6"/>
    <w:rsid w:val="004725AE"/>
    <w:rsid w:val="0048625A"/>
    <w:rsid w:val="00486783"/>
    <w:rsid w:val="004B0FD5"/>
    <w:rsid w:val="004B25AD"/>
    <w:rsid w:val="004B5859"/>
    <w:rsid w:val="004B60EF"/>
    <w:rsid w:val="004C795D"/>
    <w:rsid w:val="00500AF6"/>
    <w:rsid w:val="00502446"/>
    <w:rsid w:val="00522BE0"/>
    <w:rsid w:val="00525051"/>
    <w:rsid w:val="00530B43"/>
    <w:rsid w:val="005545AF"/>
    <w:rsid w:val="00563B3D"/>
    <w:rsid w:val="00586E38"/>
    <w:rsid w:val="00592D8A"/>
    <w:rsid w:val="00595ED8"/>
    <w:rsid w:val="005A51AA"/>
    <w:rsid w:val="005C4E58"/>
    <w:rsid w:val="005C6ABF"/>
    <w:rsid w:val="005E0B3F"/>
    <w:rsid w:val="005F3151"/>
    <w:rsid w:val="0060178D"/>
    <w:rsid w:val="006022F1"/>
    <w:rsid w:val="00610706"/>
    <w:rsid w:val="0061519E"/>
    <w:rsid w:val="00620B6B"/>
    <w:rsid w:val="00626DAC"/>
    <w:rsid w:val="0063188A"/>
    <w:rsid w:val="00677692"/>
    <w:rsid w:val="00684077"/>
    <w:rsid w:val="0069268F"/>
    <w:rsid w:val="006A08FD"/>
    <w:rsid w:val="006A39F9"/>
    <w:rsid w:val="006A7C1D"/>
    <w:rsid w:val="006C6B76"/>
    <w:rsid w:val="006D0415"/>
    <w:rsid w:val="006D401F"/>
    <w:rsid w:val="006E45D6"/>
    <w:rsid w:val="006E47D2"/>
    <w:rsid w:val="00703FC3"/>
    <w:rsid w:val="00727B42"/>
    <w:rsid w:val="0075071B"/>
    <w:rsid w:val="00751842"/>
    <w:rsid w:val="00775BD8"/>
    <w:rsid w:val="00781428"/>
    <w:rsid w:val="00782FAA"/>
    <w:rsid w:val="0079034A"/>
    <w:rsid w:val="007A208C"/>
    <w:rsid w:val="007B1E98"/>
    <w:rsid w:val="007B4277"/>
    <w:rsid w:val="007D53B9"/>
    <w:rsid w:val="00817347"/>
    <w:rsid w:val="00861D82"/>
    <w:rsid w:val="008700CB"/>
    <w:rsid w:val="00895F54"/>
    <w:rsid w:val="008B61BD"/>
    <w:rsid w:val="008E48E4"/>
    <w:rsid w:val="008F1698"/>
    <w:rsid w:val="009000D9"/>
    <w:rsid w:val="009168D1"/>
    <w:rsid w:val="00953422"/>
    <w:rsid w:val="00961978"/>
    <w:rsid w:val="00966D5B"/>
    <w:rsid w:val="009869AA"/>
    <w:rsid w:val="009B0793"/>
    <w:rsid w:val="009E3B09"/>
    <w:rsid w:val="009E5AA1"/>
    <w:rsid w:val="009E7055"/>
    <w:rsid w:val="009F4126"/>
    <w:rsid w:val="00A01872"/>
    <w:rsid w:val="00A03977"/>
    <w:rsid w:val="00A06707"/>
    <w:rsid w:val="00A13909"/>
    <w:rsid w:val="00A34887"/>
    <w:rsid w:val="00A439A4"/>
    <w:rsid w:val="00A52285"/>
    <w:rsid w:val="00A652DD"/>
    <w:rsid w:val="00A712C1"/>
    <w:rsid w:val="00A832A0"/>
    <w:rsid w:val="00AA4019"/>
    <w:rsid w:val="00AB3CB6"/>
    <w:rsid w:val="00AB6D96"/>
    <w:rsid w:val="00AE25D2"/>
    <w:rsid w:val="00B4483A"/>
    <w:rsid w:val="00B52301"/>
    <w:rsid w:val="00B56D7B"/>
    <w:rsid w:val="00B65825"/>
    <w:rsid w:val="00B65FAE"/>
    <w:rsid w:val="00B75212"/>
    <w:rsid w:val="00BA14C4"/>
    <w:rsid w:val="00BC171B"/>
    <w:rsid w:val="00BC391A"/>
    <w:rsid w:val="00BC660F"/>
    <w:rsid w:val="00BE4B0D"/>
    <w:rsid w:val="00BF7230"/>
    <w:rsid w:val="00C04C3B"/>
    <w:rsid w:val="00C058ED"/>
    <w:rsid w:val="00C53922"/>
    <w:rsid w:val="00C75039"/>
    <w:rsid w:val="00C87FA6"/>
    <w:rsid w:val="00CA109E"/>
    <w:rsid w:val="00CD0F99"/>
    <w:rsid w:val="00CD3B97"/>
    <w:rsid w:val="00CE26EA"/>
    <w:rsid w:val="00CE6226"/>
    <w:rsid w:val="00CF21AF"/>
    <w:rsid w:val="00CF421D"/>
    <w:rsid w:val="00D133D0"/>
    <w:rsid w:val="00D22E95"/>
    <w:rsid w:val="00D33D2E"/>
    <w:rsid w:val="00D8138D"/>
    <w:rsid w:val="00D93BA9"/>
    <w:rsid w:val="00DA1C9F"/>
    <w:rsid w:val="00DB0B8C"/>
    <w:rsid w:val="00DB4437"/>
    <w:rsid w:val="00DB7284"/>
    <w:rsid w:val="00DD1A27"/>
    <w:rsid w:val="00DD2591"/>
    <w:rsid w:val="00DD4933"/>
    <w:rsid w:val="00DD54FA"/>
    <w:rsid w:val="00DD6BB8"/>
    <w:rsid w:val="00DD6DC5"/>
    <w:rsid w:val="00E055B3"/>
    <w:rsid w:val="00E17E8C"/>
    <w:rsid w:val="00E23D65"/>
    <w:rsid w:val="00E31947"/>
    <w:rsid w:val="00E431AB"/>
    <w:rsid w:val="00E52589"/>
    <w:rsid w:val="00E53674"/>
    <w:rsid w:val="00EA499A"/>
    <w:rsid w:val="00EA54F7"/>
    <w:rsid w:val="00EA596A"/>
    <w:rsid w:val="00EB4A30"/>
    <w:rsid w:val="00EB7546"/>
    <w:rsid w:val="00EC24F9"/>
    <w:rsid w:val="00ED5DF1"/>
    <w:rsid w:val="00EE78D2"/>
    <w:rsid w:val="00EF511E"/>
    <w:rsid w:val="00F01AED"/>
    <w:rsid w:val="00F052FD"/>
    <w:rsid w:val="00F147C9"/>
    <w:rsid w:val="00F25FC3"/>
    <w:rsid w:val="00F42E8A"/>
    <w:rsid w:val="00F83D00"/>
    <w:rsid w:val="00F86338"/>
    <w:rsid w:val="00F96FE2"/>
    <w:rsid w:val="00FB6679"/>
    <w:rsid w:val="00FC68A7"/>
    <w:rsid w:val="00FE6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EA9F1"/>
  <w15:chartTrackingRefBased/>
  <w15:docId w15:val="{73F1A3D5-6DCD-4B1C-8CD7-67A6BD678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3D2E"/>
    <w:pPr>
      <w:ind w:left="720"/>
      <w:contextualSpacing/>
    </w:pPr>
  </w:style>
  <w:style w:type="paragraph" w:styleId="FootnoteText">
    <w:name w:val="footnote text"/>
    <w:basedOn w:val="Normal"/>
    <w:link w:val="FootnoteTextChar"/>
    <w:uiPriority w:val="99"/>
    <w:semiHidden/>
    <w:unhideWhenUsed/>
    <w:rsid w:val="00B56D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6D7B"/>
    <w:rPr>
      <w:sz w:val="20"/>
      <w:szCs w:val="20"/>
    </w:rPr>
  </w:style>
  <w:style w:type="character" w:styleId="FootnoteReference">
    <w:name w:val="footnote reference"/>
    <w:basedOn w:val="DefaultParagraphFont"/>
    <w:uiPriority w:val="99"/>
    <w:semiHidden/>
    <w:unhideWhenUsed/>
    <w:rsid w:val="00B56D7B"/>
    <w:rPr>
      <w:vertAlign w:val="superscript"/>
    </w:rPr>
  </w:style>
  <w:style w:type="paragraph" w:styleId="Header">
    <w:name w:val="header"/>
    <w:basedOn w:val="Normal"/>
    <w:link w:val="HeaderChar"/>
    <w:uiPriority w:val="99"/>
    <w:unhideWhenUsed/>
    <w:rsid w:val="005C4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E58"/>
  </w:style>
  <w:style w:type="paragraph" w:styleId="Footer">
    <w:name w:val="footer"/>
    <w:basedOn w:val="Normal"/>
    <w:link w:val="FooterChar"/>
    <w:uiPriority w:val="99"/>
    <w:unhideWhenUsed/>
    <w:rsid w:val="005C4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543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E46FF-08F0-4A73-9700-1B4467BEE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16</Pages>
  <Words>3906</Words>
  <Characters>22267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Suzie Caisey</dc:creator>
  <cp:keywords/>
  <dc:description/>
  <cp:lastModifiedBy>Suzie</cp:lastModifiedBy>
  <cp:revision>133</cp:revision>
  <dcterms:created xsi:type="dcterms:W3CDTF">2018-10-20T13:06:00Z</dcterms:created>
  <dcterms:modified xsi:type="dcterms:W3CDTF">2019-01-03T15:53:00Z</dcterms:modified>
</cp:coreProperties>
</file>