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18D5E6" w14:textId="77777777" w:rsidR="00074655" w:rsidRPr="003651B5" w:rsidRDefault="00074655" w:rsidP="00074655">
      <w:pPr>
        <w:jc w:val="center"/>
        <w:rPr>
          <w:sz w:val="28"/>
          <w:szCs w:val="24"/>
        </w:rPr>
      </w:pPr>
    </w:p>
    <w:p w14:paraId="0ED2CB33" w14:textId="77777777" w:rsidR="00074655" w:rsidRPr="003651B5" w:rsidRDefault="00074655" w:rsidP="00074655">
      <w:pPr>
        <w:jc w:val="center"/>
        <w:rPr>
          <w:sz w:val="28"/>
          <w:szCs w:val="24"/>
        </w:rPr>
      </w:pPr>
    </w:p>
    <w:p w14:paraId="2E62D8BA" w14:textId="3CBCFE95" w:rsidR="00074655" w:rsidRPr="003651B5" w:rsidRDefault="000679AC" w:rsidP="00074655">
      <w:pPr>
        <w:jc w:val="center"/>
        <w:rPr>
          <w:sz w:val="28"/>
          <w:szCs w:val="24"/>
        </w:rPr>
      </w:pPr>
      <w:r w:rsidRPr="003651B5">
        <w:rPr>
          <w:sz w:val="28"/>
          <w:szCs w:val="24"/>
        </w:rPr>
        <w:t>International Financial Management</w:t>
      </w:r>
    </w:p>
    <w:p w14:paraId="21212679" w14:textId="77777777" w:rsidR="00074655" w:rsidRPr="003651B5" w:rsidRDefault="00074655" w:rsidP="00074655">
      <w:pPr>
        <w:jc w:val="center"/>
        <w:rPr>
          <w:sz w:val="28"/>
          <w:szCs w:val="24"/>
        </w:rPr>
      </w:pPr>
    </w:p>
    <w:p w14:paraId="0FCDADB4" w14:textId="77777777" w:rsidR="00074655" w:rsidRPr="003651B5" w:rsidRDefault="00074655" w:rsidP="00074655">
      <w:pPr>
        <w:jc w:val="center"/>
        <w:rPr>
          <w:sz w:val="28"/>
          <w:szCs w:val="24"/>
        </w:rPr>
      </w:pPr>
    </w:p>
    <w:p w14:paraId="608D7947" w14:textId="77777777" w:rsidR="00074655" w:rsidRPr="003651B5" w:rsidRDefault="00074655" w:rsidP="00074655">
      <w:pPr>
        <w:jc w:val="center"/>
        <w:rPr>
          <w:sz w:val="28"/>
          <w:szCs w:val="24"/>
        </w:rPr>
      </w:pPr>
    </w:p>
    <w:p w14:paraId="2E727D0C" w14:textId="02DB5E45" w:rsidR="00074655" w:rsidRPr="003651B5" w:rsidRDefault="000679AC" w:rsidP="00074655">
      <w:pPr>
        <w:jc w:val="center"/>
        <w:rPr>
          <w:sz w:val="28"/>
          <w:szCs w:val="24"/>
        </w:rPr>
      </w:pPr>
      <w:r w:rsidRPr="003651B5">
        <w:rPr>
          <w:sz w:val="28"/>
          <w:szCs w:val="24"/>
        </w:rPr>
        <w:t xml:space="preserve">A report on Foreign Exchange </w:t>
      </w:r>
      <w:r w:rsidR="003651B5" w:rsidRPr="003651B5">
        <w:rPr>
          <w:sz w:val="28"/>
          <w:szCs w:val="24"/>
        </w:rPr>
        <w:t>Risks</w:t>
      </w:r>
    </w:p>
    <w:p w14:paraId="7934108B" w14:textId="77777777" w:rsidR="00074655" w:rsidRPr="003651B5" w:rsidRDefault="00074655" w:rsidP="00074655">
      <w:pPr>
        <w:jc w:val="center"/>
        <w:rPr>
          <w:sz w:val="28"/>
          <w:szCs w:val="24"/>
        </w:rPr>
      </w:pPr>
    </w:p>
    <w:p w14:paraId="5D6BA6DF" w14:textId="77777777" w:rsidR="00074655" w:rsidRPr="003651B5" w:rsidRDefault="00074655" w:rsidP="00074655">
      <w:pPr>
        <w:jc w:val="center"/>
        <w:rPr>
          <w:sz w:val="28"/>
          <w:szCs w:val="24"/>
        </w:rPr>
      </w:pPr>
    </w:p>
    <w:p w14:paraId="05ED94F4" w14:textId="77777777" w:rsidR="00074655" w:rsidRDefault="00074655" w:rsidP="00074655">
      <w:pPr>
        <w:jc w:val="center"/>
        <w:rPr>
          <w:sz w:val="28"/>
          <w:szCs w:val="24"/>
        </w:rPr>
      </w:pPr>
    </w:p>
    <w:p w14:paraId="3D19C971" w14:textId="77777777" w:rsidR="003651B5" w:rsidRDefault="003651B5" w:rsidP="00074655">
      <w:pPr>
        <w:jc w:val="center"/>
        <w:rPr>
          <w:sz w:val="28"/>
          <w:szCs w:val="24"/>
        </w:rPr>
      </w:pPr>
    </w:p>
    <w:p w14:paraId="596B9FF9" w14:textId="77777777" w:rsidR="003651B5" w:rsidRPr="003651B5" w:rsidRDefault="003651B5" w:rsidP="00074655">
      <w:pPr>
        <w:jc w:val="center"/>
        <w:rPr>
          <w:sz w:val="28"/>
          <w:szCs w:val="24"/>
        </w:rPr>
      </w:pPr>
    </w:p>
    <w:p w14:paraId="06780340" w14:textId="77777777" w:rsidR="00074655" w:rsidRPr="003651B5" w:rsidRDefault="00074655" w:rsidP="00074655">
      <w:pPr>
        <w:jc w:val="center"/>
        <w:rPr>
          <w:sz w:val="28"/>
          <w:szCs w:val="24"/>
        </w:rPr>
      </w:pPr>
    </w:p>
    <w:p w14:paraId="452160FA" w14:textId="77777777" w:rsidR="00074655" w:rsidRPr="003651B5" w:rsidRDefault="00074655" w:rsidP="00074655">
      <w:pPr>
        <w:jc w:val="center"/>
        <w:rPr>
          <w:sz w:val="28"/>
          <w:szCs w:val="24"/>
        </w:rPr>
      </w:pPr>
    </w:p>
    <w:p w14:paraId="2C922F89" w14:textId="77777777" w:rsidR="00074655" w:rsidRPr="003651B5" w:rsidRDefault="00074655" w:rsidP="00074655">
      <w:pPr>
        <w:jc w:val="center"/>
        <w:rPr>
          <w:sz w:val="28"/>
          <w:szCs w:val="24"/>
        </w:rPr>
      </w:pPr>
      <w:r w:rsidRPr="003651B5">
        <w:rPr>
          <w:sz w:val="28"/>
          <w:szCs w:val="24"/>
        </w:rPr>
        <w:t>Student ID: 2111701</w:t>
      </w:r>
    </w:p>
    <w:p w14:paraId="7F367701" w14:textId="77777777" w:rsidR="00074655" w:rsidRPr="003651B5" w:rsidRDefault="00074655" w:rsidP="00074655">
      <w:pPr>
        <w:jc w:val="center"/>
        <w:rPr>
          <w:sz w:val="28"/>
          <w:szCs w:val="24"/>
        </w:rPr>
      </w:pPr>
      <w:r w:rsidRPr="003651B5">
        <w:rPr>
          <w:sz w:val="28"/>
          <w:szCs w:val="24"/>
        </w:rPr>
        <w:t>Student Name: Mihaela Raducanu</w:t>
      </w:r>
    </w:p>
    <w:p w14:paraId="67805234" w14:textId="77777777" w:rsidR="00074655" w:rsidRPr="003651B5" w:rsidRDefault="00074655" w:rsidP="00074655">
      <w:pPr>
        <w:jc w:val="center"/>
        <w:rPr>
          <w:sz w:val="28"/>
          <w:szCs w:val="24"/>
        </w:rPr>
      </w:pPr>
      <w:r w:rsidRPr="003651B5">
        <w:rPr>
          <w:sz w:val="28"/>
          <w:szCs w:val="24"/>
        </w:rPr>
        <w:t>Submission date: 15/12/2023</w:t>
      </w:r>
    </w:p>
    <w:p w14:paraId="40DE8402" w14:textId="77777777" w:rsidR="00074655" w:rsidRPr="003651B5" w:rsidRDefault="00074655" w:rsidP="00074655">
      <w:pPr>
        <w:jc w:val="center"/>
        <w:rPr>
          <w:sz w:val="28"/>
          <w:szCs w:val="24"/>
        </w:rPr>
      </w:pPr>
    </w:p>
    <w:p w14:paraId="337B28E1" w14:textId="77777777" w:rsidR="00074655" w:rsidRPr="003651B5" w:rsidRDefault="00074655" w:rsidP="00074655">
      <w:pPr>
        <w:jc w:val="center"/>
        <w:rPr>
          <w:sz w:val="28"/>
          <w:szCs w:val="24"/>
        </w:rPr>
      </w:pPr>
    </w:p>
    <w:p w14:paraId="16DC05A6" w14:textId="77777777" w:rsidR="00074655" w:rsidRPr="003651B5" w:rsidRDefault="00074655" w:rsidP="00074655">
      <w:pPr>
        <w:jc w:val="center"/>
        <w:rPr>
          <w:sz w:val="28"/>
          <w:szCs w:val="24"/>
        </w:rPr>
      </w:pPr>
    </w:p>
    <w:p w14:paraId="11D176D7" w14:textId="77777777" w:rsidR="00074655" w:rsidRPr="003651B5" w:rsidRDefault="00074655" w:rsidP="00074655">
      <w:pPr>
        <w:jc w:val="center"/>
        <w:rPr>
          <w:sz w:val="28"/>
          <w:szCs w:val="24"/>
        </w:rPr>
      </w:pPr>
    </w:p>
    <w:p w14:paraId="2BC8DF2A" w14:textId="77777777" w:rsidR="00074655" w:rsidRPr="003651B5" w:rsidRDefault="00074655" w:rsidP="00074655">
      <w:pPr>
        <w:jc w:val="center"/>
        <w:rPr>
          <w:sz w:val="28"/>
          <w:szCs w:val="24"/>
        </w:rPr>
      </w:pPr>
    </w:p>
    <w:p w14:paraId="5426058E" w14:textId="77777777" w:rsidR="00074655" w:rsidRPr="003651B5" w:rsidRDefault="00074655" w:rsidP="00074655">
      <w:pPr>
        <w:jc w:val="center"/>
        <w:rPr>
          <w:sz w:val="28"/>
          <w:szCs w:val="24"/>
        </w:rPr>
      </w:pPr>
    </w:p>
    <w:p w14:paraId="51AFF45F" w14:textId="77777777" w:rsidR="00074655" w:rsidRPr="003651B5" w:rsidRDefault="00074655" w:rsidP="00074655">
      <w:pPr>
        <w:jc w:val="center"/>
        <w:rPr>
          <w:sz w:val="28"/>
          <w:szCs w:val="24"/>
        </w:rPr>
      </w:pPr>
      <w:r w:rsidRPr="003651B5">
        <w:rPr>
          <w:sz w:val="28"/>
          <w:szCs w:val="24"/>
        </w:rPr>
        <w:t>BA Business Management</w:t>
      </w:r>
    </w:p>
    <w:p w14:paraId="663ECDE8" w14:textId="77777777" w:rsidR="00074655" w:rsidRPr="003651B5" w:rsidRDefault="00074655" w:rsidP="00074655">
      <w:pPr>
        <w:jc w:val="center"/>
        <w:rPr>
          <w:sz w:val="28"/>
          <w:szCs w:val="24"/>
        </w:rPr>
      </w:pPr>
      <w:r w:rsidRPr="003651B5">
        <w:rPr>
          <w:sz w:val="28"/>
          <w:szCs w:val="24"/>
        </w:rPr>
        <w:t xml:space="preserve">University of Wales </w:t>
      </w:r>
    </w:p>
    <w:p w14:paraId="126E1E9E" w14:textId="77777777" w:rsidR="00074655" w:rsidRPr="003651B5" w:rsidRDefault="00074655" w:rsidP="00074655">
      <w:pPr>
        <w:jc w:val="center"/>
        <w:rPr>
          <w:sz w:val="28"/>
          <w:szCs w:val="24"/>
        </w:rPr>
      </w:pPr>
      <w:r w:rsidRPr="003651B5">
        <w:rPr>
          <w:sz w:val="28"/>
          <w:szCs w:val="24"/>
        </w:rPr>
        <w:t>Trinity Saint David</w:t>
      </w:r>
    </w:p>
    <w:p w14:paraId="127723D5" w14:textId="77777777" w:rsidR="003B01A3" w:rsidRDefault="003B01A3">
      <w:pPr>
        <w:pStyle w:val="TOCHeading"/>
      </w:pPr>
    </w:p>
    <w:p w14:paraId="39ECF0A3" w14:textId="338FFCF3" w:rsidR="003B01A3" w:rsidRPr="003651B5" w:rsidRDefault="003B01A3" w:rsidP="003651B5">
      <w:pPr>
        <w:jc w:val="left"/>
        <w:rPr>
          <w:rFonts w:asciiTheme="majorHAnsi" w:eastAsiaTheme="majorEastAsia" w:hAnsiTheme="majorHAnsi" w:cstheme="majorBidi"/>
          <w:color w:val="2F5496" w:themeColor="accent1" w:themeShade="BF"/>
          <w:kern w:val="0"/>
          <w:sz w:val="32"/>
          <w:szCs w:val="32"/>
          <w:lang w:val="en-US"/>
          <w14:ligatures w14:val="none"/>
        </w:rPr>
      </w:pPr>
      <w:r>
        <w:br w:type="page"/>
      </w:r>
    </w:p>
    <w:sdt>
      <w:sdtPr>
        <w:id w:val="-542602094"/>
        <w:docPartObj>
          <w:docPartGallery w:val="Table of Contents"/>
          <w:docPartUnique/>
        </w:docPartObj>
      </w:sdtPr>
      <w:sdtEndPr>
        <w:rPr>
          <w:b/>
          <w:bCs/>
          <w:noProof/>
        </w:rPr>
      </w:sdtEndPr>
      <w:sdtContent>
        <w:p w14:paraId="39ECF0A3" w14:textId="338FFCF3" w:rsidR="003B01A3" w:rsidRPr="003651B5" w:rsidRDefault="003B01A3" w:rsidP="003651B5">
          <w:pPr>
            <w:jc w:val="left"/>
            <w:rPr>
              <w:rFonts w:asciiTheme="majorHAnsi" w:eastAsiaTheme="majorEastAsia" w:hAnsiTheme="majorHAnsi" w:cstheme="majorBidi"/>
              <w:color w:val="2F5496" w:themeColor="accent1" w:themeShade="BF"/>
              <w:kern w:val="0"/>
              <w:sz w:val="32"/>
              <w:szCs w:val="32"/>
              <w:lang w:val="en-US"/>
              <w14:ligatures w14:val="none"/>
            </w:rPr>
          </w:pPr>
          <w:r w:rsidRPr="003651B5">
            <w:rPr>
              <w:b/>
              <w:bCs/>
              <w:sz w:val="32"/>
              <w:szCs w:val="28"/>
            </w:rPr>
            <w:t>Table of Contents</w:t>
          </w:r>
        </w:p>
        <w:p w14:paraId="6D9F551C" w14:textId="19FC9701" w:rsidR="003B01A3" w:rsidRDefault="003B01A3">
          <w:pPr>
            <w:pStyle w:val="TOC1"/>
            <w:tabs>
              <w:tab w:val="right" w:leader="dot" w:pos="9016"/>
            </w:tabs>
            <w:rPr>
              <w:noProof/>
            </w:rPr>
          </w:pPr>
          <w:r>
            <w:fldChar w:fldCharType="begin"/>
          </w:r>
          <w:r>
            <w:instrText xml:space="preserve"> TOC \o "1-3" \h \z \u </w:instrText>
          </w:r>
          <w:r>
            <w:fldChar w:fldCharType="separate"/>
          </w:r>
          <w:hyperlink w:anchor="_Toc155067735" w:history="1">
            <w:r w:rsidRPr="00F77E02">
              <w:rPr>
                <w:rStyle w:val="Hyperlink"/>
                <w:noProof/>
              </w:rPr>
              <w:t>Introduction</w:t>
            </w:r>
            <w:r>
              <w:rPr>
                <w:noProof/>
                <w:webHidden/>
              </w:rPr>
              <w:tab/>
            </w:r>
            <w:r>
              <w:rPr>
                <w:noProof/>
                <w:webHidden/>
              </w:rPr>
              <w:fldChar w:fldCharType="begin"/>
            </w:r>
            <w:r>
              <w:rPr>
                <w:noProof/>
                <w:webHidden/>
              </w:rPr>
              <w:instrText xml:space="preserve"> PAGEREF _Toc155067735 \h </w:instrText>
            </w:r>
            <w:r>
              <w:rPr>
                <w:noProof/>
                <w:webHidden/>
              </w:rPr>
            </w:r>
            <w:r>
              <w:rPr>
                <w:noProof/>
                <w:webHidden/>
              </w:rPr>
              <w:fldChar w:fldCharType="separate"/>
            </w:r>
            <w:r w:rsidR="003651B5">
              <w:rPr>
                <w:noProof/>
                <w:webHidden/>
              </w:rPr>
              <w:t>3</w:t>
            </w:r>
            <w:r>
              <w:rPr>
                <w:noProof/>
                <w:webHidden/>
              </w:rPr>
              <w:fldChar w:fldCharType="end"/>
            </w:r>
          </w:hyperlink>
        </w:p>
        <w:p w14:paraId="1490FD0C" w14:textId="6314EB30" w:rsidR="003B01A3" w:rsidRDefault="003B01A3">
          <w:pPr>
            <w:pStyle w:val="TOC1"/>
            <w:tabs>
              <w:tab w:val="right" w:leader="dot" w:pos="9016"/>
            </w:tabs>
            <w:rPr>
              <w:noProof/>
            </w:rPr>
          </w:pPr>
          <w:hyperlink w:anchor="_Toc155067736" w:history="1">
            <w:r w:rsidRPr="00F77E02">
              <w:rPr>
                <w:rStyle w:val="Hyperlink"/>
                <w:noProof/>
              </w:rPr>
              <w:t>Understanding the Foreign Exchange Risks</w:t>
            </w:r>
            <w:r>
              <w:rPr>
                <w:noProof/>
                <w:webHidden/>
              </w:rPr>
              <w:tab/>
            </w:r>
            <w:r>
              <w:rPr>
                <w:noProof/>
                <w:webHidden/>
              </w:rPr>
              <w:fldChar w:fldCharType="begin"/>
            </w:r>
            <w:r>
              <w:rPr>
                <w:noProof/>
                <w:webHidden/>
              </w:rPr>
              <w:instrText xml:space="preserve"> PAGEREF _Toc155067736 \h </w:instrText>
            </w:r>
            <w:r>
              <w:rPr>
                <w:noProof/>
                <w:webHidden/>
              </w:rPr>
            </w:r>
            <w:r>
              <w:rPr>
                <w:noProof/>
                <w:webHidden/>
              </w:rPr>
              <w:fldChar w:fldCharType="separate"/>
            </w:r>
            <w:r w:rsidR="003651B5">
              <w:rPr>
                <w:noProof/>
                <w:webHidden/>
              </w:rPr>
              <w:t>3</w:t>
            </w:r>
            <w:r>
              <w:rPr>
                <w:noProof/>
                <w:webHidden/>
              </w:rPr>
              <w:fldChar w:fldCharType="end"/>
            </w:r>
          </w:hyperlink>
        </w:p>
        <w:p w14:paraId="1948822A" w14:textId="01C0FFDC" w:rsidR="003B01A3" w:rsidRDefault="003B01A3">
          <w:pPr>
            <w:pStyle w:val="TOC2"/>
            <w:tabs>
              <w:tab w:val="right" w:leader="dot" w:pos="9016"/>
            </w:tabs>
            <w:rPr>
              <w:noProof/>
            </w:rPr>
          </w:pPr>
          <w:hyperlink w:anchor="_Toc155067737" w:history="1">
            <w:r w:rsidRPr="00F77E02">
              <w:rPr>
                <w:rStyle w:val="Hyperlink"/>
                <w:rFonts w:cs="Times New Roman"/>
                <w:noProof/>
              </w:rPr>
              <w:t>Different Types of Foreign Exchange Risks</w:t>
            </w:r>
            <w:r>
              <w:rPr>
                <w:noProof/>
                <w:webHidden/>
              </w:rPr>
              <w:tab/>
            </w:r>
            <w:r>
              <w:rPr>
                <w:noProof/>
                <w:webHidden/>
              </w:rPr>
              <w:fldChar w:fldCharType="begin"/>
            </w:r>
            <w:r>
              <w:rPr>
                <w:noProof/>
                <w:webHidden/>
              </w:rPr>
              <w:instrText xml:space="preserve"> PAGEREF _Toc155067737 \h </w:instrText>
            </w:r>
            <w:r>
              <w:rPr>
                <w:noProof/>
                <w:webHidden/>
              </w:rPr>
            </w:r>
            <w:r>
              <w:rPr>
                <w:noProof/>
                <w:webHidden/>
              </w:rPr>
              <w:fldChar w:fldCharType="separate"/>
            </w:r>
            <w:r w:rsidR="003651B5">
              <w:rPr>
                <w:noProof/>
                <w:webHidden/>
              </w:rPr>
              <w:t>3</w:t>
            </w:r>
            <w:r>
              <w:rPr>
                <w:noProof/>
                <w:webHidden/>
              </w:rPr>
              <w:fldChar w:fldCharType="end"/>
            </w:r>
          </w:hyperlink>
        </w:p>
        <w:p w14:paraId="0DB63FB5" w14:textId="5EB57E2D" w:rsidR="003B01A3" w:rsidRDefault="003B01A3">
          <w:pPr>
            <w:pStyle w:val="TOC2"/>
            <w:tabs>
              <w:tab w:val="right" w:leader="dot" w:pos="9016"/>
            </w:tabs>
            <w:rPr>
              <w:noProof/>
            </w:rPr>
          </w:pPr>
          <w:hyperlink w:anchor="_Toc155067738" w:history="1">
            <w:r w:rsidRPr="00F77E02">
              <w:rPr>
                <w:rStyle w:val="Hyperlink"/>
                <w:rFonts w:cs="Times New Roman"/>
                <w:noProof/>
              </w:rPr>
              <w:t>The Main Factors Influencing Foreign Exchange Risks</w:t>
            </w:r>
            <w:r>
              <w:rPr>
                <w:noProof/>
                <w:webHidden/>
              </w:rPr>
              <w:tab/>
            </w:r>
            <w:r>
              <w:rPr>
                <w:noProof/>
                <w:webHidden/>
              </w:rPr>
              <w:fldChar w:fldCharType="begin"/>
            </w:r>
            <w:r>
              <w:rPr>
                <w:noProof/>
                <w:webHidden/>
              </w:rPr>
              <w:instrText xml:space="preserve"> PAGEREF _Toc155067738 \h </w:instrText>
            </w:r>
            <w:r>
              <w:rPr>
                <w:noProof/>
                <w:webHidden/>
              </w:rPr>
            </w:r>
            <w:r>
              <w:rPr>
                <w:noProof/>
                <w:webHidden/>
              </w:rPr>
              <w:fldChar w:fldCharType="separate"/>
            </w:r>
            <w:r w:rsidR="003651B5">
              <w:rPr>
                <w:noProof/>
                <w:webHidden/>
              </w:rPr>
              <w:t>4</w:t>
            </w:r>
            <w:r>
              <w:rPr>
                <w:noProof/>
                <w:webHidden/>
              </w:rPr>
              <w:fldChar w:fldCharType="end"/>
            </w:r>
          </w:hyperlink>
        </w:p>
        <w:p w14:paraId="23B6A9F2" w14:textId="3AA656CD" w:rsidR="003B01A3" w:rsidRDefault="003B01A3">
          <w:pPr>
            <w:pStyle w:val="TOC2"/>
            <w:tabs>
              <w:tab w:val="right" w:leader="dot" w:pos="9016"/>
            </w:tabs>
            <w:rPr>
              <w:noProof/>
            </w:rPr>
          </w:pPr>
          <w:hyperlink w:anchor="_Toc155067739" w:history="1">
            <w:r w:rsidRPr="00F77E02">
              <w:rPr>
                <w:rStyle w:val="Hyperlink"/>
                <w:rFonts w:cs="Times New Roman"/>
                <w:noProof/>
              </w:rPr>
              <w:t>Their Impact on Multinational Companies</w:t>
            </w:r>
            <w:r>
              <w:rPr>
                <w:noProof/>
                <w:webHidden/>
              </w:rPr>
              <w:tab/>
            </w:r>
            <w:r>
              <w:rPr>
                <w:noProof/>
                <w:webHidden/>
              </w:rPr>
              <w:fldChar w:fldCharType="begin"/>
            </w:r>
            <w:r>
              <w:rPr>
                <w:noProof/>
                <w:webHidden/>
              </w:rPr>
              <w:instrText xml:space="preserve"> PAGEREF _Toc155067739 \h </w:instrText>
            </w:r>
            <w:r>
              <w:rPr>
                <w:noProof/>
                <w:webHidden/>
              </w:rPr>
            </w:r>
            <w:r>
              <w:rPr>
                <w:noProof/>
                <w:webHidden/>
              </w:rPr>
              <w:fldChar w:fldCharType="separate"/>
            </w:r>
            <w:r w:rsidR="003651B5">
              <w:rPr>
                <w:noProof/>
                <w:webHidden/>
              </w:rPr>
              <w:t>4</w:t>
            </w:r>
            <w:r>
              <w:rPr>
                <w:noProof/>
                <w:webHidden/>
              </w:rPr>
              <w:fldChar w:fldCharType="end"/>
            </w:r>
          </w:hyperlink>
        </w:p>
        <w:p w14:paraId="31A25C51" w14:textId="76DB5148" w:rsidR="003B01A3" w:rsidRDefault="003B01A3">
          <w:pPr>
            <w:pStyle w:val="TOC2"/>
            <w:tabs>
              <w:tab w:val="right" w:leader="dot" w:pos="9016"/>
            </w:tabs>
            <w:rPr>
              <w:noProof/>
            </w:rPr>
          </w:pPr>
          <w:hyperlink w:anchor="_Toc155067740" w:history="1">
            <w:r w:rsidRPr="00F77E02">
              <w:rPr>
                <w:rStyle w:val="Hyperlink"/>
                <w:rFonts w:cs="Times New Roman"/>
                <w:noProof/>
              </w:rPr>
              <w:t>Brexit Impact on Foreign Exchange Risks</w:t>
            </w:r>
            <w:r>
              <w:rPr>
                <w:noProof/>
                <w:webHidden/>
              </w:rPr>
              <w:tab/>
            </w:r>
            <w:r>
              <w:rPr>
                <w:noProof/>
                <w:webHidden/>
              </w:rPr>
              <w:fldChar w:fldCharType="begin"/>
            </w:r>
            <w:r>
              <w:rPr>
                <w:noProof/>
                <w:webHidden/>
              </w:rPr>
              <w:instrText xml:space="preserve"> PAGEREF _Toc155067740 \h </w:instrText>
            </w:r>
            <w:r>
              <w:rPr>
                <w:noProof/>
                <w:webHidden/>
              </w:rPr>
            </w:r>
            <w:r>
              <w:rPr>
                <w:noProof/>
                <w:webHidden/>
              </w:rPr>
              <w:fldChar w:fldCharType="separate"/>
            </w:r>
            <w:r w:rsidR="003651B5">
              <w:rPr>
                <w:noProof/>
                <w:webHidden/>
              </w:rPr>
              <w:t>4</w:t>
            </w:r>
            <w:r>
              <w:rPr>
                <w:noProof/>
                <w:webHidden/>
              </w:rPr>
              <w:fldChar w:fldCharType="end"/>
            </w:r>
          </w:hyperlink>
        </w:p>
        <w:p w14:paraId="3CBC5A21" w14:textId="25AC6254" w:rsidR="003B01A3" w:rsidRDefault="003B01A3">
          <w:pPr>
            <w:pStyle w:val="TOC2"/>
            <w:tabs>
              <w:tab w:val="right" w:leader="dot" w:pos="9016"/>
            </w:tabs>
            <w:rPr>
              <w:noProof/>
            </w:rPr>
          </w:pPr>
          <w:hyperlink w:anchor="_Toc155067741" w:history="1">
            <w:r w:rsidRPr="00F77E02">
              <w:rPr>
                <w:rStyle w:val="Hyperlink"/>
                <w:rFonts w:cs="Times New Roman"/>
                <w:noProof/>
              </w:rPr>
              <w:t>Risk Mitigation Strategies</w:t>
            </w:r>
            <w:r>
              <w:rPr>
                <w:noProof/>
                <w:webHidden/>
              </w:rPr>
              <w:tab/>
            </w:r>
            <w:r>
              <w:rPr>
                <w:noProof/>
                <w:webHidden/>
              </w:rPr>
              <w:fldChar w:fldCharType="begin"/>
            </w:r>
            <w:r>
              <w:rPr>
                <w:noProof/>
                <w:webHidden/>
              </w:rPr>
              <w:instrText xml:space="preserve"> PAGEREF _Toc155067741 \h </w:instrText>
            </w:r>
            <w:r>
              <w:rPr>
                <w:noProof/>
                <w:webHidden/>
              </w:rPr>
            </w:r>
            <w:r>
              <w:rPr>
                <w:noProof/>
                <w:webHidden/>
              </w:rPr>
              <w:fldChar w:fldCharType="separate"/>
            </w:r>
            <w:r w:rsidR="003651B5">
              <w:rPr>
                <w:noProof/>
                <w:webHidden/>
              </w:rPr>
              <w:t>5</w:t>
            </w:r>
            <w:r>
              <w:rPr>
                <w:noProof/>
                <w:webHidden/>
              </w:rPr>
              <w:fldChar w:fldCharType="end"/>
            </w:r>
          </w:hyperlink>
        </w:p>
        <w:p w14:paraId="20DA8180" w14:textId="2C75273B" w:rsidR="003B01A3" w:rsidRDefault="003B01A3">
          <w:pPr>
            <w:pStyle w:val="TOC1"/>
            <w:tabs>
              <w:tab w:val="right" w:leader="dot" w:pos="9016"/>
            </w:tabs>
            <w:rPr>
              <w:noProof/>
            </w:rPr>
          </w:pPr>
          <w:hyperlink w:anchor="_Toc155067742" w:history="1">
            <w:r w:rsidRPr="00F77E02">
              <w:rPr>
                <w:rStyle w:val="Hyperlink"/>
                <w:noProof/>
              </w:rPr>
              <w:t>Managing Foreign Exchange Risks</w:t>
            </w:r>
            <w:r>
              <w:rPr>
                <w:noProof/>
                <w:webHidden/>
              </w:rPr>
              <w:tab/>
            </w:r>
            <w:r>
              <w:rPr>
                <w:noProof/>
                <w:webHidden/>
              </w:rPr>
              <w:fldChar w:fldCharType="begin"/>
            </w:r>
            <w:r>
              <w:rPr>
                <w:noProof/>
                <w:webHidden/>
              </w:rPr>
              <w:instrText xml:space="preserve"> PAGEREF _Toc155067742 \h </w:instrText>
            </w:r>
            <w:r>
              <w:rPr>
                <w:noProof/>
                <w:webHidden/>
              </w:rPr>
            </w:r>
            <w:r>
              <w:rPr>
                <w:noProof/>
                <w:webHidden/>
              </w:rPr>
              <w:fldChar w:fldCharType="separate"/>
            </w:r>
            <w:r w:rsidR="003651B5">
              <w:rPr>
                <w:noProof/>
                <w:webHidden/>
              </w:rPr>
              <w:t>5</w:t>
            </w:r>
            <w:r>
              <w:rPr>
                <w:noProof/>
                <w:webHidden/>
              </w:rPr>
              <w:fldChar w:fldCharType="end"/>
            </w:r>
          </w:hyperlink>
        </w:p>
        <w:p w14:paraId="79A6D959" w14:textId="24D50B58" w:rsidR="003B01A3" w:rsidRDefault="003B01A3">
          <w:pPr>
            <w:pStyle w:val="TOC2"/>
            <w:tabs>
              <w:tab w:val="right" w:leader="dot" w:pos="9016"/>
            </w:tabs>
            <w:rPr>
              <w:noProof/>
            </w:rPr>
          </w:pPr>
          <w:hyperlink w:anchor="_Toc155067743" w:history="1">
            <w:r w:rsidRPr="00F77E02">
              <w:rPr>
                <w:rStyle w:val="Hyperlink"/>
                <w:rFonts w:cs="Times New Roman"/>
                <w:noProof/>
              </w:rPr>
              <w:t>Key Strategies in Managing Foreign Exchange Risks</w:t>
            </w:r>
            <w:r>
              <w:rPr>
                <w:noProof/>
                <w:webHidden/>
              </w:rPr>
              <w:tab/>
            </w:r>
            <w:r>
              <w:rPr>
                <w:noProof/>
                <w:webHidden/>
              </w:rPr>
              <w:fldChar w:fldCharType="begin"/>
            </w:r>
            <w:r>
              <w:rPr>
                <w:noProof/>
                <w:webHidden/>
              </w:rPr>
              <w:instrText xml:space="preserve"> PAGEREF _Toc155067743 \h </w:instrText>
            </w:r>
            <w:r>
              <w:rPr>
                <w:noProof/>
                <w:webHidden/>
              </w:rPr>
            </w:r>
            <w:r>
              <w:rPr>
                <w:noProof/>
                <w:webHidden/>
              </w:rPr>
              <w:fldChar w:fldCharType="separate"/>
            </w:r>
            <w:r w:rsidR="003651B5">
              <w:rPr>
                <w:noProof/>
                <w:webHidden/>
              </w:rPr>
              <w:t>5</w:t>
            </w:r>
            <w:r>
              <w:rPr>
                <w:noProof/>
                <w:webHidden/>
              </w:rPr>
              <w:fldChar w:fldCharType="end"/>
            </w:r>
          </w:hyperlink>
        </w:p>
        <w:p w14:paraId="10ED20F9" w14:textId="34EF5D56" w:rsidR="003B01A3" w:rsidRDefault="003B01A3">
          <w:pPr>
            <w:pStyle w:val="TOC2"/>
            <w:tabs>
              <w:tab w:val="right" w:leader="dot" w:pos="9016"/>
            </w:tabs>
            <w:rPr>
              <w:noProof/>
            </w:rPr>
          </w:pPr>
          <w:hyperlink w:anchor="_Toc155067744" w:history="1">
            <w:r w:rsidRPr="00F77E02">
              <w:rPr>
                <w:rStyle w:val="Hyperlink"/>
                <w:rFonts w:cs="Times New Roman"/>
                <w:noProof/>
              </w:rPr>
              <w:t>Multinational Companies and their Strategies</w:t>
            </w:r>
            <w:r>
              <w:rPr>
                <w:noProof/>
                <w:webHidden/>
              </w:rPr>
              <w:tab/>
            </w:r>
            <w:r>
              <w:rPr>
                <w:noProof/>
                <w:webHidden/>
              </w:rPr>
              <w:fldChar w:fldCharType="begin"/>
            </w:r>
            <w:r>
              <w:rPr>
                <w:noProof/>
                <w:webHidden/>
              </w:rPr>
              <w:instrText xml:space="preserve"> PAGEREF _Toc155067744 \h </w:instrText>
            </w:r>
            <w:r>
              <w:rPr>
                <w:noProof/>
                <w:webHidden/>
              </w:rPr>
            </w:r>
            <w:r>
              <w:rPr>
                <w:noProof/>
                <w:webHidden/>
              </w:rPr>
              <w:fldChar w:fldCharType="separate"/>
            </w:r>
            <w:r w:rsidR="003651B5">
              <w:rPr>
                <w:noProof/>
                <w:webHidden/>
              </w:rPr>
              <w:t>6</w:t>
            </w:r>
            <w:r>
              <w:rPr>
                <w:noProof/>
                <w:webHidden/>
              </w:rPr>
              <w:fldChar w:fldCharType="end"/>
            </w:r>
          </w:hyperlink>
        </w:p>
        <w:p w14:paraId="7416AAD3" w14:textId="6F55CDB4" w:rsidR="003B01A3" w:rsidRDefault="003B01A3">
          <w:pPr>
            <w:pStyle w:val="TOC1"/>
            <w:tabs>
              <w:tab w:val="right" w:leader="dot" w:pos="9016"/>
            </w:tabs>
            <w:rPr>
              <w:noProof/>
            </w:rPr>
          </w:pPr>
          <w:hyperlink w:anchor="_Toc155067745" w:history="1">
            <w:r w:rsidRPr="00F77E02">
              <w:rPr>
                <w:rStyle w:val="Hyperlink"/>
                <w:noProof/>
              </w:rPr>
              <w:t>Critical Analysis and Evaluation</w:t>
            </w:r>
            <w:r>
              <w:rPr>
                <w:noProof/>
                <w:webHidden/>
              </w:rPr>
              <w:tab/>
            </w:r>
            <w:r>
              <w:rPr>
                <w:noProof/>
                <w:webHidden/>
              </w:rPr>
              <w:fldChar w:fldCharType="begin"/>
            </w:r>
            <w:r>
              <w:rPr>
                <w:noProof/>
                <w:webHidden/>
              </w:rPr>
              <w:instrText xml:space="preserve"> PAGEREF _Toc155067745 \h </w:instrText>
            </w:r>
            <w:r>
              <w:rPr>
                <w:noProof/>
                <w:webHidden/>
              </w:rPr>
            </w:r>
            <w:r>
              <w:rPr>
                <w:noProof/>
                <w:webHidden/>
              </w:rPr>
              <w:fldChar w:fldCharType="separate"/>
            </w:r>
            <w:r w:rsidR="003651B5">
              <w:rPr>
                <w:noProof/>
                <w:webHidden/>
              </w:rPr>
              <w:t>7</w:t>
            </w:r>
            <w:r>
              <w:rPr>
                <w:noProof/>
                <w:webHidden/>
              </w:rPr>
              <w:fldChar w:fldCharType="end"/>
            </w:r>
          </w:hyperlink>
        </w:p>
        <w:p w14:paraId="24A44D9A" w14:textId="1D2AE4D5" w:rsidR="003B01A3" w:rsidRDefault="003B01A3">
          <w:pPr>
            <w:pStyle w:val="TOC2"/>
            <w:tabs>
              <w:tab w:val="right" w:leader="dot" w:pos="9016"/>
            </w:tabs>
            <w:rPr>
              <w:noProof/>
            </w:rPr>
          </w:pPr>
          <w:hyperlink w:anchor="_Toc155067746" w:history="1">
            <w:r w:rsidRPr="00F77E02">
              <w:rPr>
                <w:rStyle w:val="Hyperlink"/>
                <w:rFonts w:cs="Times New Roman"/>
                <w:noProof/>
              </w:rPr>
              <w:t>Strengths</w:t>
            </w:r>
            <w:r>
              <w:rPr>
                <w:noProof/>
                <w:webHidden/>
              </w:rPr>
              <w:tab/>
            </w:r>
            <w:r>
              <w:rPr>
                <w:noProof/>
                <w:webHidden/>
              </w:rPr>
              <w:fldChar w:fldCharType="begin"/>
            </w:r>
            <w:r>
              <w:rPr>
                <w:noProof/>
                <w:webHidden/>
              </w:rPr>
              <w:instrText xml:space="preserve"> PAGEREF _Toc155067746 \h </w:instrText>
            </w:r>
            <w:r>
              <w:rPr>
                <w:noProof/>
                <w:webHidden/>
              </w:rPr>
            </w:r>
            <w:r>
              <w:rPr>
                <w:noProof/>
                <w:webHidden/>
              </w:rPr>
              <w:fldChar w:fldCharType="separate"/>
            </w:r>
            <w:r w:rsidR="003651B5">
              <w:rPr>
                <w:noProof/>
                <w:webHidden/>
              </w:rPr>
              <w:t>7</w:t>
            </w:r>
            <w:r>
              <w:rPr>
                <w:noProof/>
                <w:webHidden/>
              </w:rPr>
              <w:fldChar w:fldCharType="end"/>
            </w:r>
          </w:hyperlink>
        </w:p>
        <w:p w14:paraId="4E41C49E" w14:textId="4A4A8587" w:rsidR="003B01A3" w:rsidRDefault="003B01A3">
          <w:pPr>
            <w:pStyle w:val="TOC2"/>
            <w:tabs>
              <w:tab w:val="right" w:leader="dot" w:pos="9016"/>
            </w:tabs>
            <w:rPr>
              <w:noProof/>
            </w:rPr>
          </w:pPr>
          <w:hyperlink w:anchor="_Toc155067747" w:history="1">
            <w:r w:rsidRPr="00F77E02">
              <w:rPr>
                <w:rStyle w:val="Hyperlink"/>
                <w:rFonts w:cs="Times New Roman"/>
                <w:noProof/>
              </w:rPr>
              <w:t>Limitations and Challenges</w:t>
            </w:r>
            <w:r>
              <w:rPr>
                <w:noProof/>
                <w:webHidden/>
              </w:rPr>
              <w:tab/>
            </w:r>
            <w:r>
              <w:rPr>
                <w:noProof/>
                <w:webHidden/>
              </w:rPr>
              <w:fldChar w:fldCharType="begin"/>
            </w:r>
            <w:r>
              <w:rPr>
                <w:noProof/>
                <w:webHidden/>
              </w:rPr>
              <w:instrText xml:space="preserve"> PAGEREF _Toc155067747 \h </w:instrText>
            </w:r>
            <w:r>
              <w:rPr>
                <w:noProof/>
                <w:webHidden/>
              </w:rPr>
            </w:r>
            <w:r>
              <w:rPr>
                <w:noProof/>
                <w:webHidden/>
              </w:rPr>
              <w:fldChar w:fldCharType="separate"/>
            </w:r>
            <w:r w:rsidR="003651B5">
              <w:rPr>
                <w:noProof/>
                <w:webHidden/>
              </w:rPr>
              <w:t>8</w:t>
            </w:r>
            <w:r>
              <w:rPr>
                <w:noProof/>
                <w:webHidden/>
              </w:rPr>
              <w:fldChar w:fldCharType="end"/>
            </w:r>
          </w:hyperlink>
        </w:p>
        <w:p w14:paraId="4C20B9AA" w14:textId="72ECC020" w:rsidR="003B01A3" w:rsidRDefault="003B01A3">
          <w:pPr>
            <w:pStyle w:val="TOC2"/>
            <w:tabs>
              <w:tab w:val="right" w:leader="dot" w:pos="9016"/>
            </w:tabs>
            <w:rPr>
              <w:noProof/>
            </w:rPr>
          </w:pPr>
          <w:hyperlink w:anchor="_Toc155067748" w:history="1">
            <w:r w:rsidRPr="00F77E02">
              <w:rPr>
                <w:rStyle w:val="Hyperlink"/>
                <w:rFonts w:cs="Times New Roman"/>
                <w:noProof/>
              </w:rPr>
              <w:t>Evaluation and Recommendation</w:t>
            </w:r>
            <w:r>
              <w:rPr>
                <w:noProof/>
                <w:webHidden/>
              </w:rPr>
              <w:tab/>
            </w:r>
            <w:r>
              <w:rPr>
                <w:noProof/>
                <w:webHidden/>
              </w:rPr>
              <w:fldChar w:fldCharType="begin"/>
            </w:r>
            <w:r>
              <w:rPr>
                <w:noProof/>
                <w:webHidden/>
              </w:rPr>
              <w:instrText xml:space="preserve"> PAGEREF _Toc155067748 \h </w:instrText>
            </w:r>
            <w:r>
              <w:rPr>
                <w:noProof/>
                <w:webHidden/>
              </w:rPr>
            </w:r>
            <w:r>
              <w:rPr>
                <w:noProof/>
                <w:webHidden/>
              </w:rPr>
              <w:fldChar w:fldCharType="separate"/>
            </w:r>
            <w:r w:rsidR="003651B5">
              <w:rPr>
                <w:noProof/>
                <w:webHidden/>
              </w:rPr>
              <w:t>8</w:t>
            </w:r>
            <w:r>
              <w:rPr>
                <w:noProof/>
                <w:webHidden/>
              </w:rPr>
              <w:fldChar w:fldCharType="end"/>
            </w:r>
          </w:hyperlink>
        </w:p>
        <w:p w14:paraId="1E7F878D" w14:textId="57405A2D" w:rsidR="003B01A3" w:rsidRDefault="003B01A3">
          <w:pPr>
            <w:pStyle w:val="TOC1"/>
            <w:tabs>
              <w:tab w:val="right" w:leader="dot" w:pos="9016"/>
            </w:tabs>
            <w:rPr>
              <w:noProof/>
            </w:rPr>
          </w:pPr>
          <w:hyperlink w:anchor="_Toc155067749" w:history="1">
            <w:r w:rsidRPr="00F77E02">
              <w:rPr>
                <w:rStyle w:val="Hyperlink"/>
                <w:noProof/>
              </w:rPr>
              <w:t>Conclusion</w:t>
            </w:r>
            <w:r>
              <w:rPr>
                <w:noProof/>
                <w:webHidden/>
              </w:rPr>
              <w:tab/>
            </w:r>
            <w:r>
              <w:rPr>
                <w:noProof/>
                <w:webHidden/>
              </w:rPr>
              <w:fldChar w:fldCharType="begin"/>
            </w:r>
            <w:r>
              <w:rPr>
                <w:noProof/>
                <w:webHidden/>
              </w:rPr>
              <w:instrText xml:space="preserve"> PAGEREF _Toc155067749 \h </w:instrText>
            </w:r>
            <w:r>
              <w:rPr>
                <w:noProof/>
                <w:webHidden/>
              </w:rPr>
            </w:r>
            <w:r>
              <w:rPr>
                <w:noProof/>
                <w:webHidden/>
              </w:rPr>
              <w:fldChar w:fldCharType="separate"/>
            </w:r>
            <w:r w:rsidR="003651B5">
              <w:rPr>
                <w:noProof/>
                <w:webHidden/>
              </w:rPr>
              <w:t>8</w:t>
            </w:r>
            <w:r>
              <w:rPr>
                <w:noProof/>
                <w:webHidden/>
              </w:rPr>
              <w:fldChar w:fldCharType="end"/>
            </w:r>
          </w:hyperlink>
        </w:p>
        <w:p w14:paraId="1D7FE911" w14:textId="06D4416B" w:rsidR="003B01A3" w:rsidRDefault="003B01A3">
          <w:pPr>
            <w:pStyle w:val="TOC1"/>
            <w:tabs>
              <w:tab w:val="right" w:leader="dot" w:pos="9016"/>
            </w:tabs>
            <w:rPr>
              <w:noProof/>
            </w:rPr>
          </w:pPr>
          <w:hyperlink w:anchor="_Toc155067750" w:history="1">
            <w:r w:rsidRPr="00F77E02">
              <w:rPr>
                <w:rStyle w:val="Hyperlink"/>
                <w:noProof/>
              </w:rPr>
              <w:t>References</w:t>
            </w:r>
            <w:r>
              <w:rPr>
                <w:noProof/>
                <w:webHidden/>
              </w:rPr>
              <w:tab/>
            </w:r>
            <w:r>
              <w:rPr>
                <w:noProof/>
                <w:webHidden/>
              </w:rPr>
              <w:fldChar w:fldCharType="begin"/>
            </w:r>
            <w:r>
              <w:rPr>
                <w:noProof/>
                <w:webHidden/>
              </w:rPr>
              <w:instrText xml:space="preserve"> PAGEREF _Toc155067750 \h </w:instrText>
            </w:r>
            <w:r>
              <w:rPr>
                <w:noProof/>
                <w:webHidden/>
              </w:rPr>
            </w:r>
            <w:r>
              <w:rPr>
                <w:noProof/>
                <w:webHidden/>
              </w:rPr>
              <w:fldChar w:fldCharType="separate"/>
            </w:r>
            <w:r w:rsidR="003651B5">
              <w:rPr>
                <w:noProof/>
                <w:webHidden/>
              </w:rPr>
              <w:t>10</w:t>
            </w:r>
            <w:r>
              <w:rPr>
                <w:noProof/>
                <w:webHidden/>
              </w:rPr>
              <w:fldChar w:fldCharType="end"/>
            </w:r>
          </w:hyperlink>
        </w:p>
        <w:p w14:paraId="51D85D21" w14:textId="77AFA230" w:rsidR="003B01A3" w:rsidRDefault="003B01A3">
          <w:r>
            <w:rPr>
              <w:b/>
              <w:bCs/>
              <w:noProof/>
            </w:rPr>
            <w:fldChar w:fldCharType="end"/>
          </w:r>
        </w:p>
      </w:sdtContent>
    </w:sdt>
    <w:p w14:paraId="2F514775" w14:textId="77777777" w:rsidR="003B01A3" w:rsidRPr="003B01A3" w:rsidRDefault="003B01A3" w:rsidP="003B01A3"/>
    <w:p w14:paraId="57976A35" w14:textId="77777777" w:rsidR="003B01A3" w:rsidRDefault="003B01A3">
      <w:pPr>
        <w:jc w:val="left"/>
        <w:rPr>
          <w:rFonts w:eastAsiaTheme="majorEastAsia" w:cstheme="majorBidi"/>
          <w:b/>
          <w:color w:val="1F3864" w:themeColor="accent1" w:themeShade="80"/>
          <w:sz w:val="32"/>
          <w:szCs w:val="32"/>
        </w:rPr>
      </w:pPr>
      <w:r>
        <w:br w:type="page"/>
      </w:r>
    </w:p>
    <w:p w14:paraId="1CF77550" w14:textId="6CF03E6A" w:rsidR="00DB0186" w:rsidRDefault="00AD126E" w:rsidP="004901DE">
      <w:pPr>
        <w:pStyle w:val="Heading1"/>
      </w:pPr>
      <w:bookmarkStart w:id="0" w:name="_Toc155067735"/>
      <w:r>
        <w:lastRenderedPageBreak/>
        <w:t>Introduction</w:t>
      </w:r>
      <w:bookmarkEnd w:id="0"/>
    </w:p>
    <w:p w14:paraId="532AFC30" w14:textId="59B13214" w:rsidR="00AD126E" w:rsidRDefault="00F83E85">
      <w:r w:rsidRPr="00F83E85">
        <w:t>Multinational companies dealing with International Financial Management face many obstacles, the most significant of which is the unpredictability of foreign exchange markets. The constant fluctuation of currency values creates a natural risk that can significantly affect the efficiency of operations and financial stability of these organisations. This report aims to explore the subject of managing foreign exchange risks by analysing the tactics that multinational companies frequently use to avoid the risks associated with currency changes.</w:t>
      </w:r>
    </w:p>
    <w:p w14:paraId="5A90C0C0" w14:textId="552693B9" w:rsidR="004F4EB1" w:rsidRDefault="004F4EB1">
      <w:r w:rsidRPr="004F4EB1">
        <w:t>Many companies operate in a worldwide environment, which necessitates a solid understanding of foreign exchange risks. These risks can take many different forms, including economic, translation, and transaction risks. They can all have a significant impact on profit margins, financial predictions, and competitive positioning in a range of markets. Thus, for companies operating across international borders, effective risk management becomes a critical component of strategic decision-making.</w:t>
      </w:r>
    </w:p>
    <w:p w14:paraId="4D5BBE95" w14:textId="577D80D7" w:rsidR="004F4EB1" w:rsidRDefault="004901DE">
      <w:r w:rsidRPr="004901DE">
        <w:t>Different strategies are used by multinational companies to lower these risks. Certain types are more popular, such as options and contracts, while others are less popular, like leading and lagging. When it comes to handling currency fluctuations, each strategy offers advantages. However, selecting the ideal one requires a thorough evaluation of their strengths, weaknesses, and practicality. This report attempts to investigate these techniques in detail. It will describe what they do, how they operate, and how they impact the financial resources and global competitiveness of multinational companies in the fast-paced environment of global finance.</w:t>
      </w:r>
    </w:p>
    <w:p w14:paraId="011FD339" w14:textId="055638B6" w:rsidR="004901DE" w:rsidRDefault="004901DE" w:rsidP="001566FB">
      <w:pPr>
        <w:pStyle w:val="Heading1"/>
      </w:pPr>
      <w:bookmarkStart w:id="1" w:name="_Toc155067736"/>
      <w:r>
        <w:t xml:space="preserve">Understanding </w:t>
      </w:r>
      <w:r w:rsidR="00E3181A">
        <w:t xml:space="preserve">the </w:t>
      </w:r>
      <w:r w:rsidR="001566FB">
        <w:t>Foreign Exchange Risks</w:t>
      </w:r>
      <w:bookmarkEnd w:id="1"/>
    </w:p>
    <w:p w14:paraId="3AFD9F45" w14:textId="0399F086" w:rsidR="009D1559" w:rsidRPr="009D1559" w:rsidRDefault="009D1559" w:rsidP="009D1559">
      <w:r w:rsidRPr="009D1559">
        <w:t>Foreign exchange risks create significant obstacles for companies involved in international trade. These risks come from the fluctuating value of currencies, which might put companies in danger of financial instability</w:t>
      </w:r>
      <w:r w:rsidR="000C724D">
        <w:t xml:space="preserve"> </w:t>
      </w:r>
      <w:sdt>
        <w:sdtPr>
          <w:id w:val="-263765485"/>
          <w:citation/>
        </w:sdtPr>
        <w:sdtContent>
          <w:r w:rsidR="000C724D">
            <w:fldChar w:fldCharType="begin"/>
          </w:r>
          <w:r w:rsidR="000C724D">
            <w:instrText xml:space="preserve"> CITATION Ban13 \l 2057 </w:instrText>
          </w:r>
          <w:r w:rsidR="000C724D">
            <w:fldChar w:fldCharType="separate"/>
          </w:r>
          <w:r w:rsidR="000C724D" w:rsidRPr="000C724D">
            <w:rPr>
              <w:noProof/>
            </w:rPr>
            <w:t>(Bank for International Settlements, 2013)</w:t>
          </w:r>
          <w:r w:rsidR="000C724D">
            <w:fldChar w:fldCharType="end"/>
          </w:r>
        </w:sdtContent>
      </w:sdt>
      <w:r w:rsidRPr="009D1559">
        <w:t>. In the domain of International Financial Management, developing an in-depth understanding of these risks is essential for developing successful risk management plans.</w:t>
      </w:r>
    </w:p>
    <w:p w14:paraId="7F743A67" w14:textId="01D53DD9" w:rsidR="00B44A24" w:rsidRDefault="0050417A" w:rsidP="009D1559">
      <w:pPr>
        <w:pStyle w:val="Heading2"/>
        <w:rPr>
          <w:rFonts w:ascii="Times New Roman" w:hAnsi="Times New Roman" w:cs="Times New Roman"/>
          <w:sz w:val="28"/>
          <w:szCs w:val="28"/>
        </w:rPr>
      </w:pPr>
      <w:bookmarkStart w:id="2" w:name="_Toc155067737"/>
      <w:r w:rsidRPr="009D1559">
        <w:rPr>
          <w:rFonts w:ascii="Times New Roman" w:hAnsi="Times New Roman" w:cs="Times New Roman"/>
          <w:sz w:val="28"/>
          <w:szCs w:val="28"/>
        </w:rPr>
        <w:t>Different Types of Foreign Exchange Risks</w:t>
      </w:r>
      <w:bookmarkEnd w:id="2"/>
    </w:p>
    <w:p w14:paraId="4D6360D6" w14:textId="720E9862" w:rsidR="009D1559" w:rsidRDefault="007620B2" w:rsidP="009D1559">
      <w:r w:rsidRPr="00F30E53">
        <w:rPr>
          <w:b/>
          <w:bCs/>
        </w:rPr>
        <w:t>Transaction Risks</w:t>
      </w:r>
      <w:r w:rsidR="008F5004" w:rsidRPr="00F30E53">
        <w:rPr>
          <w:b/>
          <w:bCs/>
        </w:rPr>
        <w:t xml:space="preserve">: </w:t>
      </w:r>
      <w:r w:rsidR="009579B5" w:rsidRPr="009579B5">
        <w:t>The exchange rate variations that take place between the settlement date of financial agreements and the transaction date contribute to this risk</w:t>
      </w:r>
      <w:r w:rsidR="00022DA8">
        <w:t xml:space="preserve"> </w:t>
      </w:r>
      <w:sdt>
        <w:sdtPr>
          <w:id w:val="2024970217"/>
          <w:citation/>
        </w:sdtPr>
        <w:sdtContent>
          <w:r w:rsidR="00022DA8">
            <w:fldChar w:fldCharType="begin"/>
          </w:r>
          <w:r w:rsidR="00022DA8">
            <w:instrText xml:space="preserve"> CITATION Akh22 \l 2057 </w:instrText>
          </w:r>
          <w:r w:rsidR="00022DA8">
            <w:fldChar w:fldCharType="separate"/>
          </w:r>
          <w:r w:rsidR="00022DA8" w:rsidRPr="00022DA8">
            <w:rPr>
              <w:noProof/>
            </w:rPr>
            <w:t>(Ganti, 2022)</w:t>
          </w:r>
          <w:r w:rsidR="00022DA8">
            <w:fldChar w:fldCharType="end"/>
          </w:r>
        </w:sdtContent>
      </w:sdt>
      <w:r w:rsidR="009579B5" w:rsidRPr="009579B5">
        <w:t>. It affects businesses that engage in cross-border transactions when changes in exchange rates may result in profits or losses.</w:t>
      </w:r>
    </w:p>
    <w:p w14:paraId="57ABDC61" w14:textId="2CE22C33" w:rsidR="007620B2" w:rsidRDefault="007620B2" w:rsidP="009D1559">
      <w:r w:rsidRPr="00F30E53">
        <w:rPr>
          <w:b/>
          <w:bCs/>
        </w:rPr>
        <w:t>Translation Risks</w:t>
      </w:r>
      <w:r w:rsidR="008F5004" w:rsidRPr="00F30E53">
        <w:rPr>
          <w:b/>
          <w:bCs/>
        </w:rPr>
        <w:t>:</w:t>
      </w:r>
      <w:r w:rsidR="002036C5">
        <w:t xml:space="preserve"> </w:t>
      </w:r>
      <w:r w:rsidR="002036C5" w:rsidRPr="002036C5">
        <w:t>When combining financial records, multinational companies with operations across borders face the risk of translation errors</w:t>
      </w:r>
      <w:r w:rsidR="00A24DE2">
        <w:t xml:space="preserve"> </w:t>
      </w:r>
      <w:sdt>
        <w:sdtPr>
          <w:id w:val="1450276448"/>
          <w:citation/>
        </w:sdtPr>
        <w:sdtContent>
          <w:r w:rsidR="00A24DE2">
            <w:fldChar w:fldCharType="begin"/>
          </w:r>
          <w:r w:rsidR="00A24DE2">
            <w:instrText xml:space="preserve">CITATION Wil221 \l 2057 </w:instrText>
          </w:r>
          <w:r w:rsidR="00A24DE2">
            <w:fldChar w:fldCharType="separate"/>
          </w:r>
          <w:r w:rsidR="00A24DE2" w:rsidRPr="00A24DE2">
            <w:rPr>
              <w:noProof/>
            </w:rPr>
            <w:t>(Kenton, 2022)</w:t>
          </w:r>
          <w:r w:rsidR="00A24DE2">
            <w:fldChar w:fldCharType="end"/>
          </w:r>
        </w:sdtContent>
      </w:sdt>
      <w:r w:rsidR="002036C5" w:rsidRPr="002036C5">
        <w:t>. Changes in exchange rates have an effect on reported financial positions by affecting the worth of assets, liabilities, revenues, and costs.</w:t>
      </w:r>
    </w:p>
    <w:p w14:paraId="00FBEE7D" w14:textId="18049451" w:rsidR="007620B2" w:rsidRDefault="007620B2" w:rsidP="009D1559">
      <w:r w:rsidRPr="00F30E53">
        <w:rPr>
          <w:b/>
          <w:bCs/>
        </w:rPr>
        <w:t>Economic Risks</w:t>
      </w:r>
      <w:r w:rsidR="008F5004" w:rsidRPr="00F30E53">
        <w:rPr>
          <w:b/>
          <w:bCs/>
        </w:rPr>
        <w:t>:</w:t>
      </w:r>
      <w:r w:rsidR="008F5004">
        <w:t xml:space="preserve"> </w:t>
      </w:r>
      <w:r w:rsidR="00973783" w:rsidRPr="00973783">
        <w:t>Economic risk, also known as operational exposure, is caused by fluctuations in exchange rates that impact future cash flows</w:t>
      </w:r>
      <w:r w:rsidR="0052759E">
        <w:t xml:space="preserve"> </w:t>
      </w:r>
      <w:sdt>
        <w:sdtPr>
          <w:id w:val="-1383409585"/>
          <w:citation/>
        </w:sdtPr>
        <w:sdtContent>
          <w:r w:rsidR="0052759E">
            <w:fldChar w:fldCharType="begin"/>
          </w:r>
          <w:r w:rsidR="0052759E">
            <w:instrText xml:space="preserve"> CITATION Evi23 \l 2057 </w:instrText>
          </w:r>
          <w:r w:rsidR="0052759E">
            <w:fldChar w:fldCharType="separate"/>
          </w:r>
          <w:r w:rsidR="0052759E" w:rsidRPr="0052759E">
            <w:rPr>
              <w:noProof/>
            </w:rPr>
            <w:t>(Picardo, 2023)</w:t>
          </w:r>
          <w:r w:rsidR="0052759E">
            <w:fldChar w:fldCharType="end"/>
          </w:r>
        </w:sdtContent>
      </w:sdt>
      <w:r w:rsidR="00973783" w:rsidRPr="00973783">
        <w:t>. It affects how competitively priced items are on global marketplaces, which has an effect on sales figures and profits.</w:t>
      </w:r>
    </w:p>
    <w:p w14:paraId="694B4494" w14:textId="77777777" w:rsidR="003617E7" w:rsidRPr="009D1559" w:rsidRDefault="003617E7" w:rsidP="009D1559"/>
    <w:p w14:paraId="12F57DBF" w14:textId="532D7B1F" w:rsidR="0050417A" w:rsidRDefault="00C26793" w:rsidP="009D1559">
      <w:pPr>
        <w:pStyle w:val="Heading2"/>
        <w:rPr>
          <w:rFonts w:ascii="Times New Roman" w:hAnsi="Times New Roman" w:cs="Times New Roman"/>
          <w:sz w:val="28"/>
          <w:szCs w:val="28"/>
        </w:rPr>
      </w:pPr>
      <w:bookmarkStart w:id="3" w:name="_Toc155067738"/>
      <w:r w:rsidRPr="009D1559">
        <w:rPr>
          <w:rFonts w:ascii="Times New Roman" w:hAnsi="Times New Roman" w:cs="Times New Roman"/>
          <w:sz w:val="28"/>
          <w:szCs w:val="28"/>
        </w:rPr>
        <w:lastRenderedPageBreak/>
        <w:t>The Main Factors Influencing Foreign Exchange Risks</w:t>
      </w:r>
      <w:bookmarkEnd w:id="3"/>
    </w:p>
    <w:p w14:paraId="28B14391" w14:textId="34D7D2E5" w:rsidR="00973783" w:rsidRDefault="00F32939" w:rsidP="00973783">
      <w:r w:rsidRPr="00894BAE">
        <w:rPr>
          <w:b/>
          <w:bCs/>
        </w:rPr>
        <w:t>Inflation</w:t>
      </w:r>
      <w:r w:rsidR="00F30E53" w:rsidRPr="00894BAE">
        <w:rPr>
          <w:b/>
          <w:bCs/>
        </w:rPr>
        <w:t>:</w:t>
      </w:r>
      <w:r w:rsidR="00A2144D">
        <w:t xml:space="preserve"> </w:t>
      </w:r>
      <w:r w:rsidR="00A2144D" w:rsidRPr="00A2144D">
        <w:t>Changes in inflation rates across nations have an impact on exchange rates. A country's currency could fall due to higher inflation than in another, consequently impacting foreign exchange risks</w:t>
      </w:r>
      <w:r w:rsidR="00D11DF9">
        <w:t xml:space="preserve"> </w:t>
      </w:r>
      <w:sdt>
        <w:sdtPr>
          <w:id w:val="672071019"/>
          <w:citation/>
        </w:sdtPr>
        <w:sdtContent>
          <w:r w:rsidR="00D11DF9">
            <w:fldChar w:fldCharType="begin"/>
          </w:r>
          <w:r w:rsidR="00D11DF9">
            <w:instrText xml:space="preserve"> CITATION Muh14 \l 2057 </w:instrText>
          </w:r>
          <w:r w:rsidR="00D11DF9">
            <w:fldChar w:fldCharType="separate"/>
          </w:r>
          <w:r w:rsidR="00D11DF9" w:rsidRPr="00D11DF9">
            <w:rPr>
              <w:noProof/>
            </w:rPr>
            <w:t>(Islam &amp; Raza, 2014)</w:t>
          </w:r>
          <w:r w:rsidR="00D11DF9">
            <w:fldChar w:fldCharType="end"/>
          </w:r>
        </w:sdtContent>
      </w:sdt>
      <w:r w:rsidR="00A2144D" w:rsidRPr="00A2144D">
        <w:t>.</w:t>
      </w:r>
    </w:p>
    <w:p w14:paraId="1CA96C7C" w14:textId="3A6EE599" w:rsidR="00F32939" w:rsidRDefault="00F32939" w:rsidP="00973783">
      <w:r w:rsidRPr="00894BAE">
        <w:rPr>
          <w:b/>
          <w:bCs/>
        </w:rPr>
        <w:t>Interest Rate Differentiation</w:t>
      </w:r>
      <w:r w:rsidR="00F30E53" w:rsidRPr="00894BAE">
        <w:rPr>
          <w:b/>
          <w:bCs/>
        </w:rPr>
        <w:t>:</w:t>
      </w:r>
      <w:r w:rsidR="00A2144D">
        <w:t xml:space="preserve"> </w:t>
      </w:r>
      <w:r w:rsidR="00CF5936" w:rsidRPr="00CF5936">
        <w:t>Currency demand is influenced by interest rate differences across countries. Interest rates that are higher in a certain country might attract investments, which may have an effect on exchange rates and related risks.</w:t>
      </w:r>
    </w:p>
    <w:p w14:paraId="5BD7AE58" w14:textId="412497AA" w:rsidR="00F32939" w:rsidRDefault="009B3AF0" w:rsidP="00973783">
      <w:r w:rsidRPr="00894BAE">
        <w:rPr>
          <w:b/>
          <w:bCs/>
        </w:rPr>
        <w:t>Differences in Income Levels</w:t>
      </w:r>
      <w:r w:rsidR="00F30E53" w:rsidRPr="00894BAE">
        <w:rPr>
          <w:b/>
          <w:bCs/>
        </w:rPr>
        <w:t>:</w:t>
      </w:r>
      <w:r w:rsidR="00CF5936">
        <w:t xml:space="preserve"> </w:t>
      </w:r>
      <w:r w:rsidR="00CF5936" w:rsidRPr="00CF5936">
        <w:t>Differences in national income levels can impact the demand for products and services, which in turn can impact currency exchange rates and the risks that go along with it.</w:t>
      </w:r>
    </w:p>
    <w:p w14:paraId="7C7CCFB5" w14:textId="2CAD3FCB" w:rsidR="009B3AF0" w:rsidRDefault="009B3AF0" w:rsidP="00973783">
      <w:r w:rsidRPr="00DF214D">
        <w:rPr>
          <w:b/>
          <w:bCs/>
        </w:rPr>
        <w:t>Government Controls</w:t>
      </w:r>
      <w:r w:rsidR="00F30E53" w:rsidRPr="00DF214D">
        <w:rPr>
          <w:b/>
          <w:bCs/>
        </w:rPr>
        <w:t>:</w:t>
      </w:r>
      <w:r w:rsidR="00CF5936" w:rsidRPr="00DF214D">
        <w:rPr>
          <w:b/>
          <w:bCs/>
        </w:rPr>
        <w:t xml:space="preserve"> </w:t>
      </w:r>
      <w:r w:rsidR="00CF5936" w:rsidRPr="00CF5936">
        <w:t>Government actions, such as trade barriers, taxes, or fiscal policies, can affect currency values, consequently impacting foreign exchange risks</w:t>
      </w:r>
      <w:r w:rsidR="00D11DF9">
        <w:t xml:space="preserve"> </w:t>
      </w:r>
      <w:sdt>
        <w:sdtPr>
          <w:id w:val="-1402903708"/>
          <w:citation/>
        </w:sdtPr>
        <w:sdtContent>
          <w:r w:rsidR="00D11DF9">
            <w:fldChar w:fldCharType="begin"/>
          </w:r>
          <w:r w:rsidR="00D11DF9">
            <w:instrText xml:space="preserve"> CITATION Muh14 \l 2057 </w:instrText>
          </w:r>
          <w:r w:rsidR="00D11DF9">
            <w:fldChar w:fldCharType="separate"/>
          </w:r>
          <w:r w:rsidR="00D11DF9" w:rsidRPr="00D11DF9">
            <w:rPr>
              <w:noProof/>
            </w:rPr>
            <w:t>(Islam &amp; Raza, 2014)</w:t>
          </w:r>
          <w:r w:rsidR="00D11DF9">
            <w:fldChar w:fldCharType="end"/>
          </w:r>
        </w:sdtContent>
      </w:sdt>
      <w:r w:rsidR="00CF5936" w:rsidRPr="00CF5936">
        <w:t>.</w:t>
      </w:r>
    </w:p>
    <w:p w14:paraId="3194F9F2" w14:textId="736CE348" w:rsidR="009B3AF0" w:rsidRPr="00973783" w:rsidRDefault="009B3AF0" w:rsidP="00973783">
      <w:r w:rsidRPr="00DF214D">
        <w:rPr>
          <w:b/>
          <w:bCs/>
        </w:rPr>
        <w:t>Changes in Expe</w:t>
      </w:r>
      <w:r w:rsidR="00CB6825" w:rsidRPr="00DF214D">
        <w:rPr>
          <w:b/>
          <w:bCs/>
        </w:rPr>
        <w:t>c</w:t>
      </w:r>
      <w:r w:rsidR="00F2197F" w:rsidRPr="00DF214D">
        <w:rPr>
          <w:b/>
          <w:bCs/>
        </w:rPr>
        <w:t>tations</w:t>
      </w:r>
      <w:r w:rsidR="00F30E53" w:rsidRPr="00DF214D">
        <w:rPr>
          <w:b/>
          <w:bCs/>
        </w:rPr>
        <w:t>:</w:t>
      </w:r>
      <w:r w:rsidR="00CF5936">
        <w:t xml:space="preserve"> </w:t>
      </w:r>
      <w:r w:rsidR="00894BAE" w:rsidRPr="00894BAE">
        <w:t>Exchange rates may be greatly influenced by expectations about future economic circumstances, governmental changes, or market attitude, all of which can be risky for companies that trade internationally.</w:t>
      </w:r>
    </w:p>
    <w:p w14:paraId="78CD9255" w14:textId="4F8F1EAD" w:rsidR="000D1C71" w:rsidRDefault="00244852" w:rsidP="009D1559">
      <w:pPr>
        <w:pStyle w:val="Heading2"/>
        <w:rPr>
          <w:rFonts w:ascii="Times New Roman" w:hAnsi="Times New Roman" w:cs="Times New Roman"/>
          <w:sz w:val="28"/>
          <w:szCs w:val="28"/>
        </w:rPr>
      </w:pPr>
      <w:bookmarkStart w:id="4" w:name="_Toc155067739"/>
      <w:r w:rsidRPr="009D1559">
        <w:rPr>
          <w:rFonts w:ascii="Times New Roman" w:hAnsi="Times New Roman" w:cs="Times New Roman"/>
          <w:sz w:val="28"/>
          <w:szCs w:val="28"/>
        </w:rPr>
        <w:t>Their Impact on Multinational Companies</w:t>
      </w:r>
      <w:bookmarkEnd w:id="4"/>
    </w:p>
    <w:p w14:paraId="0E954C94" w14:textId="77777777" w:rsidR="00682D0E" w:rsidRDefault="00682D0E" w:rsidP="00682D0E">
      <w:r>
        <w:t>Firstly, exchange rate fluctuations may lead to financial exposure, which can put multinational companies at risk of financial losses or profits. These variations may have an effect on earnings, expenses, and revenue.</w:t>
      </w:r>
    </w:p>
    <w:p w14:paraId="10A77E08" w14:textId="77777777" w:rsidR="00682D0E" w:rsidRDefault="00682D0E" w:rsidP="00682D0E">
      <w:r>
        <w:t>A company's ability to compete in international markets may be impacted by currency fluctuations. Market share and profitability may be impacted by modifications in pricing dynamics or by currency variations in the cost of raw materials.</w:t>
      </w:r>
    </w:p>
    <w:p w14:paraId="385C3F15" w14:textId="3DF20068" w:rsidR="00CF4168" w:rsidRDefault="00682D0E" w:rsidP="00682D0E">
      <w:r>
        <w:t>Moreover, international companies must handle foreign exchange risks effectively in order to make strategic decisions. Businesses involved in foreign transactions and financial planning must evaluate, reduce, and adjust to these risks.</w:t>
      </w:r>
    </w:p>
    <w:p w14:paraId="5AD02BC7" w14:textId="4E9E52A6" w:rsidR="003F6DC0" w:rsidRDefault="00B02F83" w:rsidP="00B02F83">
      <w:pPr>
        <w:pStyle w:val="Heading2"/>
        <w:rPr>
          <w:rFonts w:ascii="Times New Roman" w:hAnsi="Times New Roman" w:cs="Times New Roman"/>
          <w:sz w:val="28"/>
          <w:szCs w:val="28"/>
        </w:rPr>
      </w:pPr>
      <w:bookmarkStart w:id="5" w:name="_Toc155067740"/>
      <w:r w:rsidRPr="00B02F83">
        <w:rPr>
          <w:rFonts w:ascii="Times New Roman" w:hAnsi="Times New Roman" w:cs="Times New Roman"/>
          <w:sz w:val="28"/>
          <w:szCs w:val="28"/>
        </w:rPr>
        <w:t>Brexit Impact on Foreign Exchange Risks</w:t>
      </w:r>
      <w:bookmarkEnd w:id="5"/>
    </w:p>
    <w:p w14:paraId="444EA9B8" w14:textId="5A7133A9" w:rsidR="00833B0A" w:rsidRPr="00833B0A" w:rsidRDefault="00833B0A" w:rsidP="00833B0A">
      <w:r w:rsidRPr="00833B0A">
        <w:t xml:space="preserve">Brexit has had a big influence on foreign exchange risks, especially when it comes to trade uncertainty and currency fluctuations. The uncertainty surrounding the Brexit discussions and the eventual result of a deal or no deal contributed to increased volatility in the currency markets, with the British pound being particularly affected. The British pound has fluctuated against other major currencies, such as the US dollar and the </w:t>
      </w:r>
      <w:r w:rsidR="00372B1C" w:rsidRPr="00833B0A">
        <w:t>euro since</w:t>
      </w:r>
      <w:r w:rsidRPr="00833B0A">
        <w:t xml:space="preserve"> the Brexit referendum in 2016</w:t>
      </w:r>
      <w:r w:rsidR="00F42B8C">
        <w:t xml:space="preserve"> </w:t>
      </w:r>
      <w:sdt>
        <w:sdtPr>
          <w:id w:val="1826704651"/>
          <w:citation/>
        </w:sdtPr>
        <w:sdtContent>
          <w:r w:rsidR="00F42B8C">
            <w:fldChar w:fldCharType="begin"/>
          </w:r>
          <w:r w:rsidR="00F42B8C">
            <w:instrText xml:space="preserve"> CITATION Chr21 \l 2057 </w:instrText>
          </w:r>
          <w:r w:rsidR="00F42B8C">
            <w:fldChar w:fldCharType="separate"/>
          </w:r>
          <w:r w:rsidR="00F42B8C" w:rsidRPr="00F42B8C">
            <w:rPr>
              <w:noProof/>
            </w:rPr>
            <w:t>(Coyle, 2021)</w:t>
          </w:r>
          <w:r w:rsidR="00F42B8C">
            <w:fldChar w:fldCharType="end"/>
          </w:r>
        </w:sdtContent>
      </w:sdt>
      <w:r w:rsidRPr="00833B0A">
        <w:t>.</w:t>
      </w:r>
    </w:p>
    <w:p w14:paraId="77C79676" w14:textId="15502C12" w:rsidR="00B02F83" w:rsidRDefault="00433CC8" w:rsidP="00B02F83">
      <w:r w:rsidRPr="00433CC8">
        <w:t>Variations in the value of the pound made it difficult for multinational businesses exposed to the UK market to estimate income and control expenses. Concerns about the future value of contracts, investments, and financial transactions based in GBP were present for businesses doing business with the UK.</w:t>
      </w:r>
    </w:p>
    <w:p w14:paraId="7C67AEF2" w14:textId="2DDFCCF9" w:rsidR="00433CC8" w:rsidRPr="00B02F83" w:rsidRDefault="00575E60" w:rsidP="00B02F83">
      <w:r w:rsidRPr="00575E60">
        <w:t xml:space="preserve">Companies overcame these obstacles by diversifying their businesses, implementing hedging techniques, and constantly observing the course of discusses and how they could affect foreign exchange risks. For companies managing foreign exchange risks, however, the ongoing </w:t>
      </w:r>
      <w:r w:rsidRPr="00575E60">
        <w:lastRenderedPageBreak/>
        <w:t>uncertainty surrounding future trade connections and regulatory frameworks following Brexit continues to cause difficulties.</w:t>
      </w:r>
    </w:p>
    <w:p w14:paraId="3A8D7FF9" w14:textId="704077B4" w:rsidR="00244852" w:rsidRDefault="00244852" w:rsidP="005C5998">
      <w:pPr>
        <w:pStyle w:val="Heading2"/>
        <w:rPr>
          <w:rFonts w:ascii="Times New Roman" w:hAnsi="Times New Roman" w:cs="Times New Roman"/>
          <w:sz w:val="28"/>
          <w:szCs w:val="28"/>
        </w:rPr>
      </w:pPr>
      <w:bookmarkStart w:id="6" w:name="_Toc155067741"/>
      <w:r w:rsidRPr="005C5998">
        <w:rPr>
          <w:rFonts w:ascii="Times New Roman" w:hAnsi="Times New Roman" w:cs="Times New Roman"/>
          <w:sz w:val="28"/>
          <w:szCs w:val="28"/>
        </w:rPr>
        <w:t>Risk Mitigation Strategies</w:t>
      </w:r>
      <w:bookmarkEnd w:id="6"/>
    </w:p>
    <w:p w14:paraId="779515A8" w14:textId="77777777" w:rsidR="00916F84" w:rsidRDefault="00916F84" w:rsidP="00916F84">
      <w:r>
        <w:t>a. Trading: By safeguarding against unfavourable currency changes, financial products such as forward contracts, options, futures, and exchanges can help reduce foreign exchange risks.</w:t>
      </w:r>
    </w:p>
    <w:p w14:paraId="2D6CD521" w14:textId="77777777" w:rsidR="00916F84" w:rsidRDefault="00916F84" w:rsidP="00916F84">
      <w:r>
        <w:t>b. Diversification: Reducing dependence on a single currency by operating in a variety of marketplaces or converting transactions in several currencies can serve as a risk mitigation approach.</w:t>
      </w:r>
    </w:p>
    <w:p w14:paraId="433919A5" w14:textId="77777777" w:rsidR="00916F84" w:rsidRDefault="00916F84" w:rsidP="00916F84">
      <w:r>
        <w:t>c. Natural Hedging: By matching revenue with expenditures in several currencies, one can reduce the effect of fluctuations in exchange rates on their financial performance.</w:t>
      </w:r>
    </w:p>
    <w:p w14:paraId="78CE55B9" w14:textId="0099B3CD" w:rsidR="00682D0E" w:rsidRDefault="00916F84" w:rsidP="00916F84">
      <w:r>
        <w:t>d. Comprehensive Risk Assessment and Monitoring: Companies may respond to market developments more effectively when they regularly examine their vulnerability to foreign exchange risks and have strong monitoring mechanisms in place.</w:t>
      </w:r>
    </w:p>
    <w:p w14:paraId="3748AFFB" w14:textId="3071798D" w:rsidR="00781137" w:rsidRPr="00682D0E" w:rsidRDefault="00781137" w:rsidP="00916F84">
      <w:r w:rsidRPr="00781137">
        <w:t>Knowing these important aspects of foreign exchange risks enables multinational companies to plan ahead and make well-informed choices and risk-reduction plans. Businesses may preserve their competitive advantages in the global economy and improve their durability by identifying, assessing, and reducing these risks.</w:t>
      </w:r>
    </w:p>
    <w:p w14:paraId="29C79FF2" w14:textId="0188DC0B" w:rsidR="008F091A" w:rsidRDefault="008F091A" w:rsidP="00B44A24">
      <w:pPr>
        <w:pStyle w:val="Heading1"/>
      </w:pPr>
      <w:bookmarkStart w:id="7" w:name="_Toc155067742"/>
      <w:r>
        <w:t>Managing Foreign Exchange Risks</w:t>
      </w:r>
      <w:bookmarkEnd w:id="7"/>
    </w:p>
    <w:p w14:paraId="0C1FBA4E" w14:textId="21F6DAA0" w:rsidR="007E042A" w:rsidRDefault="007E042A" w:rsidP="007E042A">
      <w:r w:rsidRPr="007E042A">
        <w:t>Multinational companies deal with the complexity of foreign exchange risks in the complicated world of global trade, which may have a big influence on their financial health. In the field of international financial management, maintaining competitiveness and guaranteeing financial stability need the implementation of efficient risk management measures.</w:t>
      </w:r>
    </w:p>
    <w:p w14:paraId="751F2150" w14:textId="32BFCC38" w:rsidR="007E042A" w:rsidRDefault="008427E8" w:rsidP="007E042A">
      <w:r w:rsidRPr="008427E8">
        <w:t>Currency volatility exposes multinational companies to a variety of foreign exchange risks. Companies need to create strong strategies that fit their operational scope, market presence, and risk tolerance in order to reduce these risks.</w:t>
      </w:r>
    </w:p>
    <w:p w14:paraId="0B3BEDD4" w14:textId="2A9A84B6" w:rsidR="008F575B" w:rsidRDefault="008F575B" w:rsidP="008F575B">
      <w:pPr>
        <w:pStyle w:val="Heading2"/>
        <w:rPr>
          <w:rFonts w:ascii="Times New Roman" w:hAnsi="Times New Roman" w:cs="Times New Roman"/>
          <w:sz w:val="28"/>
          <w:szCs w:val="28"/>
        </w:rPr>
      </w:pPr>
      <w:bookmarkStart w:id="8" w:name="_Toc155067743"/>
      <w:r w:rsidRPr="008F575B">
        <w:rPr>
          <w:rFonts w:ascii="Times New Roman" w:hAnsi="Times New Roman" w:cs="Times New Roman"/>
          <w:sz w:val="28"/>
          <w:szCs w:val="28"/>
        </w:rPr>
        <w:t>Key Strategies in Managing Foreign Exchange Risks</w:t>
      </w:r>
      <w:bookmarkEnd w:id="8"/>
    </w:p>
    <w:p w14:paraId="641BF589" w14:textId="13AEB6A4" w:rsidR="008F575B" w:rsidRPr="000953B2" w:rsidRDefault="00104382" w:rsidP="008F575B">
      <w:pPr>
        <w:rPr>
          <w:b/>
          <w:bCs/>
        </w:rPr>
      </w:pPr>
      <w:r w:rsidRPr="000953B2">
        <w:rPr>
          <w:b/>
          <w:bCs/>
        </w:rPr>
        <w:t>Hedging</w:t>
      </w:r>
    </w:p>
    <w:p w14:paraId="2AC188E6" w14:textId="5F667F3A" w:rsidR="00751DDF" w:rsidRDefault="00751DDF" w:rsidP="008F575B">
      <w:r w:rsidRPr="00751DDF">
        <w:t>A popular strategy is to use financial products as a protection against unfavourable currency changes</w:t>
      </w:r>
      <w:r w:rsidR="00760968">
        <w:t xml:space="preserve"> </w:t>
      </w:r>
      <w:sdt>
        <w:sdtPr>
          <w:id w:val="1972086446"/>
          <w:citation/>
        </w:sdtPr>
        <w:sdtContent>
          <w:r w:rsidR="00760968">
            <w:fldChar w:fldCharType="begin"/>
          </w:r>
          <w:r w:rsidR="00760968">
            <w:instrText xml:space="preserve"> CITATION Bou23 \l 2057 </w:instrText>
          </w:r>
          <w:r w:rsidR="00760968">
            <w:fldChar w:fldCharType="separate"/>
          </w:r>
          <w:r w:rsidR="00760968" w:rsidRPr="00760968">
            <w:rPr>
              <w:noProof/>
            </w:rPr>
            <w:t>(Bound Team, 2023)</w:t>
          </w:r>
          <w:r w:rsidR="00760968">
            <w:fldChar w:fldCharType="end"/>
          </w:r>
        </w:sdtContent>
      </w:sdt>
      <w:r w:rsidRPr="00751DDF">
        <w:t>. For example, businesses frequently use futures, options, or forward contracts to secure increases in currency rates for upcoming transactions. By using this strategy, businesses may lock in advantageous rates and guard against possible losses brought on by currency volatility. An illustration of this would be if a global business, like an automobile, entered into forward contracts to protect itself from currency fluctuations while buying raw materials or selling cars abroad.</w:t>
      </w:r>
    </w:p>
    <w:p w14:paraId="3AF0B8C9" w14:textId="3505C794" w:rsidR="00104382" w:rsidRPr="000953B2" w:rsidRDefault="00104382" w:rsidP="008F575B">
      <w:pPr>
        <w:rPr>
          <w:b/>
          <w:bCs/>
        </w:rPr>
      </w:pPr>
      <w:r w:rsidRPr="000953B2">
        <w:rPr>
          <w:b/>
          <w:bCs/>
        </w:rPr>
        <w:t>Netting</w:t>
      </w:r>
    </w:p>
    <w:p w14:paraId="1F0BC341" w14:textId="46126D44" w:rsidR="00751DDF" w:rsidRDefault="000953B2" w:rsidP="008F575B">
      <w:r w:rsidRPr="000953B2">
        <w:t>Combining accounts payable and receivable with the same currency is known as netting</w:t>
      </w:r>
      <w:r w:rsidR="003A60B8">
        <w:t xml:space="preserve"> </w:t>
      </w:r>
      <w:sdt>
        <w:sdtPr>
          <w:id w:val="1217086782"/>
          <w:citation/>
        </w:sdtPr>
        <w:sdtContent>
          <w:r w:rsidR="003A60B8">
            <w:fldChar w:fldCharType="begin"/>
          </w:r>
          <w:r w:rsidR="003A60B8">
            <w:instrText xml:space="preserve"> CITATION Mar201 \l 2057 </w:instrText>
          </w:r>
          <w:r w:rsidR="003A60B8">
            <w:fldChar w:fldCharType="separate"/>
          </w:r>
          <w:r w:rsidR="003A60B8" w:rsidRPr="003A60B8">
            <w:rPr>
              <w:noProof/>
            </w:rPr>
            <w:t>(Hargrave, 2020)</w:t>
          </w:r>
          <w:r w:rsidR="003A60B8">
            <w:fldChar w:fldCharType="end"/>
          </w:r>
        </w:sdtContent>
      </w:sdt>
      <w:r w:rsidRPr="000953B2">
        <w:t>. Businesses can reduce their exposure to currency risks by balancing these bets. To reduce currency risk, a multinational company operating in Europe that has both payables and receivables in euros can balance these positions.</w:t>
      </w:r>
    </w:p>
    <w:p w14:paraId="09AF06B9" w14:textId="364AA721" w:rsidR="00104382" w:rsidRPr="003418EB" w:rsidRDefault="00104382" w:rsidP="008F575B">
      <w:pPr>
        <w:rPr>
          <w:b/>
          <w:bCs/>
        </w:rPr>
      </w:pPr>
      <w:r w:rsidRPr="003418EB">
        <w:rPr>
          <w:b/>
          <w:bCs/>
        </w:rPr>
        <w:lastRenderedPageBreak/>
        <w:t>Matching Currency Cash Flow</w:t>
      </w:r>
    </w:p>
    <w:p w14:paraId="7FF3E703" w14:textId="1D8651F9" w:rsidR="000953B2" w:rsidRDefault="003418EB" w:rsidP="008F575B">
      <w:r w:rsidRPr="003418EB">
        <w:t>A natural hedge is created when currency inflows and outflows are in line. Multinational companies can set up their operations such that their income and expenditure are measured in the same currency. This tactic reduces the effect of exchange rate changes. For example, a software business with sales in euros may also have costs in euros due to the establishment of offices or development centres within the eurozone.</w:t>
      </w:r>
    </w:p>
    <w:p w14:paraId="68B976B3" w14:textId="4F836448" w:rsidR="00104382" w:rsidRPr="007029DC" w:rsidRDefault="00104382" w:rsidP="008F575B">
      <w:pPr>
        <w:rPr>
          <w:b/>
          <w:bCs/>
        </w:rPr>
      </w:pPr>
      <w:r w:rsidRPr="007029DC">
        <w:rPr>
          <w:b/>
          <w:bCs/>
        </w:rPr>
        <w:t>Leading and Lagging</w:t>
      </w:r>
    </w:p>
    <w:p w14:paraId="1961E07A" w14:textId="41070541" w:rsidR="007029DC" w:rsidRDefault="00FB3F70" w:rsidP="008F575B">
      <w:r w:rsidRPr="00FB3F70">
        <w:t>In order to benefit from expected currency fluctuations, this approach involves intentionally postponing or accelerating foreign currency payments. Businesses may choose to hold off on making payments in a currency that is predicted to increase in value or receive payments in a currency that is predicted to decrease</w:t>
      </w:r>
      <w:r w:rsidR="001B70CF">
        <w:t xml:space="preserve"> </w:t>
      </w:r>
      <w:sdt>
        <w:sdtPr>
          <w:id w:val="-185137893"/>
          <w:citation/>
        </w:sdtPr>
        <w:sdtContent>
          <w:r w:rsidR="001B70CF">
            <w:fldChar w:fldCharType="begin"/>
          </w:r>
          <w:r w:rsidR="001B70CF">
            <w:instrText xml:space="preserve"> CITATION Sat08 \l 2057 </w:instrText>
          </w:r>
          <w:r w:rsidR="001B70CF">
            <w:fldChar w:fldCharType="separate"/>
          </w:r>
          <w:r w:rsidR="001B70CF" w:rsidRPr="001B70CF">
            <w:rPr>
              <w:noProof/>
            </w:rPr>
            <w:t>(Debasish, 2008)</w:t>
          </w:r>
          <w:r w:rsidR="001B70CF">
            <w:fldChar w:fldCharType="end"/>
          </w:r>
        </w:sdtContent>
      </w:sdt>
      <w:r w:rsidRPr="00FB3F70">
        <w:t>. This approach does, however, come with certain dangers in the event that currency fluctuations deviate from forecasts and necessitates extensive market research.</w:t>
      </w:r>
    </w:p>
    <w:p w14:paraId="0129759B" w14:textId="01FB3E12" w:rsidR="00104382" w:rsidRPr="007029DC" w:rsidRDefault="0024154F" w:rsidP="008F575B">
      <w:pPr>
        <w:rPr>
          <w:b/>
          <w:bCs/>
        </w:rPr>
      </w:pPr>
      <w:r w:rsidRPr="007029DC">
        <w:rPr>
          <w:b/>
          <w:bCs/>
        </w:rPr>
        <w:t>Diversification of Operations</w:t>
      </w:r>
    </w:p>
    <w:p w14:paraId="152A80DD" w14:textId="1BF7AC73" w:rsidR="007029DC" w:rsidRDefault="007029DC" w:rsidP="008F575B">
      <w:r w:rsidRPr="007029DC">
        <w:t>One way to reduce risk is to operate in several marketplaces using different currencies. Businesses that operate internationally could reduce their dependency on a single currency by diversifying their sources of income. For example, diversifying sources of income helps a global company with operations in Asia, Europe, and the Americas reduce currency risk.</w:t>
      </w:r>
    </w:p>
    <w:p w14:paraId="1A919BBF" w14:textId="16A25D9D" w:rsidR="00D125C6" w:rsidRDefault="005B23D2" w:rsidP="00C35CC6">
      <w:pPr>
        <w:pStyle w:val="Heading2"/>
        <w:rPr>
          <w:rFonts w:ascii="Times New Roman" w:hAnsi="Times New Roman" w:cs="Times New Roman"/>
          <w:sz w:val="28"/>
          <w:szCs w:val="28"/>
        </w:rPr>
      </w:pPr>
      <w:bookmarkStart w:id="9" w:name="_Toc155067744"/>
      <w:r w:rsidRPr="00C35CC6">
        <w:rPr>
          <w:rFonts w:ascii="Times New Roman" w:hAnsi="Times New Roman" w:cs="Times New Roman"/>
          <w:sz w:val="28"/>
          <w:szCs w:val="28"/>
        </w:rPr>
        <w:t>Multinational Companies and their Strategies</w:t>
      </w:r>
      <w:bookmarkEnd w:id="9"/>
    </w:p>
    <w:p w14:paraId="1EDD1B7D" w14:textId="03AEBD8D" w:rsidR="001222C7" w:rsidRPr="00A75C95" w:rsidRDefault="001222C7" w:rsidP="00C35CC6">
      <w:pPr>
        <w:rPr>
          <w:b/>
          <w:bCs/>
        </w:rPr>
      </w:pPr>
      <w:r w:rsidRPr="00A75C95">
        <w:rPr>
          <w:b/>
          <w:bCs/>
        </w:rPr>
        <w:t>Toyota Motors Corporation</w:t>
      </w:r>
    </w:p>
    <w:p w14:paraId="18243802" w14:textId="1C86274B" w:rsidR="001D6089" w:rsidRDefault="001D6089" w:rsidP="00C35CC6">
      <w:r w:rsidRPr="001D6089">
        <w:t>Due to its international activities, Toyota, a major player in the automobile industry, faced severe currency concerns. The business implemented an extensive hedging plan to control these risks. Toyota hedged against currency changes using a variety of financial products, such as forward contracts and currency swaps. Toyota took this action in an effort to reduce the effect that currency fluctuations would have on its financial results.</w:t>
      </w:r>
    </w:p>
    <w:p w14:paraId="1E59BCF5" w14:textId="0730FB09" w:rsidR="00A75C95" w:rsidRDefault="00765D4C" w:rsidP="00C35CC6">
      <w:r w:rsidRPr="00765D4C">
        <w:t>Toyota identifies and assesses any currency vulnerabilities through a comprehensive risk assessments. By monitoring the market trends and currency changes, the organisation is able to proactively use risk mitigation techniques. Toyota is able to diversify its currency exposure due to its wide worldwide footprint. The corporation manages currency fluctuation risks by operating production facilities, sales divisions, and procurement networks across many locations.</w:t>
      </w:r>
    </w:p>
    <w:p w14:paraId="6465D08B" w14:textId="3B2570B8" w:rsidR="001222C7" w:rsidRPr="00A75C95" w:rsidRDefault="001222C7" w:rsidP="00C35CC6">
      <w:pPr>
        <w:rPr>
          <w:b/>
          <w:bCs/>
        </w:rPr>
      </w:pPr>
      <w:r w:rsidRPr="00A75C95">
        <w:rPr>
          <w:b/>
          <w:bCs/>
        </w:rPr>
        <w:t>P&amp;G</w:t>
      </w:r>
    </w:p>
    <w:p w14:paraId="4200ED0B" w14:textId="2D6BDCF3" w:rsidR="00141D0C" w:rsidRDefault="00141D0C" w:rsidP="00C35CC6">
      <w:r w:rsidRPr="00141D0C">
        <w:t>To reduce foreign exchange risks, P&amp;G, a global consumer products company, put in place a comprehensive hedging programme. The corporation hedged against currency changes by employing options contracts and forward contracts, mainly concentrating on major currencies like the euro and yen. P&amp;G employed hedging measures to improve financial predictability by protecting against unfavourable currency swings and stabilising earnings</w:t>
      </w:r>
      <w:r w:rsidR="00534163">
        <w:t xml:space="preserve"> </w:t>
      </w:r>
      <w:sdt>
        <w:sdtPr>
          <w:id w:val="-125317777"/>
          <w:citation/>
        </w:sdtPr>
        <w:sdtContent>
          <w:r w:rsidR="00534163">
            <w:fldChar w:fldCharType="begin"/>
          </w:r>
          <w:r w:rsidR="00534163">
            <w:instrText xml:space="preserve"> CITATION PG13 \l 2057 </w:instrText>
          </w:r>
          <w:r w:rsidR="00534163">
            <w:fldChar w:fldCharType="separate"/>
          </w:r>
          <w:r w:rsidR="00534163" w:rsidRPr="00534163">
            <w:rPr>
              <w:noProof/>
            </w:rPr>
            <w:t>(P&amp;G, 2013)</w:t>
          </w:r>
          <w:r w:rsidR="00534163">
            <w:fldChar w:fldCharType="end"/>
          </w:r>
        </w:sdtContent>
      </w:sdt>
      <w:r w:rsidRPr="00141D0C">
        <w:t>.</w:t>
      </w:r>
    </w:p>
    <w:p w14:paraId="0117785D" w14:textId="18F0C6FB" w:rsidR="00A75C95" w:rsidRDefault="00A75C95" w:rsidP="00C35CC6">
      <w:r w:rsidRPr="00A75C95">
        <w:t xml:space="preserve">P&amp;G evaluates and tracks its foreign exchange risk exposure on a regular basis. By using advanced risk management techniques and keeping an eye on currency fluctuations, the corporation is able to quickly modify its hedging strategy. Furthermore, P&amp;G includes the </w:t>
      </w:r>
      <w:r w:rsidRPr="00A75C95">
        <w:lastRenderedPageBreak/>
        <w:t>management of currency risk into its larger strategic planning. The company believes that sustaining financial stability and maximising profitability across its varied line of products and international markets depend heavily on good risk management.</w:t>
      </w:r>
    </w:p>
    <w:p w14:paraId="19D13B55" w14:textId="2AA5CB62" w:rsidR="001222C7" w:rsidRPr="00173355" w:rsidRDefault="001222C7" w:rsidP="00C35CC6">
      <w:pPr>
        <w:rPr>
          <w:b/>
          <w:bCs/>
        </w:rPr>
      </w:pPr>
      <w:r w:rsidRPr="00173355">
        <w:rPr>
          <w:b/>
          <w:bCs/>
        </w:rPr>
        <w:t>Microsoft</w:t>
      </w:r>
    </w:p>
    <w:p w14:paraId="3F11276D" w14:textId="5B3209F3" w:rsidR="00765D4C" w:rsidRDefault="00D35FC8" w:rsidP="00C35CC6">
      <w:r w:rsidRPr="00D35FC8">
        <w:t>As a multinational technology corporation with operations across multiple countries, Microsoft is subject to exchange rate fluctuations. Microsoft uses a number of tactics to reduce these risks. The business frequently matches its expenses and income in different currencies as a natural hedging strategy</w:t>
      </w:r>
      <w:r w:rsidR="0063645E">
        <w:t xml:space="preserve"> </w:t>
      </w:r>
      <w:sdt>
        <w:sdtPr>
          <w:id w:val="433488871"/>
          <w:citation/>
        </w:sdtPr>
        <w:sdtContent>
          <w:r w:rsidR="0063645E">
            <w:fldChar w:fldCharType="begin"/>
          </w:r>
          <w:r w:rsidR="0063645E">
            <w:instrText xml:space="preserve"> CITATION Mic13 \l 2057 </w:instrText>
          </w:r>
          <w:r w:rsidR="0063645E">
            <w:fldChar w:fldCharType="separate"/>
          </w:r>
          <w:r w:rsidR="0063645E" w:rsidRPr="0063645E">
            <w:rPr>
              <w:noProof/>
            </w:rPr>
            <w:t>(Microsoft, 2013)</w:t>
          </w:r>
          <w:r w:rsidR="0063645E">
            <w:fldChar w:fldCharType="end"/>
          </w:r>
        </w:sdtContent>
      </w:sdt>
      <w:r w:rsidRPr="00D35FC8">
        <w:t>. For example, Microsoft makes a significant amount of money from cloud services and software licencing in various geographical areas. It reduces its exposure to exchange rate changes by organising its operations to align revenues with costs in local currencies.</w:t>
      </w:r>
    </w:p>
    <w:p w14:paraId="09483395" w14:textId="2BCFAA90" w:rsidR="002C6965" w:rsidRDefault="002C6965" w:rsidP="00C35CC6">
      <w:r w:rsidRPr="002C6965">
        <w:t>Microsoft protects itself against any currency risks by using currency options and forward contracts. The business signs forward contracts to fix currency rates for upcoming deals, particularly when making significant foreign investments or acquisitions. Moreover, a natural buffer against currency risks is Microsoft's broad business portfolio, which includes hardware, software, and cloud services across several geographical locations. The corporation can balance its exposure to currency oscillations across different markets due to this diversification.</w:t>
      </w:r>
    </w:p>
    <w:p w14:paraId="5F8BEABC" w14:textId="1683CDDD" w:rsidR="001222C7" w:rsidRPr="003D200D" w:rsidRDefault="001222C7" w:rsidP="00C35CC6">
      <w:pPr>
        <w:rPr>
          <w:b/>
          <w:bCs/>
        </w:rPr>
      </w:pPr>
      <w:r w:rsidRPr="003D200D">
        <w:rPr>
          <w:b/>
          <w:bCs/>
        </w:rPr>
        <w:t>Coca-Cola Company</w:t>
      </w:r>
    </w:p>
    <w:p w14:paraId="604E5BA5" w14:textId="74FD7686" w:rsidR="005B23D2" w:rsidRPr="008F575B" w:rsidRDefault="003D200D" w:rsidP="008F575B">
      <w:r w:rsidRPr="003D200D">
        <w:t xml:space="preserve">Due to its wide international reach, Coca-Cola, a well-known beverage brand, is exposed to currency concerns. The business </w:t>
      </w:r>
      <w:r w:rsidR="00AC036B" w:rsidRPr="003D200D">
        <w:t>H</w:t>
      </w:r>
      <w:r w:rsidR="00AC036B">
        <w:t>a\</w:t>
      </w:r>
      <w:r w:rsidRPr="003D200D">
        <w:t>as put a number of risk management techniques into place. Coca-Cola uses netting strategies to reduce its exposure to currency fluctuations</w:t>
      </w:r>
      <w:r w:rsidR="00FE31E1">
        <w:t xml:space="preserve"> </w:t>
      </w:r>
      <w:sdt>
        <w:sdtPr>
          <w:id w:val="-1046668161"/>
          <w:citation/>
        </w:sdtPr>
        <w:sdtContent>
          <w:r w:rsidR="00FE31E1">
            <w:fldChar w:fldCharType="begin"/>
          </w:r>
          <w:r w:rsidR="00FE31E1">
            <w:instrText xml:space="preserve"> CITATION Coc16 \l 2057 </w:instrText>
          </w:r>
          <w:r w:rsidR="00FE31E1">
            <w:fldChar w:fldCharType="separate"/>
          </w:r>
          <w:r w:rsidR="00FE31E1" w:rsidRPr="00FE31E1">
            <w:rPr>
              <w:noProof/>
            </w:rPr>
            <w:t>(HBC, 2016)</w:t>
          </w:r>
          <w:r w:rsidR="00FE31E1">
            <w:fldChar w:fldCharType="end"/>
          </w:r>
        </w:sdtContent>
      </w:sdt>
      <w:r w:rsidRPr="003D200D">
        <w:t>. Recipients and payables classified in the same currency are combined to reduce the company's exposure to exchange rate shifts. This strategy reduces the effect that foreign exchange risks have on the company's financial results. Coca-Cola guards against currency risks by using financial instruments including forward contracts and currency swaps. To reduce the impact of fluctuating exchange rates on its international activities, the corporation can, for example, employ currency swaps to exchange cash flows in multiple currencies.</w:t>
      </w:r>
      <w:r>
        <w:t xml:space="preserve"> </w:t>
      </w:r>
    </w:p>
    <w:p w14:paraId="731B8840" w14:textId="12A48241" w:rsidR="008F091A" w:rsidRDefault="00B44A24" w:rsidP="00B44A24">
      <w:pPr>
        <w:pStyle w:val="Heading1"/>
      </w:pPr>
      <w:bookmarkStart w:id="10" w:name="_Toc155067745"/>
      <w:r>
        <w:t>Critical Analysis and Evaluation</w:t>
      </w:r>
      <w:bookmarkEnd w:id="10"/>
    </w:p>
    <w:p w14:paraId="2373AE82" w14:textId="2DB31EA4" w:rsidR="005D65B9" w:rsidRDefault="009012B0" w:rsidP="005D65B9">
      <w:r w:rsidRPr="009012B0">
        <w:t>It is important to perform a critical analysis of the measures employed by multinational companies to mitigate foreign exchange risks, taking into account their benefits, drawbacks, and feasibility.</w:t>
      </w:r>
    </w:p>
    <w:p w14:paraId="065005AF" w14:textId="51B96F48" w:rsidR="009012B0" w:rsidRDefault="009012B0" w:rsidP="00505D61">
      <w:pPr>
        <w:pStyle w:val="Heading2"/>
        <w:rPr>
          <w:rFonts w:ascii="Times New Roman" w:hAnsi="Times New Roman" w:cs="Times New Roman"/>
        </w:rPr>
      </w:pPr>
      <w:bookmarkStart w:id="11" w:name="_Toc155067746"/>
      <w:r w:rsidRPr="00505D61">
        <w:rPr>
          <w:rFonts w:ascii="Times New Roman" w:hAnsi="Times New Roman" w:cs="Times New Roman"/>
        </w:rPr>
        <w:t>Stren</w:t>
      </w:r>
      <w:r w:rsidR="003377F0" w:rsidRPr="00505D61">
        <w:rPr>
          <w:rFonts w:ascii="Times New Roman" w:hAnsi="Times New Roman" w:cs="Times New Roman"/>
        </w:rPr>
        <w:t>gths</w:t>
      </w:r>
      <w:bookmarkEnd w:id="11"/>
    </w:p>
    <w:p w14:paraId="68463970" w14:textId="2A2186DD" w:rsidR="00F438D1" w:rsidRDefault="009234A8" w:rsidP="00FD739F">
      <w:pPr>
        <w:pStyle w:val="ListParagraph"/>
        <w:numPr>
          <w:ilvl w:val="0"/>
          <w:numId w:val="1"/>
        </w:numPr>
      </w:pPr>
      <w:r>
        <w:t>Risk mitigation</w:t>
      </w:r>
    </w:p>
    <w:p w14:paraId="1A0EBFBC" w14:textId="1DDE452A" w:rsidR="0029145E" w:rsidRDefault="00D25DA4" w:rsidP="0029145E">
      <w:r w:rsidRPr="00D25DA4">
        <w:t>The effective ways to reduce the influence of currency fluctuation on financial performance include netting, natural hedging, and hedging. Businesses can protect themselves against unfavourable currency fluctuations by aligning cash flows and utilising derivatives.</w:t>
      </w:r>
    </w:p>
    <w:p w14:paraId="47717A47" w14:textId="6F35FD32" w:rsidR="00294965" w:rsidRDefault="009234A8" w:rsidP="00294965">
      <w:pPr>
        <w:pStyle w:val="ListParagraph"/>
        <w:numPr>
          <w:ilvl w:val="0"/>
          <w:numId w:val="1"/>
        </w:numPr>
      </w:pPr>
      <w:r>
        <w:t>Financial stability</w:t>
      </w:r>
    </w:p>
    <w:p w14:paraId="15610E62" w14:textId="58B9AF1A" w:rsidR="00294965" w:rsidRDefault="00294965" w:rsidP="00294965">
      <w:r w:rsidRPr="00294965">
        <w:t xml:space="preserve">For multinational companies, putting these methods into practice guarantees a certain degree of financial predictability and stability. By protecting against any losses from currency </w:t>
      </w:r>
      <w:r w:rsidRPr="00294965">
        <w:lastRenderedPageBreak/>
        <w:t>fluctuations, hedging via forward contracts and options provides a level of cash flow predictability.</w:t>
      </w:r>
    </w:p>
    <w:p w14:paraId="6CC38F03" w14:textId="11DEC539" w:rsidR="00294965" w:rsidRDefault="009234A8" w:rsidP="00294965">
      <w:pPr>
        <w:pStyle w:val="ListParagraph"/>
        <w:numPr>
          <w:ilvl w:val="0"/>
          <w:numId w:val="1"/>
        </w:numPr>
      </w:pPr>
      <w:r>
        <w:t>Diversification</w:t>
      </w:r>
    </w:p>
    <w:p w14:paraId="11C3C1FC" w14:textId="3D1EBE82" w:rsidR="00294965" w:rsidRPr="00F438D1" w:rsidRDefault="00FF247B" w:rsidP="00294965">
      <w:r w:rsidRPr="00FF247B">
        <w:t>Currency risks are naturally mitigated by geographic diversity and natural hedging, which match revenues and costs in local currencies. A certain amount of currency exposure can be fought by businesses with diversified international activities.</w:t>
      </w:r>
    </w:p>
    <w:p w14:paraId="596670B6" w14:textId="0E0B2D6D" w:rsidR="003377F0" w:rsidRDefault="003377F0" w:rsidP="00505D61">
      <w:pPr>
        <w:pStyle w:val="Heading2"/>
        <w:rPr>
          <w:rFonts w:ascii="Times New Roman" w:hAnsi="Times New Roman" w:cs="Times New Roman"/>
        </w:rPr>
      </w:pPr>
      <w:bookmarkStart w:id="12" w:name="_Toc155067747"/>
      <w:r w:rsidRPr="00505D61">
        <w:rPr>
          <w:rFonts w:ascii="Times New Roman" w:hAnsi="Times New Roman" w:cs="Times New Roman"/>
        </w:rPr>
        <w:t>Limitations and Challenges</w:t>
      </w:r>
      <w:bookmarkEnd w:id="12"/>
    </w:p>
    <w:p w14:paraId="12B280A0" w14:textId="032A2551" w:rsidR="009234A8" w:rsidRDefault="00FD739F" w:rsidP="00FD739F">
      <w:pPr>
        <w:pStyle w:val="ListParagraph"/>
        <w:numPr>
          <w:ilvl w:val="0"/>
          <w:numId w:val="2"/>
        </w:numPr>
      </w:pPr>
      <w:r>
        <w:t>Cost and complexity</w:t>
      </w:r>
    </w:p>
    <w:p w14:paraId="2A1D79B6" w14:textId="67D52357" w:rsidR="00FD33D4" w:rsidRDefault="00D877C9" w:rsidP="00D25DA4">
      <w:r w:rsidRPr="00D877C9">
        <w:t>Even if they work well, derivative instruments can be expensive and difficult to use. Hedging tactics may be expensive and need specialised knowledge, which might affect the bottom line of the business.</w:t>
      </w:r>
    </w:p>
    <w:p w14:paraId="591626EF" w14:textId="4616547D" w:rsidR="00FD739F" w:rsidRDefault="00FD739F" w:rsidP="00FD739F">
      <w:pPr>
        <w:pStyle w:val="ListParagraph"/>
        <w:numPr>
          <w:ilvl w:val="0"/>
          <w:numId w:val="2"/>
        </w:numPr>
      </w:pPr>
      <w:r>
        <w:t>Market volatility</w:t>
      </w:r>
    </w:p>
    <w:p w14:paraId="40F9609F" w14:textId="101C0D68" w:rsidR="00D877C9" w:rsidRDefault="00FD33D4" w:rsidP="00D877C9">
      <w:r w:rsidRPr="00FD33D4">
        <w:t>Accurately preparing for swings in exchange rates is difficult due to the unpredictable nature of currency markets. Unexpected changes in the market might reduce the efficacy of hedging methods, perhaps resulting in losses.</w:t>
      </w:r>
    </w:p>
    <w:p w14:paraId="566A3036" w14:textId="19E32E57" w:rsidR="00FD739F" w:rsidRDefault="00FD739F" w:rsidP="00FD739F">
      <w:pPr>
        <w:pStyle w:val="ListParagraph"/>
        <w:numPr>
          <w:ilvl w:val="0"/>
          <w:numId w:val="2"/>
        </w:numPr>
      </w:pPr>
      <w:r>
        <w:t>Opportunity costs</w:t>
      </w:r>
    </w:p>
    <w:p w14:paraId="058A8731" w14:textId="72783B7D" w:rsidR="00FD33D4" w:rsidRPr="009234A8" w:rsidRDefault="00FD33D4" w:rsidP="00FD33D4">
      <w:r w:rsidRPr="00FD33D4">
        <w:t>By using risk-averse tactics or over hedging, businesses can lose possible profits. Over-hedging may reduce the profits that resulted from positive currency moves, leading to lost profit possibilities.</w:t>
      </w:r>
    </w:p>
    <w:p w14:paraId="1D110EAA" w14:textId="7D91959A" w:rsidR="003377F0" w:rsidRPr="00505D61" w:rsidRDefault="00505D61" w:rsidP="00505D61">
      <w:pPr>
        <w:pStyle w:val="Heading2"/>
        <w:rPr>
          <w:rFonts w:ascii="Times New Roman" w:hAnsi="Times New Roman" w:cs="Times New Roman"/>
        </w:rPr>
      </w:pPr>
      <w:bookmarkStart w:id="13" w:name="_Toc155067748"/>
      <w:r w:rsidRPr="00505D61">
        <w:rPr>
          <w:rFonts w:ascii="Times New Roman" w:hAnsi="Times New Roman" w:cs="Times New Roman"/>
        </w:rPr>
        <w:t>Evaluation and Recommendation</w:t>
      </w:r>
      <w:bookmarkEnd w:id="13"/>
    </w:p>
    <w:p w14:paraId="13C1205C" w14:textId="77777777" w:rsidR="00D20A55" w:rsidRDefault="00D20A55" w:rsidP="00D20A55">
      <w:r>
        <w:t>Although hedging is essential, businesses should take a balanced strategy, taking into account the differences between possible benefits and risk avoidance. It's essential to find a balance between chances for strength and risk avoidance.</w:t>
      </w:r>
    </w:p>
    <w:p w14:paraId="730316FA" w14:textId="77777777" w:rsidR="00D20A55" w:rsidRDefault="00D20A55" w:rsidP="00D20A55">
      <w:r>
        <w:t>Global companies need to keep watching the currency markets and adjust their plans as necessary. Companies that are flexible in modifying their hedging strategies have a better ability to react to shifting market conditions.</w:t>
      </w:r>
    </w:p>
    <w:p w14:paraId="75BBF1B1" w14:textId="58955F71" w:rsidR="003377F0" w:rsidRPr="005D65B9" w:rsidRDefault="00D20A55" w:rsidP="00D20A55">
      <w:r>
        <w:t>It is important to include foreign exchange risk management into more comprehensive risk mitigation plans. Businesses should integrate currency risk management into their entire business plans, taking into account a variety of risks in addition to exchange rate changes.</w:t>
      </w:r>
    </w:p>
    <w:p w14:paraId="5EF5C270" w14:textId="02A7B600" w:rsidR="00B44A24" w:rsidRDefault="00B44A24" w:rsidP="00B44A24">
      <w:pPr>
        <w:pStyle w:val="Heading1"/>
      </w:pPr>
      <w:bookmarkStart w:id="14" w:name="_Toc155067749"/>
      <w:r>
        <w:t>Conclusion</w:t>
      </w:r>
      <w:bookmarkEnd w:id="14"/>
    </w:p>
    <w:p w14:paraId="4D0385F0" w14:textId="029B3C80" w:rsidR="00D11DF9" w:rsidRDefault="007E476B" w:rsidP="007E476B">
      <w:r>
        <w:t xml:space="preserve">In conclusion, managing foreign exchange risks is an essential part of multinational businesses' operations in the ever-changing global economy. This paper examined the complex relationship between foreign exchange risks and financial stability and competitiveness, including transaction, translation, and economic risks. The difficulties in navigating the currency markets were highlighted by examining the effects of inflation, interest rate differences, income levels, government regulations, and changes in perceptions on foreign exchange risks. </w:t>
      </w:r>
      <w:r w:rsidR="00DD01E1" w:rsidRPr="00DD01E1">
        <w:t xml:space="preserve">Real-world examples from well-known organisations like Toyota, P&amp;G, Microsoft, and Coca-Cola were used to highlight the several methods used by multinational corporations, such as hedging, </w:t>
      </w:r>
      <w:r w:rsidR="00DD01E1" w:rsidRPr="00DD01E1">
        <w:lastRenderedPageBreak/>
        <w:t>netting, natural hedging, and diversification. While these tactics provide variable levels of risk reduction, they also come with expenses, market volatility, and opportunity costs. The significance of achieving a balance between risk avoidance and profit potential, as well as the need to maintain flexibility in responding to market situations, were underscored by a critical review of these tactics. The suggestion that comprehensive company planning incorporate foreign exchange risk management underlines the need for proactive and flexible strategies to handle the volatility of currency markets.</w:t>
      </w:r>
    </w:p>
    <w:p w14:paraId="186CAF2D" w14:textId="77777777" w:rsidR="00D11DF9" w:rsidRDefault="00D11DF9">
      <w:pPr>
        <w:jc w:val="left"/>
      </w:pPr>
      <w:r>
        <w:br w:type="page"/>
      </w:r>
    </w:p>
    <w:bookmarkStart w:id="15" w:name="_Toc155067750" w:displacedByCustomXml="next"/>
    <w:sdt>
      <w:sdtPr>
        <w:id w:val="-1132322606"/>
        <w:docPartObj>
          <w:docPartGallery w:val="Bibliographies"/>
          <w:docPartUnique/>
        </w:docPartObj>
      </w:sdtPr>
      <w:sdtEndPr>
        <w:rPr>
          <w:rFonts w:eastAsiaTheme="minorHAnsi" w:cstheme="minorBidi"/>
          <w:b w:val="0"/>
          <w:color w:val="auto"/>
          <w:sz w:val="24"/>
          <w:szCs w:val="22"/>
        </w:rPr>
      </w:sdtEndPr>
      <w:sdtContent>
        <w:p w14:paraId="2BE9486C" w14:textId="6622C08B" w:rsidR="006A4B93" w:rsidRDefault="006A4B93">
          <w:pPr>
            <w:pStyle w:val="Heading1"/>
          </w:pPr>
          <w:r>
            <w:t>References</w:t>
          </w:r>
          <w:bookmarkEnd w:id="15"/>
        </w:p>
        <w:sdt>
          <w:sdtPr>
            <w:id w:val="-573587230"/>
            <w:bibliography/>
          </w:sdtPr>
          <w:sdtContent>
            <w:p w14:paraId="33F4D408" w14:textId="28BB692E" w:rsidR="006A4B93" w:rsidRDefault="006A4B93" w:rsidP="006A4B93">
              <w:pPr>
                <w:pStyle w:val="Bibliography"/>
                <w:rPr>
                  <w:noProof/>
                  <w:kern w:val="0"/>
                  <w:szCs w:val="24"/>
                  <w14:ligatures w14:val="none"/>
                </w:rPr>
              </w:pPr>
              <w:r>
                <w:fldChar w:fldCharType="begin"/>
              </w:r>
              <w:r>
                <w:instrText xml:space="preserve"> BIBLIOGRAPHY </w:instrText>
              </w:r>
              <w:r>
                <w:fldChar w:fldCharType="separate"/>
              </w:r>
              <w:r>
                <w:rPr>
                  <w:noProof/>
                </w:rPr>
                <w:t xml:space="preserve">Bank for International Settlements, (2013). </w:t>
              </w:r>
              <w:r>
                <w:rPr>
                  <w:i/>
                  <w:iCs/>
                  <w:noProof/>
                </w:rPr>
                <w:t xml:space="preserve">Market volatility and foreign exchange intervention in EMEs: what has changed?, </w:t>
              </w:r>
              <w:r>
                <w:rPr>
                  <w:noProof/>
                </w:rPr>
                <w:t>s.l.: Monetary and Economic Departmen.</w:t>
              </w:r>
            </w:p>
            <w:p w14:paraId="527700EF" w14:textId="0C8E7C85" w:rsidR="006A4B93" w:rsidRDefault="006A4B93" w:rsidP="006A4B93">
              <w:pPr>
                <w:pStyle w:val="Bibliography"/>
                <w:rPr>
                  <w:noProof/>
                </w:rPr>
              </w:pPr>
              <w:r>
                <w:rPr>
                  <w:noProof/>
                </w:rPr>
                <w:t xml:space="preserve">Bound Team, (2023). FX Hedging for Beginners: Reduce Foreign Currency Risk. </w:t>
              </w:r>
              <w:r>
                <w:rPr>
                  <w:i/>
                  <w:iCs/>
                  <w:noProof/>
                </w:rPr>
                <w:t>Bound</w:t>
              </w:r>
              <w:r>
                <w:rPr>
                  <w:noProof/>
                </w:rPr>
                <w:t xml:space="preserve">, 17 August. </w:t>
              </w:r>
            </w:p>
            <w:p w14:paraId="3A6BBC59" w14:textId="61F7B827" w:rsidR="006A4B93" w:rsidRDefault="006A4B93" w:rsidP="006A4B93">
              <w:pPr>
                <w:pStyle w:val="Bibliography"/>
                <w:rPr>
                  <w:noProof/>
                </w:rPr>
              </w:pPr>
              <w:r>
                <w:rPr>
                  <w:noProof/>
                </w:rPr>
                <w:t xml:space="preserve">Coyle, C., (2021). How has Brexit affected the value of sterling?. </w:t>
              </w:r>
              <w:r>
                <w:rPr>
                  <w:i/>
                  <w:iCs/>
                  <w:noProof/>
                </w:rPr>
                <w:t>Economics Observatory</w:t>
              </w:r>
              <w:r>
                <w:rPr>
                  <w:noProof/>
                </w:rPr>
                <w:t xml:space="preserve">, 22 February. </w:t>
              </w:r>
            </w:p>
            <w:p w14:paraId="52256EE8" w14:textId="52808803" w:rsidR="006A4B93" w:rsidRDefault="006A4B93" w:rsidP="006A4B93">
              <w:pPr>
                <w:pStyle w:val="Bibliography"/>
                <w:rPr>
                  <w:noProof/>
                </w:rPr>
              </w:pPr>
              <w:r>
                <w:rPr>
                  <w:noProof/>
                </w:rPr>
                <w:t xml:space="preserve">Debasish, S. S., (2008). Foreign Exchange Risk Management Practices - A Study In Indian Scenario. </w:t>
              </w:r>
              <w:r>
                <w:rPr>
                  <w:i/>
                  <w:iCs/>
                  <w:noProof/>
                </w:rPr>
                <w:t xml:space="preserve">BRAC University Journal, </w:t>
              </w:r>
              <w:r>
                <w:rPr>
                  <w:noProof/>
                </w:rPr>
                <w:t>5(2), pp. 81-91.</w:t>
              </w:r>
            </w:p>
            <w:p w14:paraId="011CAC8D" w14:textId="3C051486" w:rsidR="006A4B93" w:rsidRDefault="006A4B93" w:rsidP="006A4B93">
              <w:pPr>
                <w:pStyle w:val="Bibliography"/>
                <w:rPr>
                  <w:noProof/>
                </w:rPr>
              </w:pPr>
              <w:r>
                <w:rPr>
                  <w:noProof/>
                </w:rPr>
                <w:t xml:space="preserve">Ganti, A., (2022). </w:t>
              </w:r>
              <w:r>
                <w:rPr>
                  <w:i/>
                  <w:iCs/>
                  <w:noProof/>
                </w:rPr>
                <w:t xml:space="preserve">Transaction Risk: Meaning, Overview and FAQs. </w:t>
              </w:r>
              <w:r>
                <w:rPr>
                  <w:noProof/>
                </w:rPr>
                <w:t xml:space="preserve">[Online] Available at: </w:t>
              </w:r>
              <w:r>
                <w:rPr>
                  <w:noProof/>
                  <w:u w:val="single"/>
                </w:rPr>
                <w:t>https://www.investopedia.com/terms/t/transactionrisk.asp</w:t>
              </w:r>
              <w:r>
                <w:rPr>
                  <w:noProof/>
                </w:rPr>
                <w:t xml:space="preserve"> [Accessed 23 December 2023].</w:t>
              </w:r>
            </w:p>
            <w:p w14:paraId="441450C6" w14:textId="1B24BA4B" w:rsidR="006A4B93" w:rsidRDefault="006A4B93" w:rsidP="006A4B93">
              <w:pPr>
                <w:pStyle w:val="Bibliography"/>
                <w:rPr>
                  <w:noProof/>
                </w:rPr>
              </w:pPr>
              <w:r>
                <w:rPr>
                  <w:noProof/>
                </w:rPr>
                <w:t xml:space="preserve">Hargrave, M., (2020). </w:t>
              </w:r>
              <w:r>
                <w:rPr>
                  <w:i/>
                  <w:iCs/>
                  <w:noProof/>
                </w:rPr>
                <w:t xml:space="preserve">Netting: Definition, How It Works, Types, Benefits, and Example. </w:t>
              </w:r>
              <w:r>
                <w:rPr>
                  <w:noProof/>
                </w:rPr>
                <w:t xml:space="preserve">[Online] Available at: </w:t>
              </w:r>
              <w:r>
                <w:rPr>
                  <w:noProof/>
                  <w:u w:val="single"/>
                </w:rPr>
                <w:t>https://www.investopedia.com/terms/n/netting.asp</w:t>
              </w:r>
              <w:r>
                <w:rPr>
                  <w:noProof/>
                </w:rPr>
                <w:t xml:space="preserve"> [Accessed 22 December 2023].</w:t>
              </w:r>
            </w:p>
            <w:p w14:paraId="5A6B9492" w14:textId="77BC6E90" w:rsidR="006A4B93" w:rsidRDefault="006A4B93" w:rsidP="006A4B93">
              <w:pPr>
                <w:pStyle w:val="Bibliography"/>
                <w:rPr>
                  <w:noProof/>
                </w:rPr>
              </w:pPr>
              <w:r>
                <w:rPr>
                  <w:noProof/>
                </w:rPr>
                <w:t xml:space="preserve">HBC, C.-C., </w:t>
              </w:r>
              <w:r w:rsidR="003B01A3">
                <w:rPr>
                  <w:noProof/>
                </w:rPr>
                <w:t>(</w:t>
              </w:r>
              <w:r>
                <w:rPr>
                  <w:noProof/>
                </w:rPr>
                <w:t>2016</w:t>
              </w:r>
              <w:r w:rsidR="003B01A3">
                <w:rPr>
                  <w:noProof/>
                </w:rPr>
                <w:t>)</w:t>
              </w:r>
              <w:r>
                <w:rPr>
                  <w:noProof/>
                </w:rPr>
                <w:t xml:space="preserve">. </w:t>
              </w:r>
              <w:r>
                <w:rPr>
                  <w:i/>
                  <w:iCs/>
                  <w:noProof/>
                </w:rPr>
                <w:t xml:space="preserve">2016 Integrated Annual Report, </w:t>
              </w:r>
              <w:r>
                <w:rPr>
                  <w:noProof/>
                </w:rPr>
                <w:t>Zug, Switzerland: Coca-Cola.</w:t>
              </w:r>
            </w:p>
            <w:p w14:paraId="6C2F85C5" w14:textId="46C19A6A" w:rsidR="006A4B93" w:rsidRDefault="006A4B93" w:rsidP="006A4B93">
              <w:pPr>
                <w:pStyle w:val="Bibliography"/>
                <w:rPr>
                  <w:noProof/>
                </w:rPr>
              </w:pPr>
              <w:r>
                <w:rPr>
                  <w:noProof/>
                </w:rPr>
                <w:t xml:space="preserve">Islam, M. Z. u. &amp; Raza, H., </w:t>
              </w:r>
              <w:r w:rsidR="003B01A3">
                <w:rPr>
                  <w:noProof/>
                </w:rPr>
                <w:t>(</w:t>
              </w:r>
              <w:r>
                <w:rPr>
                  <w:noProof/>
                </w:rPr>
                <w:t>2014</w:t>
              </w:r>
              <w:r w:rsidR="003B01A3">
                <w:rPr>
                  <w:noProof/>
                </w:rPr>
                <w:t>)</w:t>
              </w:r>
              <w:r>
                <w:rPr>
                  <w:noProof/>
                </w:rPr>
                <w:t xml:space="preserve">. An empirical study on the Factors affecting Foreign exchange markets of Pakistan. </w:t>
              </w:r>
              <w:r>
                <w:rPr>
                  <w:i/>
                  <w:iCs/>
                  <w:noProof/>
                </w:rPr>
                <w:t xml:space="preserve">International Affairs and Global Strategy, </w:t>
              </w:r>
              <w:r>
                <w:rPr>
                  <w:noProof/>
                </w:rPr>
                <w:t>Volume 24, pp. 11-21.</w:t>
              </w:r>
            </w:p>
            <w:p w14:paraId="762BC382" w14:textId="123F98C2" w:rsidR="006A4B93" w:rsidRDefault="006A4B93" w:rsidP="006A4B93">
              <w:pPr>
                <w:pStyle w:val="Bibliography"/>
                <w:rPr>
                  <w:noProof/>
                </w:rPr>
              </w:pPr>
              <w:r>
                <w:rPr>
                  <w:noProof/>
                </w:rPr>
                <w:t xml:space="preserve">Kenton, W., </w:t>
              </w:r>
              <w:r w:rsidR="003B01A3">
                <w:rPr>
                  <w:noProof/>
                </w:rPr>
                <w:t>(</w:t>
              </w:r>
              <w:r>
                <w:rPr>
                  <w:noProof/>
                </w:rPr>
                <w:t>2022</w:t>
              </w:r>
              <w:r w:rsidR="003B01A3">
                <w:rPr>
                  <w:noProof/>
                </w:rPr>
                <w:t>)</w:t>
              </w:r>
              <w:r>
                <w:rPr>
                  <w:noProof/>
                </w:rPr>
                <w:t xml:space="preserve">. </w:t>
              </w:r>
              <w:r>
                <w:rPr>
                  <w:i/>
                  <w:iCs/>
                  <w:noProof/>
                </w:rPr>
                <w:t xml:space="preserve">Translation Risk: What it is, How it Works. </w:t>
              </w:r>
              <w:r>
                <w:rPr>
                  <w:noProof/>
                </w:rPr>
                <w:t xml:space="preserve">[Online] Available at: </w:t>
              </w:r>
              <w:r>
                <w:rPr>
                  <w:noProof/>
                  <w:u w:val="single"/>
                </w:rPr>
                <w:t>https://www.investopedia.com/terms/t/translationrisk.asp</w:t>
              </w:r>
              <w:r w:rsidR="003B01A3">
                <w:rPr>
                  <w:noProof/>
                </w:rPr>
                <w:t xml:space="preserve"> </w:t>
              </w:r>
              <w:r>
                <w:rPr>
                  <w:noProof/>
                </w:rPr>
                <w:t>[Accessed 23 December 2023].</w:t>
              </w:r>
            </w:p>
            <w:p w14:paraId="07F856A1" w14:textId="5AA897FC" w:rsidR="006A4B93" w:rsidRDefault="006A4B93" w:rsidP="006A4B93">
              <w:pPr>
                <w:pStyle w:val="Bibliography"/>
                <w:rPr>
                  <w:noProof/>
                </w:rPr>
              </w:pPr>
              <w:r>
                <w:rPr>
                  <w:noProof/>
                </w:rPr>
                <w:t xml:space="preserve">Microsoft, </w:t>
              </w:r>
              <w:r w:rsidR="003B01A3">
                <w:rPr>
                  <w:noProof/>
                </w:rPr>
                <w:t>(</w:t>
              </w:r>
              <w:r>
                <w:rPr>
                  <w:noProof/>
                </w:rPr>
                <w:t>2013</w:t>
              </w:r>
              <w:r w:rsidR="003B01A3">
                <w:rPr>
                  <w:noProof/>
                </w:rPr>
                <w:t>)</w:t>
              </w:r>
              <w:r>
                <w:rPr>
                  <w:noProof/>
                </w:rPr>
                <w:t xml:space="preserve">. </w:t>
              </w:r>
              <w:r>
                <w:rPr>
                  <w:i/>
                  <w:iCs/>
                  <w:noProof/>
                </w:rPr>
                <w:t xml:space="preserve">Annual Report, </w:t>
              </w:r>
              <w:r>
                <w:rPr>
                  <w:noProof/>
                </w:rPr>
                <w:t>s.l.: Microsoft.</w:t>
              </w:r>
            </w:p>
            <w:p w14:paraId="5D201077" w14:textId="519D1D7E" w:rsidR="006A4B93" w:rsidRDefault="006A4B93" w:rsidP="006A4B93">
              <w:pPr>
                <w:pStyle w:val="Bibliography"/>
                <w:rPr>
                  <w:noProof/>
                </w:rPr>
              </w:pPr>
              <w:r>
                <w:rPr>
                  <w:noProof/>
                </w:rPr>
                <w:t xml:space="preserve">P&amp;G, </w:t>
              </w:r>
              <w:r w:rsidR="003B01A3">
                <w:rPr>
                  <w:noProof/>
                </w:rPr>
                <w:t>(</w:t>
              </w:r>
              <w:r>
                <w:rPr>
                  <w:noProof/>
                </w:rPr>
                <w:t>2013</w:t>
              </w:r>
              <w:r w:rsidR="003B01A3">
                <w:rPr>
                  <w:noProof/>
                </w:rPr>
                <w:t>)</w:t>
              </w:r>
              <w:r>
                <w:rPr>
                  <w:noProof/>
                </w:rPr>
                <w:t xml:space="preserve">. P&amp;G Announces Fiscal Year 2023 Second Quarter Results. </w:t>
              </w:r>
              <w:r>
                <w:rPr>
                  <w:i/>
                  <w:iCs/>
                  <w:noProof/>
                </w:rPr>
                <w:t>Procter &amp; Gamble</w:t>
              </w:r>
              <w:r>
                <w:rPr>
                  <w:noProof/>
                </w:rPr>
                <w:t xml:space="preserve">, 19 January. </w:t>
              </w:r>
            </w:p>
            <w:p w14:paraId="322484FD" w14:textId="2CDCFD50" w:rsidR="006A4B93" w:rsidRDefault="006A4B93" w:rsidP="006A4B93">
              <w:pPr>
                <w:pStyle w:val="Bibliography"/>
                <w:rPr>
                  <w:noProof/>
                </w:rPr>
              </w:pPr>
              <w:r>
                <w:rPr>
                  <w:noProof/>
                </w:rPr>
                <w:t xml:space="preserve">Picardo, E., </w:t>
              </w:r>
              <w:r w:rsidR="003B01A3">
                <w:rPr>
                  <w:noProof/>
                </w:rPr>
                <w:t>(</w:t>
              </w:r>
              <w:r>
                <w:rPr>
                  <w:noProof/>
                </w:rPr>
                <w:t>2023</w:t>
              </w:r>
              <w:r w:rsidR="003B01A3">
                <w:rPr>
                  <w:noProof/>
                </w:rPr>
                <w:t>)</w:t>
              </w:r>
              <w:r>
                <w:rPr>
                  <w:noProof/>
                </w:rPr>
                <w:t xml:space="preserve">. </w:t>
              </w:r>
              <w:r>
                <w:rPr>
                  <w:i/>
                  <w:iCs/>
                  <w:noProof/>
                </w:rPr>
                <w:t xml:space="preserve">Exchange Rate Risk: Economic Exposure. </w:t>
              </w:r>
              <w:r>
                <w:rPr>
                  <w:noProof/>
                </w:rPr>
                <w:t xml:space="preserve">[Online] Available at: </w:t>
              </w:r>
              <w:r>
                <w:rPr>
                  <w:noProof/>
                  <w:u w:val="single"/>
                </w:rPr>
                <w:t>https://www.investopedia.com/articles/forex/021114/exchange-rate-risk-economic-exposure.asp</w:t>
              </w:r>
              <w:r w:rsidR="003B01A3">
                <w:rPr>
                  <w:noProof/>
                </w:rPr>
                <w:t xml:space="preserve"> </w:t>
              </w:r>
              <w:r>
                <w:rPr>
                  <w:noProof/>
                </w:rPr>
                <w:t>[Accessed 23 December 2023].</w:t>
              </w:r>
            </w:p>
            <w:p w14:paraId="2F8C0FE2" w14:textId="6C8C86F8" w:rsidR="006A4B93" w:rsidRDefault="006A4B93" w:rsidP="006A4B93">
              <w:r>
                <w:rPr>
                  <w:b/>
                  <w:bCs/>
                  <w:noProof/>
                </w:rPr>
                <w:fldChar w:fldCharType="end"/>
              </w:r>
            </w:p>
          </w:sdtContent>
        </w:sdt>
      </w:sdtContent>
    </w:sdt>
    <w:p w14:paraId="5F921778" w14:textId="77777777" w:rsidR="00D20A55" w:rsidRPr="00D20A55" w:rsidRDefault="00D20A55" w:rsidP="007E476B"/>
    <w:sectPr w:rsidR="00D20A55" w:rsidRPr="00D20A5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4CE6EE" w14:textId="77777777" w:rsidR="005864B3" w:rsidRDefault="005864B3" w:rsidP="003651B5">
      <w:pPr>
        <w:spacing w:after="0" w:line="240" w:lineRule="auto"/>
      </w:pPr>
      <w:r>
        <w:separator/>
      </w:r>
    </w:p>
  </w:endnote>
  <w:endnote w:type="continuationSeparator" w:id="0">
    <w:p w14:paraId="61CEDFA4" w14:textId="77777777" w:rsidR="005864B3" w:rsidRDefault="005864B3" w:rsidP="003651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9737514"/>
      <w:docPartObj>
        <w:docPartGallery w:val="Page Numbers (Bottom of Page)"/>
        <w:docPartUnique/>
      </w:docPartObj>
    </w:sdtPr>
    <w:sdtEndPr>
      <w:rPr>
        <w:noProof/>
      </w:rPr>
    </w:sdtEndPr>
    <w:sdtContent>
      <w:p w14:paraId="7BD8F7FD" w14:textId="376F7A09" w:rsidR="003651B5" w:rsidRDefault="003651B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46171E" w14:textId="77777777" w:rsidR="003651B5" w:rsidRDefault="003651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63EA6A" w14:textId="77777777" w:rsidR="005864B3" w:rsidRDefault="005864B3" w:rsidP="003651B5">
      <w:pPr>
        <w:spacing w:after="0" w:line="240" w:lineRule="auto"/>
      </w:pPr>
      <w:r>
        <w:separator/>
      </w:r>
    </w:p>
  </w:footnote>
  <w:footnote w:type="continuationSeparator" w:id="0">
    <w:p w14:paraId="0F522275" w14:textId="77777777" w:rsidR="005864B3" w:rsidRDefault="005864B3" w:rsidP="003651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5D5490"/>
    <w:multiLevelType w:val="hybridMultilevel"/>
    <w:tmpl w:val="C9462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5B90FA5"/>
    <w:multiLevelType w:val="hybridMultilevel"/>
    <w:tmpl w:val="A90C9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1264535">
    <w:abstractNumId w:val="1"/>
  </w:num>
  <w:num w:numId="2" w16cid:durableId="5920558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586B"/>
    <w:rsid w:val="00022DA8"/>
    <w:rsid w:val="00055A78"/>
    <w:rsid w:val="000679AC"/>
    <w:rsid w:val="00074655"/>
    <w:rsid w:val="000953B2"/>
    <w:rsid w:val="000C724D"/>
    <w:rsid w:val="000D1C71"/>
    <w:rsid w:val="00104382"/>
    <w:rsid w:val="001222C7"/>
    <w:rsid w:val="00141D0C"/>
    <w:rsid w:val="001566FB"/>
    <w:rsid w:val="00173355"/>
    <w:rsid w:val="001B70CF"/>
    <w:rsid w:val="001D6089"/>
    <w:rsid w:val="002036C5"/>
    <w:rsid w:val="00221F7F"/>
    <w:rsid w:val="0024154F"/>
    <w:rsid w:val="00244852"/>
    <w:rsid w:val="00271C17"/>
    <w:rsid w:val="0029145E"/>
    <w:rsid w:val="00294965"/>
    <w:rsid w:val="002C6965"/>
    <w:rsid w:val="003377F0"/>
    <w:rsid w:val="003418EB"/>
    <w:rsid w:val="003617E7"/>
    <w:rsid w:val="003651B5"/>
    <w:rsid w:val="00372B1C"/>
    <w:rsid w:val="003A60B8"/>
    <w:rsid w:val="003B01A3"/>
    <w:rsid w:val="003D200D"/>
    <w:rsid w:val="003F6DC0"/>
    <w:rsid w:val="004168BE"/>
    <w:rsid w:val="00433CC8"/>
    <w:rsid w:val="004901DE"/>
    <w:rsid w:val="004F4EB1"/>
    <w:rsid w:val="0050417A"/>
    <w:rsid w:val="00505D61"/>
    <w:rsid w:val="0052759E"/>
    <w:rsid w:val="00534163"/>
    <w:rsid w:val="00575E60"/>
    <w:rsid w:val="005864B3"/>
    <w:rsid w:val="005B23D2"/>
    <w:rsid w:val="005B586B"/>
    <w:rsid w:val="005C5998"/>
    <w:rsid w:val="005D65B9"/>
    <w:rsid w:val="0063645E"/>
    <w:rsid w:val="00682D0E"/>
    <w:rsid w:val="006A4B93"/>
    <w:rsid w:val="007029DC"/>
    <w:rsid w:val="00751DDF"/>
    <w:rsid w:val="00760968"/>
    <w:rsid w:val="007620B2"/>
    <w:rsid w:val="00765D4C"/>
    <w:rsid w:val="00781137"/>
    <w:rsid w:val="007A0096"/>
    <w:rsid w:val="007E042A"/>
    <w:rsid w:val="007E476B"/>
    <w:rsid w:val="00833B0A"/>
    <w:rsid w:val="008427E8"/>
    <w:rsid w:val="00894BAE"/>
    <w:rsid w:val="008F091A"/>
    <w:rsid w:val="008F5004"/>
    <w:rsid w:val="008F575B"/>
    <w:rsid w:val="009012B0"/>
    <w:rsid w:val="00916F84"/>
    <w:rsid w:val="009234A8"/>
    <w:rsid w:val="009579B5"/>
    <w:rsid w:val="00973783"/>
    <w:rsid w:val="009B3AF0"/>
    <w:rsid w:val="009D1559"/>
    <w:rsid w:val="00A2144D"/>
    <w:rsid w:val="00A24DE2"/>
    <w:rsid w:val="00A7599C"/>
    <w:rsid w:val="00A75C95"/>
    <w:rsid w:val="00AC036B"/>
    <w:rsid w:val="00AD126E"/>
    <w:rsid w:val="00B02F83"/>
    <w:rsid w:val="00B44A24"/>
    <w:rsid w:val="00C26793"/>
    <w:rsid w:val="00C35CC6"/>
    <w:rsid w:val="00C96D58"/>
    <w:rsid w:val="00CB6825"/>
    <w:rsid w:val="00CF4168"/>
    <w:rsid w:val="00CF5936"/>
    <w:rsid w:val="00D11DF9"/>
    <w:rsid w:val="00D125C6"/>
    <w:rsid w:val="00D20A55"/>
    <w:rsid w:val="00D25DA4"/>
    <w:rsid w:val="00D35FC8"/>
    <w:rsid w:val="00D46F41"/>
    <w:rsid w:val="00D877C9"/>
    <w:rsid w:val="00DB0186"/>
    <w:rsid w:val="00DD01E1"/>
    <w:rsid w:val="00DF214D"/>
    <w:rsid w:val="00E3181A"/>
    <w:rsid w:val="00E509B2"/>
    <w:rsid w:val="00F2197F"/>
    <w:rsid w:val="00F30E53"/>
    <w:rsid w:val="00F32939"/>
    <w:rsid w:val="00F42B8C"/>
    <w:rsid w:val="00F438D1"/>
    <w:rsid w:val="00F83E85"/>
    <w:rsid w:val="00FB3F70"/>
    <w:rsid w:val="00FD33D4"/>
    <w:rsid w:val="00FD739F"/>
    <w:rsid w:val="00FE31E1"/>
    <w:rsid w:val="00FF24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4ED0B5"/>
  <w15:chartTrackingRefBased/>
  <w15:docId w15:val="{64DDE7A7-3D5D-41B8-91F5-E3AE1B66E3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6D58"/>
    <w:pPr>
      <w:jc w:val="both"/>
    </w:pPr>
    <w:rPr>
      <w:rFonts w:ascii="Times New Roman" w:hAnsi="Times New Roman"/>
      <w:sz w:val="24"/>
    </w:rPr>
  </w:style>
  <w:style w:type="paragraph" w:styleId="Heading1">
    <w:name w:val="heading 1"/>
    <w:basedOn w:val="Normal"/>
    <w:next w:val="Normal"/>
    <w:link w:val="Heading1Char"/>
    <w:autoRedefine/>
    <w:uiPriority w:val="9"/>
    <w:qFormat/>
    <w:rsid w:val="004168BE"/>
    <w:pPr>
      <w:keepNext/>
      <w:keepLines/>
      <w:spacing w:before="360" w:after="120"/>
      <w:outlineLvl w:val="0"/>
    </w:pPr>
    <w:rPr>
      <w:rFonts w:eastAsiaTheme="majorEastAsia" w:cstheme="majorBidi"/>
      <w:b/>
      <w:color w:val="1F3864" w:themeColor="accent1" w:themeShade="80"/>
      <w:sz w:val="32"/>
      <w:szCs w:val="32"/>
    </w:rPr>
  </w:style>
  <w:style w:type="paragraph" w:styleId="Heading2">
    <w:name w:val="heading 2"/>
    <w:basedOn w:val="Normal"/>
    <w:next w:val="Normal"/>
    <w:link w:val="Heading2Char"/>
    <w:uiPriority w:val="9"/>
    <w:unhideWhenUsed/>
    <w:qFormat/>
    <w:rsid w:val="009D155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68BE"/>
    <w:rPr>
      <w:rFonts w:ascii="Times New Roman" w:eastAsiaTheme="majorEastAsia" w:hAnsi="Times New Roman" w:cstheme="majorBidi"/>
      <w:b/>
      <w:color w:val="1F3864" w:themeColor="accent1" w:themeShade="80"/>
      <w:sz w:val="32"/>
      <w:szCs w:val="32"/>
    </w:rPr>
  </w:style>
  <w:style w:type="character" w:customStyle="1" w:styleId="Heading2Char">
    <w:name w:val="Heading 2 Char"/>
    <w:basedOn w:val="DefaultParagraphFont"/>
    <w:link w:val="Heading2"/>
    <w:uiPriority w:val="9"/>
    <w:rsid w:val="009D155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D739F"/>
    <w:pPr>
      <w:ind w:left="720"/>
      <w:contextualSpacing/>
    </w:pPr>
  </w:style>
  <w:style w:type="paragraph" w:styleId="Bibliography">
    <w:name w:val="Bibliography"/>
    <w:basedOn w:val="Normal"/>
    <w:next w:val="Normal"/>
    <w:uiPriority w:val="37"/>
    <w:unhideWhenUsed/>
    <w:rsid w:val="006A4B93"/>
  </w:style>
  <w:style w:type="paragraph" w:styleId="TOCHeading">
    <w:name w:val="TOC Heading"/>
    <w:basedOn w:val="Heading1"/>
    <w:next w:val="Normal"/>
    <w:uiPriority w:val="39"/>
    <w:unhideWhenUsed/>
    <w:qFormat/>
    <w:rsid w:val="003B01A3"/>
    <w:pPr>
      <w:spacing w:before="240" w:after="0"/>
      <w:jc w:val="left"/>
      <w:outlineLvl w:val="9"/>
    </w:pPr>
    <w:rPr>
      <w:rFonts w:asciiTheme="majorHAnsi" w:hAnsiTheme="majorHAnsi"/>
      <w:b w:val="0"/>
      <w:color w:val="2F5496" w:themeColor="accent1" w:themeShade="BF"/>
      <w:kern w:val="0"/>
      <w:lang w:val="en-US"/>
      <w14:ligatures w14:val="none"/>
    </w:rPr>
  </w:style>
  <w:style w:type="paragraph" w:styleId="TOC1">
    <w:name w:val="toc 1"/>
    <w:basedOn w:val="Normal"/>
    <w:next w:val="Normal"/>
    <w:autoRedefine/>
    <w:uiPriority w:val="39"/>
    <w:unhideWhenUsed/>
    <w:rsid w:val="003B01A3"/>
    <w:pPr>
      <w:spacing w:after="100"/>
    </w:pPr>
  </w:style>
  <w:style w:type="paragraph" w:styleId="TOC2">
    <w:name w:val="toc 2"/>
    <w:basedOn w:val="Normal"/>
    <w:next w:val="Normal"/>
    <w:autoRedefine/>
    <w:uiPriority w:val="39"/>
    <w:unhideWhenUsed/>
    <w:rsid w:val="003B01A3"/>
    <w:pPr>
      <w:spacing w:after="100"/>
      <w:ind w:left="240"/>
    </w:pPr>
  </w:style>
  <w:style w:type="character" w:styleId="Hyperlink">
    <w:name w:val="Hyperlink"/>
    <w:basedOn w:val="DefaultParagraphFont"/>
    <w:uiPriority w:val="99"/>
    <w:unhideWhenUsed/>
    <w:rsid w:val="003B01A3"/>
    <w:rPr>
      <w:color w:val="0563C1" w:themeColor="hyperlink"/>
      <w:u w:val="single"/>
    </w:rPr>
  </w:style>
  <w:style w:type="paragraph" w:styleId="Header">
    <w:name w:val="header"/>
    <w:basedOn w:val="Normal"/>
    <w:link w:val="HeaderChar"/>
    <w:uiPriority w:val="99"/>
    <w:unhideWhenUsed/>
    <w:rsid w:val="003651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51B5"/>
    <w:rPr>
      <w:rFonts w:ascii="Times New Roman" w:hAnsi="Times New Roman"/>
      <w:sz w:val="24"/>
    </w:rPr>
  </w:style>
  <w:style w:type="paragraph" w:styleId="Footer">
    <w:name w:val="footer"/>
    <w:basedOn w:val="Normal"/>
    <w:link w:val="FooterChar"/>
    <w:uiPriority w:val="99"/>
    <w:unhideWhenUsed/>
    <w:rsid w:val="003651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51B5"/>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941524">
      <w:bodyDiv w:val="1"/>
      <w:marLeft w:val="0"/>
      <w:marRight w:val="0"/>
      <w:marTop w:val="0"/>
      <w:marBottom w:val="0"/>
      <w:divBdr>
        <w:top w:val="none" w:sz="0" w:space="0" w:color="auto"/>
        <w:left w:val="none" w:sz="0" w:space="0" w:color="auto"/>
        <w:bottom w:val="none" w:sz="0" w:space="0" w:color="auto"/>
        <w:right w:val="none" w:sz="0" w:space="0" w:color="auto"/>
      </w:divBdr>
    </w:div>
    <w:div w:id="124593072">
      <w:bodyDiv w:val="1"/>
      <w:marLeft w:val="0"/>
      <w:marRight w:val="0"/>
      <w:marTop w:val="0"/>
      <w:marBottom w:val="0"/>
      <w:divBdr>
        <w:top w:val="none" w:sz="0" w:space="0" w:color="auto"/>
        <w:left w:val="none" w:sz="0" w:space="0" w:color="auto"/>
        <w:bottom w:val="none" w:sz="0" w:space="0" w:color="auto"/>
        <w:right w:val="none" w:sz="0" w:space="0" w:color="auto"/>
      </w:divBdr>
    </w:div>
    <w:div w:id="186872723">
      <w:bodyDiv w:val="1"/>
      <w:marLeft w:val="0"/>
      <w:marRight w:val="0"/>
      <w:marTop w:val="0"/>
      <w:marBottom w:val="0"/>
      <w:divBdr>
        <w:top w:val="none" w:sz="0" w:space="0" w:color="auto"/>
        <w:left w:val="none" w:sz="0" w:space="0" w:color="auto"/>
        <w:bottom w:val="none" w:sz="0" w:space="0" w:color="auto"/>
        <w:right w:val="none" w:sz="0" w:space="0" w:color="auto"/>
      </w:divBdr>
    </w:div>
    <w:div w:id="309288211">
      <w:bodyDiv w:val="1"/>
      <w:marLeft w:val="0"/>
      <w:marRight w:val="0"/>
      <w:marTop w:val="0"/>
      <w:marBottom w:val="0"/>
      <w:divBdr>
        <w:top w:val="none" w:sz="0" w:space="0" w:color="auto"/>
        <w:left w:val="none" w:sz="0" w:space="0" w:color="auto"/>
        <w:bottom w:val="none" w:sz="0" w:space="0" w:color="auto"/>
        <w:right w:val="none" w:sz="0" w:space="0" w:color="auto"/>
      </w:divBdr>
    </w:div>
    <w:div w:id="389232096">
      <w:bodyDiv w:val="1"/>
      <w:marLeft w:val="0"/>
      <w:marRight w:val="0"/>
      <w:marTop w:val="0"/>
      <w:marBottom w:val="0"/>
      <w:divBdr>
        <w:top w:val="none" w:sz="0" w:space="0" w:color="auto"/>
        <w:left w:val="none" w:sz="0" w:space="0" w:color="auto"/>
        <w:bottom w:val="none" w:sz="0" w:space="0" w:color="auto"/>
        <w:right w:val="none" w:sz="0" w:space="0" w:color="auto"/>
      </w:divBdr>
    </w:div>
    <w:div w:id="664018240">
      <w:bodyDiv w:val="1"/>
      <w:marLeft w:val="0"/>
      <w:marRight w:val="0"/>
      <w:marTop w:val="0"/>
      <w:marBottom w:val="0"/>
      <w:divBdr>
        <w:top w:val="none" w:sz="0" w:space="0" w:color="auto"/>
        <w:left w:val="none" w:sz="0" w:space="0" w:color="auto"/>
        <w:bottom w:val="none" w:sz="0" w:space="0" w:color="auto"/>
        <w:right w:val="none" w:sz="0" w:space="0" w:color="auto"/>
      </w:divBdr>
    </w:div>
    <w:div w:id="701709273">
      <w:bodyDiv w:val="1"/>
      <w:marLeft w:val="0"/>
      <w:marRight w:val="0"/>
      <w:marTop w:val="0"/>
      <w:marBottom w:val="0"/>
      <w:divBdr>
        <w:top w:val="none" w:sz="0" w:space="0" w:color="auto"/>
        <w:left w:val="none" w:sz="0" w:space="0" w:color="auto"/>
        <w:bottom w:val="none" w:sz="0" w:space="0" w:color="auto"/>
        <w:right w:val="none" w:sz="0" w:space="0" w:color="auto"/>
      </w:divBdr>
    </w:div>
    <w:div w:id="992173658">
      <w:bodyDiv w:val="1"/>
      <w:marLeft w:val="0"/>
      <w:marRight w:val="0"/>
      <w:marTop w:val="0"/>
      <w:marBottom w:val="0"/>
      <w:divBdr>
        <w:top w:val="none" w:sz="0" w:space="0" w:color="auto"/>
        <w:left w:val="none" w:sz="0" w:space="0" w:color="auto"/>
        <w:bottom w:val="none" w:sz="0" w:space="0" w:color="auto"/>
        <w:right w:val="none" w:sz="0" w:space="0" w:color="auto"/>
      </w:divBdr>
    </w:div>
    <w:div w:id="1078744603">
      <w:bodyDiv w:val="1"/>
      <w:marLeft w:val="0"/>
      <w:marRight w:val="0"/>
      <w:marTop w:val="0"/>
      <w:marBottom w:val="0"/>
      <w:divBdr>
        <w:top w:val="none" w:sz="0" w:space="0" w:color="auto"/>
        <w:left w:val="none" w:sz="0" w:space="0" w:color="auto"/>
        <w:bottom w:val="none" w:sz="0" w:space="0" w:color="auto"/>
        <w:right w:val="none" w:sz="0" w:space="0" w:color="auto"/>
      </w:divBdr>
    </w:div>
    <w:div w:id="1086151706">
      <w:bodyDiv w:val="1"/>
      <w:marLeft w:val="0"/>
      <w:marRight w:val="0"/>
      <w:marTop w:val="0"/>
      <w:marBottom w:val="0"/>
      <w:divBdr>
        <w:top w:val="none" w:sz="0" w:space="0" w:color="auto"/>
        <w:left w:val="none" w:sz="0" w:space="0" w:color="auto"/>
        <w:bottom w:val="none" w:sz="0" w:space="0" w:color="auto"/>
        <w:right w:val="none" w:sz="0" w:space="0" w:color="auto"/>
      </w:divBdr>
    </w:div>
    <w:div w:id="1179587891">
      <w:bodyDiv w:val="1"/>
      <w:marLeft w:val="0"/>
      <w:marRight w:val="0"/>
      <w:marTop w:val="0"/>
      <w:marBottom w:val="0"/>
      <w:divBdr>
        <w:top w:val="none" w:sz="0" w:space="0" w:color="auto"/>
        <w:left w:val="none" w:sz="0" w:space="0" w:color="auto"/>
        <w:bottom w:val="none" w:sz="0" w:space="0" w:color="auto"/>
        <w:right w:val="none" w:sz="0" w:space="0" w:color="auto"/>
      </w:divBdr>
    </w:div>
    <w:div w:id="1262570389">
      <w:bodyDiv w:val="1"/>
      <w:marLeft w:val="0"/>
      <w:marRight w:val="0"/>
      <w:marTop w:val="0"/>
      <w:marBottom w:val="0"/>
      <w:divBdr>
        <w:top w:val="none" w:sz="0" w:space="0" w:color="auto"/>
        <w:left w:val="none" w:sz="0" w:space="0" w:color="auto"/>
        <w:bottom w:val="none" w:sz="0" w:space="0" w:color="auto"/>
        <w:right w:val="none" w:sz="0" w:space="0" w:color="auto"/>
      </w:divBdr>
    </w:div>
    <w:div w:id="1370493997">
      <w:bodyDiv w:val="1"/>
      <w:marLeft w:val="0"/>
      <w:marRight w:val="0"/>
      <w:marTop w:val="0"/>
      <w:marBottom w:val="0"/>
      <w:divBdr>
        <w:top w:val="none" w:sz="0" w:space="0" w:color="auto"/>
        <w:left w:val="none" w:sz="0" w:space="0" w:color="auto"/>
        <w:bottom w:val="none" w:sz="0" w:space="0" w:color="auto"/>
        <w:right w:val="none" w:sz="0" w:space="0" w:color="auto"/>
      </w:divBdr>
    </w:div>
    <w:div w:id="1549688597">
      <w:bodyDiv w:val="1"/>
      <w:marLeft w:val="0"/>
      <w:marRight w:val="0"/>
      <w:marTop w:val="0"/>
      <w:marBottom w:val="0"/>
      <w:divBdr>
        <w:top w:val="none" w:sz="0" w:space="0" w:color="auto"/>
        <w:left w:val="none" w:sz="0" w:space="0" w:color="auto"/>
        <w:bottom w:val="none" w:sz="0" w:space="0" w:color="auto"/>
        <w:right w:val="none" w:sz="0" w:space="0" w:color="auto"/>
      </w:divBdr>
    </w:div>
    <w:div w:id="1756128382">
      <w:bodyDiv w:val="1"/>
      <w:marLeft w:val="0"/>
      <w:marRight w:val="0"/>
      <w:marTop w:val="0"/>
      <w:marBottom w:val="0"/>
      <w:divBdr>
        <w:top w:val="none" w:sz="0" w:space="0" w:color="auto"/>
        <w:left w:val="none" w:sz="0" w:space="0" w:color="auto"/>
        <w:bottom w:val="none" w:sz="0" w:space="0" w:color="auto"/>
        <w:right w:val="none" w:sz="0" w:space="0" w:color="auto"/>
      </w:divBdr>
    </w:div>
    <w:div w:id="18176427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Sat08</b:Tag>
    <b:SourceType>JournalArticle</b:SourceType>
    <b:Guid>{6BF1D163-F45C-474C-86DE-7FA1AC4C33E9}</b:Guid>
    <b:Title>Foreign Exchange Risk Management Practices - A Study In Indian Scenario</b:Title>
    <b:Year>2008</b:Year>
    <b:Author>
      <b:Author>
        <b:NameList>
          <b:Person>
            <b:Last>Debasish</b:Last>
            <b:First>Sathya</b:First>
            <b:Middle>Swaroop</b:Middle>
          </b:Person>
        </b:NameList>
      </b:Author>
    </b:Author>
    <b:JournalName>BRAC University Journal</b:JournalName>
    <b:Pages>81-91</b:Pages>
    <b:Volume>5</b:Volume>
    <b:Issue>2</b:Issue>
    <b:RefOrder>9</b:RefOrder>
  </b:Source>
  <b:Source>
    <b:Tag>Ban13</b:Tag>
    <b:SourceType>Report</b:SourceType>
    <b:Guid>{DA84F5E6-97D0-44E5-85BC-9F112002226B}</b:Guid>
    <b:Title>Market volatility and foreign exchange intervention in EMEs: what has changed?</b:Title>
    <b:Year>2013</b:Year>
    <b:Author>
      <b:Author>
        <b:Corporate>Bank for International Settlements</b:Corporate>
      </b:Author>
    </b:Author>
    <b:Publisher>Monetary and Economic Departmen</b:Publisher>
    <b:RefOrder>1</b:RefOrder>
  </b:Source>
  <b:Source>
    <b:Tag>Coc16</b:Tag>
    <b:SourceType>Report</b:SourceType>
    <b:Guid>{EEA2029C-DFEE-45E4-A0A6-08EF203CF060}</b:Guid>
    <b:Author>
      <b:Author>
        <b:NameList>
          <b:Person>
            <b:Last>HBC</b:Last>
            <b:First>Coca-Cola</b:First>
          </b:Person>
        </b:NameList>
      </b:Author>
    </b:Author>
    <b:Title>2016 Integrated Annual Report</b:Title>
    <b:Year>2016</b:Year>
    <b:Publisher>Coca-Cola</b:Publisher>
    <b:City>Zug, Switzerland</b:City>
    <b:RefOrder>12</b:RefOrder>
  </b:Source>
  <b:Source>
    <b:Tag>Mic13</b:Tag>
    <b:SourceType>Report</b:SourceType>
    <b:Guid>{DB14291C-A2B2-4B0B-983F-77211300BBDE}</b:Guid>
    <b:Author>
      <b:Author>
        <b:Corporate>Microsoft</b:Corporate>
      </b:Author>
    </b:Author>
    <b:Title>Annual Report</b:Title>
    <b:Year>2013</b:Year>
    <b:Publisher>Microsoft</b:Publisher>
    <b:URL>https://www.microsoft.com/investor/reports/ar13/financial-review/notes/derivatives/index.html</b:URL>
    <b:RefOrder>11</b:RefOrder>
  </b:Source>
  <b:Source>
    <b:Tag>PG13</b:Tag>
    <b:SourceType>ArticleInAPeriodical</b:SourceType>
    <b:Guid>{30FCC1DD-7252-48DF-A74E-C989CC611F25}</b:Guid>
    <b:Title>P&amp;G Announces Fiscal Year 2023 Second Quarter Results</b:Title>
    <b:Year>2013</b:Year>
    <b:Author>
      <b:Author>
        <b:Corporate>P&amp;G</b:Corporate>
      </b:Author>
    </b:Author>
    <b:PeriodicalTitle>Procter &amp; Gamble</b:PeriodicalTitle>
    <b:Month>January</b:Month>
    <b:Day>19</b:Day>
    <b:RefOrder>10</b:RefOrder>
  </b:Source>
  <b:Source>
    <b:Tag>Mar201</b:Tag>
    <b:SourceType>InternetSite</b:SourceType>
    <b:Guid>{6C4790A2-3FB3-4AFE-A196-3A6347D4DFE0}</b:Guid>
    <b:Title>Netting: Definition, How It Works, Types, Benefits, and Example</b:Title>
    <b:Year>2020</b:Year>
    <b:Author>
      <b:Author>
        <b:NameList>
          <b:Person>
            <b:Last>Hargrave</b:Last>
            <b:First>Marshall</b:First>
          </b:Person>
        </b:NameList>
      </b:Author>
    </b:Author>
    <b:YearAccessed>2023</b:YearAccessed>
    <b:MonthAccessed>December</b:MonthAccessed>
    <b:DayAccessed>22</b:DayAccessed>
    <b:URL>https://www.investopedia.com/terms/n/netting.asp</b:URL>
    <b:RefOrder>8</b:RefOrder>
  </b:Source>
  <b:Source>
    <b:Tag>Bou23</b:Tag>
    <b:SourceType>ArticleInAPeriodical</b:SourceType>
    <b:Guid>{429AD5DF-EEDC-422B-848F-31B4B397FB74}</b:Guid>
    <b:Title>FX Hedging for Beginners: Reduce Foreign Currency Risk</b:Title>
    <b:Year>2023</b:Year>
    <b:Author>
      <b:Author>
        <b:Corporate>Bound Team</b:Corporate>
      </b:Author>
    </b:Author>
    <b:PeriodicalTitle>Bound</b:PeriodicalTitle>
    <b:Month>August</b:Month>
    <b:Day>17</b:Day>
    <b:RefOrder>7</b:RefOrder>
  </b:Source>
  <b:Source>
    <b:Tag>Chr21</b:Tag>
    <b:SourceType>ArticleInAPeriodical</b:SourceType>
    <b:Guid>{357B9A89-7C1B-4152-B9A1-A248C8B557E1}</b:Guid>
    <b:Author>
      <b:Author>
        <b:NameList>
          <b:Person>
            <b:Last>Coyle</b:Last>
            <b:First>Christopher</b:First>
          </b:Person>
        </b:NameList>
      </b:Author>
    </b:Author>
    <b:Title>How has Brexit affected the value of sterling?</b:Title>
    <b:PeriodicalTitle>Economics Observatory</b:PeriodicalTitle>
    <b:Year>2021</b:Year>
    <b:Month>February</b:Month>
    <b:Day>22</b:Day>
    <b:RefOrder>6</b:RefOrder>
  </b:Source>
  <b:Source>
    <b:Tag>Akh22</b:Tag>
    <b:SourceType>InternetSite</b:SourceType>
    <b:Guid>{921908AC-E173-4BF3-BFAE-B4311E1F1377}</b:Guid>
    <b:Title>Transaction Risk: Meaning, Overview and FAQs</b:Title>
    <b:Year>2022</b:Year>
    <b:Author>
      <b:Author>
        <b:NameList>
          <b:Person>
            <b:Last>Ganti</b:Last>
            <b:First>Akhilesh</b:First>
          </b:Person>
        </b:NameList>
      </b:Author>
    </b:Author>
    <b:YearAccessed>2023</b:YearAccessed>
    <b:MonthAccessed>December</b:MonthAccessed>
    <b:DayAccessed>23</b:DayAccessed>
    <b:URL>https://www.investopedia.com/terms/t/transactionrisk.asp</b:URL>
    <b:RefOrder>2</b:RefOrder>
  </b:Source>
  <b:Source>
    <b:Tag>Wil221</b:Tag>
    <b:SourceType>InternetSite</b:SourceType>
    <b:Guid>{48DBE705-1900-48CE-A99A-98E2707E102D}</b:Guid>
    <b:Author>
      <b:Author>
        <b:NameList>
          <b:Person>
            <b:Last>Kenton</b:Last>
            <b:First>Will</b:First>
          </b:Person>
        </b:NameList>
      </b:Author>
    </b:Author>
    <b:Year>2022</b:Year>
    <b:YearAccessed>2023</b:YearAccessed>
    <b:MonthAccessed>December</b:MonthAccessed>
    <b:DayAccessed>23</b:DayAccessed>
    <b:URL>https://www.investopedia.com/terms/t/translationrisk.asp</b:URL>
    <b:Title>Translation Risk: What it is, How it Works</b:Title>
    <b:RefOrder>3</b:RefOrder>
  </b:Source>
  <b:Source>
    <b:Tag>Evi23</b:Tag>
    <b:SourceType>InternetSite</b:SourceType>
    <b:Guid>{FF9A2040-5F3E-4832-8236-683B931C6840}</b:Guid>
    <b:Author>
      <b:Author>
        <b:NameList>
          <b:Person>
            <b:Last>Picardo</b:Last>
            <b:First>Evis</b:First>
          </b:Person>
        </b:NameList>
      </b:Author>
    </b:Author>
    <b:Title>Exchange Rate Risk: Economic Exposure</b:Title>
    <b:Year>2023</b:Year>
    <b:YearAccessed>2023</b:YearAccessed>
    <b:MonthAccessed>December</b:MonthAccessed>
    <b:DayAccessed>23</b:DayAccessed>
    <b:URL>https://www.investopedia.com/articles/forex/021114/exchange-rate-risk-economic-exposure.asp</b:URL>
    <b:RefOrder>4</b:RefOrder>
  </b:Source>
  <b:Source>
    <b:Tag>Muh14</b:Tag>
    <b:SourceType>JournalArticle</b:SourceType>
    <b:Guid>{95EB0B3F-2246-46C9-B0B1-0DE07D024434}</b:Guid>
    <b:Title>An empirical study on the Factors affecting Foreign exchange markets of Pakistan</b:Title>
    <b:Year>2014</b:Year>
    <b:Author>
      <b:Author>
        <b:NameList>
          <b:Person>
            <b:Last>Islam</b:Last>
            <b:First>Muhammad</b:First>
            <b:Middle>Zain ul</b:Middle>
          </b:Person>
          <b:Person>
            <b:Last>Raza</b:Last>
            <b:First>Hassan</b:First>
          </b:Person>
        </b:NameList>
      </b:Author>
    </b:Author>
    <b:JournalName>International Affairs and Global Strategy</b:JournalName>
    <b:Pages>11-21</b:Pages>
    <b:Volume>24</b:Volume>
    <b:RefOrder>5</b:RefOrder>
  </b:Source>
</b:Sources>
</file>

<file path=customXml/itemProps1.xml><?xml version="1.0" encoding="utf-8"?>
<ds:datastoreItem xmlns:ds="http://schemas.openxmlformats.org/officeDocument/2006/customXml" ds:itemID="{B39F2583-5615-408F-B0CB-7328D07E58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379</TotalTime>
  <Pages>10</Pages>
  <Words>3296</Words>
  <Characters>18791</Characters>
  <Application>Microsoft Office Word</Application>
  <DocSecurity>0</DocSecurity>
  <Lines>156</Lines>
  <Paragraphs>44</Paragraphs>
  <ScaleCrop>false</ScaleCrop>
  <Company/>
  <LinksUpToDate>false</LinksUpToDate>
  <CharactersWithSpaces>22043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Nicoara</dc:creator>
  <cp:keywords/>
  <dc:description/>
  <cp:lastModifiedBy>Maria Nicoara</cp:lastModifiedBy>
  <cp:revision>101</cp:revision>
  <dcterms:created xsi:type="dcterms:W3CDTF">2023-12-31T11:49:00Z</dcterms:created>
  <dcterms:modified xsi:type="dcterms:W3CDTF">2024-01-02T06:05:00Z</dcterms:modified>
</cp:coreProperties>
</file>