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0E06C5EC" w14:paraId="19B25670" wp14:textId="26A02A77">
      <w:pPr>
        <w:spacing w:after="160" w:line="259" w:lineRule="auto"/>
        <w:jc w:val="both"/>
        <w:rPr>
          <w:rFonts w:ascii="Arial" w:hAnsi="Arial" w:eastAsia="Arial" w:cs="Arial"/>
          <w:b w:val="0"/>
          <w:bCs w:val="0"/>
          <w:i w:val="0"/>
          <w:iCs w:val="0"/>
          <w:noProof w:val="0"/>
          <w:color w:val="000000" w:themeColor="text1" w:themeTint="FF" w:themeShade="FF"/>
          <w:sz w:val="24"/>
          <w:szCs w:val="24"/>
          <w:lang w:val="en-US"/>
        </w:rPr>
      </w:pPr>
      <w:r w:rsidRPr="0E06C5EC" w:rsidR="642ACF83">
        <w:rPr>
          <w:rFonts w:ascii="Arial" w:hAnsi="Arial" w:eastAsia="Arial" w:cs="Arial"/>
          <w:b w:val="1"/>
          <w:bCs w:val="1"/>
          <w:i w:val="0"/>
          <w:iCs w:val="0"/>
          <w:strike w:val="0"/>
          <w:dstrike w:val="0"/>
          <w:noProof w:val="0"/>
          <w:color w:val="000000" w:themeColor="text1" w:themeTint="FF" w:themeShade="FF"/>
          <w:sz w:val="24"/>
          <w:szCs w:val="24"/>
          <w:u w:val="single"/>
          <w:lang w:val="en-US"/>
        </w:rPr>
        <w:t xml:space="preserve">Section 3 - </w:t>
      </w:r>
      <w:r w:rsidRPr="0E06C5EC" w:rsidR="642ACF83">
        <w:rPr>
          <w:rFonts w:ascii="Arial" w:hAnsi="Arial" w:eastAsia="Arial" w:cs="Arial"/>
          <w:b w:val="0"/>
          <w:bCs w:val="0"/>
          <w:i w:val="1"/>
          <w:iCs w:val="1"/>
          <w:strike w:val="0"/>
          <w:dstrike w:val="0"/>
          <w:noProof w:val="0"/>
          <w:color w:val="000000" w:themeColor="text1" w:themeTint="FF" w:themeShade="FF"/>
          <w:sz w:val="24"/>
          <w:szCs w:val="24"/>
          <w:u w:val="single"/>
          <w:lang w:val="en-US"/>
        </w:rPr>
        <w:t>Blog</w:t>
      </w:r>
    </w:p>
    <w:p xmlns:wp14="http://schemas.microsoft.com/office/word/2010/wordml" w:rsidP="0E06C5EC" w14:paraId="5EE8439C" wp14:textId="4977D121">
      <w:pPr>
        <w:spacing w:after="160" w:line="259" w:lineRule="auto"/>
        <w:jc w:val="both"/>
        <w:rPr>
          <w:rFonts w:ascii="Arial" w:hAnsi="Arial" w:eastAsia="Arial" w:cs="Arial"/>
          <w:b w:val="0"/>
          <w:bCs w:val="0"/>
          <w:i w:val="0"/>
          <w:iCs w:val="0"/>
          <w:noProof w:val="0"/>
          <w:color w:val="000000" w:themeColor="text1" w:themeTint="FF" w:themeShade="FF"/>
          <w:sz w:val="24"/>
          <w:szCs w:val="24"/>
          <w:lang w:val="en-US"/>
        </w:rPr>
      </w:pPr>
      <w:r w:rsidRPr="0E06C5EC" w:rsidR="642ACF83">
        <w:rPr>
          <w:rFonts w:ascii="Arial" w:hAnsi="Arial" w:eastAsia="Arial" w:cs="Arial"/>
          <w:b w:val="0"/>
          <w:bCs w:val="0"/>
          <w:i w:val="1"/>
          <w:iCs w:val="1"/>
          <w:strike w:val="0"/>
          <w:dstrike w:val="0"/>
          <w:noProof w:val="0"/>
          <w:color w:val="000000" w:themeColor="text1" w:themeTint="FF" w:themeShade="FF"/>
          <w:sz w:val="24"/>
          <w:szCs w:val="24"/>
          <w:u w:val="single"/>
          <w:lang w:val="en-US"/>
        </w:rPr>
        <w:t>Can Education for Sustainable Development and Global Citizenship (ESDGC) help give a child a voice?</w:t>
      </w:r>
    </w:p>
    <w:p xmlns:wp14="http://schemas.microsoft.com/office/word/2010/wordml" w:rsidP="0E06C5EC" w14:paraId="19244801" wp14:textId="51418499">
      <w:pPr>
        <w:spacing w:after="160" w:line="259" w:lineRule="auto"/>
        <w:jc w:val="both"/>
        <w:rPr>
          <w:rFonts w:ascii="Arial" w:hAnsi="Arial" w:eastAsia="Arial" w:cs="Arial"/>
          <w:b w:val="0"/>
          <w:bCs w:val="0"/>
          <w:i w:val="0"/>
          <w:iCs w:val="0"/>
          <w:noProof w:val="0"/>
          <w:color w:val="000000" w:themeColor="text1" w:themeTint="FF" w:themeShade="FF"/>
          <w:sz w:val="24"/>
          <w:szCs w:val="24"/>
          <w:lang w:val="en-US"/>
        </w:rPr>
      </w:pPr>
      <w:r w:rsidRPr="0E06C5EC" w:rsidR="642ACF83">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Many times, adults will make decisions about a child, however, under article 12 of the UNCRC (1992), every child should be given opportunities to have their voices heard and contribute to decisions which affect them. Ensuring the child’s voice is heard is vital for their well-being and their self-esteem. Education for Sustainable Development and Global Citizenship (ESDGC) will allow decisions to be made by those who it may affect the most, with Sustainable Wales (2020) adding it is everyone's responsibility to lead a role in ensuring the environment is protected in the best viable way. The Children’s Commissioner for Wales, Kirsty Williams (2016) raises concerns that if a child’s voice is missed then this leads to missing progress. Williams (2016) does add that despite the lack of the child’s voice used within the classroom, it is encouraging to know that children with disabilities are now being able to express their views. The Additional Learning Needs (ALN) and Educational Tribunal Act Wales reform (2018) will help children with additional learning needs have their voices heard. </w:t>
      </w:r>
    </w:p>
    <w:p xmlns:wp14="http://schemas.microsoft.com/office/word/2010/wordml" w:rsidP="0E06C5EC" w14:paraId="6FAA9BEA" wp14:textId="22FEAFAD">
      <w:pPr>
        <w:spacing w:after="160" w:line="259" w:lineRule="auto"/>
        <w:jc w:val="both"/>
        <w:rPr>
          <w:rFonts w:ascii="Arial" w:hAnsi="Arial" w:eastAsia="Arial" w:cs="Arial"/>
          <w:b w:val="0"/>
          <w:bCs w:val="0"/>
          <w:i w:val="0"/>
          <w:iCs w:val="0"/>
          <w:noProof w:val="0"/>
          <w:color w:val="000000" w:themeColor="text1" w:themeTint="FF" w:themeShade="FF"/>
          <w:sz w:val="24"/>
          <w:szCs w:val="24"/>
          <w:lang w:val="en-US"/>
        </w:rPr>
      </w:pPr>
      <w:r w:rsidRPr="0E06C5EC" w:rsidR="642ACF83">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As a practitioner, I feel passionate about how ESDGC can help give the child a voice, this leading to them becoming ethical citizens and making decisions about their future. Education for Sustainable Development and Global Citizenship is perceived by the Welsh Government (2012) as more than a body of knowledge, it is equally the contribution of attitudes, values, and skills of an individual. Highlighting Mandela’s (1990, quoted in Welsh Government, 2008, p.2) view that ‘‘education is the most powerful weapon you can use to change the world’’, so educating children young will encourage them to become better citizens. However, there is concern about how educators deliver ESDGC within their setting. This concern was highlighted in Wizotek’s (2018) research as it was found that ESDGC exposes extraordinary demands to teachers. This raises the question of whether the child’s voice could be jeapordised as a result. </w:t>
      </w:r>
    </w:p>
    <w:p xmlns:wp14="http://schemas.microsoft.com/office/word/2010/wordml" w:rsidP="0E06C5EC" w14:paraId="3059EFE9" wp14:textId="6E14FBC5">
      <w:pPr>
        <w:spacing w:after="160" w:line="259" w:lineRule="auto"/>
        <w:jc w:val="both"/>
        <w:rPr>
          <w:rFonts w:ascii="Arial" w:hAnsi="Arial" w:eastAsia="Arial" w:cs="Arial"/>
          <w:b w:val="0"/>
          <w:bCs w:val="0"/>
          <w:i w:val="0"/>
          <w:iCs w:val="0"/>
          <w:noProof w:val="0"/>
          <w:color w:val="000000" w:themeColor="text1" w:themeTint="FF" w:themeShade="FF"/>
          <w:sz w:val="24"/>
          <w:szCs w:val="24"/>
          <w:lang w:val="en-US"/>
        </w:rPr>
      </w:pPr>
      <w:r w:rsidRPr="0E06C5EC" w:rsidR="642ACF83">
        <w:rPr>
          <w:rFonts w:ascii="Arial" w:hAnsi="Arial" w:eastAsia="Arial" w:cs="Arial"/>
          <w:b w:val="0"/>
          <w:bCs w:val="0"/>
          <w:i w:val="0"/>
          <w:iCs w:val="0"/>
          <w:strike w:val="0"/>
          <w:dstrike w:val="0"/>
          <w:noProof w:val="0"/>
          <w:color w:val="000000" w:themeColor="text1" w:themeTint="FF" w:themeShade="FF"/>
          <w:sz w:val="24"/>
          <w:szCs w:val="24"/>
          <w:u w:val="none"/>
          <w:lang w:val="en-US"/>
        </w:rPr>
        <w:t>Remembering that ESDGC is not an additional subject within the curriculum is an approach teachers must lead, ensuring that they are planning around ESDGC and the subject, rather than having to add it in to the subject (Welsh Government, 2008). There are concerns from Ward (2017) that ESDGC is viewed as an additional aspect which must be ‘fitted in’ to what is already there. The New Curriculum (2022) will provide opportunities for hands-on experience for children. DCELLS (2008) emphasises that ESDGC enables children to become critical thinkers, allowing them to build upon their skills, which then prepares them for new challenges in the future.</w:t>
      </w:r>
    </w:p>
    <w:p xmlns:wp14="http://schemas.microsoft.com/office/word/2010/wordml" w:rsidP="0E06C5EC" w14:paraId="04AD8C71" wp14:textId="07097406">
      <w:pPr>
        <w:spacing w:after="160" w:line="259" w:lineRule="auto"/>
        <w:jc w:val="both"/>
        <w:rPr>
          <w:rFonts w:ascii="Arial" w:hAnsi="Arial" w:eastAsia="Arial" w:cs="Arial"/>
          <w:b w:val="0"/>
          <w:bCs w:val="0"/>
          <w:i w:val="0"/>
          <w:iCs w:val="0"/>
          <w:noProof w:val="0"/>
          <w:color w:val="000000" w:themeColor="text1" w:themeTint="FF" w:themeShade="FF"/>
          <w:sz w:val="24"/>
          <w:szCs w:val="24"/>
          <w:lang w:val="en-US"/>
        </w:rPr>
      </w:pPr>
      <w:r w:rsidRPr="0E06C5EC" w:rsidR="642ACF83">
        <w:rPr>
          <w:rFonts w:ascii="Arial" w:hAnsi="Arial" w:eastAsia="Arial" w:cs="Arial"/>
          <w:b w:val="0"/>
          <w:bCs w:val="0"/>
          <w:i w:val="0"/>
          <w:iCs w:val="0"/>
          <w:strike w:val="0"/>
          <w:dstrike w:val="0"/>
          <w:noProof w:val="0"/>
          <w:color w:val="000000" w:themeColor="text1" w:themeTint="FF" w:themeShade="FF"/>
          <w:sz w:val="24"/>
          <w:szCs w:val="24"/>
          <w:u w:val="none"/>
          <w:lang w:val="en-US"/>
        </w:rPr>
        <w:t>Views such as Chawla (1998)</w:t>
      </w:r>
      <w:r w:rsidRPr="0E06C5EC" w:rsidR="642ACF83">
        <w:rPr>
          <w:rFonts w:ascii="Arial" w:hAnsi="Arial" w:eastAsia="Arial" w:cs="Arial"/>
          <w:b w:val="0"/>
          <w:bCs w:val="0"/>
          <w:i w:val="0"/>
          <w:iCs w:val="0"/>
          <w:strike w:val="0"/>
          <w:dstrike w:val="0"/>
          <w:noProof w:val="0"/>
          <w:color w:val="FF0000"/>
          <w:sz w:val="24"/>
          <w:szCs w:val="24"/>
          <w:u w:val="none"/>
          <w:lang w:val="en-US"/>
        </w:rPr>
        <w:t xml:space="preserve"> </w:t>
      </w:r>
      <w:r w:rsidRPr="0E06C5EC" w:rsidR="642ACF83">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on the outdoor environment are reflected from ESDGC within schools, this is because it is suggested by Gov UK (2012) that being sustainable enhances opportunities for individuals to focus on their well-being and because of this will choose to live healthy lifestyles and care for their surroundings. There is evidence to prove that connecting with nature has a positive impact on mental well-being and Mind (2018) suggests that new connections are made whilst exploring outside. </w:t>
      </w:r>
    </w:p>
    <w:p xmlns:wp14="http://schemas.microsoft.com/office/word/2010/wordml" w:rsidP="0E06C5EC" w14:paraId="56266D1D" wp14:textId="7361D6E3">
      <w:pPr>
        <w:spacing w:after="160" w:line="259" w:lineRule="auto"/>
        <w:jc w:val="both"/>
        <w:rPr>
          <w:rFonts w:ascii="Arial" w:hAnsi="Arial" w:eastAsia="Arial" w:cs="Arial"/>
          <w:b w:val="0"/>
          <w:bCs w:val="0"/>
          <w:i w:val="0"/>
          <w:iCs w:val="0"/>
          <w:noProof w:val="0"/>
          <w:color w:val="000000" w:themeColor="text1" w:themeTint="FF" w:themeShade="FF"/>
          <w:sz w:val="24"/>
          <w:szCs w:val="24"/>
          <w:lang w:val="en-US"/>
        </w:rPr>
      </w:pPr>
      <w:r w:rsidRPr="0E06C5EC" w:rsidR="642ACF83">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Prince (2010) expresses that children are the decision-makers of the future, therefore such topics as ESDGC will give them opportunities to have their voice heard and make decisions which will shape their future. This corresponds to the New Curriculums (2022) stance of creating a global citizen with opportunities for hands-on experiences. However, when addressing ESDGC, it is vital to remember that it is a whole school approach (Welsh Government, 2008), therefore, not only will the child’s voice be heard, but Brodie (2014) proposes opportunities of sustained shared thinking will arise, this supporting a child’s holistic development, helping to improve the outcomes. </w:t>
      </w:r>
    </w:p>
    <w:p xmlns:wp14="http://schemas.microsoft.com/office/word/2010/wordml" w:rsidP="0E06C5EC" w14:paraId="49A73FBE" wp14:textId="07F0DB71">
      <w:pPr>
        <w:spacing w:after="160" w:line="259" w:lineRule="auto"/>
        <w:jc w:val="both"/>
        <w:rPr>
          <w:rFonts w:ascii="Arial" w:hAnsi="Arial" w:eastAsia="Arial" w:cs="Arial"/>
          <w:b w:val="0"/>
          <w:bCs w:val="0"/>
          <w:i w:val="0"/>
          <w:iCs w:val="0"/>
          <w:noProof w:val="0"/>
          <w:color w:val="000000" w:themeColor="text1" w:themeTint="FF" w:themeShade="FF"/>
          <w:sz w:val="24"/>
          <w:szCs w:val="24"/>
          <w:lang w:val="en-US"/>
        </w:rPr>
      </w:pPr>
      <w:r w:rsidRPr="0E06C5EC" w:rsidR="642ACF83">
        <w:rPr>
          <w:rFonts w:ascii="Arial" w:hAnsi="Arial" w:eastAsia="Arial" w:cs="Arial"/>
          <w:b w:val="0"/>
          <w:bCs w:val="0"/>
          <w:i w:val="0"/>
          <w:iCs w:val="0"/>
          <w:strike w:val="0"/>
          <w:dstrike w:val="0"/>
          <w:noProof w:val="0"/>
          <w:color w:val="000000" w:themeColor="text1" w:themeTint="FF" w:themeShade="FF"/>
          <w:sz w:val="24"/>
          <w:szCs w:val="24"/>
          <w:u w:val="none"/>
          <w:lang w:val="en-US"/>
        </w:rPr>
        <w:t>Continuing to support a child’s holisitc development and the opportunity for their voices to be heard is the John Muir (1993) Award. Not only this, but the award can also be used to develop a deeper understanding of the natural surrounding world for a child, thus helping to enhance ESDGC further. This award supports approaches such as Montessori’s (1912) on holistic development. The awards aim is</w:t>
      </w:r>
      <w:r w:rsidRPr="0E06C5EC" w:rsidR="642ACF83">
        <w:rPr>
          <w:rFonts w:ascii="Arial" w:hAnsi="Arial" w:eastAsia="Arial" w:cs="Arial"/>
          <w:b w:val="0"/>
          <w:bCs w:val="0"/>
          <w:i w:val="0"/>
          <w:iCs w:val="0"/>
          <w:noProof w:val="0"/>
          <w:color w:val="000000" w:themeColor="text1" w:themeTint="FF" w:themeShade="FF"/>
          <w:sz w:val="24"/>
          <w:szCs w:val="24"/>
          <w:lang w:val="en-GB"/>
        </w:rPr>
        <w:t xml:space="preserve"> to help people connect and enjoy their natural surroundings and learn to care for them. By completing this award with children, it will allow them to connect with nature and the outdoor environment, with opportunities for them to want to explore and conserve as well as reflect upon their values and attitudes. This is another one of the key areas of the Welsh Government’s (2008) key aims of ESDGC. Furthermore, this links within the pedagogy of the Foundation Phase (2015) curriculum that children are active learners and learn in many ways. This then creates an individual who can make sense of their life growing up. Sustain Wales (2014) state taking advantage of opportunities can widen the ESDGC approach further, and input from staff and pupils can improve the environment and the social impact. </w:t>
      </w:r>
    </w:p>
    <w:p xmlns:wp14="http://schemas.microsoft.com/office/word/2010/wordml" w:rsidP="0E06C5EC" w14:paraId="63094F9F" wp14:textId="70DE249B">
      <w:pPr>
        <w:spacing w:after="160" w:line="259" w:lineRule="auto"/>
        <w:jc w:val="both"/>
        <w:rPr>
          <w:rFonts w:ascii="Arial" w:hAnsi="Arial" w:eastAsia="Arial" w:cs="Arial"/>
          <w:b w:val="0"/>
          <w:bCs w:val="0"/>
          <w:i w:val="0"/>
          <w:iCs w:val="0"/>
          <w:noProof w:val="0"/>
          <w:color w:val="000000" w:themeColor="text1" w:themeTint="FF" w:themeShade="FF"/>
          <w:sz w:val="24"/>
          <w:szCs w:val="24"/>
          <w:lang w:val="en-US"/>
        </w:rPr>
      </w:pPr>
      <w:r w:rsidRPr="0E06C5EC" w:rsidR="642ACF83">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There is research to suggest that incorporating ESDGC and sustainability projects within schools have impacts on the child’s capability of understanding more complex issues. Research from Davis (2005) shows that topics such as water consumption are demonstrated in children's actions. This is because during bath time, one child was mindful of the amount of water used. Gunton (2020) reveals that young children can understand the impacts that we humans have on earth. This is just one example of how a child can voice their concerns and make their own choices from ESDGC. This is also one of the Welsh Government’s (2008) key areas of ESDGC, beginning to allow children to understand the consequences of their actions and decisions they make. </w:t>
      </w:r>
    </w:p>
    <w:p xmlns:wp14="http://schemas.microsoft.com/office/word/2010/wordml" w:rsidP="0E06C5EC" w14:paraId="51AA011C" wp14:textId="37428952">
      <w:pPr>
        <w:spacing w:after="160" w:line="259" w:lineRule="auto"/>
        <w:jc w:val="both"/>
        <w:rPr>
          <w:rFonts w:ascii="Calibri" w:hAnsi="Calibri" w:eastAsia="Calibri" w:cs="Calibri"/>
          <w:b w:val="0"/>
          <w:bCs w:val="0"/>
          <w:i w:val="0"/>
          <w:iCs w:val="0"/>
          <w:noProof w:val="0"/>
          <w:color w:val="000000" w:themeColor="text1" w:themeTint="FF" w:themeShade="FF"/>
          <w:sz w:val="22"/>
          <w:szCs w:val="22"/>
          <w:lang w:val="en-US"/>
        </w:rPr>
      </w:pPr>
    </w:p>
    <w:p xmlns:wp14="http://schemas.microsoft.com/office/word/2010/wordml" w:rsidP="0E06C5EC" w14:paraId="2C078E63" wp14:textId="37ECBF64">
      <w:pPr>
        <w:pStyle w:val="Normal"/>
        <w:spacing w:after="160" w:line="259" w:lineRule="auto"/>
        <w:jc w:val="both"/>
        <w:rPr>
          <w:rFonts w:ascii="Calibri" w:hAnsi="Calibri" w:eastAsia="Calibri" w:cs="Calibri"/>
          <w:b w:val="1"/>
          <w:bCs w:val="1"/>
          <w:i w:val="0"/>
          <w:iCs w:val="0"/>
          <w:strike w:val="0"/>
          <w:dstrike w:val="0"/>
          <w:noProof w:val="0"/>
          <w:color w:val="000000" w:themeColor="text1" w:themeTint="FF" w:themeShade="FF"/>
          <w:sz w:val="22"/>
          <w:szCs w:val="22"/>
          <w:u w:val="single"/>
          <w:lang w:val="en-US"/>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2996D99"/>
    <w:rsid w:val="0E06C5EC"/>
    <w:rsid w:val="12996D99"/>
    <w:rsid w:val="431A0795"/>
    <w:rsid w:val="617FEE53"/>
    <w:rsid w:val="642ACF8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2996D99"/>
  <w15:chartTrackingRefBased/>
  <w15:docId w15:val="{e30c366c-2a8b-4272-a006-7afecff0018d}"/>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2021-03-28T11:18:40.4913522Z</dcterms:created>
  <dcterms:modified xsi:type="dcterms:W3CDTF">2021-03-28T11:31:34.3787325Z</dcterms:modified>
  <dc:creator>Holly Louise Dennis (1300163)</dc:creator>
  <lastModifiedBy>Holly Louise Dennis (1300163)</lastModifiedBy>
</coreProperties>
</file>