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8D91F" w14:textId="7A74BB1B" w:rsidR="00914068" w:rsidRDefault="00914068" w:rsidP="00E665C8">
      <w:pPr>
        <w:spacing w:before="240"/>
        <w:jc w:val="center"/>
        <w:rPr>
          <w:rFonts w:cs="Arial"/>
          <w:b/>
          <w:bCs/>
          <w:sz w:val="44"/>
          <w:szCs w:val="44"/>
        </w:rPr>
      </w:pPr>
      <w:r w:rsidRPr="00244897">
        <w:rPr>
          <w:rFonts w:cs="Arial"/>
          <w:b/>
          <w:bCs/>
          <w:sz w:val="44"/>
          <w:szCs w:val="44"/>
        </w:rPr>
        <w:t xml:space="preserve">The </w:t>
      </w:r>
      <w:r w:rsidR="00E665C8" w:rsidRPr="00244897">
        <w:rPr>
          <w:rFonts w:cs="Arial"/>
          <w:b/>
          <w:bCs/>
          <w:sz w:val="44"/>
          <w:szCs w:val="44"/>
        </w:rPr>
        <w:t>Impact of Socioeconomic Status on Access to Health and Social Care Services in Urban and Rural Communities</w:t>
      </w:r>
    </w:p>
    <w:p w14:paraId="291D2CD2" w14:textId="77777777" w:rsidR="00244897" w:rsidRPr="00244897" w:rsidRDefault="00244897" w:rsidP="00E665C8">
      <w:pPr>
        <w:spacing w:before="240"/>
        <w:jc w:val="center"/>
        <w:rPr>
          <w:rFonts w:cs="Arial"/>
          <w:b/>
          <w:bCs/>
          <w:sz w:val="44"/>
          <w:szCs w:val="44"/>
        </w:rPr>
      </w:pPr>
    </w:p>
    <w:p w14:paraId="082587EA" w14:textId="49EEC114" w:rsidR="00E665C8" w:rsidRPr="00951DBA" w:rsidRDefault="00E665C8" w:rsidP="00E665C8">
      <w:pPr>
        <w:spacing w:before="240"/>
        <w:jc w:val="center"/>
        <w:rPr>
          <w:rFonts w:cs="Arial"/>
          <w:b/>
          <w:bCs/>
          <w:sz w:val="44"/>
          <w:szCs w:val="44"/>
          <w:lang w:val="en-GB"/>
        </w:rPr>
      </w:pPr>
      <w:r w:rsidRPr="00244897">
        <w:rPr>
          <w:rFonts w:cs="Arial"/>
          <w:b/>
          <w:bCs/>
          <w:sz w:val="44"/>
          <w:szCs w:val="44"/>
        </w:rPr>
        <w:t>Name</w:t>
      </w:r>
      <w:r w:rsidR="00951DBA">
        <w:rPr>
          <w:rFonts w:cs="Arial"/>
          <w:b/>
          <w:bCs/>
          <w:sz w:val="44"/>
          <w:szCs w:val="44"/>
          <w:lang w:val="en-GB"/>
        </w:rPr>
        <w:t>: Saireen Mahmood</w:t>
      </w:r>
    </w:p>
    <w:p w14:paraId="22DBD268" w14:textId="6C5F4F53" w:rsidR="00E665C8" w:rsidRPr="00951DBA" w:rsidRDefault="00E665C8" w:rsidP="00E665C8">
      <w:pPr>
        <w:spacing w:before="240"/>
        <w:jc w:val="center"/>
        <w:rPr>
          <w:rFonts w:cs="Arial"/>
          <w:b/>
          <w:bCs/>
          <w:sz w:val="44"/>
          <w:szCs w:val="44"/>
          <w:lang w:val="en-GB"/>
        </w:rPr>
      </w:pPr>
      <w:r w:rsidRPr="00244897">
        <w:rPr>
          <w:rFonts w:cs="Arial"/>
          <w:b/>
          <w:bCs/>
          <w:sz w:val="44"/>
          <w:szCs w:val="44"/>
        </w:rPr>
        <w:t>Student Number</w:t>
      </w:r>
      <w:r w:rsidR="00951DBA">
        <w:rPr>
          <w:rFonts w:cs="Arial"/>
          <w:b/>
          <w:bCs/>
          <w:sz w:val="44"/>
          <w:szCs w:val="44"/>
          <w:lang w:val="en-GB"/>
        </w:rPr>
        <w:t>: 2238897</w:t>
      </w:r>
    </w:p>
    <w:p w14:paraId="6623B4AC" w14:textId="77777777" w:rsidR="00E665C8" w:rsidRPr="00244897" w:rsidRDefault="00E665C8" w:rsidP="00E665C8">
      <w:pPr>
        <w:spacing w:before="240"/>
        <w:jc w:val="both"/>
        <w:rPr>
          <w:rFonts w:cs="Arial"/>
          <w:b/>
          <w:bCs/>
          <w:sz w:val="44"/>
          <w:szCs w:val="44"/>
        </w:rPr>
      </w:pPr>
    </w:p>
    <w:p w14:paraId="02D722F9" w14:textId="77777777" w:rsidR="00E665C8" w:rsidRPr="00244897" w:rsidRDefault="00E665C8" w:rsidP="00E665C8">
      <w:pPr>
        <w:spacing w:before="240"/>
        <w:jc w:val="both"/>
        <w:rPr>
          <w:rFonts w:cs="Arial"/>
          <w:b/>
          <w:bCs/>
          <w:sz w:val="44"/>
          <w:szCs w:val="44"/>
        </w:rPr>
      </w:pPr>
    </w:p>
    <w:p w14:paraId="126560EF" w14:textId="77777777" w:rsidR="00E665C8" w:rsidRPr="00244897" w:rsidRDefault="00E665C8" w:rsidP="00E665C8">
      <w:pPr>
        <w:bidi/>
        <w:spacing w:before="240"/>
        <w:jc w:val="both"/>
        <w:rPr>
          <w:rFonts w:cs="Arial"/>
          <w:b/>
          <w:bCs/>
          <w:sz w:val="44"/>
          <w:szCs w:val="44"/>
          <w:lang w:bidi="ur-PK"/>
        </w:rPr>
      </w:pPr>
    </w:p>
    <w:p w14:paraId="56446653" w14:textId="77777777" w:rsidR="00E665C8" w:rsidRPr="00244897" w:rsidRDefault="00E665C8" w:rsidP="00E665C8">
      <w:pPr>
        <w:bidi/>
        <w:spacing w:before="240"/>
        <w:jc w:val="both"/>
        <w:rPr>
          <w:rFonts w:cs="Arial"/>
          <w:b/>
          <w:bCs/>
          <w:sz w:val="44"/>
          <w:szCs w:val="44"/>
          <w:lang w:bidi="ur-PK"/>
        </w:rPr>
      </w:pPr>
    </w:p>
    <w:p w14:paraId="19166329" w14:textId="77777777" w:rsidR="00E665C8" w:rsidRPr="00244897" w:rsidRDefault="00E665C8" w:rsidP="00E665C8">
      <w:pPr>
        <w:bidi/>
        <w:spacing w:before="240"/>
        <w:jc w:val="both"/>
        <w:rPr>
          <w:rFonts w:cs="Arial"/>
          <w:b/>
          <w:bCs/>
          <w:sz w:val="44"/>
          <w:szCs w:val="44"/>
          <w:rtl/>
          <w:lang w:bidi="ur-PK"/>
        </w:rPr>
      </w:pPr>
    </w:p>
    <w:p w14:paraId="0AE6C9AE" w14:textId="77777777" w:rsidR="00E665C8" w:rsidRPr="00244897" w:rsidRDefault="00E665C8" w:rsidP="00E665C8">
      <w:pPr>
        <w:spacing w:before="240"/>
        <w:jc w:val="center"/>
        <w:rPr>
          <w:rFonts w:cs="Arial"/>
          <w:b/>
          <w:bCs/>
          <w:sz w:val="36"/>
          <w:szCs w:val="36"/>
        </w:rPr>
      </w:pPr>
      <w:r w:rsidRPr="00244897">
        <w:rPr>
          <w:sz w:val="36"/>
          <w:szCs w:val="36"/>
        </w:rPr>
        <w:t>Dissertation submitted as part of the requirements for the award BSc (Hons) Health and Social Care</w:t>
      </w:r>
    </w:p>
    <w:p w14:paraId="52D3CB03" w14:textId="77777777" w:rsidR="00E665C8" w:rsidRPr="00244897" w:rsidRDefault="00E665C8" w:rsidP="00E665C8">
      <w:pPr>
        <w:spacing w:before="240"/>
        <w:jc w:val="both"/>
        <w:rPr>
          <w:rFonts w:cs="Arial"/>
          <w:szCs w:val="22"/>
          <w:lang w:val="en-GB"/>
        </w:rPr>
      </w:pPr>
    </w:p>
    <w:p w14:paraId="5EF56B62" w14:textId="77777777" w:rsidR="00E665C8" w:rsidRPr="00D84639" w:rsidRDefault="00E665C8" w:rsidP="00D84639">
      <w:pPr>
        <w:jc w:val="both"/>
        <w:rPr>
          <w:b/>
          <w:bCs/>
          <w:szCs w:val="22"/>
        </w:rPr>
      </w:pPr>
    </w:p>
    <w:p w14:paraId="3783CDFE" w14:textId="77777777" w:rsidR="004E4B6F" w:rsidRPr="00D84639" w:rsidRDefault="004E4B6F" w:rsidP="00D84639">
      <w:pPr>
        <w:jc w:val="both"/>
        <w:rPr>
          <w:b/>
          <w:bCs/>
          <w:szCs w:val="22"/>
        </w:rPr>
      </w:pPr>
    </w:p>
    <w:p w14:paraId="759D8D4D" w14:textId="34ADDE34" w:rsidR="004E4B6F" w:rsidRPr="00D84639" w:rsidRDefault="004E4B6F" w:rsidP="002E1D59">
      <w:pPr>
        <w:pStyle w:val="NormalWeb"/>
        <w:spacing w:line="360" w:lineRule="auto"/>
        <w:jc w:val="both"/>
        <w:rPr>
          <w:rFonts w:asciiTheme="minorHAnsi" w:hAnsiTheme="minorHAnsi"/>
          <w:sz w:val="22"/>
          <w:szCs w:val="22"/>
        </w:rPr>
      </w:pPr>
      <w:r w:rsidRPr="00D84639">
        <w:rPr>
          <w:rStyle w:val="Strong"/>
          <w:rFonts w:asciiTheme="minorHAnsi" w:eastAsiaTheme="majorEastAsia" w:hAnsiTheme="minorHAnsi"/>
          <w:sz w:val="22"/>
          <w:szCs w:val="22"/>
        </w:rPr>
        <w:lastRenderedPageBreak/>
        <w:t xml:space="preserve">Abstract </w:t>
      </w:r>
    </w:p>
    <w:p w14:paraId="431E5031" w14:textId="77777777" w:rsidR="003371B0" w:rsidRPr="003371B0" w:rsidRDefault="003371B0" w:rsidP="00922C0D">
      <w:pPr>
        <w:pStyle w:val="NormalWeb"/>
        <w:spacing w:line="360" w:lineRule="auto"/>
        <w:jc w:val="both"/>
        <w:rPr>
          <w:rFonts w:asciiTheme="minorHAnsi" w:hAnsiTheme="minorHAnsi"/>
          <w:sz w:val="22"/>
          <w:szCs w:val="22"/>
        </w:rPr>
      </w:pPr>
      <w:r w:rsidRPr="003371B0">
        <w:rPr>
          <w:rFonts w:asciiTheme="minorHAnsi" w:hAnsiTheme="minorHAnsi"/>
          <w:sz w:val="22"/>
          <w:szCs w:val="22"/>
        </w:rPr>
        <w:t>This dissertation explores the role of socioeconomic status (SES) in influencing accessibility to health and social care services in cities and rural areas. The importance of the study is that unequal access is a significant contributor to preventable disease, later treatment, and worse life quality especially among low-income, low education, insecure employment, or residing in deprived communities. Even though the idea of equity is proclaimed in many systems, there is evidence that social position and place continue to determine who can access, navigate, and receive services. The objective was to evaluate the relationship between SES, which is measured by income, education, occupation, and deprivation indices, and access in both urban and rural environments. The aims were to elucidate major SES dimensions relative to access, examine urban rural inequalities, assess utilisation trends and constraints and suggest policy and practice recommendations.</w:t>
      </w:r>
    </w:p>
    <w:p w14:paraId="4C140F9D" w14:textId="77777777" w:rsidR="00342F42" w:rsidRPr="00342F42" w:rsidRDefault="00342F42" w:rsidP="00922C0D">
      <w:pPr>
        <w:pStyle w:val="NormalWeb"/>
        <w:spacing w:line="360" w:lineRule="auto"/>
        <w:jc w:val="both"/>
        <w:rPr>
          <w:rFonts w:asciiTheme="minorHAnsi" w:hAnsiTheme="minorHAnsi"/>
          <w:sz w:val="22"/>
          <w:szCs w:val="22"/>
        </w:rPr>
      </w:pPr>
      <w:r w:rsidRPr="00342F42">
        <w:rPr>
          <w:rFonts w:asciiTheme="minorHAnsi" w:hAnsiTheme="minorHAnsi"/>
          <w:sz w:val="22"/>
          <w:szCs w:val="22"/>
        </w:rPr>
        <w:t>This was a systematic review of literature, conducted by desk study with systematic search and review of academic databases and reliable sources of policies using inclusion and exclusion criteria. Methods were assessed for quality and appropriateness through screening and using the CRAAP method. The data were analysed thematically, with code and theme generation based on the known access concepts.</w:t>
      </w:r>
    </w:p>
    <w:p w14:paraId="37444D9B" w14:textId="77777777" w:rsidR="00342F42" w:rsidRDefault="00342F42" w:rsidP="00922C0D">
      <w:pPr>
        <w:pStyle w:val="NormalWeb"/>
        <w:spacing w:line="360" w:lineRule="auto"/>
        <w:jc w:val="both"/>
        <w:rPr>
          <w:rFonts w:asciiTheme="minorHAnsi" w:hAnsiTheme="minorHAnsi"/>
          <w:sz w:val="22"/>
          <w:szCs w:val="22"/>
        </w:rPr>
      </w:pPr>
      <w:r w:rsidRPr="00342F42">
        <w:rPr>
          <w:rFonts w:asciiTheme="minorHAnsi" w:hAnsiTheme="minorHAnsi"/>
          <w:sz w:val="22"/>
          <w:szCs w:val="22"/>
        </w:rPr>
        <w:t>Three themes were identified. First, SES is a determinant of access through combining to influence capability, that is, manageability of indirect costs, health literacy and management of bureaucratic processes. Second, urban and rural geographical contexts mediate the inequalities in ways that rural areas frequently exacerbate issues related to availability and travel costs, whereas urban areas can introduce barriers through complexity, wait times and lack of a single pathway. Third, SES affects utilisation via direct and indirect costs, transport, digital divides, time poverty, and health service complexity, producing 'lack of access' of SE-hindered help seeking, and gaps in prevention and specialist care.</w:t>
      </w:r>
    </w:p>
    <w:p w14:paraId="22BA67E1" w14:textId="32CC7EA6" w:rsidR="004E4B6F" w:rsidRPr="00D84639" w:rsidRDefault="004E11E6" w:rsidP="00342F42">
      <w:pPr>
        <w:pStyle w:val="NormalWeb"/>
        <w:spacing w:line="360" w:lineRule="auto"/>
        <w:jc w:val="both"/>
        <w:rPr>
          <w:rFonts w:asciiTheme="minorHAnsi" w:hAnsiTheme="minorHAnsi"/>
          <w:sz w:val="22"/>
          <w:szCs w:val="22"/>
        </w:rPr>
      </w:pPr>
      <w:r w:rsidRPr="004E11E6">
        <w:rPr>
          <w:rFonts w:asciiTheme="minorHAnsi" w:hAnsiTheme="minorHAnsi"/>
          <w:sz w:val="22"/>
          <w:szCs w:val="22"/>
        </w:rPr>
        <w:t>The limitations associated with this review include differences in defining access, a lack of evidence on social care compared to healthcare, and study-specific findings, which reduce the ability to generalize findings. The recommendations revolve around SES-sensitive service design, place-based approaches to address urban-rural differences, and providing support to reduce practical barriers to use</w:t>
      </w:r>
      <w:r w:rsidR="004E4B6F" w:rsidRPr="00D84639">
        <w:rPr>
          <w:rFonts w:asciiTheme="minorHAnsi" w:hAnsiTheme="minorHAnsi"/>
          <w:sz w:val="22"/>
          <w:szCs w:val="22"/>
        </w:rPr>
        <w:t>.</w:t>
      </w:r>
    </w:p>
    <w:p w14:paraId="2C172947" w14:textId="77777777" w:rsidR="004E4B6F" w:rsidRPr="00D84639" w:rsidRDefault="004E4B6F" w:rsidP="00D84639">
      <w:pPr>
        <w:jc w:val="both"/>
        <w:rPr>
          <w:szCs w:val="22"/>
          <w:lang w:val="en-GB"/>
        </w:rPr>
      </w:pPr>
    </w:p>
    <w:sdt>
      <w:sdtPr>
        <w:rPr>
          <w:rFonts w:asciiTheme="minorHAnsi" w:eastAsia="Times New Roman" w:hAnsiTheme="minorHAnsi" w:cs="Times New Roman"/>
          <w:b w:val="0"/>
          <w:bCs w:val="0"/>
          <w:color w:val="auto"/>
          <w:sz w:val="22"/>
          <w:szCs w:val="22"/>
          <w:lang w:eastAsia="en-GB"/>
        </w:rPr>
        <w:id w:val="-339160752"/>
        <w:docPartObj>
          <w:docPartGallery w:val="Table of Contents"/>
          <w:docPartUnique/>
        </w:docPartObj>
      </w:sdtPr>
      <w:sdtEndPr>
        <w:rPr>
          <w:noProof/>
        </w:rPr>
      </w:sdtEndPr>
      <w:sdtContent>
        <w:p w14:paraId="421FF71F" w14:textId="1E928429" w:rsidR="006F1E41" w:rsidRPr="006F1E41" w:rsidRDefault="006F1E41">
          <w:pPr>
            <w:pStyle w:val="TOCHeading"/>
            <w:rPr>
              <w:rFonts w:asciiTheme="minorHAnsi" w:hAnsiTheme="minorHAnsi"/>
              <w:sz w:val="32"/>
              <w:szCs w:val="32"/>
            </w:rPr>
          </w:pPr>
          <w:r w:rsidRPr="006F1E41">
            <w:rPr>
              <w:rFonts w:asciiTheme="minorHAnsi" w:hAnsiTheme="minorHAnsi"/>
              <w:sz w:val="32"/>
              <w:szCs w:val="32"/>
            </w:rPr>
            <w:t>Table of Contents</w:t>
          </w:r>
        </w:p>
        <w:p w14:paraId="6CE60869" w14:textId="48EDBC59" w:rsidR="006F1E41" w:rsidRPr="006F1E41" w:rsidRDefault="006F1E41">
          <w:pPr>
            <w:pStyle w:val="TOC1"/>
            <w:tabs>
              <w:tab w:val="right" w:leader="dot" w:pos="9016"/>
            </w:tabs>
            <w:rPr>
              <w:noProof/>
              <w:sz w:val="22"/>
              <w:szCs w:val="22"/>
            </w:rPr>
          </w:pPr>
          <w:r w:rsidRPr="006F1E41">
            <w:rPr>
              <w:b w:val="0"/>
              <w:bCs w:val="0"/>
              <w:sz w:val="22"/>
              <w:szCs w:val="22"/>
            </w:rPr>
            <w:fldChar w:fldCharType="begin"/>
          </w:r>
          <w:r w:rsidRPr="006F1E41">
            <w:rPr>
              <w:sz w:val="22"/>
              <w:szCs w:val="22"/>
            </w:rPr>
            <w:instrText xml:space="preserve"> TOC \o "1-3" \h \z \u </w:instrText>
          </w:r>
          <w:r w:rsidRPr="006F1E41">
            <w:rPr>
              <w:b w:val="0"/>
              <w:bCs w:val="0"/>
              <w:sz w:val="22"/>
              <w:szCs w:val="22"/>
            </w:rPr>
            <w:fldChar w:fldCharType="separate"/>
          </w:r>
          <w:hyperlink w:anchor="_Toc220447434" w:history="1">
            <w:r w:rsidRPr="006F1E41">
              <w:rPr>
                <w:rStyle w:val="Hyperlink"/>
                <w:noProof/>
                <w:sz w:val="22"/>
                <w:szCs w:val="22"/>
              </w:rPr>
              <w:t>CHAPTER 1: Introduction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_Toc220447434 \h </w:instrText>
            </w:r>
            <w:r w:rsidRPr="006F1E41">
              <w:rPr>
                <w:noProof/>
                <w:webHidden/>
                <w:sz w:val="22"/>
                <w:szCs w:val="22"/>
              </w:rPr>
            </w:r>
            <w:r w:rsidRPr="006F1E41">
              <w:rPr>
                <w:noProof/>
                <w:webHidden/>
                <w:sz w:val="22"/>
                <w:szCs w:val="22"/>
              </w:rPr>
              <w:fldChar w:fldCharType="separate"/>
            </w:r>
            <w:r w:rsidR="000328DE">
              <w:rPr>
                <w:noProof/>
                <w:webHidden/>
                <w:sz w:val="22"/>
                <w:szCs w:val="22"/>
              </w:rPr>
              <w:t>6</w:t>
            </w:r>
            <w:r w:rsidRPr="006F1E41">
              <w:rPr>
                <w:noProof/>
                <w:webHidden/>
                <w:sz w:val="22"/>
                <w:szCs w:val="22"/>
              </w:rPr>
              <w:fldChar w:fldCharType="end"/>
            </w:r>
          </w:hyperlink>
        </w:p>
        <w:p w14:paraId="4FDD8BFF" w14:textId="5ECFD0D0" w:rsidR="006F1E41" w:rsidRPr="006F1E41" w:rsidRDefault="006F1E41">
          <w:pPr>
            <w:pStyle w:val="TOC2"/>
            <w:tabs>
              <w:tab w:val="right" w:leader="dot" w:pos="9016"/>
            </w:tabs>
            <w:rPr>
              <w:noProof/>
              <w:sz w:val="22"/>
              <w:szCs w:val="22"/>
            </w:rPr>
          </w:pPr>
          <w:hyperlink w:anchor="_Toc220447435" w:history="1">
            <w:r w:rsidRPr="006F1E41">
              <w:rPr>
                <w:rStyle w:val="Hyperlink"/>
                <w:noProof/>
                <w:sz w:val="22"/>
                <w:szCs w:val="22"/>
              </w:rPr>
              <w:t>1.1 Introduction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_Toc220447435 \h </w:instrText>
            </w:r>
            <w:r w:rsidRPr="006F1E41">
              <w:rPr>
                <w:noProof/>
                <w:webHidden/>
                <w:sz w:val="22"/>
                <w:szCs w:val="22"/>
              </w:rPr>
            </w:r>
            <w:r w:rsidRPr="006F1E41">
              <w:rPr>
                <w:noProof/>
                <w:webHidden/>
                <w:sz w:val="22"/>
                <w:szCs w:val="22"/>
              </w:rPr>
              <w:fldChar w:fldCharType="separate"/>
            </w:r>
            <w:r w:rsidR="000328DE">
              <w:rPr>
                <w:noProof/>
                <w:webHidden/>
                <w:sz w:val="22"/>
                <w:szCs w:val="22"/>
              </w:rPr>
              <w:t>6</w:t>
            </w:r>
            <w:r w:rsidRPr="006F1E41">
              <w:rPr>
                <w:noProof/>
                <w:webHidden/>
                <w:sz w:val="22"/>
                <w:szCs w:val="22"/>
              </w:rPr>
              <w:fldChar w:fldCharType="end"/>
            </w:r>
          </w:hyperlink>
        </w:p>
        <w:p w14:paraId="0150860A" w14:textId="13B73DE2" w:rsidR="006F1E41" w:rsidRPr="006F1E41" w:rsidRDefault="006F1E41">
          <w:pPr>
            <w:pStyle w:val="TOC2"/>
            <w:tabs>
              <w:tab w:val="right" w:leader="dot" w:pos="9016"/>
            </w:tabs>
            <w:rPr>
              <w:noProof/>
              <w:sz w:val="22"/>
              <w:szCs w:val="22"/>
            </w:rPr>
          </w:pPr>
          <w:hyperlink w:anchor="_Toc220447436" w:history="1">
            <w:r w:rsidRPr="006F1E41">
              <w:rPr>
                <w:rStyle w:val="Hyperlink"/>
                <w:noProof/>
                <w:sz w:val="22"/>
                <w:szCs w:val="22"/>
              </w:rPr>
              <w:t>1.2 Definitions and Terminology</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_Toc220447436 \h </w:instrText>
            </w:r>
            <w:r w:rsidRPr="006F1E41">
              <w:rPr>
                <w:noProof/>
                <w:webHidden/>
                <w:sz w:val="22"/>
                <w:szCs w:val="22"/>
              </w:rPr>
            </w:r>
            <w:r w:rsidRPr="006F1E41">
              <w:rPr>
                <w:noProof/>
                <w:webHidden/>
                <w:sz w:val="22"/>
                <w:szCs w:val="22"/>
              </w:rPr>
              <w:fldChar w:fldCharType="separate"/>
            </w:r>
            <w:r w:rsidR="000328DE">
              <w:rPr>
                <w:noProof/>
                <w:webHidden/>
                <w:sz w:val="22"/>
                <w:szCs w:val="22"/>
              </w:rPr>
              <w:t>7</w:t>
            </w:r>
            <w:r w:rsidRPr="006F1E41">
              <w:rPr>
                <w:noProof/>
                <w:webHidden/>
                <w:sz w:val="22"/>
                <w:szCs w:val="22"/>
              </w:rPr>
              <w:fldChar w:fldCharType="end"/>
            </w:r>
          </w:hyperlink>
        </w:p>
        <w:p w14:paraId="0932DD4A" w14:textId="29F75763" w:rsidR="006F1E41" w:rsidRPr="006F1E41" w:rsidRDefault="006F1E41">
          <w:pPr>
            <w:pStyle w:val="TOC2"/>
            <w:tabs>
              <w:tab w:val="right" w:leader="dot" w:pos="9016"/>
            </w:tabs>
            <w:rPr>
              <w:noProof/>
              <w:sz w:val="22"/>
              <w:szCs w:val="22"/>
            </w:rPr>
          </w:pPr>
          <w:hyperlink w:anchor="_Toc220447437" w:history="1">
            <w:r w:rsidRPr="006F1E41">
              <w:rPr>
                <w:rStyle w:val="Hyperlink"/>
                <w:noProof/>
                <w:sz w:val="22"/>
                <w:szCs w:val="22"/>
              </w:rPr>
              <w:t>1.3 Rationale for Research</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_Toc220447437 \h </w:instrText>
            </w:r>
            <w:r w:rsidRPr="006F1E41">
              <w:rPr>
                <w:noProof/>
                <w:webHidden/>
                <w:sz w:val="22"/>
                <w:szCs w:val="22"/>
              </w:rPr>
            </w:r>
            <w:r w:rsidRPr="006F1E41">
              <w:rPr>
                <w:noProof/>
                <w:webHidden/>
                <w:sz w:val="22"/>
                <w:szCs w:val="22"/>
              </w:rPr>
              <w:fldChar w:fldCharType="separate"/>
            </w:r>
            <w:r w:rsidR="000328DE">
              <w:rPr>
                <w:noProof/>
                <w:webHidden/>
                <w:sz w:val="22"/>
                <w:szCs w:val="22"/>
              </w:rPr>
              <w:t>8</w:t>
            </w:r>
            <w:r w:rsidRPr="006F1E41">
              <w:rPr>
                <w:noProof/>
                <w:webHidden/>
                <w:sz w:val="22"/>
                <w:szCs w:val="22"/>
              </w:rPr>
              <w:fldChar w:fldCharType="end"/>
            </w:r>
          </w:hyperlink>
        </w:p>
        <w:p w14:paraId="7F602770" w14:textId="073B172B" w:rsidR="006F1E41" w:rsidRPr="006F1E41" w:rsidRDefault="006F1E41">
          <w:pPr>
            <w:pStyle w:val="TOC2"/>
            <w:tabs>
              <w:tab w:val="right" w:leader="dot" w:pos="9016"/>
            </w:tabs>
            <w:rPr>
              <w:noProof/>
              <w:sz w:val="22"/>
              <w:szCs w:val="22"/>
            </w:rPr>
          </w:pPr>
          <w:hyperlink w:anchor="_Toc220447438" w:history="1">
            <w:r w:rsidRPr="006F1E41">
              <w:rPr>
                <w:rStyle w:val="Hyperlink"/>
                <w:noProof/>
                <w:sz w:val="22"/>
                <w:szCs w:val="22"/>
              </w:rPr>
              <w:t>1.4 Aim and Objectives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_Toc220447438 \h </w:instrText>
            </w:r>
            <w:r w:rsidRPr="006F1E41">
              <w:rPr>
                <w:noProof/>
                <w:webHidden/>
                <w:sz w:val="22"/>
                <w:szCs w:val="22"/>
              </w:rPr>
            </w:r>
            <w:r w:rsidRPr="006F1E41">
              <w:rPr>
                <w:noProof/>
                <w:webHidden/>
                <w:sz w:val="22"/>
                <w:szCs w:val="22"/>
              </w:rPr>
              <w:fldChar w:fldCharType="separate"/>
            </w:r>
            <w:r w:rsidR="000328DE">
              <w:rPr>
                <w:noProof/>
                <w:webHidden/>
                <w:sz w:val="22"/>
                <w:szCs w:val="22"/>
              </w:rPr>
              <w:t>9</w:t>
            </w:r>
            <w:r w:rsidRPr="006F1E41">
              <w:rPr>
                <w:noProof/>
                <w:webHidden/>
                <w:sz w:val="22"/>
                <w:szCs w:val="22"/>
              </w:rPr>
              <w:fldChar w:fldCharType="end"/>
            </w:r>
          </w:hyperlink>
        </w:p>
        <w:p w14:paraId="26D5EAF0" w14:textId="3E0E5A53" w:rsidR="006F1E41" w:rsidRPr="006F1E41" w:rsidRDefault="006F1E41">
          <w:pPr>
            <w:pStyle w:val="TOC2"/>
            <w:tabs>
              <w:tab w:val="right" w:leader="dot" w:pos="9016"/>
            </w:tabs>
            <w:rPr>
              <w:noProof/>
              <w:sz w:val="22"/>
              <w:szCs w:val="22"/>
            </w:rPr>
          </w:pPr>
          <w:hyperlink w:anchor="_Toc220447439" w:history="1">
            <w:r w:rsidRPr="006F1E41">
              <w:rPr>
                <w:rStyle w:val="Hyperlink"/>
                <w:noProof/>
                <w:sz w:val="22"/>
                <w:szCs w:val="22"/>
              </w:rPr>
              <w:t>1.5 Conclusion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_Toc220447439 \h </w:instrText>
            </w:r>
            <w:r w:rsidRPr="006F1E41">
              <w:rPr>
                <w:noProof/>
                <w:webHidden/>
                <w:sz w:val="22"/>
                <w:szCs w:val="22"/>
              </w:rPr>
            </w:r>
            <w:r w:rsidRPr="006F1E41">
              <w:rPr>
                <w:noProof/>
                <w:webHidden/>
                <w:sz w:val="22"/>
                <w:szCs w:val="22"/>
              </w:rPr>
              <w:fldChar w:fldCharType="separate"/>
            </w:r>
            <w:r w:rsidR="000328DE">
              <w:rPr>
                <w:noProof/>
                <w:webHidden/>
                <w:sz w:val="22"/>
                <w:szCs w:val="22"/>
              </w:rPr>
              <w:t>9</w:t>
            </w:r>
            <w:r w:rsidRPr="006F1E41">
              <w:rPr>
                <w:noProof/>
                <w:webHidden/>
                <w:sz w:val="22"/>
                <w:szCs w:val="22"/>
              </w:rPr>
              <w:fldChar w:fldCharType="end"/>
            </w:r>
          </w:hyperlink>
        </w:p>
        <w:p w14:paraId="77A2C2FD" w14:textId="2B93208D" w:rsidR="006F1E41" w:rsidRPr="006F1E41" w:rsidRDefault="006F1E41">
          <w:pPr>
            <w:pStyle w:val="TOC1"/>
            <w:tabs>
              <w:tab w:val="right" w:leader="dot" w:pos="9016"/>
            </w:tabs>
            <w:rPr>
              <w:noProof/>
              <w:sz w:val="22"/>
              <w:szCs w:val="22"/>
            </w:rPr>
          </w:pPr>
          <w:hyperlink w:anchor="_Toc220447440" w:history="1">
            <w:r w:rsidRPr="006F1E41">
              <w:rPr>
                <w:rStyle w:val="Hyperlink"/>
                <w:noProof/>
                <w:sz w:val="22"/>
                <w:szCs w:val="22"/>
              </w:rPr>
              <w:t>CHAPTER 2: Background Information and Analysis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_Toc220447440 \h </w:instrText>
            </w:r>
            <w:r w:rsidRPr="006F1E41">
              <w:rPr>
                <w:noProof/>
                <w:webHidden/>
                <w:sz w:val="22"/>
                <w:szCs w:val="22"/>
              </w:rPr>
            </w:r>
            <w:r w:rsidRPr="006F1E41">
              <w:rPr>
                <w:noProof/>
                <w:webHidden/>
                <w:sz w:val="22"/>
                <w:szCs w:val="22"/>
              </w:rPr>
              <w:fldChar w:fldCharType="separate"/>
            </w:r>
            <w:r w:rsidR="000328DE">
              <w:rPr>
                <w:noProof/>
                <w:webHidden/>
                <w:sz w:val="22"/>
                <w:szCs w:val="22"/>
              </w:rPr>
              <w:t>10</w:t>
            </w:r>
            <w:r w:rsidRPr="006F1E41">
              <w:rPr>
                <w:noProof/>
                <w:webHidden/>
                <w:sz w:val="22"/>
                <w:szCs w:val="22"/>
              </w:rPr>
              <w:fldChar w:fldCharType="end"/>
            </w:r>
          </w:hyperlink>
        </w:p>
        <w:p w14:paraId="3A1F60E4" w14:textId="324CDA58" w:rsidR="006F1E41" w:rsidRPr="006F1E41" w:rsidRDefault="006F1E41">
          <w:pPr>
            <w:pStyle w:val="TOC2"/>
            <w:tabs>
              <w:tab w:val="right" w:leader="dot" w:pos="9016"/>
            </w:tabs>
            <w:rPr>
              <w:noProof/>
              <w:sz w:val="22"/>
              <w:szCs w:val="22"/>
            </w:rPr>
          </w:pPr>
          <w:hyperlink w:anchor="_Toc220447441" w:history="1">
            <w:r w:rsidRPr="006F1E41">
              <w:rPr>
                <w:rStyle w:val="Hyperlink"/>
                <w:noProof/>
                <w:sz w:val="22"/>
                <w:szCs w:val="22"/>
              </w:rPr>
              <w:t>2.1 Introduction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_Toc220447441 \h </w:instrText>
            </w:r>
            <w:r w:rsidRPr="006F1E41">
              <w:rPr>
                <w:noProof/>
                <w:webHidden/>
                <w:sz w:val="22"/>
                <w:szCs w:val="22"/>
              </w:rPr>
            </w:r>
            <w:r w:rsidRPr="006F1E41">
              <w:rPr>
                <w:noProof/>
                <w:webHidden/>
                <w:sz w:val="22"/>
                <w:szCs w:val="22"/>
              </w:rPr>
              <w:fldChar w:fldCharType="separate"/>
            </w:r>
            <w:r w:rsidR="000328DE">
              <w:rPr>
                <w:noProof/>
                <w:webHidden/>
                <w:sz w:val="22"/>
                <w:szCs w:val="22"/>
              </w:rPr>
              <w:t>10</w:t>
            </w:r>
            <w:r w:rsidRPr="006F1E41">
              <w:rPr>
                <w:noProof/>
                <w:webHidden/>
                <w:sz w:val="22"/>
                <w:szCs w:val="22"/>
              </w:rPr>
              <w:fldChar w:fldCharType="end"/>
            </w:r>
          </w:hyperlink>
        </w:p>
        <w:p w14:paraId="60D4E3C4" w14:textId="329F219B" w:rsidR="006F1E41" w:rsidRPr="006F1E41" w:rsidRDefault="006F1E41">
          <w:pPr>
            <w:pStyle w:val="TOC2"/>
            <w:tabs>
              <w:tab w:val="right" w:leader="dot" w:pos="9016"/>
            </w:tabs>
            <w:rPr>
              <w:noProof/>
              <w:sz w:val="22"/>
              <w:szCs w:val="22"/>
            </w:rPr>
          </w:pPr>
          <w:hyperlink w:anchor="_Toc220447442" w:history="1">
            <w:r w:rsidRPr="006F1E41">
              <w:rPr>
                <w:rStyle w:val="Hyperlink"/>
                <w:noProof/>
                <w:sz w:val="22"/>
                <w:szCs w:val="22"/>
              </w:rPr>
              <w:t>2.2 Historical Background</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_Toc220447442 \h </w:instrText>
            </w:r>
            <w:r w:rsidRPr="006F1E41">
              <w:rPr>
                <w:noProof/>
                <w:webHidden/>
                <w:sz w:val="22"/>
                <w:szCs w:val="22"/>
              </w:rPr>
            </w:r>
            <w:r w:rsidRPr="006F1E41">
              <w:rPr>
                <w:noProof/>
                <w:webHidden/>
                <w:sz w:val="22"/>
                <w:szCs w:val="22"/>
              </w:rPr>
              <w:fldChar w:fldCharType="separate"/>
            </w:r>
            <w:r w:rsidR="000328DE">
              <w:rPr>
                <w:noProof/>
                <w:webHidden/>
                <w:sz w:val="22"/>
                <w:szCs w:val="22"/>
              </w:rPr>
              <w:t>10</w:t>
            </w:r>
            <w:r w:rsidRPr="006F1E41">
              <w:rPr>
                <w:noProof/>
                <w:webHidden/>
                <w:sz w:val="22"/>
                <w:szCs w:val="22"/>
              </w:rPr>
              <w:fldChar w:fldCharType="end"/>
            </w:r>
          </w:hyperlink>
        </w:p>
        <w:p w14:paraId="6232C758" w14:textId="28407556" w:rsidR="006F1E41" w:rsidRPr="006F1E41" w:rsidRDefault="006F1E41">
          <w:pPr>
            <w:pStyle w:val="TOC2"/>
            <w:tabs>
              <w:tab w:val="right" w:leader="dot" w:pos="9016"/>
            </w:tabs>
            <w:rPr>
              <w:noProof/>
              <w:sz w:val="22"/>
              <w:szCs w:val="22"/>
            </w:rPr>
          </w:pPr>
          <w:hyperlink w:anchor="_Toc220447443" w:history="1">
            <w:r w:rsidRPr="006F1E41">
              <w:rPr>
                <w:rStyle w:val="Hyperlink"/>
                <w:noProof/>
                <w:sz w:val="22"/>
                <w:szCs w:val="22"/>
              </w:rPr>
              <w:t>2.3 Theoretical Background</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_Toc220447443 \h </w:instrText>
            </w:r>
            <w:r w:rsidRPr="006F1E41">
              <w:rPr>
                <w:noProof/>
                <w:webHidden/>
                <w:sz w:val="22"/>
                <w:szCs w:val="22"/>
              </w:rPr>
            </w:r>
            <w:r w:rsidRPr="006F1E41">
              <w:rPr>
                <w:noProof/>
                <w:webHidden/>
                <w:sz w:val="22"/>
                <w:szCs w:val="22"/>
              </w:rPr>
              <w:fldChar w:fldCharType="separate"/>
            </w:r>
            <w:r w:rsidR="000328DE">
              <w:rPr>
                <w:noProof/>
                <w:webHidden/>
                <w:sz w:val="22"/>
                <w:szCs w:val="22"/>
              </w:rPr>
              <w:t>11</w:t>
            </w:r>
            <w:r w:rsidRPr="006F1E41">
              <w:rPr>
                <w:noProof/>
                <w:webHidden/>
                <w:sz w:val="22"/>
                <w:szCs w:val="22"/>
              </w:rPr>
              <w:fldChar w:fldCharType="end"/>
            </w:r>
          </w:hyperlink>
        </w:p>
        <w:p w14:paraId="51165F72" w14:textId="3F2CF78E" w:rsidR="006F1E41" w:rsidRPr="006F1E41" w:rsidRDefault="006F1E41">
          <w:pPr>
            <w:pStyle w:val="TOC2"/>
            <w:tabs>
              <w:tab w:val="right" w:leader="dot" w:pos="9016"/>
            </w:tabs>
            <w:rPr>
              <w:noProof/>
              <w:sz w:val="22"/>
              <w:szCs w:val="22"/>
            </w:rPr>
          </w:pPr>
          <w:hyperlink w:anchor="_Toc220447444" w:history="1">
            <w:r w:rsidRPr="006F1E41">
              <w:rPr>
                <w:rStyle w:val="Hyperlink"/>
                <w:noProof/>
                <w:sz w:val="22"/>
                <w:szCs w:val="22"/>
              </w:rPr>
              <w:t>2.4 International Context</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_Toc220447444 \h </w:instrText>
            </w:r>
            <w:r w:rsidRPr="006F1E41">
              <w:rPr>
                <w:noProof/>
                <w:webHidden/>
                <w:sz w:val="22"/>
                <w:szCs w:val="22"/>
              </w:rPr>
            </w:r>
            <w:r w:rsidRPr="006F1E41">
              <w:rPr>
                <w:noProof/>
                <w:webHidden/>
                <w:sz w:val="22"/>
                <w:szCs w:val="22"/>
              </w:rPr>
              <w:fldChar w:fldCharType="separate"/>
            </w:r>
            <w:r w:rsidR="000328DE">
              <w:rPr>
                <w:noProof/>
                <w:webHidden/>
                <w:sz w:val="22"/>
                <w:szCs w:val="22"/>
              </w:rPr>
              <w:t>13</w:t>
            </w:r>
            <w:r w:rsidRPr="006F1E41">
              <w:rPr>
                <w:noProof/>
                <w:webHidden/>
                <w:sz w:val="22"/>
                <w:szCs w:val="22"/>
              </w:rPr>
              <w:fldChar w:fldCharType="end"/>
            </w:r>
          </w:hyperlink>
        </w:p>
        <w:p w14:paraId="62588881" w14:textId="1BE440DA" w:rsidR="006F1E41" w:rsidRPr="006F1E41" w:rsidRDefault="006F1E41">
          <w:pPr>
            <w:pStyle w:val="TOC2"/>
            <w:tabs>
              <w:tab w:val="right" w:leader="dot" w:pos="9016"/>
            </w:tabs>
            <w:rPr>
              <w:noProof/>
              <w:sz w:val="22"/>
              <w:szCs w:val="22"/>
            </w:rPr>
          </w:pPr>
          <w:hyperlink w:anchor="_Toc220447445" w:history="1">
            <w:r w:rsidRPr="006F1E41">
              <w:rPr>
                <w:rStyle w:val="Hyperlink"/>
                <w:noProof/>
                <w:sz w:val="22"/>
                <w:szCs w:val="22"/>
              </w:rPr>
              <w:t>2.5 National/Local UK Context</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_Toc220447445 \h </w:instrText>
            </w:r>
            <w:r w:rsidRPr="006F1E41">
              <w:rPr>
                <w:noProof/>
                <w:webHidden/>
                <w:sz w:val="22"/>
                <w:szCs w:val="22"/>
              </w:rPr>
            </w:r>
            <w:r w:rsidRPr="006F1E41">
              <w:rPr>
                <w:noProof/>
                <w:webHidden/>
                <w:sz w:val="22"/>
                <w:szCs w:val="22"/>
              </w:rPr>
              <w:fldChar w:fldCharType="separate"/>
            </w:r>
            <w:r w:rsidR="000328DE">
              <w:rPr>
                <w:noProof/>
                <w:webHidden/>
                <w:sz w:val="22"/>
                <w:szCs w:val="22"/>
              </w:rPr>
              <w:t>14</w:t>
            </w:r>
            <w:r w:rsidRPr="006F1E41">
              <w:rPr>
                <w:noProof/>
                <w:webHidden/>
                <w:sz w:val="22"/>
                <w:szCs w:val="22"/>
              </w:rPr>
              <w:fldChar w:fldCharType="end"/>
            </w:r>
          </w:hyperlink>
        </w:p>
        <w:p w14:paraId="7979B2DF" w14:textId="6195CC70" w:rsidR="006F1E41" w:rsidRPr="006F1E41" w:rsidRDefault="006F1E41">
          <w:pPr>
            <w:pStyle w:val="TOC2"/>
            <w:tabs>
              <w:tab w:val="right" w:leader="dot" w:pos="9016"/>
            </w:tabs>
            <w:rPr>
              <w:noProof/>
              <w:sz w:val="22"/>
              <w:szCs w:val="22"/>
            </w:rPr>
          </w:pPr>
          <w:hyperlink w:anchor="_Toc220447446" w:history="1">
            <w:r w:rsidRPr="006F1E41">
              <w:rPr>
                <w:rStyle w:val="Hyperlink"/>
                <w:noProof/>
                <w:sz w:val="22"/>
                <w:szCs w:val="22"/>
              </w:rPr>
              <w:t>2.6. Conclusion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_Toc220447446 \h </w:instrText>
            </w:r>
            <w:r w:rsidRPr="006F1E41">
              <w:rPr>
                <w:noProof/>
                <w:webHidden/>
                <w:sz w:val="22"/>
                <w:szCs w:val="22"/>
              </w:rPr>
            </w:r>
            <w:r w:rsidRPr="006F1E41">
              <w:rPr>
                <w:noProof/>
                <w:webHidden/>
                <w:sz w:val="22"/>
                <w:szCs w:val="22"/>
              </w:rPr>
              <w:fldChar w:fldCharType="separate"/>
            </w:r>
            <w:r w:rsidR="000328DE">
              <w:rPr>
                <w:noProof/>
                <w:webHidden/>
                <w:sz w:val="22"/>
                <w:szCs w:val="22"/>
              </w:rPr>
              <w:t>16</w:t>
            </w:r>
            <w:r w:rsidRPr="006F1E41">
              <w:rPr>
                <w:noProof/>
                <w:webHidden/>
                <w:sz w:val="22"/>
                <w:szCs w:val="22"/>
              </w:rPr>
              <w:fldChar w:fldCharType="end"/>
            </w:r>
          </w:hyperlink>
        </w:p>
        <w:p w14:paraId="4CD0186F" w14:textId="46B9A0BD" w:rsidR="006F1E41" w:rsidRPr="006F1E41" w:rsidRDefault="006F1E41">
          <w:pPr>
            <w:pStyle w:val="TOC1"/>
            <w:tabs>
              <w:tab w:val="right" w:leader="dot" w:pos="9016"/>
            </w:tabs>
            <w:rPr>
              <w:noProof/>
              <w:sz w:val="22"/>
              <w:szCs w:val="22"/>
            </w:rPr>
          </w:pPr>
          <w:hyperlink w:anchor="_Toc220447447" w:history="1">
            <w:r w:rsidRPr="006F1E41">
              <w:rPr>
                <w:rStyle w:val="Hyperlink"/>
                <w:noProof/>
                <w:sz w:val="22"/>
                <w:szCs w:val="22"/>
              </w:rPr>
              <w:t>CHAPTER 3: Methods and Search Strategy</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_Toc220447447 \h </w:instrText>
            </w:r>
            <w:r w:rsidRPr="006F1E41">
              <w:rPr>
                <w:noProof/>
                <w:webHidden/>
                <w:sz w:val="22"/>
                <w:szCs w:val="22"/>
              </w:rPr>
            </w:r>
            <w:r w:rsidRPr="006F1E41">
              <w:rPr>
                <w:noProof/>
                <w:webHidden/>
                <w:sz w:val="22"/>
                <w:szCs w:val="22"/>
              </w:rPr>
              <w:fldChar w:fldCharType="separate"/>
            </w:r>
            <w:r w:rsidR="000328DE">
              <w:rPr>
                <w:noProof/>
                <w:webHidden/>
                <w:sz w:val="22"/>
                <w:szCs w:val="22"/>
              </w:rPr>
              <w:t>17</w:t>
            </w:r>
            <w:r w:rsidRPr="006F1E41">
              <w:rPr>
                <w:noProof/>
                <w:webHidden/>
                <w:sz w:val="22"/>
                <w:szCs w:val="22"/>
              </w:rPr>
              <w:fldChar w:fldCharType="end"/>
            </w:r>
          </w:hyperlink>
        </w:p>
        <w:p w14:paraId="66464B17" w14:textId="08CEF86D" w:rsidR="006F1E41" w:rsidRPr="006F1E41" w:rsidRDefault="006F1E41">
          <w:pPr>
            <w:pStyle w:val="TOC2"/>
            <w:tabs>
              <w:tab w:val="right" w:leader="dot" w:pos="9016"/>
            </w:tabs>
            <w:rPr>
              <w:noProof/>
              <w:sz w:val="22"/>
              <w:szCs w:val="22"/>
            </w:rPr>
          </w:pPr>
          <w:hyperlink w:anchor="_Toc220447448" w:history="1">
            <w:r w:rsidRPr="006F1E41">
              <w:rPr>
                <w:rStyle w:val="Hyperlink"/>
                <w:noProof/>
                <w:sz w:val="22"/>
                <w:szCs w:val="22"/>
              </w:rPr>
              <w:t>3.1 Introduction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_Toc220447448 \h </w:instrText>
            </w:r>
            <w:r w:rsidRPr="006F1E41">
              <w:rPr>
                <w:noProof/>
                <w:webHidden/>
                <w:sz w:val="22"/>
                <w:szCs w:val="22"/>
              </w:rPr>
            </w:r>
            <w:r w:rsidRPr="006F1E41">
              <w:rPr>
                <w:noProof/>
                <w:webHidden/>
                <w:sz w:val="22"/>
                <w:szCs w:val="22"/>
              </w:rPr>
              <w:fldChar w:fldCharType="separate"/>
            </w:r>
            <w:r w:rsidR="000328DE">
              <w:rPr>
                <w:noProof/>
                <w:webHidden/>
                <w:sz w:val="22"/>
                <w:szCs w:val="22"/>
              </w:rPr>
              <w:t>17</w:t>
            </w:r>
            <w:r w:rsidRPr="006F1E41">
              <w:rPr>
                <w:noProof/>
                <w:webHidden/>
                <w:sz w:val="22"/>
                <w:szCs w:val="22"/>
              </w:rPr>
              <w:fldChar w:fldCharType="end"/>
            </w:r>
          </w:hyperlink>
        </w:p>
        <w:p w14:paraId="31BB995B" w14:textId="02CFCFFC" w:rsidR="006F1E41" w:rsidRPr="006F1E41" w:rsidRDefault="006F1E41">
          <w:pPr>
            <w:pStyle w:val="TOC2"/>
            <w:tabs>
              <w:tab w:val="right" w:leader="dot" w:pos="9016"/>
            </w:tabs>
            <w:rPr>
              <w:noProof/>
              <w:sz w:val="22"/>
              <w:szCs w:val="22"/>
            </w:rPr>
          </w:pPr>
          <w:hyperlink w:anchor="_Toc220447449" w:history="1">
            <w:r w:rsidRPr="006F1E41">
              <w:rPr>
                <w:rStyle w:val="Hyperlink"/>
                <w:noProof/>
                <w:sz w:val="22"/>
                <w:szCs w:val="22"/>
              </w:rPr>
              <w:t>3.2 Search Strategy</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_Toc220447449 \h </w:instrText>
            </w:r>
            <w:r w:rsidRPr="006F1E41">
              <w:rPr>
                <w:noProof/>
                <w:webHidden/>
                <w:sz w:val="22"/>
                <w:szCs w:val="22"/>
              </w:rPr>
            </w:r>
            <w:r w:rsidRPr="006F1E41">
              <w:rPr>
                <w:noProof/>
                <w:webHidden/>
                <w:sz w:val="22"/>
                <w:szCs w:val="22"/>
              </w:rPr>
              <w:fldChar w:fldCharType="separate"/>
            </w:r>
            <w:r w:rsidR="000328DE">
              <w:rPr>
                <w:noProof/>
                <w:webHidden/>
                <w:sz w:val="22"/>
                <w:szCs w:val="22"/>
              </w:rPr>
              <w:t>17</w:t>
            </w:r>
            <w:r w:rsidRPr="006F1E41">
              <w:rPr>
                <w:noProof/>
                <w:webHidden/>
                <w:sz w:val="22"/>
                <w:szCs w:val="22"/>
              </w:rPr>
              <w:fldChar w:fldCharType="end"/>
            </w:r>
          </w:hyperlink>
        </w:p>
        <w:p w14:paraId="04F71666" w14:textId="0BDE5BCC" w:rsidR="006F1E41" w:rsidRPr="006F1E41" w:rsidRDefault="006F1E41">
          <w:pPr>
            <w:pStyle w:val="TOC2"/>
            <w:tabs>
              <w:tab w:val="right" w:leader="dot" w:pos="9016"/>
            </w:tabs>
            <w:rPr>
              <w:noProof/>
              <w:sz w:val="22"/>
              <w:szCs w:val="22"/>
            </w:rPr>
          </w:pPr>
          <w:hyperlink w:anchor="_Toc220447450" w:history="1">
            <w:r w:rsidRPr="006F1E41">
              <w:rPr>
                <w:rStyle w:val="Hyperlink"/>
                <w:noProof/>
                <w:sz w:val="22"/>
                <w:szCs w:val="22"/>
              </w:rPr>
              <w:t>3.3 Searching for Information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_Toc220447450 \h </w:instrText>
            </w:r>
            <w:r w:rsidRPr="006F1E41">
              <w:rPr>
                <w:noProof/>
                <w:webHidden/>
                <w:sz w:val="22"/>
                <w:szCs w:val="22"/>
              </w:rPr>
            </w:r>
            <w:r w:rsidRPr="006F1E41">
              <w:rPr>
                <w:noProof/>
                <w:webHidden/>
                <w:sz w:val="22"/>
                <w:szCs w:val="22"/>
              </w:rPr>
              <w:fldChar w:fldCharType="separate"/>
            </w:r>
            <w:r w:rsidR="000328DE">
              <w:rPr>
                <w:noProof/>
                <w:webHidden/>
                <w:sz w:val="22"/>
                <w:szCs w:val="22"/>
              </w:rPr>
              <w:t>17</w:t>
            </w:r>
            <w:r w:rsidRPr="006F1E41">
              <w:rPr>
                <w:noProof/>
                <w:webHidden/>
                <w:sz w:val="22"/>
                <w:szCs w:val="22"/>
              </w:rPr>
              <w:fldChar w:fldCharType="end"/>
            </w:r>
          </w:hyperlink>
        </w:p>
        <w:p w14:paraId="1622EE78" w14:textId="470302F9" w:rsidR="006F1E41" w:rsidRPr="006F1E41" w:rsidRDefault="006F1E41">
          <w:pPr>
            <w:pStyle w:val="TOC2"/>
            <w:tabs>
              <w:tab w:val="right" w:leader="dot" w:pos="9016"/>
            </w:tabs>
            <w:rPr>
              <w:noProof/>
              <w:sz w:val="22"/>
              <w:szCs w:val="22"/>
            </w:rPr>
          </w:pPr>
          <w:hyperlink w:anchor="_Toc220447451" w:history="1">
            <w:r w:rsidRPr="006F1E41">
              <w:rPr>
                <w:rStyle w:val="Hyperlink"/>
                <w:noProof/>
                <w:sz w:val="22"/>
                <w:szCs w:val="22"/>
              </w:rPr>
              <w:t>3.4 Research Validation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_Toc220447451 \h </w:instrText>
            </w:r>
            <w:r w:rsidRPr="006F1E41">
              <w:rPr>
                <w:noProof/>
                <w:webHidden/>
                <w:sz w:val="22"/>
                <w:szCs w:val="22"/>
              </w:rPr>
            </w:r>
            <w:r w:rsidRPr="006F1E41">
              <w:rPr>
                <w:noProof/>
                <w:webHidden/>
                <w:sz w:val="22"/>
                <w:szCs w:val="22"/>
              </w:rPr>
              <w:fldChar w:fldCharType="separate"/>
            </w:r>
            <w:r w:rsidR="000328DE">
              <w:rPr>
                <w:noProof/>
                <w:webHidden/>
                <w:sz w:val="22"/>
                <w:szCs w:val="22"/>
              </w:rPr>
              <w:t>18</w:t>
            </w:r>
            <w:r w:rsidRPr="006F1E41">
              <w:rPr>
                <w:noProof/>
                <w:webHidden/>
                <w:sz w:val="22"/>
                <w:szCs w:val="22"/>
              </w:rPr>
              <w:fldChar w:fldCharType="end"/>
            </w:r>
          </w:hyperlink>
        </w:p>
        <w:p w14:paraId="552339E6" w14:textId="66920736" w:rsidR="006F1E41" w:rsidRPr="006F1E41" w:rsidRDefault="006F1E41">
          <w:pPr>
            <w:pStyle w:val="TOC2"/>
            <w:tabs>
              <w:tab w:val="right" w:leader="dot" w:pos="9016"/>
            </w:tabs>
            <w:rPr>
              <w:noProof/>
              <w:sz w:val="22"/>
              <w:szCs w:val="22"/>
            </w:rPr>
          </w:pPr>
          <w:hyperlink w:anchor="_Toc220447452" w:history="1">
            <w:r w:rsidRPr="006F1E41">
              <w:rPr>
                <w:rStyle w:val="Hyperlink"/>
                <w:noProof/>
                <w:sz w:val="22"/>
                <w:szCs w:val="22"/>
              </w:rPr>
              <w:t>3.5 Inclusion and Exclusion Criteria</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_Toc220447452 \h </w:instrText>
            </w:r>
            <w:r w:rsidRPr="006F1E41">
              <w:rPr>
                <w:noProof/>
                <w:webHidden/>
                <w:sz w:val="22"/>
                <w:szCs w:val="22"/>
              </w:rPr>
            </w:r>
            <w:r w:rsidRPr="006F1E41">
              <w:rPr>
                <w:noProof/>
                <w:webHidden/>
                <w:sz w:val="22"/>
                <w:szCs w:val="22"/>
              </w:rPr>
              <w:fldChar w:fldCharType="separate"/>
            </w:r>
            <w:r w:rsidR="000328DE">
              <w:rPr>
                <w:noProof/>
                <w:webHidden/>
                <w:sz w:val="22"/>
                <w:szCs w:val="22"/>
              </w:rPr>
              <w:t>18</w:t>
            </w:r>
            <w:r w:rsidRPr="006F1E41">
              <w:rPr>
                <w:noProof/>
                <w:webHidden/>
                <w:sz w:val="22"/>
                <w:szCs w:val="22"/>
              </w:rPr>
              <w:fldChar w:fldCharType="end"/>
            </w:r>
          </w:hyperlink>
        </w:p>
        <w:p w14:paraId="43711142" w14:textId="1FDF1455" w:rsidR="006F1E41" w:rsidRPr="006F1E41" w:rsidRDefault="006F1E41">
          <w:pPr>
            <w:pStyle w:val="TOC2"/>
            <w:tabs>
              <w:tab w:val="right" w:leader="dot" w:pos="9016"/>
            </w:tabs>
            <w:rPr>
              <w:noProof/>
              <w:sz w:val="22"/>
              <w:szCs w:val="22"/>
            </w:rPr>
          </w:pPr>
          <w:hyperlink w:anchor="_Toc220447453" w:history="1">
            <w:r w:rsidRPr="006F1E41">
              <w:rPr>
                <w:rStyle w:val="Hyperlink"/>
                <w:noProof/>
                <w:sz w:val="22"/>
                <w:szCs w:val="22"/>
              </w:rPr>
              <w:t>3.6 Analysing Research</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_Toc220447453 \h </w:instrText>
            </w:r>
            <w:r w:rsidRPr="006F1E41">
              <w:rPr>
                <w:noProof/>
                <w:webHidden/>
                <w:sz w:val="22"/>
                <w:szCs w:val="22"/>
              </w:rPr>
            </w:r>
            <w:r w:rsidRPr="006F1E41">
              <w:rPr>
                <w:noProof/>
                <w:webHidden/>
                <w:sz w:val="22"/>
                <w:szCs w:val="22"/>
              </w:rPr>
              <w:fldChar w:fldCharType="separate"/>
            </w:r>
            <w:r w:rsidR="000328DE">
              <w:rPr>
                <w:noProof/>
                <w:webHidden/>
                <w:sz w:val="22"/>
                <w:szCs w:val="22"/>
              </w:rPr>
              <w:t>19</w:t>
            </w:r>
            <w:r w:rsidRPr="006F1E41">
              <w:rPr>
                <w:noProof/>
                <w:webHidden/>
                <w:sz w:val="22"/>
                <w:szCs w:val="22"/>
              </w:rPr>
              <w:fldChar w:fldCharType="end"/>
            </w:r>
          </w:hyperlink>
        </w:p>
        <w:p w14:paraId="63AFEF9C" w14:textId="5ED44DDE" w:rsidR="006F1E41" w:rsidRPr="006F1E41" w:rsidRDefault="006F1E41">
          <w:pPr>
            <w:pStyle w:val="TOC2"/>
            <w:tabs>
              <w:tab w:val="right" w:leader="dot" w:pos="9016"/>
            </w:tabs>
            <w:rPr>
              <w:noProof/>
              <w:sz w:val="22"/>
              <w:szCs w:val="22"/>
            </w:rPr>
          </w:pPr>
          <w:hyperlink w:anchor="_Toc220447454" w:history="1">
            <w:r w:rsidRPr="006F1E41">
              <w:rPr>
                <w:rStyle w:val="Hyperlink"/>
                <w:noProof/>
                <w:sz w:val="22"/>
                <w:szCs w:val="22"/>
              </w:rPr>
              <w:t>3.7 Ethical Considerations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_Toc220447454 \h </w:instrText>
            </w:r>
            <w:r w:rsidRPr="006F1E41">
              <w:rPr>
                <w:noProof/>
                <w:webHidden/>
                <w:sz w:val="22"/>
                <w:szCs w:val="22"/>
              </w:rPr>
            </w:r>
            <w:r w:rsidRPr="006F1E41">
              <w:rPr>
                <w:noProof/>
                <w:webHidden/>
                <w:sz w:val="22"/>
                <w:szCs w:val="22"/>
              </w:rPr>
              <w:fldChar w:fldCharType="separate"/>
            </w:r>
            <w:r w:rsidR="000328DE">
              <w:rPr>
                <w:noProof/>
                <w:webHidden/>
                <w:sz w:val="22"/>
                <w:szCs w:val="22"/>
              </w:rPr>
              <w:t>19</w:t>
            </w:r>
            <w:r w:rsidRPr="006F1E41">
              <w:rPr>
                <w:noProof/>
                <w:webHidden/>
                <w:sz w:val="22"/>
                <w:szCs w:val="22"/>
              </w:rPr>
              <w:fldChar w:fldCharType="end"/>
            </w:r>
          </w:hyperlink>
        </w:p>
        <w:p w14:paraId="6F881D51" w14:textId="77AA2A68" w:rsidR="006F1E41" w:rsidRPr="006F1E41" w:rsidRDefault="006F1E41">
          <w:pPr>
            <w:pStyle w:val="TOC2"/>
            <w:tabs>
              <w:tab w:val="right" w:leader="dot" w:pos="9016"/>
            </w:tabs>
            <w:rPr>
              <w:noProof/>
              <w:sz w:val="22"/>
              <w:szCs w:val="22"/>
            </w:rPr>
          </w:pPr>
          <w:hyperlink w:anchor="_Toc220447455" w:history="1">
            <w:r w:rsidRPr="006F1E41">
              <w:rPr>
                <w:rStyle w:val="Hyperlink"/>
                <w:noProof/>
                <w:sz w:val="22"/>
                <w:szCs w:val="22"/>
              </w:rPr>
              <w:t>3.8 Chapter Conclusion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_Toc220447455 \h </w:instrText>
            </w:r>
            <w:r w:rsidRPr="006F1E41">
              <w:rPr>
                <w:noProof/>
                <w:webHidden/>
                <w:sz w:val="22"/>
                <w:szCs w:val="22"/>
              </w:rPr>
            </w:r>
            <w:r w:rsidRPr="006F1E41">
              <w:rPr>
                <w:noProof/>
                <w:webHidden/>
                <w:sz w:val="22"/>
                <w:szCs w:val="22"/>
              </w:rPr>
              <w:fldChar w:fldCharType="separate"/>
            </w:r>
            <w:r w:rsidR="000328DE">
              <w:rPr>
                <w:noProof/>
                <w:webHidden/>
                <w:sz w:val="22"/>
                <w:szCs w:val="22"/>
              </w:rPr>
              <w:t>19</w:t>
            </w:r>
            <w:r w:rsidRPr="006F1E41">
              <w:rPr>
                <w:noProof/>
                <w:webHidden/>
                <w:sz w:val="22"/>
                <w:szCs w:val="22"/>
              </w:rPr>
              <w:fldChar w:fldCharType="end"/>
            </w:r>
          </w:hyperlink>
        </w:p>
        <w:p w14:paraId="53D9B0F9" w14:textId="1DDCB578" w:rsidR="006F1E41" w:rsidRPr="006F1E41" w:rsidRDefault="006F1E41">
          <w:pPr>
            <w:pStyle w:val="TOC1"/>
            <w:tabs>
              <w:tab w:val="right" w:leader="dot" w:pos="9016"/>
            </w:tabs>
            <w:rPr>
              <w:noProof/>
              <w:sz w:val="22"/>
              <w:szCs w:val="22"/>
            </w:rPr>
          </w:pPr>
          <w:hyperlink w:anchor="_Toc220447456" w:history="1">
            <w:r w:rsidRPr="006F1E41">
              <w:rPr>
                <w:rStyle w:val="Hyperlink"/>
                <w:noProof/>
                <w:sz w:val="22"/>
                <w:szCs w:val="22"/>
              </w:rPr>
              <w:t>CHAPTER 4: Findings and Discussion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_Toc220447456 \h </w:instrText>
            </w:r>
            <w:r w:rsidRPr="006F1E41">
              <w:rPr>
                <w:noProof/>
                <w:webHidden/>
                <w:sz w:val="22"/>
                <w:szCs w:val="22"/>
              </w:rPr>
            </w:r>
            <w:r w:rsidRPr="006F1E41">
              <w:rPr>
                <w:noProof/>
                <w:webHidden/>
                <w:sz w:val="22"/>
                <w:szCs w:val="22"/>
              </w:rPr>
              <w:fldChar w:fldCharType="separate"/>
            </w:r>
            <w:r w:rsidR="000328DE">
              <w:rPr>
                <w:noProof/>
                <w:webHidden/>
                <w:sz w:val="22"/>
                <w:szCs w:val="22"/>
              </w:rPr>
              <w:t>20</w:t>
            </w:r>
            <w:r w:rsidRPr="006F1E41">
              <w:rPr>
                <w:noProof/>
                <w:webHidden/>
                <w:sz w:val="22"/>
                <w:szCs w:val="22"/>
              </w:rPr>
              <w:fldChar w:fldCharType="end"/>
            </w:r>
          </w:hyperlink>
        </w:p>
        <w:p w14:paraId="616726BC" w14:textId="74C9354D" w:rsidR="006F1E41" w:rsidRPr="006F1E41" w:rsidRDefault="006F1E41">
          <w:pPr>
            <w:pStyle w:val="TOC2"/>
            <w:tabs>
              <w:tab w:val="right" w:leader="dot" w:pos="9016"/>
            </w:tabs>
            <w:rPr>
              <w:noProof/>
              <w:sz w:val="22"/>
              <w:szCs w:val="22"/>
            </w:rPr>
          </w:pPr>
          <w:hyperlink w:anchor="_Toc220447457" w:history="1">
            <w:r w:rsidRPr="006F1E41">
              <w:rPr>
                <w:rStyle w:val="Hyperlink"/>
                <w:noProof/>
                <w:sz w:val="22"/>
                <w:szCs w:val="22"/>
              </w:rPr>
              <w:t>4.1. Introduction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_Toc220447457 \h </w:instrText>
            </w:r>
            <w:r w:rsidRPr="006F1E41">
              <w:rPr>
                <w:noProof/>
                <w:webHidden/>
                <w:sz w:val="22"/>
                <w:szCs w:val="22"/>
              </w:rPr>
            </w:r>
            <w:r w:rsidRPr="006F1E41">
              <w:rPr>
                <w:noProof/>
                <w:webHidden/>
                <w:sz w:val="22"/>
                <w:szCs w:val="22"/>
              </w:rPr>
              <w:fldChar w:fldCharType="separate"/>
            </w:r>
            <w:r w:rsidR="000328DE">
              <w:rPr>
                <w:noProof/>
                <w:webHidden/>
                <w:sz w:val="22"/>
                <w:szCs w:val="22"/>
              </w:rPr>
              <w:t>20</w:t>
            </w:r>
            <w:r w:rsidRPr="006F1E41">
              <w:rPr>
                <w:noProof/>
                <w:webHidden/>
                <w:sz w:val="22"/>
                <w:szCs w:val="22"/>
              </w:rPr>
              <w:fldChar w:fldCharType="end"/>
            </w:r>
          </w:hyperlink>
        </w:p>
        <w:p w14:paraId="4D45D1D0" w14:textId="5CA45C69" w:rsidR="006F1E41" w:rsidRPr="006F1E41" w:rsidRDefault="006F1E41">
          <w:pPr>
            <w:pStyle w:val="TOC2"/>
            <w:tabs>
              <w:tab w:val="right" w:leader="dot" w:pos="9016"/>
            </w:tabs>
            <w:rPr>
              <w:noProof/>
              <w:sz w:val="22"/>
              <w:szCs w:val="22"/>
            </w:rPr>
          </w:pPr>
          <w:hyperlink w:anchor="_Toc220447458" w:history="1">
            <w:r w:rsidRPr="006F1E41">
              <w:rPr>
                <w:rStyle w:val="Hyperlink"/>
                <w:noProof/>
                <w:sz w:val="22"/>
                <w:szCs w:val="22"/>
              </w:rPr>
              <w:t>4.2 Thematic Analysis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_Toc220447458 \h </w:instrText>
            </w:r>
            <w:r w:rsidRPr="006F1E41">
              <w:rPr>
                <w:noProof/>
                <w:webHidden/>
                <w:sz w:val="22"/>
                <w:szCs w:val="22"/>
              </w:rPr>
            </w:r>
            <w:r w:rsidRPr="006F1E41">
              <w:rPr>
                <w:noProof/>
                <w:webHidden/>
                <w:sz w:val="22"/>
                <w:szCs w:val="22"/>
              </w:rPr>
              <w:fldChar w:fldCharType="separate"/>
            </w:r>
            <w:r w:rsidR="000328DE">
              <w:rPr>
                <w:noProof/>
                <w:webHidden/>
                <w:sz w:val="22"/>
                <w:szCs w:val="22"/>
              </w:rPr>
              <w:t>20</w:t>
            </w:r>
            <w:r w:rsidRPr="006F1E41">
              <w:rPr>
                <w:noProof/>
                <w:webHidden/>
                <w:sz w:val="22"/>
                <w:szCs w:val="22"/>
              </w:rPr>
              <w:fldChar w:fldCharType="end"/>
            </w:r>
          </w:hyperlink>
        </w:p>
        <w:p w14:paraId="0A8EF866" w14:textId="6FA7644E" w:rsidR="006F1E41" w:rsidRPr="006F1E41" w:rsidRDefault="006F1E41">
          <w:pPr>
            <w:pStyle w:val="TOC2"/>
            <w:tabs>
              <w:tab w:val="right" w:leader="dot" w:pos="9016"/>
            </w:tabs>
            <w:rPr>
              <w:noProof/>
              <w:sz w:val="22"/>
              <w:szCs w:val="22"/>
            </w:rPr>
          </w:pPr>
          <w:hyperlink w:anchor="_Toc220447459" w:history="1">
            <w:r w:rsidRPr="006F1E41">
              <w:rPr>
                <w:rStyle w:val="Hyperlink"/>
                <w:b/>
                <w:bCs/>
                <w:noProof/>
                <w:sz w:val="22"/>
                <w:szCs w:val="22"/>
              </w:rPr>
              <w:t>Theme 1: Socioeconomic Status as a Determinant of Access to Health and Social Care</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_Toc220447459 \h </w:instrText>
            </w:r>
            <w:r w:rsidRPr="006F1E41">
              <w:rPr>
                <w:noProof/>
                <w:webHidden/>
                <w:sz w:val="22"/>
                <w:szCs w:val="22"/>
              </w:rPr>
            </w:r>
            <w:r w:rsidRPr="006F1E41">
              <w:rPr>
                <w:noProof/>
                <w:webHidden/>
                <w:sz w:val="22"/>
                <w:szCs w:val="22"/>
              </w:rPr>
              <w:fldChar w:fldCharType="separate"/>
            </w:r>
            <w:r w:rsidR="000328DE">
              <w:rPr>
                <w:noProof/>
                <w:webHidden/>
                <w:sz w:val="22"/>
                <w:szCs w:val="22"/>
              </w:rPr>
              <w:t>21</w:t>
            </w:r>
            <w:r w:rsidRPr="006F1E41">
              <w:rPr>
                <w:noProof/>
                <w:webHidden/>
                <w:sz w:val="22"/>
                <w:szCs w:val="22"/>
              </w:rPr>
              <w:fldChar w:fldCharType="end"/>
            </w:r>
          </w:hyperlink>
        </w:p>
        <w:p w14:paraId="29DC20BF" w14:textId="77A35D80" w:rsidR="006F1E41" w:rsidRPr="006F1E41" w:rsidRDefault="006F1E41">
          <w:pPr>
            <w:pStyle w:val="TOC2"/>
            <w:tabs>
              <w:tab w:val="right" w:leader="dot" w:pos="9016"/>
            </w:tabs>
            <w:rPr>
              <w:noProof/>
              <w:sz w:val="22"/>
              <w:szCs w:val="22"/>
            </w:rPr>
          </w:pPr>
          <w:hyperlink w:anchor="_Toc220447460" w:history="1">
            <w:r w:rsidRPr="006F1E41">
              <w:rPr>
                <w:rStyle w:val="Hyperlink"/>
                <w:b/>
                <w:bCs/>
                <w:noProof/>
                <w:sz w:val="22"/>
                <w:szCs w:val="22"/>
              </w:rPr>
              <w:t>Theme 2: Urban–rural inequalities in health and social care provision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_Toc220447460 \h </w:instrText>
            </w:r>
            <w:r w:rsidRPr="006F1E41">
              <w:rPr>
                <w:noProof/>
                <w:webHidden/>
                <w:sz w:val="22"/>
                <w:szCs w:val="22"/>
              </w:rPr>
            </w:r>
            <w:r w:rsidRPr="006F1E41">
              <w:rPr>
                <w:noProof/>
                <w:webHidden/>
                <w:sz w:val="22"/>
                <w:szCs w:val="22"/>
              </w:rPr>
              <w:fldChar w:fldCharType="separate"/>
            </w:r>
            <w:r w:rsidR="000328DE">
              <w:rPr>
                <w:noProof/>
                <w:webHidden/>
                <w:sz w:val="22"/>
                <w:szCs w:val="22"/>
              </w:rPr>
              <w:t>21</w:t>
            </w:r>
            <w:r w:rsidRPr="006F1E41">
              <w:rPr>
                <w:noProof/>
                <w:webHidden/>
                <w:sz w:val="22"/>
                <w:szCs w:val="22"/>
              </w:rPr>
              <w:fldChar w:fldCharType="end"/>
            </w:r>
          </w:hyperlink>
        </w:p>
        <w:p w14:paraId="7CE101FF" w14:textId="2ADBA317" w:rsidR="006F1E41" w:rsidRPr="006F1E41" w:rsidRDefault="006F1E41">
          <w:pPr>
            <w:pStyle w:val="TOC2"/>
            <w:tabs>
              <w:tab w:val="right" w:leader="dot" w:pos="9016"/>
            </w:tabs>
            <w:rPr>
              <w:noProof/>
              <w:sz w:val="22"/>
              <w:szCs w:val="22"/>
            </w:rPr>
          </w:pPr>
          <w:hyperlink w:anchor="_Toc220447461" w:history="1">
            <w:r w:rsidRPr="006F1E41">
              <w:rPr>
                <w:rStyle w:val="Hyperlink"/>
                <w:b/>
                <w:bCs/>
                <w:noProof/>
                <w:sz w:val="22"/>
                <w:szCs w:val="22"/>
              </w:rPr>
              <w:t>Theme 3: Socioeconomic barriers to health and social care utilisation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_Toc220447461 \h </w:instrText>
            </w:r>
            <w:r w:rsidRPr="006F1E41">
              <w:rPr>
                <w:noProof/>
                <w:webHidden/>
                <w:sz w:val="22"/>
                <w:szCs w:val="22"/>
              </w:rPr>
            </w:r>
            <w:r w:rsidRPr="006F1E41">
              <w:rPr>
                <w:noProof/>
                <w:webHidden/>
                <w:sz w:val="22"/>
                <w:szCs w:val="22"/>
              </w:rPr>
              <w:fldChar w:fldCharType="separate"/>
            </w:r>
            <w:r w:rsidR="000328DE">
              <w:rPr>
                <w:noProof/>
                <w:webHidden/>
                <w:sz w:val="22"/>
                <w:szCs w:val="22"/>
              </w:rPr>
              <w:t>21</w:t>
            </w:r>
            <w:r w:rsidRPr="006F1E41">
              <w:rPr>
                <w:noProof/>
                <w:webHidden/>
                <w:sz w:val="22"/>
                <w:szCs w:val="22"/>
              </w:rPr>
              <w:fldChar w:fldCharType="end"/>
            </w:r>
          </w:hyperlink>
        </w:p>
        <w:p w14:paraId="5F167FD5" w14:textId="434BE6C8" w:rsidR="006F1E41" w:rsidRPr="006F1E41" w:rsidRDefault="006F1E41">
          <w:pPr>
            <w:pStyle w:val="TOC2"/>
            <w:tabs>
              <w:tab w:val="right" w:leader="dot" w:pos="9016"/>
            </w:tabs>
            <w:rPr>
              <w:noProof/>
              <w:sz w:val="22"/>
              <w:szCs w:val="22"/>
            </w:rPr>
          </w:pPr>
          <w:hyperlink w:anchor="_Toc220447462" w:history="1">
            <w:r w:rsidRPr="006F1E41">
              <w:rPr>
                <w:rStyle w:val="Hyperlink"/>
                <w:noProof/>
                <w:sz w:val="22"/>
                <w:szCs w:val="22"/>
              </w:rPr>
              <w:t>4.3 Theme 1: Socioeconomic status as a determinant of access to health and social care</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_Toc220447462 \h </w:instrText>
            </w:r>
            <w:r w:rsidRPr="006F1E41">
              <w:rPr>
                <w:noProof/>
                <w:webHidden/>
                <w:sz w:val="22"/>
                <w:szCs w:val="22"/>
              </w:rPr>
            </w:r>
            <w:r w:rsidRPr="006F1E41">
              <w:rPr>
                <w:noProof/>
                <w:webHidden/>
                <w:sz w:val="22"/>
                <w:szCs w:val="22"/>
              </w:rPr>
              <w:fldChar w:fldCharType="separate"/>
            </w:r>
            <w:r w:rsidR="000328DE">
              <w:rPr>
                <w:noProof/>
                <w:webHidden/>
                <w:sz w:val="22"/>
                <w:szCs w:val="22"/>
              </w:rPr>
              <w:t>22</w:t>
            </w:r>
            <w:r w:rsidRPr="006F1E41">
              <w:rPr>
                <w:noProof/>
                <w:webHidden/>
                <w:sz w:val="22"/>
                <w:szCs w:val="22"/>
              </w:rPr>
              <w:fldChar w:fldCharType="end"/>
            </w:r>
          </w:hyperlink>
        </w:p>
        <w:p w14:paraId="7D32F34E" w14:textId="4B7F797E" w:rsidR="006F1E41" w:rsidRPr="006F1E41" w:rsidRDefault="006F1E41">
          <w:pPr>
            <w:pStyle w:val="TOC2"/>
            <w:tabs>
              <w:tab w:val="right" w:leader="dot" w:pos="9016"/>
            </w:tabs>
            <w:rPr>
              <w:noProof/>
              <w:sz w:val="22"/>
              <w:szCs w:val="22"/>
            </w:rPr>
          </w:pPr>
          <w:hyperlink w:anchor="_Toc220447463" w:history="1">
            <w:r w:rsidRPr="006F1E41">
              <w:rPr>
                <w:rStyle w:val="Hyperlink"/>
                <w:noProof/>
                <w:sz w:val="22"/>
                <w:szCs w:val="22"/>
              </w:rPr>
              <w:t>4.4 Theme 2: Urban Rural Inequalities in Health and Social Care Provision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_Toc220447463 \h </w:instrText>
            </w:r>
            <w:r w:rsidRPr="006F1E41">
              <w:rPr>
                <w:noProof/>
                <w:webHidden/>
                <w:sz w:val="22"/>
                <w:szCs w:val="22"/>
              </w:rPr>
            </w:r>
            <w:r w:rsidRPr="006F1E41">
              <w:rPr>
                <w:noProof/>
                <w:webHidden/>
                <w:sz w:val="22"/>
                <w:szCs w:val="22"/>
              </w:rPr>
              <w:fldChar w:fldCharType="separate"/>
            </w:r>
            <w:r w:rsidR="000328DE">
              <w:rPr>
                <w:noProof/>
                <w:webHidden/>
                <w:sz w:val="22"/>
                <w:szCs w:val="22"/>
              </w:rPr>
              <w:t>25</w:t>
            </w:r>
            <w:r w:rsidRPr="006F1E41">
              <w:rPr>
                <w:noProof/>
                <w:webHidden/>
                <w:sz w:val="22"/>
                <w:szCs w:val="22"/>
              </w:rPr>
              <w:fldChar w:fldCharType="end"/>
            </w:r>
          </w:hyperlink>
        </w:p>
        <w:p w14:paraId="26ACEAE1" w14:textId="579B9467" w:rsidR="006F1E41" w:rsidRPr="006F1E41" w:rsidRDefault="006F1E41">
          <w:pPr>
            <w:pStyle w:val="TOC2"/>
            <w:tabs>
              <w:tab w:val="right" w:leader="dot" w:pos="9016"/>
            </w:tabs>
            <w:rPr>
              <w:noProof/>
              <w:sz w:val="22"/>
              <w:szCs w:val="22"/>
            </w:rPr>
          </w:pPr>
          <w:hyperlink w:anchor="_Toc220447464" w:history="1">
            <w:r w:rsidRPr="006F1E41">
              <w:rPr>
                <w:rStyle w:val="Hyperlink"/>
                <w:noProof/>
                <w:sz w:val="22"/>
                <w:szCs w:val="22"/>
              </w:rPr>
              <w:t>4.5 Theme 3: Socioeconomic barriers to health and social care utilisation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_Toc220447464 \h </w:instrText>
            </w:r>
            <w:r w:rsidRPr="006F1E41">
              <w:rPr>
                <w:noProof/>
                <w:webHidden/>
                <w:sz w:val="22"/>
                <w:szCs w:val="22"/>
              </w:rPr>
            </w:r>
            <w:r w:rsidRPr="006F1E41">
              <w:rPr>
                <w:noProof/>
                <w:webHidden/>
                <w:sz w:val="22"/>
                <w:szCs w:val="22"/>
              </w:rPr>
              <w:fldChar w:fldCharType="separate"/>
            </w:r>
            <w:r w:rsidR="000328DE">
              <w:rPr>
                <w:noProof/>
                <w:webHidden/>
                <w:sz w:val="22"/>
                <w:szCs w:val="22"/>
              </w:rPr>
              <w:t>28</w:t>
            </w:r>
            <w:r w:rsidRPr="006F1E41">
              <w:rPr>
                <w:noProof/>
                <w:webHidden/>
                <w:sz w:val="22"/>
                <w:szCs w:val="22"/>
              </w:rPr>
              <w:fldChar w:fldCharType="end"/>
            </w:r>
          </w:hyperlink>
        </w:p>
        <w:p w14:paraId="52BB70A9" w14:textId="3956665F" w:rsidR="006F1E41" w:rsidRPr="006F1E41" w:rsidRDefault="006F1E41">
          <w:pPr>
            <w:pStyle w:val="TOC2"/>
            <w:tabs>
              <w:tab w:val="right" w:leader="dot" w:pos="9016"/>
            </w:tabs>
            <w:rPr>
              <w:noProof/>
              <w:sz w:val="22"/>
              <w:szCs w:val="22"/>
            </w:rPr>
          </w:pPr>
          <w:hyperlink w:anchor="_Toc220447465" w:history="1">
            <w:r w:rsidRPr="006F1E41">
              <w:rPr>
                <w:rStyle w:val="Hyperlink"/>
                <w:noProof/>
                <w:sz w:val="22"/>
                <w:szCs w:val="22"/>
              </w:rPr>
              <w:t>4.6. Conclusion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_Toc220447465 \h </w:instrText>
            </w:r>
            <w:r w:rsidRPr="006F1E41">
              <w:rPr>
                <w:noProof/>
                <w:webHidden/>
                <w:sz w:val="22"/>
                <w:szCs w:val="22"/>
              </w:rPr>
            </w:r>
            <w:r w:rsidRPr="006F1E41">
              <w:rPr>
                <w:noProof/>
                <w:webHidden/>
                <w:sz w:val="22"/>
                <w:szCs w:val="22"/>
              </w:rPr>
              <w:fldChar w:fldCharType="separate"/>
            </w:r>
            <w:r w:rsidR="000328DE">
              <w:rPr>
                <w:noProof/>
                <w:webHidden/>
                <w:sz w:val="22"/>
                <w:szCs w:val="22"/>
              </w:rPr>
              <w:t>32</w:t>
            </w:r>
            <w:r w:rsidRPr="006F1E41">
              <w:rPr>
                <w:noProof/>
                <w:webHidden/>
                <w:sz w:val="22"/>
                <w:szCs w:val="22"/>
              </w:rPr>
              <w:fldChar w:fldCharType="end"/>
            </w:r>
          </w:hyperlink>
        </w:p>
        <w:p w14:paraId="7BDDE2B3" w14:textId="62001ADD" w:rsidR="006F1E41" w:rsidRPr="006F1E41" w:rsidRDefault="006F1E41">
          <w:pPr>
            <w:pStyle w:val="TOC1"/>
            <w:tabs>
              <w:tab w:val="right" w:leader="dot" w:pos="9016"/>
            </w:tabs>
            <w:rPr>
              <w:noProof/>
              <w:sz w:val="22"/>
              <w:szCs w:val="22"/>
            </w:rPr>
          </w:pPr>
          <w:hyperlink w:anchor="_Toc220447466" w:history="1">
            <w:r w:rsidRPr="006F1E41">
              <w:rPr>
                <w:rStyle w:val="Hyperlink"/>
                <w:noProof/>
                <w:sz w:val="22"/>
                <w:szCs w:val="22"/>
              </w:rPr>
              <w:t>CHAPTER 5: Conclusion and Recommendations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_Toc220447466 \h </w:instrText>
            </w:r>
            <w:r w:rsidRPr="006F1E41">
              <w:rPr>
                <w:noProof/>
                <w:webHidden/>
                <w:sz w:val="22"/>
                <w:szCs w:val="22"/>
              </w:rPr>
            </w:r>
            <w:r w:rsidRPr="006F1E41">
              <w:rPr>
                <w:noProof/>
                <w:webHidden/>
                <w:sz w:val="22"/>
                <w:szCs w:val="22"/>
              </w:rPr>
              <w:fldChar w:fldCharType="separate"/>
            </w:r>
            <w:r w:rsidR="000328DE">
              <w:rPr>
                <w:noProof/>
                <w:webHidden/>
                <w:sz w:val="22"/>
                <w:szCs w:val="22"/>
              </w:rPr>
              <w:t>33</w:t>
            </w:r>
            <w:r w:rsidRPr="006F1E41">
              <w:rPr>
                <w:noProof/>
                <w:webHidden/>
                <w:sz w:val="22"/>
                <w:szCs w:val="22"/>
              </w:rPr>
              <w:fldChar w:fldCharType="end"/>
            </w:r>
          </w:hyperlink>
        </w:p>
        <w:p w14:paraId="0A4EEF08" w14:textId="3D366D1E" w:rsidR="006F1E41" w:rsidRPr="006F1E41" w:rsidRDefault="006F1E41">
          <w:pPr>
            <w:pStyle w:val="TOC2"/>
            <w:tabs>
              <w:tab w:val="right" w:leader="dot" w:pos="9016"/>
            </w:tabs>
            <w:rPr>
              <w:noProof/>
              <w:sz w:val="22"/>
              <w:szCs w:val="22"/>
            </w:rPr>
          </w:pPr>
          <w:hyperlink w:anchor="_Toc220447467" w:history="1">
            <w:r w:rsidRPr="006F1E41">
              <w:rPr>
                <w:rStyle w:val="Hyperlink"/>
                <w:noProof/>
                <w:sz w:val="22"/>
                <w:szCs w:val="22"/>
              </w:rPr>
              <w:t>5.1. Overall Conclusion</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_Toc220447467 \h </w:instrText>
            </w:r>
            <w:r w:rsidRPr="006F1E41">
              <w:rPr>
                <w:noProof/>
                <w:webHidden/>
                <w:sz w:val="22"/>
                <w:szCs w:val="22"/>
              </w:rPr>
            </w:r>
            <w:r w:rsidRPr="006F1E41">
              <w:rPr>
                <w:noProof/>
                <w:webHidden/>
                <w:sz w:val="22"/>
                <w:szCs w:val="22"/>
              </w:rPr>
              <w:fldChar w:fldCharType="separate"/>
            </w:r>
            <w:r w:rsidR="000328DE">
              <w:rPr>
                <w:noProof/>
                <w:webHidden/>
                <w:sz w:val="22"/>
                <w:szCs w:val="22"/>
              </w:rPr>
              <w:t>33</w:t>
            </w:r>
            <w:r w:rsidRPr="006F1E41">
              <w:rPr>
                <w:noProof/>
                <w:webHidden/>
                <w:sz w:val="22"/>
                <w:szCs w:val="22"/>
              </w:rPr>
              <w:fldChar w:fldCharType="end"/>
            </w:r>
          </w:hyperlink>
        </w:p>
        <w:p w14:paraId="1134BF14" w14:textId="1680DCE7" w:rsidR="006F1E41" w:rsidRPr="006F1E41" w:rsidRDefault="006F1E41">
          <w:pPr>
            <w:pStyle w:val="TOC2"/>
            <w:tabs>
              <w:tab w:val="right" w:leader="dot" w:pos="9016"/>
            </w:tabs>
            <w:rPr>
              <w:noProof/>
              <w:sz w:val="22"/>
              <w:szCs w:val="22"/>
            </w:rPr>
          </w:pPr>
          <w:hyperlink w:anchor="_Toc220447468" w:history="1">
            <w:r w:rsidRPr="006F1E41">
              <w:rPr>
                <w:rStyle w:val="Hyperlink"/>
                <w:noProof/>
                <w:sz w:val="22"/>
                <w:szCs w:val="22"/>
              </w:rPr>
              <w:t>5.2 Recommendations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_Toc220447468 \h </w:instrText>
            </w:r>
            <w:r w:rsidRPr="006F1E41">
              <w:rPr>
                <w:noProof/>
                <w:webHidden/>
                <w:sz w:val="22"/>
                <w:szCs w:val="22"/>
              </w:rPr>
            </w:r>
            <w:r w:rsidRPr="006F1E41">
              <w:rPr>
                <w:noProof/>
                <w:webHidden/>
                <w:sz w:val="22"/>
                <w:szCs w:val="22"/>
              </w:rPr>
              <w:fldChar w:fldCharType="separate"/>
            </w:r>
            <w:r w:rsidR="000328DE">
              <w:rPr>
                <w:noProof/>
                <w:webHidden/>
                <w:sz w:val="22"/>
                <w:szCs w:val="22"/>
              </w:rPr>
              <w:t>33</w:t>
            </w:r>
            <w:r w:rsidRPr="006F1E41">
              <w:rPr>
                <w:noProof/>
                <w:webHidden/>
                <w:sz w:val="22"/>
                <w:szCs w:val="22"/>
              </w:rPr>
              <w:fldChar w:fldCharType="end"/>
            </w:r>
          </w:hyperlink>
        </w:p>
        <w:p w14:paraId="2F932C72" w14:textId="73021C53" w:rsidR="006F1E41" w:rsidRPr="006F1E41" w:rsidRDefault="006F1E41">
          <w:pPr>
            <w:pStyle w:val="TOC3"/>
            <w:tabs>
              <w:tab w:val="right" w:leader="dot" w:pos="9016"/>
            </w:tabs>
            <w:rPr>
              <w:noProof/>
              <w:sz w:val="22"/>
              <w:szCs w:val="22"/>
            </w:rPr>
          </w:pPr>
          <w:hyperlink w:anchor="_Toc220447469" w:history="1">
            <w:r w:rsidRPr="006F1E41">
              <w:rPr>
                <w:rStyle w:val="Hyperlink"/>
                <w:noProof/>
                <w:sz w:val="22"/>
                <w:szCs w:val="22"/>
              </w:rPr>
              <w:t>5.2.1 Recommendation 1: Embed socioeconomic sensitivity into service design and access pathways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_Toc220447469 \h </w:instrText>
            </w:r>
            <w:r w:rsidRPr="006F1E41">
              <w:rPr>
                <w:noProof/>
                <w:webHidden/>
                <w:sz w:val="22"/>
                <w:szCs w:val="22"/>
              </w:rPr>
            </w:r>
            <w:r w:rsidRPr="006F1E41">
              <w:rPr>
                <w:noProof/>
                <w:webHidden/>
                <w:sz w:val="22"/>
                <w:szCs w:val="22"/>
              </w:rPr>
              <w:fldChar w:fldCharType="separate"/>
            </w:r>
            <w:r w:rsidR="000328DE">
              <w:rPr>
                <w:noProof/>
                <w:webHidden/>
                <w:sz w:val="22"/>
                <w:szCs w:val="22"/>
              </w:rPr>
              <w:t>33</w:t>
            </w:r>
            <w:r w:rsidRPr="006F1E41">
              <w:rPr>
                <w:noProof/>
                <w:webHidden/>
                <w:sz w:val="22"/>
                <w:szCs w:val="22"/>
              </w:rPr>
              <w:fldChar w:fldCharType="end"/>
            </w:r>
          </w:hyperlink>
        </w:p>
        <w:p w14:paraId="3C1CE483" w14:textId="7A09D844" w:rsidR="006F1E41" w:rsidRPr="006F1E41" w:rsidRDefault="006F1E41">
          <w:pPr>
            <w:pStyle w:val="TOC3"/>
            <w:tabs>
              <w:tab w:val="right" w:leader="dot" w:pos="9016"/>
            </w:tabs>
            <w:rPr>
              <w:noProof/>
              <w:sz w:val="22"/>
              <w:szCs w:val="22"/>
            </w:rPr>
          </w:pPr>
          <w:hyperlink w:anchor="_Toc220447470" w:history="1">
            <w:r w:rsidRPr="006F1E41">
              <w:rPr>
                <w:rStyle w:val="Hyperlink"/>
                <w:noProof/>
                <w:sz w:val="22"/>
                <w:szCs w:val="22"/>
              </w:rPr>
              <w:t>5.2.2 Recommendation 2: Adopt place-based strategies to reduce urban and rural access gaps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_Toc220447470 \h </w:instrText>
            </w:r>
            <w:r w:rsidRPr="006F1E41">
              <w:rPr>
                <w:noProof/>
                <w:webHidden/>
                <w:sz w:val="22"/>
                <w:szCs w:val="22"/>
              </w:rPr>
            </w:r>
            <w:r w:rsidRPr="006F1E41">
              <w:rPr>
                <w:noProof/>
                <w:webHidden/>
                <w:sz w:val="22"/>
                <w:szCs w:val="22"/>
              </w:rPr>
              <w:fldChar w:fldCharType="separate"/>
            </w:r>
            <w:r w:rsidR="000328DE">
              <w:rPr>
                <w:noProof/>
                <w:webHidden/>
                <w:sz w:val="22"/>
                <w:szCs w:val="22"/>
              </w:rPr>
              <w:t>34</w:t>
            </w:r>
            <w:r w:rsidRPr="006F1E41">
              <w:rPr>
                <w:noProof/>
                <w:webHidden/>
                <w:sz w:val="22"/>
                <w:szCs w:val="22"/>
              </w:rPr>
              <w:fldChar w:fldCharType="end"/>
            </w:r>
          </w:hyperlink>
        </w:p>
        <w:p w14:paraId="3B7739ED" w14:textId="226478A7" w:rsidR="006F1E41" w:rsidRPr="006F1E41" w:rsidRDefault="006F1E41">
          <w:pPr>
            <w:pStyle w:val="TOC3"/>
            <w:tabs>
              <w:tab w:val="right" w:leader="dot" w:pos="9016"/>
            </w:tabs>
            <w:rPr>
              <w:noProof/>
              <w:sz w:val="22"/>
              <w:szCs w:val="22"/>
            </w:rPr>
          </w:pPr>
          <w:hyperlink w:anchor="_Toc220447471" w:history="1">
            <w:r w:rsidRPr="006F1E41">
              <w:rPr>
                <w:rStyle w:val="Hyperlink"/>
                <w:noProof/>
                <w:sz w:val="22"/>
                <w:szCs w:val="22"/>
              </w:rPr>
              <w:t>5.2.3 Recommendation 3: Reduce practical barriers to utilisation through targeted support</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_Toc220447471 \h </w:instrText>
            </w:r>
            <w:r w:rsidRPr="006F1E41">
              <w:rPr>
                <w:noProof/>
                <w:webHidden/>
                <w:sz w:val="22"/>
                <w:szCs w:val="22"/>
              </w:rPr>
            </w:r>
            <w:r w:rsidRPr="006F1E41">
              <w:rPr>
                <w:noProof/>
                <w:webHidden/>
                <w:sz w:val="22"/>
                <w:szCs w:val="22"/>
              </w:rPr>
              <w:fldChar w:fldCharType="separate"/>
            </w:r>
            <w:r w:rsidR="000328DE">
              <w:rPr>
                <w:noProof/>
                <w:webHidden/>
                <w:sz w:val="22"/>
                <w:szCs w:val="22"/>
              </w:rPr>
              <w:t>34</w:t>
            </w:r>
            <w:r w:rsidRPr="006F1E41">
              <w:rPr>
                <w:noProof/>
                <w:webHidden/>
                <w:sz w:val="22"/>
                <w:szCs w:val="22"/>
              </w:rPr>
              <w:fldChar w:fldCharType="end"/>
            </w:r>
          </w:hyperlink>
        </w:p>
        <w:p w14:paraId="67F605BF" w14:textId="4A38A072" w:rsidR="006F1E41" w:rsidRPr="006F1E41" w:rsidRDefault="006F1E41">
          <w:pPr>
            <w:pStyle w:val="TOC1"/>
            <w:tabs>
              <w:tab w:val="right" w:leader="dot" w:pos="9016"/>
            </w:tabs>
            <w:rPr>
              <w:noProof/>
              <w:sz w:val="22"/>
              <w:szCs w:val="22"/>
            </w:rPr>
          </w:pPr>
          <w:hyperlink w:anchor="_Toc220447472" w:history="1">
            <w:r w:rsidRPr="006F1E41">
              <w:rPr>
                <w:rStyle w:val="Hyperlink"/>
                <w:noProof/>
                <w:sz w:val="22"/>
                <w:szCs w:val="22"/>
              </w:rPr>
              <w:t>References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_Toc220447472 \h </w:instrText>
            </w:r>
            <w:r w:rsidRPr="006F1E41">
              <w:rPr>
                <w:noProof/>
                <w:webHidden/>
                <w:sz w:val="22"/>
                <w:szCs w:val="22"/>
              </w:rPr>
            </w:r>
            <w:r w:rsidRPr="006F1E41">
              <w:rPr>
                <w:noProof/>
                <w:webHidden/>
                <w:sz w:val="22"/>
                <w:szCs w:val="22"/>
              </w:rPr>
              <w:fldChar w:fldCharType="separate"/>
            </w:r>
            <w:r w:rsidR="000328DE">
              <w:rPr>
                <w:noProof/>
                <w:webHidden/>
                <w:sz w:val="22"/>
                <w:szCs w:val="22"/>
              </w:rPr>
              <w:t>35</w:t>
            </w:r>
            <w:r w:rsidRPr="006F1E41">
              <w:rPr>
                <w:noProof/>
                <w:webHidden/>
                <w:sz w:val="22"/>
                <w:szCs w:val="22"/>
              </w:rPr>
              <w:fldChar w:fldCharType="end"/>
            </w:r>
          </w:hyperlink>
        </w:p>
        <w:p w14:paraId="6447699E" w14:textId="5A456AF3" w:rsidR="006F1E41" w:rsidRPr="006F1E41" w:rsidRDefault="006F1E41">
          <w:pPr>
            <w:pStyle w:val="TOC1"/>
            <w:tabs>
              <w:tab w:val="right" w:leader="dot" w:pos="9016"/>
            </w:tabs>
            <w:rPr>
              <w:noProof/>
              <w:sz w:val="22"/>
              <w:szCs w:val="22"/>
            </w:rPr>
          </w:pPr>
          <w:hyperlink w:anchor="_Toc220447473" w:history="1">
            <w:r w:rsidRPr="006F1E41">
              <w:rPr>
                <w:rStyle w:val="Hyperlink"/>
                <w:noProof/>
                <w:sz w:val="22"/>
                <w:szCs w:val="22"/>
              </w:rPr>
              <w:t>Appendices</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_Toc220447473 \h </w:instrText>
            </w:r>
            <w:r w:rsidRPr="006F1E41">
              <w:rPr>
                <w:noProof/>
                <w:webHidden/>
                <w:sz w:val="22"/>
                <w:szCs w:val="22"/>
              </w:rPr>
            </w:r>
            <w:r w:rsidRPr="006F1E41">
              <w:rPr>
                <w:noProof/>
                <w:webHidden/>
                <w:sz w:val="22"/>
                <w:szCs w:val="22"/>
              </w:rPr>
              <w:fldChar w:fldCharType="separate"/>
            </w:r>
            <w:r w:rsidR="000328DE">
              <w:rPr>
                <w:noProof/>
                <w:webHidden/>
                <w:sz w:val="22"/>
                <w:szCs w:val="22"/>
              </w:rPr>
              <w:t>44</w:t>
            </w:r>
            <w:r w:rsidRPr="006F1E41">
              <w:rPr>
                <w:noProof/>
                <w:webHidden/>
                <w:sz w:val="22"/>
                <w:szCs w:val="22"/>
              </w:rPr>
              <w:fldChar w:fldCharType="end"/>
            </w:r>
          </w:hyperlink>
        </w:p>
        <w:p w14:paraId="22ABCE8F" w14:textId="02E53229" w:rsidR="006F1E41" w:rsidRPr="006F1E41" w:rsidRDefault="006F1E41">
          <w:pPr>
            <w:pStyle w:val="TOC2"/>
            <w:tabs>
              <w:tab w:val="right" w:leader="dot" w:pos="9016"/>
            </w:tabs>
            <w:rPr>
              <w:noProof/>
              <w:sz w:val="22"/>
              <w:szCs w:val="22"/>
            </w:rPr>
          </w:pPr>
          <w:hyperlink w:anchor="_Toc220447474" w:history="1">
            <w:r w:rsidRPr="006F1E41">
              <w:rPr>
                <w:rStyle w:val="Hyperlink"/>
                <w:noProof/>
                <w:sz w:val="22"/>
                <w:szCs w:val="22"/>
              </w:rPr>
              <w:t>Appendix A: Source Tracking Table</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_Toc220447474 \h </w:instrText>
            </w:r>
            <w:r w:rsidRPr="006F1E41">
              <w:rPr>
                <w:noProof/>
                <w:webHidden/>
                <w:sz w:val="22"/>
                <w:szCs w:val="22"/>
              </w:rPr>
            </w:r>
            <w:r w:rsidRPr="006F1E41">
              <w:rPr>
                <w:noProof/>
                <w:webHidden/>
                <w:sz w:val="22"/>
                <w:szCs w:val="22"/>
              </w:rPr>
              <w:fldChar w:fldCharType="separate"/>
            </w:r>
            <w:r w:rsidR="000328DE">
              <w:rPr>
                <w:noProof/>
                <w:webHidden/>
                <w:sz w:val="22"/>
                <w:szCs w:val="22"/>
              </w:rPr>
              <w:t>44</w:t>
            </w:r>
            <w:r w:rsidRPr="006F1E41">
              <w:rPr>
                <w:noProof/>
                <w:webHidden/>
                <w:sz w:val="22"/>
                <w:szCs w:val="22"/>
              </w:rPr>
              <w:fldChar w:fldCharType="end"/>
            </w:r>
          </w:hyperlink>
        </w:p>
        <w:p w14:paraId="341FF69A" w14:textId="05049DA8" w:rsidR="006F1E41" w:rsidRPr="006F1E41" w:rsidRDefault="006F1E41">
          <w:pPr>
            <w:pStyle w:val="TOC2"/>
            <w:tabs>
              <w:tab w:val="right" w:leader="dot" w:pos="9016"/>
            </w:tabs>
            <w:rPr>
              <w:noProof/>
              <w:sz w:val="22"/>
              <w:szCs w:val="22"/>
            </w:rPr>
          </w:pPr>
          <w:hyperlink w:anchor="_Toc220447475" w:history="1">
            <w:r w:rsidRPr="006F1E41">
              <w:rPr>
                <w:rStyle w:val="Hyperlink"/>
                <w:noProof/>
                <w:sz w:val="22"/>
                <w:szCs w:val="22"/>
              </w:rPr>
              <w:t>Appendix 2: Methodological Summary</w:t>
            </w:r>
            <w:r w:rsidRPr="006F1E41">
              <w:rPr>
                <w:noProof/>
                <w:webHidden/>
                <w:sz w:val="22"/>
                <w:szCs w:val="22"/>
              </w:rPr>
              <w:tab/>
            </w:r>
            <w:r w:rsidRPr="006F1E41">
              <w:rPr>
                <w:noProof/>
                <w:webHidden/>
                <w:sz w:val="22"/>
                <w:szCs w:val="22"/>
              </w:rPr>
              <w:fldChar w:fldCharType="begin"/>
            </w:r>
            <w:r w:rsidRPr="006F1E41">
              <w:rPr>
                <w:noProof/>
                <w:webHidden/>
                <w:sz w:val="22"/>
                <w:szCs w:val="22"/>
              </w:rPr>
              <w:instrText xml:space="preserve"> PAGEREF _Toc220447475 \h </w:instrText>
            </w:r>
            <w:r w:rsidRPr="006F1E41">
              <w:rPr>
                <w:noProof/>
                <w:webHidden/>
                <w:sz w:val="22"/>
                <w:szCs w:val="22"/>
              </w:rPr>
            </w:r>
            <w:r w:rsidRPr="006F1E41">
              <w:rPr>
                <w:noProof/>
                <w:webHidden/>
                <w:sz w:val="22"/>
                <w:szCs w:val="22"/>
              </w:rPr>
              <w:fldChar w:fldCharType="separate"/>
            </w:r>
            <w:r w:rsidR="000328DE">
              <w:rPr>
                <w:noProof/>
                <w:webHidden/>
                <w:sz w:val="22"/>
                <w:szCs w:val="22"/>
              </w:rPr>
              <w:t>47</w:t>
            </w:r>
            <w:r w:rsidRPr="006F1E41">
              <w:rPr>
                <w:noProof/>
                <w:webHidden/>
                <w:sz w:val="22"/>
                <w:szCs w:val="22"/>
              </w:rPr>
              <w:fldChar w:fldCharType="end"/>
            </w:r>
          </w:hyperlink>
        </w:p>
        <w:p w14:paraId="5F5824F8" w14:textId="4909F897" w:rsidR="006F1E41" w:rsidRDefault="006F1E41">
          <w:r w:rsidRPr="006F1E41">
            <w:rPr>
              <w:b/>
              <w:bCs/>
              <w:noProof/>
              <w:szCs w:val="22"/>
            </w:rPr>
            <w:fldChar w:fldCharType="end"/>
          </w:r>
        </w:p>
      </w:sdtContent>
    </w:sdt>
    <w:p w14:paraId="7DF42411" w14:textId="77777777" w:rsidR="007207B9" w:rsidRDefault="007207B9" w:rsidP="00D84639">
      <w:pPr>
        <w:jc w:val="both"/>
        <w:rPr>
          <w:szCs w:val="22"/>
          <w:lang w:val="en-GB"/>
        </w:rPr>
      </w:pPr>
    </w:p>
    <w:p w14:paraId="3E2976D9" w14:textId="77777777" w:rsidR="007207B9" w:rsidRDefault="007207B9" w:rsidP="00D84639">
      <w:pPr>
        <w:jc w:val="both"/>
        <w:rPr>
          <w:szCs w:val="22"/>
          <w:lang w:val="en-GB"/>
        </w:rPr>
      </w:pPr>
    </w:p>
    <w:p w14:paraId="29B795E0" w14:textId="77777777" w:rsidR="007207B9" w:rsidRDefault="007207B9" w:rsidP="00D84639">
      <w:pPr>
        <w:jc w:val="both"/>
        <w:rPr>
          <w:szCs w:val="22"/>
          <w:lang w:val="en-GB"/>
        </w:rPr>
      </w:pPr>
    </w:p>
    <w:p w14:paraId="43DD98B0" w14:textId="13CFDF95" w:rsidR="000F2C78" w:rsidRDefault="000F2C78" w:rsidP="000F2C78">
      <w:pPr>
        <w:jc w:val="both"/>
        <w:rPr>
          <w:szCs w:val="22"/>
          <w:lang w:val="en-GB"/>
        </w:rPr>
      </w:pPr>
    </w:p>
    <w:p w14:paraId="7F4E318A" w14:textId="77777777" w:rsidR="000F2C78" w:rsidRDefault="000F2C78" w:rsidP="000F2C78">
      <w:pPr>
        <w:jc w:val="both"/>
        <w:rPr>
          <w:szCs w:val="22"/>
          <w:lang w:val="en-GB"/>
        </w:rPr>
      </w:pPr>
    </w:p>
    <w:p w14:paraId="33EC41B7" w14:textId="77777777" w:rsidR="000F2C78" w:rsidRDefault="000F2C78" w:rsidP="000F2C78">
      <w:pPr>
        <w:jc w:val="both"/>
        <w:rPr>
          <w:szCs w:val="22"/>
          <w:lang w:val="en-GB"/>
        </w:rPr>
      </w:pPr>
    </w:p>
    <w:p w14:paraId="3BBDC953" w14:textId="77777777" w:rsidR="000F2C78" w:rsidRDefault="000F2C78" w:rsidP="000F2C78">
      <w:pPr>
        <w:jc w:val="both"/>
        <w:rPr>
          <w:szCs w:val="22"/>
          <w:lang w:val="en-GB"/>
        </w:rPr>
      </w:pPr>
    </w:p>
    <w:p w14:paraId="56F48728" w14:textId="77777777" w:rsidR="000F2C78" w:rsidRDefault="000F2C78" w:rsidP="000F2C78">
      <w:pPr>
        <w:jc w:val="both"/>
        <w:rPr>
          <w:szCs w:val="22"/>
          <w:lang w:val="en-GB"/>
        </w:rPr>
      </w:pPr>
    </w:p>
    <w:p w14:paraId="19BC1B40" w14:textId="44E6F644" w:rsidR="000F2C78" w:rsidRDefault="000F2C78" w:rsidP="000F2C78">
      <w:pPr>
        <w:jc w:val="both"/>
        <w:rPr>
          <w:b/>
          <w:bCs/>
          <w:szCs w:val="22"/>
          <w:lang w:val="en-GB"/>
        </w:rPr>
      </w:pPr>
      <w:r>
        <w:rPr>
          <w:b/>
          <w:bCs/>
          <w:szCs w:val="22"/>
          <w:lang w:val="en-GB"/>
        </w:rPr>
        <w:lastRenderedPageBreak/>
        <w:t>List of Figures</w:t>
      </w:r>
    </w:p>
    <w:p w14:paraId="6A10E80B" w14:textId="1514F619" w:rsidR="00FB2455" w:rsidRDefault="00FB2455">
      <w:pPr>
        <w:pStyle w:val="TableofFigures"/>
        <w:tabs>
          <w:tab w:val="right" w:leader="dot" w:pos="9016"/>
        </w:tabs>
        <w:rPr>
          <w:noProof/>
        </w:rPr>
      </w:pPr>
      <w:r>
        <w:rPr>
          <w:b/>
          <w:bCs/>
          <w:szCs w:val="22"/>
          <w:lang w:val="en-GB"/>
        </w:rPr>
        <w:fldChar w:fldCharType="begin"/>
      </w:r>
      <w:r>
        <w:rPr>
          <w:b/>
          <w:bCs/>
          <w:szCs w:val="22"/>
          <w:lang w:val="en-GB"/>
        </w:rPr>
        <w:instrText xml:space="preserve"> TOC \h \z \c "Figure" </w:instrText>
      </w:r>
      <w:r>
        <w:rPr>
          <w:b/>
          <w:bCs/>
          <w:szCs w:val="22"/>
          <w:lang w:val="en-GB"/>
        </w:rPr>
        <w:fldChar w:fldCharType="separate"/>
      </w:r>
      <w:hyperlink w:anchor="_Toc220447476" w:history="1">
        <w:r w:rsidRPr="00C9516A">
          <w:rPr>
            <w:rStyle w:val="Hyperlink"/>
            <w:rFonts w:ascii="Aptos" w:eastAsiaTheme="majorEastAsia" w:hAnsi="Aptos"/>
            <w:noProof/>
          </w:rPr>
          <w:t>Figure 1</w:t>
        </w:r>
        <w:r w:rsidRPr="00C9516A">
          <w:rPr>
            <w:rStyle w:val="Hyperlink"/>
            <w:rFonts w:ascii="Aptos" w:eastAsiaTheme="majorEastAsia" w:hAnsi="Aptos"/>
            <w:noProof/>
            <w:lang w:val="en-GB"/>
          </w:rPr>
          <w:t xml:space="preserve">: Urban–rural barriers to health and social care access and their interaction with socioeconomic status (SES) </w:t>
        </w:r>
        <w:r w:rsidRPr="00C9516A">
          <w:rPr>
            <w:rStyle w:val="Hyperlink"/>
            <w:rFonts w:ascii="Aptos" w:eastAsiaTheme="majorEastAsia" w:hAnsi="Aptos" w:cs="Arial"/>
            <w:noProof/>
          </w:rPr>
          <w:t>(Castillo et al., 2022; Chen et al., 2019)</w:t>
        </w:r>
        <w:r>
          <w:rPr>
            <w:noProof/>
            <w:webHidden/>
          </w:rPr>
          <w:tab/>
        </w:r>
        <w:r>
          <w:rPr>
            <w:noProof/>
            <w:webHidden/>
          </w:rPr>
          <w:fldChar w:fldCharType="begin"/>
        </w:r>
        <w:r>
          <w:rPr>
            <w:noProof/>
            <w:webHidden/>
          </w:rPr>
          <w:instrText xml:space="preserve"> PAGEREF _Toc220447476 \h </w:instrText>
        </w:r>
        <w:r>
          <w:rPr>
            <w:noProof/>
            <w:webHidden/>
          </w:rPr>
        </w:r>
        <w:r>
          <w:rPr>
            <w:noProof/>
            <w:webHidden/>
          </w:rPr>
          <w:fldChar w:fldCharType="separate"/>
        </w:r>
        <w:r w:rsidR="000328DE">
          <w:rPr>
            <w:noProof/>
            <w:webHidden/>
          </w:rPr>
          <w:t>7</w:t>
        </w:r>
        <w:r>
          <w:rPr>
            <w:noProof/>
            <w:webHidden/>
          </w:rPr>
          <w:fldChar w:fldCharType="end"/>
        </w:r>
      </w:hyperlink>
    </w:p>
    <w:p w14:paraId="05FFA204" w14:textId="25A2ECDA" w:rsidR="000F2C78" w:rsidRDefault="00FB2455" w:rsidP="000F2C78">
      <w:pPr>
        <w:jc w:val="both"/>
        <w:rPr>
          <w:b/>
          <w:bCs/>
          <w:szCs w:val="22"/>
          <w:lang w:val="en-GB"/>
        </w:rPr>
      </w:pPr>
      <w:r>
        <w:rPr>
          <w:b/>
          <w:bCs/>
          <w:szCs w:val="22"/>
          <w:lang w:val="en-GB"/>
        </w:rPr>
        <w:fldChar w:fldCharType="end"/>
      </w:r>
    </w:p>
    <w:p w14:paraId="35FC5160" w14:textId="77777777" w:rsidR="000F2C78" w:rsidRDefault="000F2C78" w:rsidP="000F2C78">
      <w:pPr>
        <w:jc w:val="both"/>
        <w:rPr>
          <w:b/>
          <w:bCs/>
          <w:szCs w:val="22"/>
          <w:lang w:val="en-GB"/>
        </w:rPr>
      </w:pPr>
    </w:p>
    <w:p w14:paraId="6A25EC18" w14:textId="77777777" w:rsidR="000F2C78" w:rsidRDefault="000F2C78" w:rsidP="000F2C78">
      <w:pPr>
        <w:jc w:val="both"/>
        <w:rPr>
          <w:b/>
          <w:bCs/>
          <w:szCs w:val="22"/>
          <w:lang w:val="en-GB"/>
        </w:rPr>
      </w:pPr>
    </w:p>
    <w:p w14:paraId="7BCC361B" w14:textId="028FDAED" w:rsidR="000F2C78" w:rsidRDefault="000F2C78" w:rsidP="000F2C78">
      <w:pPr>
        <w:jc w:val="both"/>
        <w:rPr>
          <w:b/>
          <w:bCs/>
          <w:szCs w:val="22"/>
          <w:lang w:val="en-GB"/>
        </w:rPr>
      </w:pPr>
      <w:r>
        <w:rPr>
          <w:b/>
          <w:bCs/>
          <w:szCs w:val="22"/>
          <w:lang w:val="en-GB"/>
        </w:rPr>
        <w:t>List of Tables</w:t>
      </w:r>
    </w:p>
    <w:p w14:paraId="4E4931AF" w14:textId="717CB6BB" w:rsidR="00FB2455" w:rsidRDefault="00FB2455">
      <w:pPr>
        <w:pStyle w:val="TableofFigures"/>
        <w:tabs>
          <w:tab w:val="right" w:leader="dot" w:pos="9016"/>
        </w:tabs>
        <w:rPr>
          <w:rFonts w:eastAsiaTheme="minorEastAsia" w:cstheme="minorBidi"/>
          <w:noProof/>
          <w:kern w:val="2"/>
          <w:sz w:val="24"/>
          <w14:ligatures w14:val="standardContextual"/>
        </w:rPr>
      </w:pPr>
      <w:r>
        <w:rPr>
          <w:b/>
          <w:bCs/>
          <w:szCs w:val="22"/>
          <w:lang w:val="en-GB"/>
        </w:rPr>
        <w:fldChar w:fldCharType="begin"/>
      </w:r>
      <w:r>
        <w:rPr>
          <w:b/>
          <w:bCs/>
          <w:szCs w:val="22"/>
          <w:lang w:val="en-GB"/>
        </w:rPr>
        <w:instrText xml:space="preserve"> TOC \h \z \c "Table" </w:instrText>
      </w:r>
      <w:r>
        <w:rPr>
          <w:b/>
          <w:bCs/>
          <w:szCs w:val="22"/>
          <w:lang w:val="en-GB"/>
        </w:rPr>
        <w:fldChar w:fldCharType="separate"/>
      </w:r>
      <w:hyperlink w:anchor="_Toc220447477" w:history="1">
        <w:r w:rsidRPr="00774440">
          <w:rPr>
            <w:rStyle w:val="Hyperlink"/>
            <w:rFonts w:eastAsiaTheme="majorEastAsia"/>
            <w:noProof/>
          </w:rPr>
          <w:t>Table 1</w:t>
        </w:r>
        <w:r w:rsidRPr="00774440">
          <w:rPr>
            <w:rStyle w:val="Hyperlink"/>
            <w:rFonts w:eastAsiaTheme="majorEastAsia"/>
            <w:noProof/>
            <w:lang w:val="en-GB"/>
          </w:rPr>
          <w:t>:</w:t>
        </w:r>
        <w:r w:rsidRPr="00774440">
          <w:rPr>
            <w:rStyle w:val="Hyperlink"/>
            <w:rFonts w:eastAsiaTheme="majorEastAsia"/>
            <w:noProof/>
          </w:rPr>
          <w:t xml:space="preserve"> Timeline of key developments linking socioeconomic status (SES) and access to health and social care (Chen et al., 2019; Coates et al., 2025)</w:t>
        </w:r>
        <w:r>
          <w:rPr>
            <w:noProof/>
            <w:webHidden/>
          </w:rPr>
          <w:tab/>
        </w:r>
        <w:r>
          <w:rPr>
            <w:noProof/>
            <w:webHidden/>
          </w:rPr>
          <w:fldChar w:fldCharType="begin"/>
        </w:r>
        <w:r>
          <w:rPr>
            <w:noProof/>
            <w:webHidden/>
          </w:rPr>
          <w:instrText xml:space="preserve"> PAGEREF _Toc220447477 \h </w:instrText>
        </w:r>
        <w:r>
          <w:rPr>
            <w:noProof/>
            <w:webHidden/>
          </w:rPr>
        </w:r>
        <w:r>
          <w:rPr>
            <w:noProof/>
            <w:webHidden/>
          </w:rPr>
          <w:fldChar w:fldCharType="separate"/>
        </w:r>
        <w:r w:rsidR="000328DE">
          <w:rPr>
            <w:noProof/>
            <w:webHidden/>
          </w:rPr>
          <w:t>11</w:t>
        </w:r>
        <w:r>
          <w:rPr>
            <w:noProof/>
            <w:webHidden/>
          </w:rPr>
          <w:fldChar w:fldCharType="end"/>
        </w:r>
      </w:hyperlink>
    </w:p>
    <w:p w14:paraId="6903D2C6" w14:textId="068DCB3F" w:rsidR="00FB2455" w:rsidRDefault="00FB2455">
      <w:pPr>
        <w:pStyle w:val="TableofFigures"/>
        <w:tabs>
          <w:tab w:val="right" w:leader="dot" w:pos="9016"/>
        </w:tabs>
        <w:rPr>
          <w:rFonts w:eastAsiaTheme="minorEastAsia" w:cstheme="minorBidi"/>
          <w:noProof/>
          <w:kern w:val="2"/>
          <w:sz w:val="24"/>
          <w14:ligatures w14:val="standardContextual"/>
        </w:rPr>
      </w:pPr>
      <w:hyperlink w:anchor="_Toc220447478" w:history="1">
        <w:r w:rsidRPr="00774440">
          <w:rPr>
            <w:rStyle w:val="Hyperlink"/>
            <w:rFonts w:eastAsiaTheme="majorEastAsia"/>
            <w:noProof/>
          </w:rPr>
          <w:t>Table 2</w:t>
        </w:r>
        <w:r w:rsidRPr="00774440">
          <w:rPr>
            <w:rStyle w:val="Hyperlink"/>
            <w:rFonts w:eastAsiaTheme="majorEastAsia"/>
            <w:noProof/>
            <w:lang w:val="en-GB"/>
          </w:rPr>
          <w:t xml:space="preserve">: Comparison and application of key theories </w:t>
        </w:r>
        <w:r w:rsidRPr="00774440">
          <w:rPr>
            <w:rStyle w:val="Hyperlink"/>
            <w:rFonts w:eastAsiaTheme="majorEastAsia"/>
            <w:noProof/>
          </w:rPr>
          <w:t xml:space="preserve">(Marmot and Bell, 2010; Shutt </w:t>
        </w:r>
        <w:r w:rsidRPr="00774440">
          <w:rPr>
            <w:rStyle w:val="Hyperlink"/>
            <w:rFonts w:eastAsiaTheme="majorEastAsia"/>
            <w:i/>
            <w:iCs/>
            <w:noProof/>
          </w:rPr>
          <w:t>et al.</w:t>
        </w:r>
        <w:r w:rsidRPr="00774440">
          <w:rPr>
            <w:rStyle w:val="Hyperlink"/>
            <w:rFonts w:eastAsiaTheme="majorEastAsia"/>
            <w:noProof/>
          </w:rPr>
          <w:t xml:space="preserve">, 2025; Alkhawaldeh </w:t>
        </w:r>
        <w:r w:rsidRPr="00774440">
          <w:rPr>
            <w:rStyle w:val="Hyperlink"/>
            <w:rFonts w:eastAsiaTheme="majorEastAsia"/>
            <w:i/>
            <w:iCs/>
            <w:noProof/>
          </w:rPr>
          <w:t>et al.</w:t>
        </w:r>
        <w:r w:rsidRPr="00774440">
          <w:rPr>
            <w:rStyle w:val="Hyperlink"/>
            <w:rFonts w:eastAsiaTheme="majorEastAsia"/>
            <w:noProof/>
          </w:rPr>
          <w:t>, 2023)</w:t>
        </w:r>
        <w:r>
          <w:rPr>
            <w:noProof/>
            <w:webHidden/>
          </w:rPr>
          <w:tab/>
        </w:r>
        <w:r>
          <w:rPr>
            <w:noProof/>
            <w:webHidden/>
          </w:rPr>
          <w:fldChar w:fldCharType="begin"/>
        </w:r>
        <w:r>
          <w:rPr>
            <w:noProof/>
            <w:webHidden/>
          </w:rPr>
          <w:instrText xml:space="preserve"> PAGEREF _Toc220447478 \h </w:instrText>
        </w:r>
        <w:r>
          <w:rPr>
            <w:noProof/>
            <w:webHidden/>
          </w:rPr>
        </w:r>
        <w:r>
          <w:rPr>
            <w:noProof/>
            <w:webHidden/>
          </w:rPr>
          <w:fldChar w:fldCharType="separate"/>
        </w:r>
        <w:r w:rsidR="000328DE">
          <w:rPr>
            <w:noProof/>
            <w:webHidden/>
          </w:rPr>
          <w:t>13</w:t>
        </w:r>
        <w:r>
          <w:rPr>
            <w:noProof/>
            <w:webHidden/>
          </w:rPr>
          <w:fldChar w:fldCharType="end"/>
        </w:r>
      </w:hyperlink>
    </w:p>
    <w:p w14:paraId="52B9EBB7" w14:textId="02DCAD8B" w:rsidR="00FB2455" w:rsidRDefault="00FB2455">
      <w:pPr>
        <w:pStyle w:val="TableofFigures"/>
        <w:tabs>
          <w:tab w:val="right" w:leader="dot" w:pos="9016"/>
        </w:tabs>
        <w:rPr>
          <w:rFonts w:eastAsiaTheme="minorEastAsia" w:cstheme="minorBidi"/>
          <w:noProof/>
          <w:kern w:val="2"/>
          <w:sz w:val="24"/>
          <w14:ligatures w14:val="standardContextual"/>
        </w:rPr>
      </w:pPr>
      <w:hyperlink w:anchor="_Toc220447479" w:history="1">
        <w:r w:rsidRPr="00774440">
          <w:rPr>
            <w:rStyle w:val="Hyperlink"/>
            <w:rFonts w:eastAsiaTheme="majorEastAsia"/>
            <w:noProof/>
          </w:rPr>
          <w:t>Table 3</w:t>
        </w:r>
        <w:r w:rsidRPr="00774440">
          <w:rPr>
            <w:rStyle w:val="Hyperlink"/>
            <w:rFonts w:eastAsiaTheme="majorEastAsia"/>
            <w:noProof/>
            <w:lang w:val="en-GB"/>
          </w:rPr>
          <w:t>: Inclusion and Exclusion Criteria</w:t>
        </w:r>
        <w:r>
          <w:rPr>
            <w:noProof/>
            <w:webHidden/>
          </w:rPr>
          <w:tab/>
        </w:r>
        <w:r>
          <w:rPr>
            <w:noProof/>
            <w:webHidden/>
          </w:rPr>
          <w:fldChar w:fldCharType="begin"/>
        </w:r>
        <w:r>
          <w:rPr>
            <w:noProof/>
            <w:webHidden/>
          </w:rPr>
          <w:instrText xml:space="preserve"> PAGEREF _Toc220447479 \h </w:instrText>
        </w:r>
        <w:r>
          <w:rPr>
            <w:noProof/>
            <w:webHidden/>
          </w:rPr>
        </w:r>
        <w:r>
          <w:rPr>
            <w:noProof/>
            <w:webHidden/>
          </w:rPr>
          <w:fldChar w:fldCharType="separate"/>
        </w:r>
        <w:r w:rsidR="000328DE">
          <w:rPr>
            <w:noProof/>
            <w:webHidden/>
          </w:rPr>
          <w:t>18</w:t>
        </w:r>
        <w:r>
          <w:rPr>
            <w:noProof/>
            <w:webHidden/>
          </w:rPr>
          <w:fldChar w:fldCharType="end"/>
        </w:r>
      </w:hyperlink>
    </w:p>
    <w:p w14:paraId="4194BA00" w14:textId="2B84435F" w:rsidR="00FB2455" w:rsidRDefault="00FB2455">
      <w:pPr>
        <w:pStyle w:val="TableofFigures"/>
        <w:tabs>
          <w:tab w:val="right" w:leader="dot" w:pos="9016"/>
        </w:tabs>
        <w:rPr>
          <w:rFonts w:eastAsiaTheme="minorEastAsia" w:cstheme="minorBidi"/>
          <w:noProof/>
          <w:kern w:val="2"/>
          <w:sz w:val="24"/>
          <w14:ligatures w14:val="standardContextual"/>
        </w:rPr>
      </w:pPr>
      <w:hyperlink w:anchor="_Toc220447480" w:history="1">
        <w:r w:rsidRPr="00774440">
          <w:rPr>
            <w:rStyle w:val="Hyperlink"/>
            <w:rFonts w:eastAsiaTheme="majorEastAsia"/>
            <w:noProof/>
          </w:rPr>
          <w:t>Table 4</w:t>
        </w:r>
        <w:r w:rsidRPr="00774440">
          <w:rPr>
            <w:rStyle w:val="Hyperlink"/>
            <w:rFonts w:eastAsiaTheme="majorEastAsia"/>
            <w:noProof/>
            <w:lang w:val="en-GB"/>
          </w:rPr>
          <w:t xml:space="preserve">: Six-Step Thematic Analysis Process </w:t>
        </w:r>
        <w:r w:rsidRPr="00774440">
          <w:rPr>
            <w:rStyle w:val="Hyperlink"/>
            <w:rFonts w:eastAsiaTheme="majorEastAsia" w:cs="Arial"/>
            <w:noProof/>
          </w:rPr>
          <w:t>(Braun and Clarke, 2006)</w:t>
        </w:r>
        <w:r>
          <w:rPr>
            <w:noProof/>
            <w:webHidden/>
          </w:rPr>
          <w:tab/>
        </w:r>
        <w:r>
          <w:rPr>
            <w:noProof/>
            <w:webHidden/>
          </w:rPr>
          <w:fldChar w:fldCharType="begin"/>
        </w:r>
        <w:r>
          <w:rPr>
            <w:noProof/>
            <w:webHidden/>
          </w:rPr>
          <w:instrText xml:space="preserve"> PAGEREF _Toc220447480 \h </w:instrText>
        </w:r>
        <w:r>
          <w:rPr>
            <w:noProof/>
            <w:webHidden/>
          </w:rPr>
        </w:r>
        <w:r>
          <w:rPr>
            <w:noProof/>
            <w:webHidden/>
          </w:rPr>
          <w:fldChar w:fldCharType="separate"/>
        </w:r>
        <w:r w:rsidR="000328DE">
          <w:rPr>
            <w:noProof/>
            <w:webHidden/>
          </w:rPr>
          <w:t>20</w:t>
        </w:r>
        <w:r>
          <w:rPr>
            <w:noProof/>
            <w:webHidden/>
          </w:rPr>
          <w:fldChar w:fldCharType="end"/>
        </w:r>
      </w:hyperlink>
    </w:p>
    <w:p w14:paraId="01B068C5" w14:textId="41E49CA6" w:rsidR="00FB2455" w:rsidRDefault="00FB2455">
      <w:pPr>
        <w:pStyle w:val="TableofFigures"/>
        <w:tabs>
          <w:tab w:val="right" w:leader="dot" w:pos="9016"/>
        </w:tabs>
        <w:rPr>
          <w:rFonts w:eastAsiaTheme="minorEastAsia" w:cstheme="minorBidi"/>
          <w:noProof/>
          <w:kern w:val="2"/>
          <w:sz w:val="24"/>
          <w14:ligatures w14:val="standardContextual"/>
        </w:rPr>
      </w:pPr>
      <w:hyperlink w:anchor="_Toc220447481" w:history="1">
        <w:r w:rsidRPr="00774440">
          <w:rPr>
            <w:rStyle w:val="Hyperlink"/>
            <w:rFonts w:eastAsiaTheme="majorEastAsia"/>
            <w:noProof/>
          </w:rPr>
          <w:t>Table 5</w:t>
        </w:r>
        <w:r w:rsidRPr="00774440">
          <w:rPr>
            <w:rStyle w:val="Hyperlink"/>
            <w:rFonts w:eastAsiaTheme="majorEastAsia"/>
            <w:noProof/>
            <w:lang w:val="en-GB"/>
          </w:rPr>
          <w:t>: Synthesis of Themes and Links to Research Objectives</w:t>
        </w:r>
        <w:r>
          <w:rPr>
            <w:noProof/>
            <w:webHidden/>
          </w:rPr>
          <w:tab/>
        </w:r>
        <w:r>
          <w:rPr>
            <w:noProof/>
            <w:webHidden/>
          </w:rPr>
          <w:fldChar w:fldCharType="begin"/>
        </w:r>
        <w:r>
          <w:rPr>
            <w:noProof/>
            <w:webHidden/>
          </w:rPr>
          <w:instrText xml:space="preserve"> PAGEREF _Toc220447481 \h </w:instrText>
        </w:r>
        <w:r>
          <w:rPr>
            <w:noProof/>
            <w:webHidden/>
          </w:rPr>
        </w:r>
        <w:r>
          <w:rPr>
            <w:noProof/>
            <w:webHidden/>
          </w:rPr>
          <w:fldChar w:fldCharType="separate"/>
        </w:r>
        <w:r w:rsidR="000328DE">
          <w:rPr>
            <w:noProof/>
            <w:webHidden/>
          </w:rPr>
          <w:t>22</w:t>
        </w:r>
        <w:r>
          <w:rPr>
            <w:noProof/>
            <w:webHidden/>
          </w:rPr>
          <w:fldChar w:fldCharType="end"/>
        </w:r>
      </w:hyperlink>
    </w:p>
    <w:p w14:paraId="67B00E14" w14:textId="7A779AD1" w:rsidR="00FB2455" w:rsidRDefault="00FB2455">
      <w:pPr>
        <w:pStyle w:val="TableofFigures"/>
        <w:tabs>
          <w:tab w:val="right" w:leader="dot" w:pos="9016"/>
        </w:tabs>
        <w:rPr>
          <w:rFonts w:eastAsiaTheme="minorEastAsia" w:cstheme="minorBidi"/>
          <w:noProof/>
          <w:kern w:val="2"/>
          <w:sz w:val="24"/>
          <w14:ligatures w14:val="standardContextual"/>
        </w:rPr>
      </w:pPr>
      <w:hyperlink w:anchor="_Toc220447482" w:history="1">
        <w:r w:rsidRPr="00774440">
          <w:rPr>
            <w:rStyle w:val="Hyperlink"/>
            <w:rFonts w:eastAsiaTheme="majorEastAsia"/>
            <w:noProof/>
          </w:rPr>
          <w:t>Table 6</w:t>
        </w:r>
        <w:r w:rsidRPr="00774440">
          <w:rPr>
            <w:rStyle w:val="Hyperlink"/>
            <w:rFonts w:eastAsiaTheme="majorEastAsia"/>
            <w:noProof/>
            <w:lang w:val="en-GB"/>
          </w:rPr>
          <w:t>: Urban–Rural Differences in Access Characteristics (</w:t>
        </w:r>
        <w:r w:rsidRPr="00774440">
          <w:rPr>
            <w:rStyle w:val="Hyperlink"/>
            <w:rFonts w:eastAsiaTheme="majorEastAsia"/>
            <w:noProof/>
          </w:rPr>
          <w:t>Ford et al., 2016; Allan et al., 2017; Ryan-Ndegwa et al., 2021)</w:t>
        </w:r>
        <w:r>
          <w:rPr>
            <w:noProof/>
            <w:webHidden/>
          </w:rPr>
          <w:tab/>
        </w:r>
        <w:r>
          <w:rPr>
            <w:noProof/>
            <w:webHidden/>
          </w:rPr>
          <w:fldChar w:fldCharType="begin"/>
        </w:r>
        <w:r>
          <w:rPr>
            <w:noProof/>
            <w:webHidden/>
          </w:rPr>
          <w:instrText xml:space="preserve"> PAGEREF _Toc220447482 \h </w:instrText>
        </w:r>
        <w:r>
          <w:rPr>
            <w:noProof/>
            <w:webHidden/>
          </w:rPr>
        </w:r>
        <w:r>
          <w:rPr>
            <w:noProof/>
            <w:webHidden/>
          </w:rPr>
          <w:fldChar w:fldCharType="separate"/>
        </w:r>
        <w:r w:rsidR="000328DE">
          <w:rPr>
            <w:noProof/>
            <w:webHidden/>
          </w:rPr>
          <w:t>26</w:t>
        </w:r>
        <w:r>
          <w:rPr>
            <w:noProof/>
            <w:webHidden/>
          </w:rPr>
          <w:fldChar w:fldCharType="end"/>
        </w:r>
      </w:hyperlink>
    </w:p>
    <w:p w14:paraId="6818FE2A" w14:textId="65CC9BF2" w:rsidR="00FB2455" w:rsidRDefault="00FB2455">
      <w:pPr>
        <w:pStyle w:val="TableofFigures"/>
        <w:tabs>
          <w:tab w:val="right" w:leader="dot" w:pos="9016"/>
        </w:tabs>
        <w:rPr>
          <w:rFonts w:eastAsiaTheme="minorEastAsia" w:cstheme="minorBidi"/>
          <w:noProof/>
          <w:kern w:val="2"/>
          <w:sz w:val="24"/>
          <w14:ligatures w14:val="standardContextual"/>
        </w:rPr>
      </w:pPr>
      <w:hyperlink w:anchor="_Toc220447483" w:history="1">
        <w:r w:rsidRPr="00774440">
          <w:rPr>
            <w:rStyle w:val="Hyperlink"/>
            <w:rFonts w:eastAsiaTheme="majorEastAsia"/>
            <w:noProof/>
          </w:rPr>
          <w:t>Table 7</w:t>
        </w:r>
        <w:r w:rsidRPr="00774440">
          <w:rPr>
            <w:rStyle w:val="Hyperlink"/>
            <w:rFonts w:eastAsiaTheme="majorEastAsia"/>
            <w:noProof/>
            <w:lang w:val="en-GB"/>
          </w:rPr>
          <w:t>: Socioeconomic Barriers Across the Care Pathway</w:t>
        </w:r>
        <w:r>
          <w:rPr>
            <w:noProof/>
            <w:webHidden/>
          </w:rPr>
          <w:tab/>
        </w:r>
        <w:r>
          <w:rPr>
            <w:noProof/>
            <w:webHidden/>
          </w:rPr>
          <w:fldChar w:fldCharType="begin"/>
        </w:r>
        <w:r>
          <w:rPr>
            <w:noProof/>
            <w:webHidden/>
          </w:rPr>
          <w:instrText xml:space="preserve"> PAGEREF _Toc220447483 \h </w:instrText>
        </w:r>
        <w:r>
          <w:rPr>
            <w:noProof/>
            <w:webHidden/>
          </w:rPr>
        </w:r>
        <w:r>
          <w:rPr>
            <w:noProof/>
            <w:webHidden/>
          </w:rPr>
          <w:fldChar w:fldCharType="separate"/>
        </w:r>
        <w:r w:rsidR="000328DE">
          <w:rPr>
            <w:noProof/>
            <w:webHidden/>
          </w:rPr>
          <w:t>29</w:t>
        </w:r>
        <w:r>
          <w:rPr>
            <w:noProof/>
            <w:webHidden/>
          </w:rPr>
          <w:fldChar w:fldCharType="end"/>
        </w:r>
      </w:hyperlink>
    </w:p>
    <w:p w14:paraId="05E64492" w14:textId="21DB8D7E" w:rsidR="00FB2455" w:rsidRDefault="00FB2455" w:rsidP="000F2C78">
      <w:pPr>
        <w:jc w:val="both"/>
        <w:rPr>
          <w:b/>
          <w:bCs/>
          <w:szCs w:val="22"/>
          <w:lang w:val="en-GB"/>
        </w:rPr>
      </w:pPr>
      <w:r>
        <w:rPr>
          <w:b/>
          <w:bCs/>
          <w:szCs w:val="22"/>
          <w:lang w:val="en-GB"/>
        </w:rPr>
        <w:fldChar w:fldCharType="end"/>
      </w:r>
    </w:p>
    <w:p w14:paraId="520874D8" w14:textId="77777777" w:rsidR="00EF2C01" w:rsidRDefault="00EF2C01" w:rsidP="000F2C78">
      <w:pPr>
        <w:jc w:val="both"/>
        <w:rPr>
          <w:b/>
          <w:bCs/>
          <w:szCs w:val="22"/>
          <w:lang w:val="en-GB"/>
        </w:rPr>
      </w:pPr>
    </w:p>
    <w:p w14:paraId="662DD110" w14:textId="77777777" w:rsidR="00EF2C01" w:rsidRDefault="00EF2C01" w:rsidP="000F2C78">
      <w:pPr>
        <w:jc w:val="both"/>
        <w:rPr>
          <w:b/>
          <w:bCs/>
          <w:szCs w:val="22"/>
          <w:lang w:val="en-GB"/>
        </w:rPr>
      </w:pPr>
    </w:p>
    <w:p w14:paraId="1A158472" w14:textId="77777777" w:rsidR="00EF2C01" w:rsidRDefault="00EF2C01" w:rsidP="000F2C78">
      <w:pPr>
        <w:jc w:val="both"/>
        <w:rPr>
          <w:b/>
          <w:bCs/>
          <w:szCs w:val="22"/>
          <w:lang w:val="en-GB"/>
        </w:rPr>
      </w:pPr>
    </w:p>
    <w:p w14:paraId="298076C0" w14:textId="77777777" w:rsidR="00EF2C01" w:rsidRDefault="00EF2C01" w:rsidP="000F2C78">
      <w:pPr>
        <w:jc w:val="both"/>
        <w:rPr>
          <w:b/>
          <w:bCs/>
          <w:szCs w:val="22"/>
          <w:lang w:val="en-GB"/>
        </w:rPr>
      </w:pPr>
    </w:p>
    <w:p w14:paraId="6BBDEEDD" w14:textId="77777777" w:rsidR="00EF2C01" w:rsidRDefault="00EF2C01" w:rsidP="000F2C78">
      <w:pPr>
        <w:jc w:val="both"/>
        <w:rPr>
          <w:b/>
          <w:bCs/>
          <w:szCs w:val="22"/>
          <w:lang w:val="en-GB"/>
        </w:rPr>
      </w:pPr>
    </w:p>
    <w:p w14:paraId="324F935E" w14:textId="77777777" w:rsidR="00EF2C01" w:rsidRDefault="00EF2C01" w:rsidP="000F2C78">
      <w:pPr>
        <w:jc w:val="both"/>
        <w:rPr>
          <w:b/>
          <w:bCs/>
          <w:szCs w:val="22"/>
          <w:lang w:val="en-GB"/>
        </w:rPr>
      </w:pPr>
    </w:p>
    <w:p w14:paraId="0CCD244F" w14:textId="77777777" w:rsidR="00EF2C01" w:rsidRDefault="00EF2C01" w:rsidP="000F2C78">
      <w:pPr>
        <w:jc w:val="both"/>
        <w:rPr>
          <w:b/>
          <w:bCs/>
          <w:szCs w:val="22"/>
          <w:lang w:val="en-GB"/>
        </w:rPr>
      </w:pPr>
    </w:p>
    <w:p w14:paraId="4A8B1767" w14:textId="77777777" w:rsidR="00EF2C01" w:rsidRDefault="00EF2C01" w:rsidP="000F2C78">
      <w:pPr>
        <w:jc w:val="both"/>
        <w:rPr>
          <w:b/>
          <w:bCs/>
          <w:szCs w:val="22"/>
          <w:lang w:val="en-GB"/>
        </w:rPr>
      </w:pPr>
    </w:p>
    <w:p w14:paraId="420E3C78" w14:textId="77777777" w:rsidR="00EF2C01" w:rsidRDefault="00EF2C01" w:rsidP="000F2C78">
      <w:pPr>
        <w:jc w:val="both"/>
        <w:rPr>
          <w:b/>
          <w:bCs/>
          <w:szCs w:val="22"/>
          <w:lang w:val="en-GB"/>
        </w:rPr>
      </w:pPr>
    </w:p>
    <w:p w14:paraId="2E3BB35C" w14:textId="77777777" w:rsidR="00EF2C01" w:rsidRDefault="00EF2C01" w:rsidP="000F2C78">
      <w:pPr>
        <w:jc w:val="both"/>
        <w:rPr>
          <w:b/>
          <w:bCs/>
          <w:szCs w:val="22"/>
          <w:lang w:val="en-GB"/>
        </w:rPr>
      </w:pPr>
    </w:p>
    <w:p w14:paraId="1EB90FC7" w14:textId="77777777" w:rsidR="00EF2C01" w:rsidRDefault="00EF2C01" w:rsidP="000F2C78">
      <w:pPr>
        <w:jc w:val="both"/>
        <w:rPr>
          <w:b/>
          <w:bCs/>
          <w:szCs w:val="22"/>
          <w:lang w:val="en-GB"/>
        </w:rPr>
      </w:pPr>
    </w:p>
    <w:p w14:paraId="3BB45529" w14:textId="77777777" w:rsidR="00EF2C01" w:rsidRPr="000F2C78" w:rsidRDefault="00EF2C01" w:rsidP="000F2C78">
      <w:pPr>
        <w:jc w:val="both"/>
        <w:rPr>
          <w:b/>
          <w:bCs/>
          <w:szCs w:val="22"/>
          <w:lang w:val="en-GB"/>
        </w:rPr>
      </w:pPr>
    </w:p>
    <w:p w14:paraId="22F9566A" w14:textId="199DA4C0" w:rsidR="00FF33B9" w:rsidRPr="00D84639" w:rsidRDefault="00FF33B9" w:rsidP="00D84639">
      <w:pPr>
        <w:pStyle w:val="Heading1"/>
      </w:pPr>
      <w:bookmarkStart w:id="0" w:name="_Toc220447434"/>
      <w:r w:rsidRPr="00D84639">
        <w:lastRenderedPageBreak/>
        <w:t>CHAPTER 1: Introduction</w:t>
      </w:r>
      <w:bookmarkEnd w:id="0"/>
    </w:p>
    <w:p w14:paraId="5274D9C1" w14:textId="77777777" w:rsidR="00FF33B9" w:rsidRPr="00D84639" w:rsidRDefault="00FF33B9" w:rsidP="00D84639">
      <w:pPr>
        <w:pStyle w:val="Heading2"/>
      </w:pPr>
      <w:bookmarkStart w:id="1" w:name="_Toc220447435"/>
      <w:r w:rsidRPr="00D84639">
        <w:t>1.1 Introduction</w:t>
      </w:r>
      <w:bookmarkEnd w:id="1"/>
    </w:p>
    <w:p w14:paraId="52B73DBD" w14:textId="77777777" w:rsidR="00BA1BCB" w:rsidRDefault="00BA1BCB" w:rsidP="00D84639">
      <w:pPr>
        <w:pStyle w:val="NormalWeb"/>
        <w:spacing w:line="360" w:lineRule="auto"/>
        <w:jc w:val="both"/>
        <w:rPr>
          <w:rFonts w:asciiTheme="minorHAnsi" w:hAnsiTheme="minorHAnsi" w:cstheme="minorBidi"/>
          <w:sz w:val="22"/>
          <w:szCs w:val="22"/>
        </w:rPr>
      </w:pPr>
      <w:r w:rsidRPr="00BA1BCB">
        <w:rPr>
          <w:rFonts w:asciiTheme="minorHAnsi" w:hAnsiTheme="minorHAnsi" w:cstheme="minorBidi"/>
          <w:sz w:val="22"/>
          <w:szCs w:val="22"/>
        </w:rPr>
        <w:t>There is unequal access to health and social care for different groups of people – particularly for people who earn less money, who are in less secure work or who have limited education. These groups are generally more unhealthy than people in higher social classes, and therefore they have more difficulty accessing health and social care than do people in higher classes. This is illustrated by the relationship between socioeconomic status and the social ladder (Gabriel et al., 2025). The place where an individual resides may also influence their access to health and social care. Most cities provide more hospitals, clinics and voluntary agencies than rural communities do, because in rural communities it takes longer to get the care you need, there is a shortage of health professionals, and there are fewer places to go for health and social care (Chen et al., 2019).</w:t>
      </w:r>
    </w:p>
    <w:p w14:paraId="008B7542" w14:textId="42C9CC81" w:rsidR="00527ED8" w:rsidRPr="00D84639" w:rsidRDefault="00527ED8" w:rsidP="00D84639">
      <w:pPr>
        <w:pStyle w:val="NormalWeb"/>
        <w:spacing w:line="360" w:lineRule="auto"/>
        <w:jc w:val="both"/>
        <w:rPr>
          <w:rFonts w:asciiTheme="minorHAnsi" w:hAnsiTheme="minorHAnsi" w:cstheme="minorBidi"/>
          <w:sz w:val="22"/>
          <w:szCs w:val="22"/>
        </w:rPr>
      </w:pPr>
      <w:r w:rsidRPr="00527ED8">
        <w:rPr>
          <w:rFonts w:asciiTheme="minorHAnsi" w:hAnsiTheme="minorHAnsi" w:cstheme="minorBidi"/>
          <w:sz w:val="22"/>
          <w:szCs w:val="22"/>
        </w:rPr>
        <w:t>Despite more services being available in the city, this does not always equate to better access. There remains the possibility that red tape, waiting times, transport costs and stigma may limit the uptake of services, especially among people with low SES. Social networks can help in rural settings, but they will never replace the whole supply (Dassah et al., 2018). This thesis will explore complex relations between SES and urban and rural contexts to impact health and social service access. The aim is to assess the role of SES on people's ability to access and use services in different geographical locations and derive implications for fair policies and practice.</w:t>
      </w:r>
    </w:p>
    <w:p w14:paraId="16F8F9EB" w14:textId="3BE37400" w:rsidR="00DF046A" w:rsidRPr="00D84639" w:rsidRDefault="00DF046A" w:rsidP="00EF2C01">
      <w:pPr>
        <w:pStyle w:val="NormalWeb"/>
        <w:keepNext/>
        <w:spacing w:line="360" w:lineRule="auto"/>
        <w:jc w:val="center"/>
        <w:rPr>
          <w:rFonts w:asciiTheme="minorHAnsi" w:hAnsiTheme="minorHAnsi" w:cstheme="minorBidi"/>
          <w:sz w:val="22"/>
          <w:szCs w:val="22"/>
        </w:rPr>
      </w:pPr>
      <w:r w:rsidRPr="00D84639">
        <w:rPr>
          <w:rFonts w:asciiTheme="minorHAnsi" w:hAnsiTheme="minorHAnsi" w:cstheme="minorBidi"/>
          <w:noProof/>
          <w:sz w:val="22"/>
          <w:szCs w:val="22"/>
          <w14:ligatures w14:val="standardContextual"/>
        </w:rPr>
        <w:lastRenderedPageBreak/>
        <w:drawing>
          <wp:inline distT="0" distB="0" distL="0" distR="0" wp14:anchorId="1FE5F78C" wp14:editId="4864F5A5">
            <wp:extent cx="5486400" cy="3200400"/>
            <wp:effectExtent l="0" t="0" r="0" b="19050"/>
            <wp:docPr id="119500055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AD9CBBB" w14:textId="39C9593B" w:rsidR="00DF046A" w:rsidRPr="00D95FFE" w:rsidRDefault="005F5A2D" w:rsidP="00EF2C01">
      <w:pPr>
        <w:pStyle w:val="Caption"/>
        <w:spacing w:line="360" w:lineRule="auto"/>
        <w:jc w:val="center"/>
        <w:rPr>
          <w:rFonts w:ascii="Aptos" w:hAnsi="Aptos" w:cstheme="minorBidi"/>
        </w:rPr>
      </w:pPr>
      <w:bookmarkStart w:id="2" w:name="_Toc220447476"/>
      <w:r w:rsidRPr="00D95FFE">
        <w:rPr>
          <w:rFonts w:ascii="Aptos" w:hAnsi="Aptos"/>
        </w:rPr>
        <w:t xml:space="preserve">Figure </w:t>
      </w:r>
      <w:r w:rsidRPr="00D95FFE">
        <w:rPr>
          <w:rFonts w:ascii="Aptos" w:hAnsi="Aptos"/>
        </w:rPr>
        <w:fldChar w:fldCharType="begin"/>
      </w:r>
      <w:r w:rsidRPr="00D95FFE">
        <w:rPr>
          <w:rFonts w:ascii="Aptos" w:hAnsi="Aptos"/>
        </w:rPr>
        <w:instrText xml:space="preserve"> SEQ Figure \* ARABIC </w:instrText>
      </w:r>
      <w:r w:rsidRPr="00D95FFE">
        <w:rPr>
          <w:rFonts w:ascii="Aptos" w:hAnsi="Aptos"/>
        </w:rPr>
        <w:fldChar w:fldCharType="separate"/>
      </w:r>
      <w:r w:rsidRPr="00D95FFE">
        <w:rPr>
          <w:rFonts w:ascii="Aptos" w:hAnsi="Aptos"/>
          <w:noProof/>
        </w:rPr>
        <w:t>1</w:t>
      </w:r>
      <w:r w:rsidRPr="00D95FFE">
        <w:rPr>
          <w:rFonts w:ascii="Aptos" w:hAnsi="Aptos"/>
        </w:rPr>
        <w:fldChar w:fldCharType="end"/>
      </w:r>
      <w:r w:rsidRPr="00D95FFE">
        <w:rPr>
          <w:rFonts w:ascii="Aptos" w:hAnsi="Aptos"/>
          <w:lang w:val="en-GB"/>
        </w:rPr>
        <w:t>: Urban–rural barriers to health and social care access and their interaction with socioeconomic status (SES)</w:t>
      </w:r>
      <w:r w:rsidR="00D84639" w:rsidRPr="00D95FFE">
        <w:rPr>
          <w:rFonts w:ascii="Aptos" w:hAnsi="Aptos"/>
          <w:lang w:val="en-GB"/>
        </w:rPr>
        <w:t xml:space="preserve"> </w:t>
      </w:r>
      <w:r w:rsidR="00D84639" w:rsidRPr="00D95FFE">
        <w:rPr>
          <w:rFonts w:ascii="Aptos" w:hAnsi="Aptos" w:cs="Arial"/>
        </w:rPr>
        <w:t xml:space="preserve">(Castillo </w:t>
      </w:r>
      <w:r w:rsidR="00D84639" w:rsidRPr="00D95FFE">
        <w:rPr>
          <w:rFonts w:ascii="Aptos" w:hAnsi="Aptos" w:cs="Arial"/>
          <w:i w:val="0"/>
          <w:iCs w:val="0"/>
        </w:rPr>
        <w:t>et al.</w:t>
      </w:r>
      <w:r w:rsidR="00D84639" w:rsidRPr="00D95FFE">
        <w:rPr>
          <w:rFonts w:ascii="Aptos" w:hAnsi="Aptos" w:cs="Arial"/>
        </w:rPr>
        <w:t xml:space="preserve">, 2022; Chen </w:t>
      </w:r>
      <w:r w:rsidR="00D84639" w:rsidRPr="00D95FFE">
        <w:rPr>
          <w:rFonts w:ascii="Aptos" w:hAnsi="Aptos" w:cs="Arial"/>
          <w:i w:val="0"/>
          <w:iCs w:val="0"/>
        </w:rPr>
        <w:t>et al.</w:t>
      </w:r>
      <w:r w:rsidR="00D84639" w:rsidRPr="00D95FFE">
        <w:rPr>
          <w:rFonts w:ascii="Aptos" w:hAnsi="Aptos" w:cs="Arial"/>
        </w:rPr>
        <w:t>, 2019)</w:t>
      </w:r>
      <w:bookmarkEnd w:id="2"/>
    </w:p>
    <w:p w14:paraId="59CFBF38" w14:textId="77777777" w:rsidR="00DF046A" w:rsidRPr="00D84639" w:rsidRDefault="00DF046A" w:rsidP="00D84639">
      <w:pPr>
        <w:spacing w:before="100" w:beforeAutospacing="1" w:after="100" w:afterAutospacing="1"/>
        <w:jc w:val="both"/>
        <w:rPr>
          <w:szCs w:val="22"/>
        </w:rPr>
      </w:pPr>
    </w:p>
    <w:p w14:paraId="0EE08AD9" w14:textId="77777777" w:rsidR="00FF33B9" w:rsidRPr="00D84639" w:rsidRDefault="00FF33B9" w:rsidP="00D95FFE">
      <w:pPr>
        <w:pStyle w:val="Heading2"/>
      </w:pPr>
      <w:bookmarkStart w:id="3" w:name="_Toc220447436"/>
      <w:r w:rsidRPr="00D84639">
        <w:t>1.2 Definitions and Terminology</w:t>
      </w:r>
      <w:bookmarkEnd w:id="3"/>
    </w:p>
    <w:p w14:paraId="573B6519" w14:textId="60935842" w:rsidR="00FF33B9" w:rsidRPr="00D84639" w:rsidRDefault="00FF33B9" w:rsidP="008666F3">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Socioeconomic status (SES) in this dissertation refers to a person’s or household’s social and economic position relative to others, measured through income, educational attainment, occupational status and area based deprivation scores. These indicators act as proxies for access to resources and social status. SES is treated as a product of wider economic and policy structures rather than as a purely individual characteristic</w:t>
      </w:r>
      <w:r w:rsidR="00C362EB" w:rsidRPr="00D84639">
        <w:rPr>
          <w:rFonts w:asciiTheme="minorHAnsi" w:hAnsiTheme="minorHAnsi" w:cstheme="minorBidi"/>
          <w:sz w:val="22"/>
          <w:szCs w:val="22"/>
        </w:rPr>
        <w:t xml:space="preserve"> (Zaneva </w:t>
      </w:r>
      <w:r w:rsidR="00C362EB" w:rsidRPr="00D84639">
        <w:rPr>
          <w:rFonts w:asciiTheme="minorHAnsi" w:hAnsiTheme="minorHAnsi" w:cstheme="minorBidi"/>
          <w:i/>
          <w:iCs/>
          <w:sz w:val="22"/>
          <w:szCs w:val="22"/>
        </w:rPr>
        <w:t>et al.</w:t>
      </w:r>
      <w:r w:rsidR="00C362EB" w:rsidRPr="00D84639">
        <w:rPr>
          <w:rFonts w:asciiTheme="minorHAnsi" w:hAnsiTheme="minorHAnsi" w:cstheme="minorBidi"/>
          <w:sz w:val="22"/>
          <w:szCs w:val="22"/>
        </w:rPr>
        <w:t>, 2024)</w:t>
      </w:r>
      <w:r w:rsidRPr="00D84639">
        <w:rPr>
          <w:rFonts w:asciiTheme="minorHAnsi" w:hAnsiTheme="minorHAnsi" w:cstheme="minorBidi"/>
          <w:sz w:val="22"/>
          <w:szCs w:val="22"/>
        </w:rPr>
        <w:t>.</w:t>
      </w:r>
    </w:p>
    <w:p w14:paraId="7F831FE4" w14:textId="77777777" w:rsidR="00791563" w:rsidRPr="00791563" w:rsidRDefault="00791563" w:rsidP="008666F3">
      <w:pPr>
        <w:pStyle w:val="NormalWeb"/>
        <w:spacing w:line="360" w:lineRule="auto"/>
        <w:jc w:val="both"/>
        <w:rPr>
          <w:rFonts w:asciiTheme="minorHAnsi" w:hAnsiTheme="minorHAnsi" w:cstheme="minorBidi"/>
          <w:sz w:val="22"/>
          <w:szCs w:val="22"/>
        </w:rPr>
      </w:pPr>
      <w:r w:rsidRPr="00791563">
        <w:rPr>
          <w:rFonts w:asciiTheme="minorHAnsi" w:hAnsiTheme="minorHAnsi" w:cstheme="minorBidi"/>
          <w:sz w:val="22"/>
          <w:szCs w:val="22"/>
        </w:rPr>
        <w:t>Access to health and social care involves not only making contact with a provider, but knowing that one needs care, seeking out and reaching a service, paying related costs for accessing care, and the care provided being acceptable, timely and respectful. Access has also been understood as including economic, organisation, geographical and cultural aspects (Gulliford et al., 2022).</w:t>
      </w:r>
    </w:p>
    <w:p w14:paraId="18A75829" w14:textId="49BD6723" w:rsidR="00FF33B9" w:rsidRPr="00D84639" w:rsidRDefault="00791563" w:rsidP="008666F3">
      <w:pPr>
        <w:pStyle w:val="NormalWeb"/>
        <w:spacing w:line="360" w:lineRule="auto"/>
        <w:jc w:val="both"/>
        <w:rPr>
          <w:rFonts w:asciiTheme="minorHAnsi" w:hAnsiTheme="minorHAnsi" w:cstheme="minorBidi"/>
          <w:sz w:val="22"/>
          <w:szCs w:val="22"/>
        </w:rPr>
      </w:pPr>
      <w:r w:rsidRPr="00791563">
        <w:rPr>
          <w:rFonts w:asciiTheme="minorHAnsi" w:hAnsiTheme="minorHAnsi" w:cstheme="minorBidi"/>
          <w:sz w:val="22"/>
          <w:szCs w:val="22"/>
        </w:rPr>
        <w:t>Urban and rural areas are defined by classification used in the studies, (e.g. population density, land use, administrative boundaries). This allow us to include studies from different countries with different criteria, and to consider the context. Inequalities are defined as avoidable (unjust) differences in health outcomes or access by social grou</w:t>
      </w:r>
      <w:r>
        <w:rPr>
          <w:rFonts w:asciiTheme="minorHAnsi" w:hAnsiTheme="minorHAnsi" w:cstheme="minorBidi"/>
          <w:sz w:val="22"/>
          <w:szCs w:val="22"/>
        </w:rPr>
        <w:t xml:space="preserve">p </w:t>
      </w:r>
      <w:r w:rsidR="00C362EB" w:rsidRPr="00D84639">
        <w:rPr>
          <w:rFonts w:asciiTheme="minorHAnsi" w:hAnsiTheme="minorHAnsi" w:cstheme="minorBidi"/>
          <w:sz w:val="22"/>
          <w:szCs w:val="22"/>
        </w:rPr>
        <w:t>(Öğdül, 2010)</w:t>
      </w:r>
      <w:r w:rsidR="00FF33B9" w:rsidRPr="00D84639">
        <w:rPr>
          <w:rFonts w:asciiTheme="minorHAnsi" w:hAnsiTheme="minorHAnsi" w:cstheme="minorBidi"/>
          <w:sz w:val="22"/>
          <w:szCs w:val="22"/>
        </w:rPr>
        <w:t>.</w:t>
      </w:r>
    </w:p>
    <w:p w14:paraId="2BFD43A5" w14:textId="77777777" w:rsidR="00303121" w:rsidRPr="00D84639" w:rsidRDefault="00FF33B9"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lastRenderedPageBreak/>
        <w:t>Key acronyms used in this dissertation are:</w:t>
      </w:r>
    </w:p>
    <w:p w14:paraId="25C9109E" w14:textId="4D9AA794" w:rsidR="00303121" w:rsidRPr="00D84639" w:rsidRDefault="00FF33B9" w:rsidP="00D95FFE">
      <w:pPr>
        <w:pStyle w:val="NormalWeb"/>
        <w:numPr>
          <w:ilvl w:val="0"/>
          <w:numId w:val="5"/>
        </w:numPr>
        <w:spacing w:line="360" w:lineRule="auto"/>
        <w:jc w:val="both"/>
        <w:rPr>
          <w:rFonts w:asciiTheme="minorHAnsi" w:hAnsiTheme="minorHAnsi" w:cstheme="minorBidi"/>
          <w:sz w:val="22"/>
          <w:szCs w:val="22"/>
        </w:rPr>
      </w:pPr>
      <w:r w:rsidRPr="00D84639">
        <w:rPr>
          <w:rStyle w:val="Strong"/>
          <w:rFonts w:asciiTheme="minorHAnsi" w:eastAsiaTheme="majorEastAsia" w:hAnsiTheme="minorHAnsi" w:cstheme="minorBidi"/>
          <w:sz w:val="22"/>
          <w:szCs w:val="22"/>
        </w:rPr>
        <w:t>SES</w:t>
      </w:r>
      <w:r w:rsidRPr="00D84639">
        <w:rPr>
          <w:rFonts w:asciiTheme="minorHAnsi" w:hAnsiTheme="minorHAnsi" w:cstheme="minorBidi"/>
          <w:sz w:val="22"/>
          <w:szCs w:val="22"/>
        </w:rPr>
        <w:t>: Socioeconomic status</w:t>
      </w:r>
    </w:p>
    <w:p w14:paraId="48811F4E" w14:textId="45BFA5BA" w:rsidR="00303121" w:rsidRPr="00D84639" w:rsidRDefault="00FF33B9" w:rsidP="00D95FFE">
      <w:pPr>
        <w:pStyle w:val="NormalWeb"/>
        <w:numPr>
          <w:ilvl w:val="0"/>
          <w:numId w:val="5"/>
        </w:numPr>
        <w:spacing w:line="360" w:lineRule="auto"/>
        <w:jc w:val="both"/>
        <w:rPr>
          <w:rFonts w:asciiTheme="minorHAnsi" w:hAnsiTheme="minorHAnsi" w:cstheme="minorBidi"/>
          <w:sz w:val="22"/>
          <w:szCs w:val="22"/>
        </w:rPr>
      </w:pPr>
      <w:r w:rsidRPr="00D84639">
        <w:rPr>
          <w:rStyle w:val="Strong"/>
          <w:rFonts w:asciiTheme="minorHAnsi" w:eastAsiaTheme="majorEastAsia" w:hAnsiTheme="minorHAnsi" w:cstheme="minorBidi"/>
          <w:sz w:val="22"/>
          <w:szCs w:val="22"/>
        </w:rPr>
        <w:t>GP</w:t>
      </w:r>
      <w:r w:rsidRPr="00D84639">
        <w:rPr>
          <w:rFonts w:asciiTheme="minorHAnsi" w:hAnsiTheme="minorHAnsi" w:cstheme="minorBidi"/>
          <w:sz w:val="22"/>
          <w:szCs w:val="22"/>
        </w:rPr>
        <w:t>: General practitioner</w:t>
      </w:r>
    </w:p>
    <w:p w14:paraId="47544DE5" w14:textId="6445B5A6" w:rsidR="00303121" w:rsidRPr="00D84639" w:rsidRDefault="00FF33B9" w:rsidP="00D95FFE">
      <w:pPr>
        <w:pStyle w:val="NormalWeb"/>
        <w:numPr>
          <w:ilvl w:val="0"/>
          <w:numId w:val="5"/>
        </w:numPr>
        <w:spacing w:line="360" w:lineRule="auto"/>
        <w:jc w:val="both"/>
        <w:rPr>
          <w:rFonts w:asciiTheme="minorHAnsi" w:hAnsiTheme="minorHAnsi" w:cstheme="minorBidi"/>
          <w:sz w:val="22"/>
          <w:szCs w:val="22"/>
        </w:rPr>
      </w:pPr>
      <w:r w:rsidRPr="00D84639">
        <w:rPr>
          <w:rStyle w:val="Strong"/>
          <w:rFonts w:asciiTheme="minorHAnsi" w:eastAsiaTheme="majorEastAsia" w:hAnsiTheme="minorHAnsi" w:cstheme="minorBidi"/>
          <w:sz w:val="22"/>
          <w:szCs w:val="22"/>
        </w:rPr>
        <w:t>NGO</w:t>
      </w:r>
      <w:r w:rsidRPr="00D84639">
        <w:rPr>
          <w:rFonts w:asciiTheme="minorHAnsi" w:hAnsiTheme="minorHAnsi" w:cstheme="minorBidi"/>
          <w:sz w:val="22"/>
          <w:szCs w:val="22"/>
        </w:rPr>
        <w:t>: Non governmental organisation</w:t>
      </w:r>
    </w:p>
    <w:p w14:paraId="55913A72" w14:textId="61567C6A" w:rsidR="00303121" w:rsidRPr="00D84639" w:rsidRDefault="00FF33B9" w:rsidP="00D95FFE">
      <w:pPr>
        <w:pStyle w:val="NormalWeb"/>
        <w:numPr>
          <w:ilvl w:val="0"/>
          <w:numId w:val="5"/>
        </w:numPr>
        <w:spacing w:line="360" w:lineRule="auto"/>
        <w:jc w:val="both"/>
        <w:rPr>
          <w:rFonts w:asciiTheme="minorHAnsi" w:hAnsiTheme="minorHAnsi" w:cstheme="minorBidi"/>
          <w:sz w:val="22"/>
          <w:szCs w:val="22"/>
        </w:rPr>
      </w:pPr>
      <w:r w:rsidRPr="00D84639">
        <w:rPr>
          <w:rStyle w:val="Strong"/>
          <w:rFonts w:asciiTheme="minorHAnsi" w:eastAsiaTheme="majorEastAsia" w:hAnsiTheme="minorHAnsi" w:cstheme="minorBidi"/>
          <w:sz w:val="22"/>
          <w:szCs w:val="22"/>
        </w:rPr>
        <w:t>OECD</w:t>
      </w:r>
      <w:r w:rsidRPr="00D84639">
        <w:rPr>
          <w:rFonts w:asciiTheme="minorHAnsi" w:hAnsiTheme="minorHAnsi" w:cstheme="minorBidi"/>
          <w:sz w:val="22"/>
          <w:szCs w:val="22"/>
        </w:rPr>
        <w:t>: Organisation for Economic Co operation and Development</w:t>
      </w:r>
    </w:p>
    <w:p w14:paraId="4CF7F754" w14:textId="4DEFE9EA" w:rsidR="00FF33B9" w:rsidRPr="00D84639" w:rsidRDefault="00FF33B9" w:rsidP="00D95FFE">
      <w:pPr>
        <w:pStyle w:val="NormalWeb"/>
        <w:numPr>
          <w:ilvl w:val="0"/>
          <w:numId w:val="5"/>
        </w:numPr>
        <w:spacing w:line="360" w:lineRule="auto"/>
        <w:jc w:val="both"/>
        <w:rPr>
          <w:rFonts w:asciiTheme="minorHAnsi" w:hAnsiTheme="minorHAnsi" w:cstheme="minorBidi"/>
          <w:sz w:val="22"/>
          <w:szCs w:val="22"/>
        </w:rPr>
      </w:pPr>
      <w:r w:rsidRPr="00D84639">
        <w:rPr>
          <w:rStyle w:val="Strong"/>
          <w:rFonts w:asciiTheme="minorHAnsi" w:eastAsiaTheme="majorEastAsia" w:hAnsiTheme="minorHAnsi" w:cstheme="minorBidi"/>
          <w:sz w:val="22"/>
          <w:szCs w:val="22"/>
        </w:rPr>
        <w:t>WHO</w:t>
      </w:r>
      <w:r w:rsidRPr="00D84639">
        <w:rPr>
          <w:rFonts w:asciiTheme="minorHAnsi" w:hAnsiTheme="minorHAnsi" w:cstheme="minorBidi"/>
          <w:sz w:val="22"/>
          <w:szCs w:val="22"/>
        </w:rPr>
        <w:t>: World Health Organization</w:t>
      </w:r>
    </w:p>
    <w:p w14:paraId="5FD836AB" w14:textId="77777777" w:rsidR="00FF33B9" w:rsidRPr="00D84639" w:rsidRDefault="00FF33B9" w:rsidP="00D95FFE">
      <w:pPr>
        <w:pStyle w:val="Heading2"/>
      </w:pPr>
      <w:bookmarkStart w:id="4" w:name="_Toc220447437"/>
      <w:r w:rsidRPr="00D84639">
        <w:t>1.3 Rationale for Research</w:t>
      </w:r>
      <w:bookmarkEnd w:id="4"/>
    </w:p>
    <w:p w14:paraId="17315579" w14:textId="77777777" w:rsidR="00AE36E4" w:rsidRPr="00AE36E4" w:rsidRDefault="00AE36E4" w:rsidP="005D49E2">
      <w:pPr>
        <w:pStyle w:val="NormalWeb"/>
        <w:spacing w:line="360" w:lineRule="auto"/>
        <w:jc w:val="both"/>
        <w:rPr>
          <w:rFonts w:asciiTheme="minorHAnsi" w:hAnsiTheme="minorHAnsi" w:cstheme="minorBidi"/>
          <w:sz w:val="22"/>
          <w:szCs w:val="22"/>
        </w:rPr>
      </w:pPr>
      <w:r w:rsidRPr="00AE36E4">
        <w:rPr>
          <w:rFonts w:asciiTheme="minorHAnsi" w:hAnsiTheme="minorHAnsi" w:cstheme="minorBidi"/>
          <w:sz w:val="22"/>
          <w:szCs w:val="22"/>
        </w:rPr>
        <w:t>Mounting evidence shows a clear association between social disadvantage and health, as well as with access to health services. Research also reveals variations in the use of services, and health, by urban and rural residents (Dassah et al., 2018; Gabriel et al., 2025). But often this research considers place and SES independently or provides a binary urban/rural picture. In turn, policy and planning responses focus either on area based investment, or on efforts to address low income populations, rather than exploring the interaction between social status and place in determining access to services.</w:t>
      </w:r>
    </w:p>
    <w:p w14:paraId="59FE3BD0" w14:textId="26315DBE" w:rsidR="00FF33B9" w:rsidRPr="00D84639" w:rsidRDefault="00AE36E4" w:rsidP="005D49E2">
      <w:pPr>
        <w:pStyle w:val="NormalWeb"/>
        <w:spacing w:line="360" w:lineRule="auto"/>
        <w:jc w:val="both"/>
        <w:rPr>
          <w:rFonts w:asciiTheme="minorHAnsi" w:hAnsiTheme="minorHAnsi" w:cstheme="minorBidi"/>
          <w:sz w:val="22"/>
          <w:szCs w:val="22"/>
        </w:rPr>
      </w:pPr>
      <w:r w:rsidRPr="00AE36E4">
        <w:rPr>
          <w:rFonts w:asciiTheme="minorHAnsi" w:hAnsiTheme="minorHAnsi" w:cstheme="minorBidi"/>
          <w:sz w:val="22"/>
          <w:szCs w:val="22"/>
        </w:rPr>
        <w:t>Previous reviews tend to focus on specific services though such as primary care or hospital admissions, or populations. These are informative but present a piecemeal view of the effects of SES on access to the broader health and social care system in urban and rural areas (Averill and Mills, 2022; Moscrop et al, 2019). Other studies use limited and narrow definitions of access, based on just utilisation or insurance, without taking unmet need, quality or satisfaction into account. Equity is often stated as a key feature of policies, but they rarely integrate evidence about how different interventions reduce the influence of SES in rural and urban settings</w:t>
      </w:r>
      <w:r>
        <w:rPr>
          <w:rFonts w:asciiTheme="minorHAnsi" w:hAnsiTheme="minorHAnsi" w:cstheme="minorBidi"/>
          <w:sz w:val="22"/>
          <w:szCs w:val="22"/>
        </w:rPr>
        <w:t xml:space="preserve"> </w:t>
      </w:r>
      <w:r w:rsidR="00C362EB" w:rsidRPr="00D84639">
        <w:rPr>
          <w:rFonts w:asciiTheme="minorHAnsi" w:hAnsiTheme="minorHAnsi" w:cstheme="minorBidi"/>
          <w:sz w:val="22"/>
          <w:szCs w:val="22"/>
        </w:rPr>
        <w:t xml:space="preserve">(Ranjan, Sundararaman and Garg, 2023; Zaneva </w:t>
      </w:r>
      <w:r w:rsidR="00C362EB" w:rsidRPr="00D84639">
        <w:rPr>
          <w:rFonts w:asciiTheme="minorHAnsi" w:hAnsiTheme="minorHAnsi" w:cstheme="minorBidi"/>
          <w:i/>
          <w:iCs/>
          <w:sz w:val="22"/>
          <w:szCs w:val="22"/>
        </w:rPr>
        <w:t>et al.</w:t>
      </w:r>
      <w:r w:rsidR="00C362EB" w:rsidRPr="00D84639">
        <w:rPr>
          <w:rFonts w:asciiTheme="minorHAnsi" w:hAnsiTheme="minorHAnsi" w:cstheme="minorBidi"/>
          <w:sz w:val="22"/>
          <w:szCs w:val="22"/>
        </w:rPr>
        <w:t>, 2024)</w:t>
      </w:r>
      <w:r w:rsidR="00FF33B9" w:rsidRPr="00D84639">
        <w:rPr>
          <w:rFonts w:asciiTheme="minorHAnsi" w:hAnsiTheme="minorHAnsi" w:cstheme="minorBidi"/>
          <w:sz w:val="22"/>
          <w:szCs w:val="22"/>
        </w:rPr>
        <w:t>.</w:t>
      </w:r>
    </w:p>
    <w:p w14:paraId="630059B5" w14:textId="1AC83926" w:rsidR="00FF33B9" w:rsidRPr="00D84639" w:rsidRDefault="00FF33B9"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 xml:space="preserve">This dissertation addresses these gaps through a systematic literature review that brings together studies on SES, access and urban–rural context. By comparing findings across different settings, the review will assess where patterns are consistent, where they diverge and how these differences can be explained. </w:t>
      </w:r>
    </w:p>
    <w:p w14:paraId="1F7E6320" w14:textId="77777777" w:rsidR="00FF33B9" w:rsidRPr="00D84639" w:rsidRDefault="00FF33B9" w:rsidP="00D95FFE">
      <w:pPr>
        <w:pStyle w:val="Heading2"/>
      </w:pPr>
      <w:bookmarkStart w:id="5" w:name="_Toc220447438"/>
      <w:r w:rsidRPr="00D84639">
        <w:t>1.4 Aim and Objectives</w:t>
      </w:r>
      <w:bookmarkEnd w:id="5"/>
    </w:p>
    <w:p w14:paraId="4EAD8B74" w14:textId="0E451B2F" w:rsidR="00FF33B9" w:rsidRPr="00D84639" w:rsidRDefault="00FF33B9"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The aim of this dissertation is to examine how socioeconomic status, measured through income, education, occupation and deprivation indices, shapes access to health and social care services across urban and rural communities.</w:t>
      </w:r>
    </w:p>
    <w:p w14:paraId="2245C610" w14:textId="77777777" w:rsidR="00C362EB" w:rsidRPr="00D84639" w:rsidRDefault="00FF33B9"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lastRenderedPageBreak/>
        <w:t>The study will pursue the following objectives:</w:t>
      </w:r>
    </w:p>
    <w:p w14:paraId="1159FDF2" w14:textId="77777777" w:rsidR="00C362EB" w:rsidRPr="00D84639" w:rsidRDefault="00FF33B9" w:rsidP="00D84639">
      <w:pPr>
        <w:pStyle w:val="NormalWeb"/>
        <w:numPr>
          <w:ilvl w:val="0"/>
          <w:numId w:val="2"/>
        </w:numPr>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To define and examine the concept of socioeconomic status and its dimensions in relation to access to health and social care services.</w:t>
      </w:r>
    </w:p>
    <w:p w14:paraId="345DA32F" w14:textId="77777777" w:rsidR="00C362EB" w:rsidRPr="00D84639" w:rsidRDefault="00FF33B9" w:rsidP="00D84639">
      <w:pPr>
        <w:pStyle w:val="NormalWeb"/>
        <w:numPr>
          <w:ilvl w:val="0"/>
          <w:numId w:val="2"/>
        </w:numPr>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To analyse how socioeconomic status influences disparities in accessing health and social care services across urban and rural populations.</w:t>
      </w:r>
    </w:p>
    <w:p w14:paraId="4C84478A" w14:textId="77777777" w:rsidR="00C362EB" w:rsidRPr="00D84639" w:rsidRDefault="00FF33B9" w:rsidP="00D84639">
      <w:pPr>
        <w:pStyle w:val="NormalWeb"/>
        <w:numPr>
          <w:ilvl w:val="0"/>
          <w:numId w:val="2"/>
        </w:numPr>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To evaluate the evidence from existing literature on how socioeconomic status affects patterns of healthcare and social care utilisation and barriers to access.</w:t>
      </w:r>
    </w:p>
    <w:p w14:paraId="72CBD042" w14:textId="422625C8" w:rsidR="00FF33B9" w:rsidRPr="00D84639" w:rsidRDefault="00FF33B9" w:rsidP="00D84639">
      <w:pPr>
        <w:pStyle w:val="NormalWeb"/>
        <w:numPr>
          <w:ilvl w:val="0"/>
          <w:numId w:val="2"/>
        </w:numPr>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To provide recommendations for policymakers, healthcare providers and social care organisations to reduce socioeconomic inequalities and improve equitable access in both urban and rural settings.</w:t>
      </w:r>
    </w:p>
    <w:p w14:paraId="1F3823E6" w14:textId="291DA4B0" w:rsidR="00FF33B9" w:rsidRPr="00D84639" w:rsidRDefault="00FF33B9"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These objectives provide a clear framework for the review, guide the development of the search strategy and inclusion criteria and structure the analysis of findings.</w:t>
      </w:r>
    </w:p>
    <w:p w14:paraId="47C5F417" w14:textId="77777777" w:rsidR="00FF33B9" w:rsidRPr="00D84639" w:rsidRDefault="00FF33B9" w:rsidP="00D95FFE">
      <w:pPr>
        <w:pStyle w:val="Heading2"/>
      </w:pPr>
      <w:bookmarkStart w:id="6" w:name="_Toc220447439"/>
      <w:r w:rsidRPr="00D84639">
        <w:t>1.5 Conclusion</w:t>
      </w:r>
      <w:bookmarkEnd w:id="6"/>
    </w:p>
    <w:p w14:paraId="1031DF6A" w14:textId="1BD10D34" w:rsidR="00FF33B9" w:rsidRPr="00D84639" w:rsidRDefault="00FF33B9"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This chapter has introduced the focus of the dissertation, clarified the key concepts that will be used throughout and explained why the relationship between socioeconomic status, geographical context and access to health and social care requires critical examination. It has set out the rationale for adopting a systematic review design and presented the aim and objectives that will guide the study.</w:t>
      </w:r>
      <w:r w:rsidR="004F41E5" w:rsidRPr="00D84639">
        <w:rPr>
          <w:rFonts w:asciiTheme="minorHAnsi" w:hAnsiTheme="minorHAnsi" w:cstheme="minorBidi"/>
          <w:sz w:val="22"/>
          <w:szCs w:val="22"/>
        </w:rPr>
        <w:t xml:space="preserve"> The research uses a desk based secondary approch and thematic analysis to carry out the study.</w:t>
      </w:r>
    </w:p>
    <w:p w14:paraId="64549CCE" w14:textId="0C308C48" w:rsidR="00FF33B9" w:rsidRPr="00D84639" w:rsidRDefault="00FF33B9"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 xml:space="preserve">Chapter 2 will present a critical review of the existing literature on socioeconomic inequalities in access to health and social care. It will examine theoretical perspectives on SES and health, summarise current evidence on urban–rural differences in access and identify the main gaps and inconsistencies that justify the present study. This provides the foundation for the methods and analysis described in later chapters. </w:t>
      </w:r>
    </w:p>
    <w:p w14:paraId="0252CE0B" w14:textId="77777777" w:rsidR="0099681F" w:rsidRPr="00D84639" w:rsidRDefault="0099681F" w:rsidP="00D84639">
      <w:pPr>
        <w:jc w:val="both"/>
        <w:rPr>
          <w:szCs w:val="22"/>
          <w:lang w:val="en-GB"/>
        </w:rPr>
      </w:pPr>
    </w:p>
    <w:p w14:paraId="4CC4F04F" w14:textId="3C009114" w:rsidR="00C362EB" w:rsidRPr="00D95FFE" w:rsidRDefault="00C362EB" w:rsidP="00D95FFE">
      <w:pPr>
        <w:pStyle w:val="Heading1"/>
      </w:pPr>
      <w:bookmarkStart w:id="7" w:name="_Toc220447440"/>
      <w:r w:rsidRPr="00D95FFE">
        <w:lastRenderedPageBreak/>
        <w:t>CHAPTER 2</w:t>
      </w:r>
      <w:r w:rsidR="00D95FFE" w:rsidRPr="00D95FFE">
        <w:t>:</w:t>
      </w:r>
      <w:r w:rsidRPr="00D95FFE">
        <w:t xml:space="preserve"> Background Information and Analysis</w:t>
      </w:r>
      <w:bookmarkEnd w:id="7"/>
    </w:p>
    <w:p w14:paraId="6AC59A93" w14:textId="77777777" w:rsidR="006A7836" w:rsidRPr="00D84639" w:rsidRDefault="006A7836" w:rsidP="00D95FFE">
      <w:pPr>
        <w:pStyle w:val="Heading2"/>
      </w:pPr>
      <w:bookmarkStart w:id="8" w:name="_Toc220447441"/>
      <w:r w:rsidRPr="00D84639">
        <w:t>2.1 Introduction</w:t>
      </w:r>
      <w:bookmarkEnd w:id="8"/>
    </w:p>
    <w:p w14:paraId="45CB578F" w14:textId="465EACA6" w:rsidR="006A7836" w:rsidRPr="00D84639" w:rsidRDefault="00D92D04" w:rsidP="00D84639">
      <w:pPr>
        <w:jc w:val="both"/>
        <w:rPr>
          <w:szCs w:val="22"/>
        </w:rPr>
      </w:pPr>
      <w:r w:rsidRPr="00D92D04">
        <w:rPr>
          <w:szCs w:val="22"/>
        </w:rPr>
        <w:t>This chapter sets the scene and provides analysis for the research presented in the dissertation, concerning socioeconomic status and its relation to health and social care provision in urban and rural areas. This chapter aims to explain how, over time, equity, need, and resource distribution have become a concern and how they are defined in contemporary discourse. This chapter draws on historical, theoretical, and international and UK policy contexts to place the research problem within a broader system of inequality</w:t>
      </w:r>
      <w:r w:rsidR="00E80757" w:rsidRPr="00D84639">
        <w:rPr>
          <w:szCs w:val="22"/>
        </w:rPr>
        <w:t>. By doing so, it supplies the conceptual and contextual foundation for the review, without previewing findings or themes, which are addressed in Chapter 4.</w:t>
      </w:r>
    </w:p>
    <w:p w14:paraId="24EADD78" w14:textId="77777777" w:rsidR="006A7836" w:rsidRPr="00D84639" w:rsidRDefault="006A7836" w:rsidP="00D95FFE">
      <w:pPr>
        <w:pStyle w:val="Heading2"/>
      </w:pPr>
      <w:bookmarkStart w:id="9" w:name="_Toc220447442"/>
      <w:r w:rsidRPr="00D84639">
        <w:t>2.2 Historical Background</w:t>
      </w:r>
      <w:bookmarkEnd w:id="9"/>
    </w:p>
    <w:p w14:paraId="581611B9" w14:textId="77777777" w:rsidR="00386104" w:rsidRDefault="00386104" w:rsidP="00D84639">
      <w:pPr>
        <w:pStyle w:val="NormalWeb"/>
        <w:spacing w:line="360" w:lineRule="auto"/>
        <w:jc w:val="both"/>
        <w:rPr>
          <w:rFonts w:asciiTheme="minorHAnsi" w:hAnsiTheme="minorHAnsi" w:cstheme="minorBidi"/>
          <w:sz w:val="22"/>
          <w:szCs w:val="22"/>
        </w:rPr>
      </w:pPr>
      <w:r w:rsidRPr="00386104">
        <w:rPr>
          <w:rFonts w:asciiTheme="minorHAnsi" w:hAnsiTheme="minorHAnsi" w:cstheme="minorBidi"/>
          <w:sz w:val="22"/>
          <w:szCs w:val="22"/>
        </w:rPr>
        <w:t>Contestations of socioeconomic status (SES) and access to health and social care systems have emerged as modern welfare systems have grown. Public health reform in the late 1800s and early 1900s drew attention to connections between poverty, overcrowding and communicable disease but reforms, centred mostly on sanitation, housing and poverty relief, lacked an approach to regular access to medical or social care. Access to cure often relied largely on charity, private out-payment or scant forms of insurance, so there were few guarantees of timely and thorough care for low-income and rural people (Porter, 1994). In the post Second World War, many nations developed tax funded or social insurance systems to cover the population. In many cases, service distribution continued to mirror the patterns of urban and professional dominance, meaning poorer and rural populations had less access to nearby services and longer waiting times (Tulchinsky, 2018).</w:t>
      </w:r>
    </w:p>
    <w:p w14:paraId="6DA6782A" w14:textId="77777777" w:rsidR="005B4C93" w:rsidRDefault="005B4C93" w:rsidP="00D84639">
      <w:pPr>
        <w:pStyle w:val="NormalWeb"/>
        <w:spacing w:line="360" w:lineRule="auto"/>
        <w:jc w:val="both"/>
        <w:rPr>
          <w:rFonts w:asciiTheme="minorHAnsi" w:hAnsiTheme="minorHAnsi" w:cstheme="minorBidi"/>
          <w:sz w:val="22"/>
          <w:szCs w:val="22"/>
        </w:rPr>
      </w:pPr>
      <w:r w:rsidRPr="005B4C93">
        <w:rPr>
          <w:rFonts w:asciiTheme="minorHAnsi" w:hAnsiTheme="minorHAnsi" w:cstheme="minorBidi"/>
          <w:sz w:val="22"/>
          <w:szCs w:val="22"/>
        </w:rPr>
        <w:t>Since the 1960s and 1970s, social medicine and primary care research has demonstrated patterns of inequities in access. Julian Tudor Hart's inverse care law proposed that the quality of medical care available is inversely related to the need of the population, particularly when there are strong market influences (Hart, 1971). This undermined the idea of the market as inherently egalitarian, and drew attention to the spatial and social allocation of resources. International efforts like the primary health care movement and the health for all agenda advocated for resource redistribution towards communities in greatest need and for more community-based care, but this was implemented with varying success across and within countries (Erku et al., 2023).</w:t>
      </w:r>
    </w:p>
    <w:p w14:paraId="5B45200F" w14:textId="77777777" w:rsidR="00280D4C" w:rsidRDefault="00280D4C" w:rsidP="00D84639">
      <w:pPr>
        <w:pStyle w:val="NormalWeb"/>
        <w:spacing w:line="360" w:lineRule="auto"/>
        <w:jc w:val="both"/>
        <w:rPr>
          <w:rFonts w:asciiTheme="minorHAnsi" w:hAnsiTheme="minorHAnsi" w:cstheme="minorBidi"/>
          <w:sz w:val="22"/>
          <w:szCs w:val="22"/>
        </w:rPr>
      </w:pPr>
      <w:r w:rsidRPr="00280D4C">
        <w:rPr>
          <w:rFonts w:asciiTheme="minorHAnsi" w:hAnsiTheme="minorHAnsi" w:cstheme="minorBidi"/>
          <w:sz w:val="22"/>
          <w:szCs w:val="22"/>
        </w:rPr>
        <w:lastRenderedPageBreak/>
        <w:t>Market style reforms, privatisation and managerialist reforms have been introduced in health and social services of high and middle-income countries since the 1980's. Marketed style services, competition and performing (budget allotment) will have aimed to facilitate efficiency in services but have increased demands for the poor who have high service Epidemiological:illness burden responses but limited capacity (Sakellariou and Rotarou, 2017). Rural health research has found shortages of staff, hospital closures and relocation of services to urban centres which have increased journey times and continuity of care for disadvantaged rural communities. In urban studies, limited continuity of health care, rising user charges and non reimbursable incidental costs for example transport, parking and unexpected expenses (such as babysitters) have been found to affect low income families (Chen et al, 2019; Coates et al 2025).</w:t>
      </w:r>
    </w:p>
    <w:p w14:paraId="624EA863" w14:textId="2BAE5D7C" w:rsidR="00982BDE" w:rsidRPr="00D84639" w:rsidRDefault="004565B1" w:rsidP="00D84639">
      <w:pPr>
        <w:pStyle w:val="NormalWeb"/>
        <w:spacing w:line="360" w:lineRule="auto"/>
        <w:jc w:val="both"/>
        <w:rPr>
          <w:rFonts w:asciiTheme="minorHAnsi" w:hAnsiTheme="minorHAnsi"/>
          <w:sz w:val="22"/>
          <w:szCs w:val="22"/>
        </w:rPr>
      </w:pPr>
      <w:r w:rsidRPr="00D84639">
        <w:rPr>
          <w:rStyle w:val="Strong"/>
          <w:rFonts w:asciiTheme="minorHAnsi" w:eastAsiaTheme="majorEastAsia" w:hAnsiTheme="minorHAnsi"/>
          <w:b w:val="0"/>
          <w:bCs w:val="0"/>
          <w:sz w:val="22"/>
          <w:szCs w:val="22"/>
        </w:rPr>
        <w:t>T</w:t>
      </w:r>
      <w:r w:rsidR="000C14EF" w:rsidRPr="00D84639">
        <w:rPr>
          <w:rStyle w:val="Strong"/>
          <w:rFonts w:asciiTheme="minorHAnsi" w:eastAsiaTheme="majorEastAsia" w:hAnsiTheme="minorHAnsi"/>
          <w:b w:val="0"/>
          <w:bCs w:val="0"/>
          <w:sz w:val="22"/>
          <w:szCs w:val="22"/>
        </w:rPr>
        <w:t>he table includes</w:t>
      </w:r>
      <w:r w:rsidRPr="00D84639">
        <w:rPr>
          <w:rStyle w:val="Strong"/>
          <w:rFonts w:asciiTheme="minorHAnsi" w:eastAsiaTheme="majorEastAsia" w:hAnsiTheme="minorHAnsi"/>
          <w:b w:val="0"/>
          <w:bCs w:val="0"/>
          <w:sz w:val="22"/>
          <w:szCs w:val="22"/>
        </w:rPr>
        <w:t xml:space="preserve"> a</w:t>
      </w:r>
      <w:r w:rsidR="000C14EF" w:rsidRPr="00D84639">
        <w:rPr>
          <w:rFonts w:asciiTheme="minorHAnsi" w:hAnsiTheme="minorHAnsi"/>
          <w:sz w:val="22"/>
          <w:szCs w:val="22"/>
        </w:rPr>
        <w:t xml:space="preserve"> brief timeline showing major historical phases and how each shaped access inequalities (especially for low-SES and rural groups).</w:t>
      </w:r>
    </w:p>
    <w:p w14:paraId="35732DBF" w14:textId="109CAC7A" w:rsidR="000C14EF" w:rsidRPr="00555BF3" w:rsidRDefault="000C14EF" w:rsidP="00D84639">
      <w:pPr>
        <w:pStyle w:val="Caption"/>
        <w:keepNext/>
        <w:spacing w:line="360" w:lineRule="auto"/>
        <w:jc w:val="both"/>
      </w:pPr>
      <w:bookmarkStart w:id="10" w:name="_Toc220447477"/>
      <w:r w:rsidRPr="00555BF3">
        <w:t xml:space="preserve">Table </w:t>
      </w:r>
      <w:fldSimple w:instr=" SEQ Table \* ARABIC ">
        <w:r w:rsidR="00A7253B" w:rsidRPr="00555BF3">
          <w:rPr>
            <w:noProof/>
          </w:rPr>
          <w:t>1</w:t>
        </w:r>
      </w:fldSimple>
      <w:r w:rsidRPr="00555BF3">
        <w:rPr>
          <w:lang w:val="en-GB"/>
        </w:rPr>
        <w:t>:</w:t>
      </w:r>
      <w:r w:rsidRPr="00555BF3">
        <w:t xml:space="preserve"> Timeline of key developments linking socioeconomic status (SES) and access to health and social care</w:t>
      </w:r>
      <w:r w:rsidR="00D95FFE" w:rsidRPr="00555BF3">
        <w:t xml:space="preserve"> </w:t>
      </w:r>
      <w:r w:rsidR="00D95FFE" w:rsidRPr="00555BF3">
        <w:rPr>
          <w:rFonts w:cstheme="minorBidi"/>
        </w:rPr>
        <w:t>(Chen et al., 2019; Coates et al., 2025)</w:t>
      </w:r>
      <w:bookmarkEnd w:id="10"/>
    </w:p>
    <w:tbl>
      <w:tblPr>
        <w:tblStyle w:val="TableGrid"/>
        <w:tblW w:w="0" w:type="auto"/>
        <w:tblLook w:val="04A0" w:firstRow="1" w:lastRow="0" w:firstColumn="1" w:lastColumn="0" w:noHBand="0" w:noVBand="1"/>
      </w:tblPr>
      <w:tblGrid>
        <w:gridCol w:w="3466"/>
        <w:gridCol w:w="5550"/>
      </w:tblGrid>
      <w:tr w:rsidR="00E15750" w:rsidRPr="00D84639" w14:paraId="140E3AF9" w14:textId="77777777" w:rsidTr="002C37CB">
        <w:tc>
          <w:tcPr>
            <w:tcW w:w="0" w:type="auto"/>
            <w:hideMark/>
          </w:tcPr>
          <w:p w14:paraId="62272012" w14:textId="77777777" w:rsidR="00E15750" w:rsidRPr="000C14EF" w:rsidRDefault="00E15750" w:rsidP="00D84639">
            <w:pPr>
              <w:jc w:val="both"/>
              <w:rPr>
                <w:b/>
                <w:bCs/>
                <w:szCs w:val="22"/>
              </w:rPr>
            </w:pPr>
            <w:r w:rsidRPr="000C14EF">
              <w:rPr>
                <w:b/>
                <w:bCs/>
                <w:szCs w:val="22"/>
              </w:rPr>
              <w:t>Time period</w:t>
            </w:r>
          </w:p>
        </w:tc>
        <w:tc>
          <w:tcPr>
            <w:tcW w:w="0" w:type="auto"/>
            <w:hideMark/>
          </w:tcPr>
          <w:p w14:paraId="120645C8" w14:textId="77777777" w:rsidR="00E15750" w:rsidRPr="000C14EF" w:rsidRDefault="00E15750" w:rsidP="00D84639">
            <w:pPr>
              <w:jc w:val="both"/>
              <w:rPr>
                <w:b/>
                <w:bCs/>
                <w:szCs w:val="22"/>
              </w:rPr>
            </w:pPr>
            <w:r w:rsidRPr="000C14EF">
              <w:rPr>
                <w:b/>
                <w:bCs/>
                <w:szCs w:val="22"/>
              </w:rPr>
              <w:t>Key development</w:t>
            </w:r>
          </w:p>
        </w:tc>
      </w:tr>
      <w:tr w:rsidR="00E15750" w:rsidRPr="00D84639" w14:paraId="495BAD8B" w14:textId="77777777" w:rsidTr="002C37CB">
        <w:tc>
          <w:tcPr>
            <w:tcW w:w="0" w:type="auto"/>
            <w:hideMark/>
          </w:tcPr>
          <w:p w14:paraId="00F9163D" w14:textId="77777777" w:rsidR="00E15750" w:rsidRPr="000C14EF" w:rsidRDefault="00E15750" w:rsidP="00D84639">
            <w:pPr>
              <w:jc w:val="both"/>
              <w:rPr>
                <w:szCs w:val="22"/>
              </w:rPr>
            </w:pPr>
            <w:r w:rsidRPr="000C14EF">
              <w:rPr>
                <w:szCs w:val="22"/>
              </w:rPr>
              <w:t>Late 19th–early 20th century</w:t>
            </w:r>
          </w:p>
        </w:tc>
        <w:tc>
          <w:tcPr>
            <w:tcW w:w="0" w:type="auto"/>
            <w:hideMark/>
          </w:tcPr>
          <w:p w14:paraId="6ED6C2FA" w14:textId="77777777" w:rsidR="00E15750" w:rsidRPr="000C14EF" w:rsidRDefault="00E15750" w:rsidP="00D84639">
            <w:pPr>
              <w:jc w:val="both"/>
              <w:rPr>
                <w:szCs w:val="22"/>
              </w:rPr>
            </w:pPr>
            <w:r w:rsidRPr="000C14EF">
              <w:rPr>
                <w:szCs w:val="22"/>
              </w:rPr>
              <w:t>Early public health reforms (sanitation, housing, basic relief)</w:t>
            </w:r>
          </w:p>
        </w:tc>
      </w:tr>
      <w:tr w:rsidR="00E15750" w:rsidRPr="00D84639" w14:paraId="2D032629" w14:textId="77777777" w:rsidTr="002C37CB">
        <w:tc>
          <w:tcPr>
            <w:tcW w:w="0" w:type="auto"/>
            <w:hideMark/>
          </w:tcPr>
          <w:p w14:paraId="5D1D8982" w14:textId="77777777" w:rsidR="00E15750" w:rsidRPr="000C14EF" w:rsidRDefault="00E15750" w:rsidP="00D84639">
            <w:pPr>
              <w:jc w:val="both"/>
              <w:rPr>
                <w:szCs w:val="22"/>
              </w:rPr>
            </w:pPr>
            <w:r w:rsidRPr="000C14EF">
              <w:rPr>
                <w:szCs w:val="22"/>
              </w:rPr>
              <w:t>Post–World War II (mid-20th century)</w:t>
            </w:r>
          </w:p>
        </w:tc>
        <w:tc>
          <w:tcPr>
            <w:tcW w:w="0" w:type="auto"/>
            <w:hideMark/>
          </w:tcPr>
          <w:p w14:paraId="51311C2A" w14:textId="77777777" w:rsidR="00E15750" w:rsidRPr="000C14EF" w:rsidRDefault="00E15750" w:rsidP="00D84639">
            <w:pPr>
              <w:jc w:val="both"/>
              <w:rPr>
                <w:szCs w:val="22"/>
              </w:rPr>
            </w:pPr>
            <w:r w:rsidRPr="000C14EF">
              <w:rPr>
                <w:szCs w:val="22"/>
              </w:rPr>
              <w:t>Expansion of welfare states and “universal” systems</w:t>
            </w:r>
          </w:p>
        </w:tc>
      </w:tr>
      <w:tr w:rsidR="00E15750" w:rsidRPr="00D84639" w14:paraId="0BE9481B" w14:textId="77777777" w:rsidTr="002C37CB">
        <w:tc>
          <w:tcPr>
            <w:tcW w:w="0" w:type="auto"/>
            <w:hideMark/>
          </w:tcPr>
          <w:p w14:paraId="6CDBCB9B" w14:textId="77777777" w:rsidR="00E15750" w:rsidRPr="000C14EF" w:rsidRDefault="00E15750" w:rsidP="00D84639">
            <w:pPr>
              <w:jc w:val="both"/>
              <w:rPr>
                <w:szCs w:val="22"/>
              </w:rPr>
            </w:pPr>
            <w:r w:rsidRPr="000C14EF">
              <w:rPr>
                <w:szCs w:val="22"/>
              </w:rPr>
              <w:t>1960s–1970s</w:t>
            </w:r>
          </w:p>
        </w:tc>
        <w:tc>
          <w:tcPr>
            <w:tcW w:w="0" w:type="auto"/>
            <w:hideMark/>
          </w:tcPr>
          <w:p w14:paraId="471EFBE9" w14:textId="5646E282" w:rsidR="00E15750" w:rsidRPr="000C14EF" w:rsidRDefault="00E15750" w:rsidP="00D84639">
            <w:pPr>
              <w:jc w:val="both"/>
              <w:rPr>
                <w:szCs w:val="22"/>
              </w:rPr>
            </w:pPr>
            <w:r w:rsidRPr="000C14EF">
              <w:rPr>
                <w:szCs w:val="22"/>
              </w:rPr>
              <w:t xml:space="preserve">Social medicine </w:t>
            </w:r>
            <w:r w:rsidR="00696F20" w:rsidRPr="00D84639">
              <w:rPr>
                <w:szCs w:val="22"/>
              </w:rPr>
              <w:t>and</w:t>
            </w:r>
            <w:r w:rsidRPr="000C14EF">
              <w:rPr>
                <w:szCs w:val="22"/>
              </w:rPr>
              <w:t xml:space="preserve"> Inverse Care Law (Hart, 1971)</w:t>
            </w:r>
          </w:p>
        </w:tc>
      </w:tr>
      <w:tr w:rsidR="00E15750" w:rsidRPr="00D84639" w14:paraId="78A11DE2" w14:textId="77777777" w:rsidTr="002C37CB">
        <w:tc>
          <w:tcPr>
            <w:tcW w:w="0" w:type="auto"/>
            <w:hideMark/>
          </w:tcPr>
          <w:p w14:paraId="0F7FE38B" w14:textId="77777777" w:rsidR="00E15750" w:rsidRPr="000C14EF" w:rsidRDefault="00E15750" w:rsidP="00D84639">
            <w:pPr>
              <w:jc w:val="both"/>
              <w:rPr>
                <w:szCs w:val="22"/>
              </w:rPr>
            </w:pPr>
            <w:r w:rsidRPr="000C14EF">
              <w:rPr>
                <w:szCs w:val="22"/>
              </w:rPr>
              <w:t>Since the 1980s</w:t>
            </w:r>
          </w:p>
        </w:tc>
        <w:tc>
          <w:tcPr>
            <w:tcW w:w="0" w:type="auto"/>
            <w:hideMark/>
          </w:tcPr>
          <w:p w14:paraId="3848F3A9" w14:textId="77777777" w:rsidR="00E15750" w:rsidRPr="000C14EF" w:rsidRDefault="00E15750" w:rsidP="00D84639">
            <w:pPr>
              <w:jc w:val="both"/>
              <w:rPr>
                <w:szCs w:val="22"/>
              </w:rPr>
            </w:pPr>
            <w:r w:rsidRPr="000C14EF">
              <w:rPr>
                <w:szCs w:val="22"/>
              </w:rPr>
              <w:t>Market/managerial reforms, privatisation pressures</w:t>
            </w:r>
          </w:p>
        </w:tc>
      </w:tr>
    </w:tbl>
    <w:p w14:paraId="228F5D03" w14:textId="77777777" w:rsidR="000C14EF" w:rsidRPr="00D84639" w:rsidRDefault="000C14EF" w:rsidP="00D84639">
      <w:pPr>
        <w:pStyle w:val="NormalWeb"/>
        <w:spacing w:line="360" w:lineRule="auto"/>
        <w:jc w:val="both"/>
        <w:rPr>
          <w:rFonts w:asciiTheme="minorHAnsi" w:hAnsiTheme="minorHAnsi" w:cstheme="minorBidi"/>
          <w:sz w:val="22"/>
          <w:szCs w:val="22"/>
        </w:rPr>
      </w:pPr>
    </w:p>
    <w:p w14:paraId="47380301" w14:textId="77777777" w:rsidR="006A7836" w:rsidRPr="00D84639" w:rsidRDefault="006A7836" w:rsidP="00E0268B">
      <w:pPr>
        <w:pStyle w:val="Heading2"/>
      </w:pPr>
      <w:bookmarkStart w:id="11" w:name="_Toc220447443"/>
      <w:r w:rsidRPr="00D84639">
        <w:t>2.3 Theoretical Background</w:t>
      </w:r>
      <w:bookmarkEnd w:id="11"/>
    </w:p>
    <w:p w14:paraId="476B40CA" w14:textId="7BD9C42C" w:rsidR="000F1AB1" w:rsidRDefault="00055738" w:rsidP="00D84639">
      <w:pPr>
        <w:pStyle w:val="NormalWeb"/>
        <w:spacing w:line="360" w:lineRule="auto"/>
        <w:jc w:val="both"/>
        <w:rPr>
          <w:rFonts w:asciiTheme="minorHAnsi" w:hAnsiTheme="minorHAnsi" w:cstheme="minorBidi"/>
          <w:sz w:val="22"/>
          <w:szCs w:val="22"/>
        </w:rPr>
      </w:pPr>
      <w:r w:rsidRPr="00055738">
        <w:rPr>
          <w:rFonts w:asciiTheme="minorHAnsi" w:hAnsiTheme="minorHAnsi" w:cstheme="minorBidi"/>
          <w:sz w:val="22"/>
          <w:szCs w:val="22"/>
        </w:rPr>
        <w:t>The social determinants of health model recognizes the health outcome and access to health care as being affected by the conditions in which people are born, develop and live, and the distributive power, money, and resources that create these conditions. Marmot and Bell (2010) have demonstrated the gradient effect in health, where each step on the social ladder is associated with the poorer health status, even in affluent societies</w:t>
      </w:r>
      <w:r w:rsidR="000F1AB1" w:rsidRPr="000F1AB1">
        <w:rPr>
          <w:rFonts w:asciiTheme="minorHAnsi" w:hAnsiTheme="minorHAnsi" w:cstheme="minorBidi"/>
          <w:sz w:val="22"/>
          <w:szCs w:val="22"/>
        </w:rPr>
        <w:t>. In this understanding, SES is more than an individual characteristic but also a dimension of structural position in labour markets, education and neighbourhoods. Access to health and social care is one way these structures create differing risks and adversities.</w:t>
      </w:r>
    </w:p>
    <w:p w14:paraId="09AF4B8F" w14:textId="72E3CE27" w:rsidR="006A7836" w:rsidRPr="00D84639" w:rsidRDefault="000F1AB1" w:rsidP="00D84639">
      <w:pPr>
        <w:pStyle w:val="NormalWeb"/>
        <w:spacing w:line="360" w:lineRule="auto"/>
        <w:jc w:val="both"/>
        <w:rPr>
          <w:rFonts w:asciiTheme="minorHAnsi" w:hAnsiTheme="minorHAnsi" w:cstheme="minorBidi"/>
          <w:sz w:val="22"/>
          <w:szCs w:val="22"/>
        </w:rPr>
      </w:pPr>
      <w:r w:rsidRPr="000F1AB1">
        <w:rPr>
          <w:rFonts w:asciiTheme="minorHAnsi" w:hAnsiTheme="minorHAnsi" w:cstheme="minorBidi"/>
          <w:sz w:val="22"/>
          <w:szCs w:val="22"/>
        </w:rPr>
        <w:lastRenderedPageBreak/>
        <w:t xml:space="preserve">In practice, the social determinants approach has been used to justify studies that map income, education, occupations and indices of area deprivation to health services provision. </w:t>
      </w:r>
      <w:r w:rsidR="000043A6" w:rsidRPr="000043A6">
        <w:rPr>
          <w:rFonts w:asciiTheme="minorHAnsi" w:hAnsiTheme="minorHAnsi" w:cstheme="minorBidi"/>
          <w:sz w:val="22"/>
          <w:szCs w:val="22"/>
        </w:rPr>
        <w:t>These have been used in cross-national and international studies to describe inequalities in access to primary care services, preventable hospitalizations, and to suggest that income inequality, development in early years, and working conditions are targets to address inequalities in health (Marmot and Bell, 2010; Shutt et al., 2025). Nevertheless, the framework has been criticized for being conceptually broad and policy-oriented without clear detailed mechanisms at the level of services. It has been argued to promote macro-level descriptions of inequality without operationalizing questions about how provider behaviors, organizational policies, or rural infrastructure might mediate the effects of SES</w:t>
      </w:r>
      <w:r w:rsidR="006A7836" w:rsidRPr="00D84639">
        <w:rPr>
          <w:rFonts w:asciiTheme="minorHAnsi" w:hAnsiTheme="minorHAnsi" w:cstheme="minorBidi"/>
          <w:sz w:val="22"/>
          <w:szCs w:val="22"/>
        </w:rPr>
        <w:t>. In addition, many applications focus on national averages and pay less attention to how urban–rural patterns modify the relationship between SES and access</w:t>
      </w:r>
      <w:r w:rsidR="001A5ACA" w:rsidRPr="00D84639">
        <w:rPr>
          <w:rFonts w:asciiTheme="minorHAnsi" w:hAnsiTheme="minorHAnsi" w:cstheme="minorBidi"/>
          <w:sz w:val="22"/>
          <w:szCs w:val="22"/>
        </w:rPr>
        <w:t xml:space="preserve"> (McAllister </w:t>
      </w:r>
      <w:r w:rsidR="001A5ACA" w:rsidRPr="00D84639">
        <w:rPr>
          <w:rFonts w:asciiTheme="minorHAnsi" w:hAnsiTheme="minorHAnsi" w:cstheme="minorBidi"/>
          <w:i/>
          <w:iCs/>
          <w:sz w:val="22"/>
          <w:szCs w:val="22"/>
        </w:rPr>
        <w:t>et al.</w:t>
      </w:r>
      <w:r w:rsidR="001A5ACA" w:rsidRPr="00D84639">
        <w:rPr>
          <w:rFonts w:asciiTheme="minorHAnsi" w:hAnsiTheme="minorHAnsi" w:cstheme="minorBidi"/>
          <w:sz w:val="22"/>
          <w:szCs w:val="22"/>
        </w:rPr>
        <w:t>, 2018)</w:t>
      </w:r>
      <w:r w:rsidR="006A7836" w:rsidRPr="00D84639">
        <w:rPr>
          <w:rFonts w:asciiTheme="minorHAnsi" w:hAnsiTheme="minorHAnsi" w:cstheme="minorBidi"/>
          <w:sz w:val="22"/>
          <w:szCs w:val="22"/>
        </w:rPr>
        <w:t>.</w:t>
      </w:r>
    </w:p>
    <w:p w14:paraId="24F25E41" w14:textId="33814EB3" w:rsidR="006A7836" w:rsidRPr="00D84639" w:rsidRDefault="006A7836" w:rsidP="00D84639">
      <w:pPr>
        <w:pStyle w:val="NormalWeb"/>
        <w:spacing w:line="360" w:lineRule="auto"/>
        <w:jc w:val="both"/>
        <w:rPr>
          <w:rFonts w:asciiTheme="minorHAnsi" w:hAnsiTheme="minorHAnsi" w:cstheme="minorBidi"/>
          <w:sz w:val="22"/>
          <w:szCs w:val="22"/>
        </w:rPr>
      </w:pPr>
      <w:r w:rsidRPr="0091058B">
        <w:rPr>
          <w:rStyle w:val="Strong"/>
          <w:rFonts w:asciiTheme="minorHAnsi" w:eastAsiaTheme="majorEastAsia" w:hAnsiTheme="minorHAnsi" w:cstheme="minorBidi"/>
          <w:b w:val="0"/>
          <w:bCs w:val="0"/>
          <w:sz w:val="22"/>
          <w:szCs w:val="22"/>
        </w:rPr>
        <w:t>Andersen’s behavioural model of health service use</w:t>
      </w:r>
      <w:r w:rsidRPr="00D84639">
        <w:rPr>
          <w:rFonts w:asciiTheme="minorHAnsi" w:hAnsiTheme="minorHAnsi" w:cstheme="minorBidi"/>
          <w:sz w:val="22"/>
          <w:szCs w:val="22"/>
        </w:rPr>
        <w:t xml:space="preserve"> offers a more explicit pathway from individual and contextual characteristics to service utilisation. The model distinguishes predisposing factors (such as age, gender, beliefs), enabling factors (such as income, insurance, transport, provider density) and need factors (perceived or evaluated health status) as the main drivers of use</w:t>
      </w:r>
      <w:r w:rsidR="001A5ACA" w:rsidRPr="00D84639">
        <w:rPr>
          <w:rFonts w:asciiTheme="minorHAnsi" w:hAnsiTheme="minorHAnsi" w:cstheme="minorBidi"/>
          <w:sz w:val="22"/>
          <w:szCs w:val="22"/>
        </w:rPr>
        <w:t xml:space="preserve"> (Alkhawaldeh </w:t>
      </w:r>
      <w:r w:rsidR="001A5ACA" w:rsidRPr="00D84639">
        <w:rPr>
          <w:rFonts w:asciiTheme="minorHAnsi" w:hAnsiTheme="minorHAnsi" w:cstheme="minorBidi"/>
          <w:i/>
          <w:iCs/>
          <w:sz w:val="22"/>
          <w:szCs w:val="22"/>
        </w:rPr>
        <w:t>et al.</w:t>
      </w:r>
      <w:r w:rsidR="001A5ACA" w:rsidRPr="00D84639">
        <w:rPr>
          <w:rFonts w:asciiTheme="minorHAnsi" w:hAnsiTheme="minorHAnsi" w:cstheme="minorBidi"/>
          <w:sz w:val="22"/>
          <w:szCs w:val="22"/>
        </w:rPr>
        <w:t>, 2023)</w:t>
      </w:r>
      <w:r w:rsidRPr="00D84639">
        <w:rPr>
          <w:rFonts w:asciiTheme="minorHAnsi" w:hAnsiTheme="minorHAnsi" w:cstheme="minorBidi"/>
          <w:sz w:val="22"/>
          <w:szCs w:val="22"/>
        </w:rPr>
        <w:t>. Later versions incorporate system level variables and feedback loops from outcomes back to predisposing factors. SES is usually treated as a predisposing or enabling factor, while rural or urban location is modelled as a contextual enabling condition that affects provider availability and travel time</w:t>
      </w:r>
      <w:r w:rsidR="001A5ACA" w:rsidRPr="00D84639">
        <w:rPr>
          <w:rFonts w:asciiTheme="minorHAnsi" w:hAnsiTheme="minorHAnsi" w:cstheme="minorBidi"/>
          <w:sz w:val="22"/>
          <w:szCs w:val="22"/>
        </w:rPr>
        <w:t xml:space="preserve"> (Lederle, Tempes and Bitzer, 2021)</w:t>
      </w:r>
      <w:r w:rsidRPr="00D84639">
        <w:rPr>
          <w:rFonts w:asciiTheme="minorHAnsi" w:hAnsiTheme="minorHAnsi" w:cstheme="minorBidi"/>
          <w:sz w:val="22"/>
          <w:szCs w:val="22"/>
        </w:rPr>
        <w:t>.</w:t>
      </w:r>
    </w:p>
    <w:p w14:paraId="5DABBCA0" w14:textId="0BEBE74D" w:rsidR="006A7836" w:rsidRPr="00D84639" w:rsidRDefault="006A7836"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 xml:space="preserve">The core </w:t>
      </w:r>
      <w:r w:rsidRPr="00D84639">
        <w:rPr>
          <w:rStyle w:val="Strong"/>
          <w:rFonts w:asciiTheme="minorHAnsi" w:eastAsiaTheme="majorEastAsia" w:hAnsiTheme="minorHAnsi" w:cstheme="minorBidi"/>
          <w:sz w:val="22"/>
          <w:szCs w:val="22"/>
        </w:rPr>
        <w:t>concept of access to care</w:t>
      </w:r>
      <w:r w:rsidRPr="00D84639">
        <w:rPr>
          <w:rFonts w:asciiTheme="minorHAnsi" w:hAnsiTheme="minorHAnsi" w:cstheme="minorBidi"/>
          <w:sz w:val="22"/>
          <w:szCs w:val="22"/>
        </w:rPr>
        <w:t xml:space="preserve"> provides a third strand. </w:t>
      </w:r>
      <w:r w:rsidR="004357CE" w:rsidRPr="00D84639">
        <w:rPr>
          <w:rFonts w:asciiTheme="minorHAnsi" w:hAnsiTheme="minorHAnsi" w:cstheme="minorBidi"/>
          <w:sz w:val="22"/>
          <w:szCs w:val="22"/>
        </w:rPr>
        <w:t xml:space="preserve">Penchansky and Thomas (1981) </w:t>
      </w:r>
      <w:r w:rsidRPr="00D84639">
        <w:rPr>
          <w:rFonts w:asciiTheme="minorHAnsi" w:hAnsiTheme="minorHAnsi" w:cstheme="minorBidi"/>
          <w:sz w:val="22"/>
          <w:szCs w:val="22"/>
        </w:rPr>
        <w:t>conceptualised access as the fit between users and the health system across five dimensions: availability (volume and type of services), accessibility (geographical location and travel), accommodation (organisation and opening hours), affordability (costs relative to ability to pay) and acceptability (cultural and interpersonal aspects). Later work has proposed a sixth dimension, awareness, and has reframed access in more patient centred terms</w:t>
      </w:r>
      <w:r w:rsidR="008B3E89" w:rsidRPr="00D84639">
        <w:rPr>
          <w:rFonts w:asciiTheme="minorHAnsi" w:hAnsiTheme="minorHAnsi" w:cstheme="minorBidi"/>
          <w:sz w:val="22"/>
          <w:szCs w:val="22"/>
        </w:rPr>
        <w:t xml:space="preserve"> (Saurman, 2015)</w:t>
      </w:r>
      <w:r w:rsidRPr="00D84639">
        <w:rPr>
          <w:rFonts w:asciiTheme="minorHAnsi" w:hAnsiTheme="minorHAnsi" w:cstheme="minorBidi"/>
          <w:sz w:val="22"/>
          <w:szCs w:val="22"/>
        </w:rPr>
        <w:t>. This concept is highly relevant for a study of SES and urban–rural differences because it distinguishes clearly between problems of affordability and problems of availability or geography.</w:t>
      </w:r>
    </w:p>
    <w:p w14:paraId="27E37D9B" w14:textId="444E2AD1" w:rsidR="005C0723" w:rsidRPr="00D84639" w:rsidRDefault="00696F20" w:rsidP="00D84639">
      <w:pPr>
        <w:pStyle w:val="NormalWeb"/>
        <w:spacing w:line="360" w:lineRule="auto"/>
        <w:jc w:val="both"/>
        <w:rPr>
          <w:rFonts w:asciiTheme="minorHAnsi" w:hAnsiTheme="minorHAnsi"/>
          <w:sz w:val="22"/>
          <w:szCs w:val="22"/>
        </w:rPr>
      </w:pPr>
      <w:r w:rsidRPr="0091058B">
        <w:rPr>
          <w:rStyle w:val="Strong"/>
          <w:rFonts w:asciiTheme="minorHAnsi" w:eastAsiaTheme="majorEastAsia" w:hAnsiTheme="minorHAnsi"/>
          <w:b w:val="0"/>
          <w:bCs w:val="0"/>
          <w:sz w:val="22"/>
          <w:szCs w:val="22"/>
        </w:rPr>
        <w:lastRenderedPageBreak/>
        <w:t>T</w:t>
      </w:r>
      <w:r w:rsidR="005C0723" w:rsidRPr="0091058B">
        <w:rPr>
          <w:rStyle w:val="Strong"/>
          <w:rFonts w:asciiTheme="minorHAnsi" w:eastAsiaTheme="majorEastAsia" w:hAnsiTheme="minorHAnsi"/>
          <w:b w:val="0"/>
          <w:bCs w:val="0"/>
          <w:sz w:val="22"/>
          <w:szCs w:val="22"/>
        </w:rPr>
        <w:t>he table includes</w:t>
      </w:r>
      <w:r w:rsidR="005C0723" w:rsidRPr="00D84639">
        <w:rPr>
          <w:rFonts w:asciiTheme="minorHAnsi" w:hAnsiTheme="minorHAnsi"/>
          <w:sz w:val="22"/>
          <w:szCs w:val="22"/>
        </w:rPr>
        <w:t xml:space="preserve"> comparison of three theories, what each explains best, and how each will be applied in this dissertation to interpret SES-related access differences across urban and rural settings.</w:t>
      </w:r>
    </w:p>
    <w:p w14:paraId="31E53F78" w14:textId="23D2132B" w:rsidR="00206176" w:rsidRPr="00D479CC" w:rsidRDefault="00206176" w:rsidP="00E0268B">
      <w:pPr>
        <w:rPr>
          <w:sz w:val="18"/>
          <w:szCs w:val="18"/>
        </w:rPr>
      </w:pPr>
      <w:bookmarkStart w:id="12" w:name="_Toc220447478"/>
      <w:r w:rsidRPr="00D479CC">
        <w:rPr>
          <w:sz w:val="18"/>
          <w:szCs w:val="18"/>
        </w:rPr>
        <w:t xml:space="preserve">Table </w:t>
      </w:r>
      <w:r w:rsidRPr="00D479CC">
        <w:rPr>
          <w:sz w:val="18"/>
          <w:szCs w:val="18"/>
        </w:rPr>
        <w:fldChar w:fldCharType="begin"/>
      </w:r>
      <w:r w:rsidRPr="00D479CC">
        <w:rPr>
          <w:sz w:val="18"/>
          <w:szCs w:val="18"/>
        </w:rPr>
        <w:instrText xml:space="preserve"> SEQ Table \* ARABIC </w:instrText>
      </w:r>
      <w:r w:rsidRPr="00D479CC">
        <w:rPr>
          <w:sz w:val="18"/>
          <w:szCs w:val="18"/>
        </w:rPr>
        <w:fldChar w:fldCharType="separate"/>
      </w:r>
      <w:r w:rsidR="00A7253B" w:rsidRPr="00D479CC">
        <w:rPr>
          <w:noProof/>
          <w:sz w:val="18"/>
          <w:szCs w:val="18"/>
        </w:rPr>
        <w:t>2</w:t>
      </w:r>
      <w:r w:rsidRPr="00D479CC">
        <w:rPr>
          <w:sz w:val="18"/>
          <w:szCs w:val="18"/>
        </w:rPr>
        <w:fldChar w:fldCharType="end"/>
      </w:r>
      <w:r w:rsidRPr="00D479CC">
        <w:rPr>
          <w:sz w:val="18"/>
          <w:szCs w:val="18"/>
          <w:lang w:val="en-GB"/>
        </w:rPr>
        <w:t>: Comparison and application of key theories</w:t>
      </w:r>
      <w:r w:rsidR="00E0268B" w:rsidRPr="00D479CC">
        <w:rPr>
          <w:sz w:val="18"/>
          <w:szCs w:val="18"/>
          <w:lang w:val="en-GB"/>
        </w:rPr>
        <w:t xml:space="preserve"> </w:t>
      </w:r>
      <w:r w:rsidR="00E0268B" w:rsidRPr="00D479CC">
        <w:rPr>
          <w:rFonts w:cstheme="minorBidi"/>
          <w:sz w:val="18"/>
          <w:szCs w:val="18"/>
        </w:rPr>
        <w:t xml:space="preserve">(Marmot and Bell, 2010; Shutt </w:t>
      </w:r>
      <w:r w:rsidR="00E0268B" w:rsidRPr="00D479CC">
        <w:rPr>
          <w:rFonts w:cstheme="minorBidi"/>
          <w:i/>
          <w:iCs/>
          <w:sz w:val="18"/>
          <w:szCs w:val="18"/>
        </w:rPr>
        <w:t>et al.</w:t>
      </w:r>
      <w:r w:rsidR="00E0268B" w:rsidRPr="00D479CC">
        <w:rPr>
          <w:rFonts w:cstheme="minorBidi"/>
          <w:sz w:val="18"/>
          <w:szCs w:val="18"/>
        </w:rPr>
        <w:t xml:space="preserve">, 2025; Alkhawaldeh </w:t>
      </w:r>
      <w:r w:rsidR="00E0268B" w:rsidRPr="00D479CC">
        <w:rPr>
          <w:rFonts w:cstheme="minorBidi"/>
          <w:i/>
          <w:iCs/>
          <w:sz w:val="18"/>
          <w:szCs w:val="18"/>
        </w:rPr>
        <w:t>et al.</w:t>
      </w:r>
      <w:r w:rsidR="00E0268B" w:rsidRPr="00D479CC">
        <w:rPr>
          <w:rFonts w:cstheme="minorBidi"/>
          <w:sz w:val="18"/>
          <w:szCs w:val="18"/>
        </w:rPr>
        <w:t>, 2023)</w:t>
      </w:r>
      <w:bookmarkEnd w:id="12"/>
    </w:p>
    <w:p w14:paraId="3B77BEBE" w14:textId="209E7409" w:rsidR="005C0723" w:rsidRPr="00D84639" w:rsidRDefault="00704535" w:rsidP="00D84639">
      <w:pPr>
        <w:pStyle w:val="NormalWeb"/>
        <w:spacing w:line="360" w:lineRule="auto"/>
        <w:jc w:val="both"/>
        <w:rPr>
          <w:rFonts w:asciiTheme="minorHAnsi" w:hAnsiTheme="minorHAnsi" w:cstheme="minorBidi"/>
          <w:sz w:val="22"/>
          <w:szCs w:val="22"/>
        </w:rPr>
      </w:pPr>
      <w:r w:rsidRPr="00704535">
        <w:rPr>
          <w:rFonts w:asciiTheme="minorHAnsi" w:hAnsiTheme="minorHAnsi" w:cstheme="minorBidi"/>
          <w:noProof/>
          <w:sz w:val="22"/>
          <w:szCs w:val="22"/>
        </w:rPr>
        <w:drawing>
          <wp:inline distT="0" distB="0" distL="0" distR="0" wp14:anchorId="79D64D4A" wp14:editId="2971F244">
            <wp:extent cx="5731510" cy="5659120"/>
            <wp:effectExtent l="0" t="0" r="0" b="5080"/>
            <wp:docPr id="1932236756" name="Picture 1" descr="A table of a table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236756" name="Picture 1" descr="A table of a table of text&#10;&#10;AI-generated content may be incorrect."/>
                    <pic:cNvPicPr/>
                  </pic:nvPicPr>
                  <pic:blipFill>
                    <a:blip r:embed="rId13"/>
                    <a:stretch>
                      <a:fillRect/>
                    </a:stretch>
                  </pic:blipFill>
                  <pic:spPr>
                    <a:xfrm>
                      <a:off x="0" y="0"/>
                      <a:ext cx="5731510" cy="5659120"/>
                    </a:xfrm>
                    <a:prstGeom prst="rect">
                      <a:avLst/>
                    </a:prstGeom>
                  </pic:spPr>
                </pic:pic>
              </a:graphicData>
            </a:graphic>
          </wp:inline>
        </w:drawing>
      </w:r>
    </w:p>
    <w:p w14:paraId="5256EE33" w14:textId="77777777" w:rsidR="006A7836" w:rsidRPr="00D84639" w:rsidRDefault="006A7836" w:rsidP="004679E4">
      <w:pPr>
        <w:pStyle w:val="Heading2"/>
      </w:pPr>
      <w:bookmarkStart w:id="13" w:name="_Toc220447444"/>
      <w:r w:rsidRPr="00D84639">
        <w:t>2.4 International Context</w:t>
      </w:r>
      <w:bookmarkEnd w:id="13"/>
    </w:p>
    <w:p w14:paraId="2ABF9B97" w14:textId="6E0AD93C" w:rsidR="00613D8B" w:rsidRDefault="00613D8B" w:rsidP="00D84639">
      <w:pPr>
        <w:pStyle w:val="NormalWeb"/>
        <w:spacing w:line="360" w:lineRule="auto"/>
        <w:jc w:val="both"/>
        <w:rPr>
          <w:rFonts w:asciiTheme="minorHAnsi" w:hAnsiTheme="minorHAnsi" w:cstheme="minorBidi"/>
          <w:sz w:val="22"/>
          <w:szCs w:val="22"/>
        </w:rPr>
      </w:pPr>
      <w:r w:rsidRPr="00613D8B">
        <w:rPr>
          <w:rFonts w:asciiTheme="minorHAnsi" w:hAnsiTheme="minorHAnsi" w:cstheme="minorBidi"/>
          <w:sz w:val="22"/>
          <w:szCs w:val="22"/>
        </w:rPr>
        <w:t xml:space="preserve">Worldwide social and economic inequalities in access to health and social care services are recognized as one of the most important hindrances to achieving Universal Health Coverage (UHC). The World Health Organization (2025) defines Universal Health Coverage (UHC) as a situation where all people can access the health services they need without suffering financial </w:t>
      </w:r>
      <w:r w:rsidRPr="00613D8B">
        <w:rPr>
          <w:rFonts w:asciiTheme="minorHAnsi" w:hAnsiTheme="minorHAnsi" w:cstheme="minorBidi"/>
          <w:sz w:val="22"/>
          <w:szCs w:val="22"/>
        </w:rPr>
        <w:lastRenderedPageBreak/>
        <w:t>hardship. However, many countries still have significant social gradients in access to health services; examples of these gradients include income level, educational attainment, and occupation. Additionally, urban/rural gradients exist where people living in disadvantaged populations such as informal settlements or rural villages have experienced barrier to accessing health services in the countries with high unmet need.</w:t>
      </w:r>
    </w:p>
    <w:p w14:paraId="5EC295F9" w14:textId="23706AD8" w:rsidR="00C02CD7" w:rsidRDefault="00C02CD7" w:rsidP="00D84639">
      <w:pPr>
        <w:pStyle w:val="NormalWeb"/>
        <w:spacing w:line="360" w:lineRule="auto"/>
        <w:jc w:val="both"/>
        <w:rPr>
          <w:rFonts w:asciiTheme="minorHAnsi" w:hAnsiTheme="minorHAnsi" w:cstheme="minorBidi"/>
          <w:sz w:val="22"/>
          <w:szCs w:val="22"/>
        </w:rPr>
      </w:pPr>
      <w:r w:rsidRPr="00C02CD7">
        <w:rPr>
          <w:rFonts w:asciiTheme="minorHAnsi" w:hAnsiTheme="minorHAnsi" w:cstheme="minorBidi"/>
          <w:sz w:val="22"/>
          <w:szCs w:val="22"/>
        </w:rPr>
        <w:t>According to comparative statistics on high-income countries of the Organisation for Economic Co-operation and Development (OECD), people with lower income and educational levels have greater unmet medical needs, use fewer preventive care services, and use more emergency care even with universal health care systems (Looper and Lafortune, 2009). Regional analysis has revealed rural areas are characterized by a lack of health care workers, specialist care, and long travel times, while disadvantaged urban areas are characterized by overcrowding, fragmented care, and bureaucratic delays. This suggests that access to health care depends on more than just health insurance and fees. (Looper and Lafortune, 2009; Sacks et al., 2020)</w:t>
      </w:r>
    </w:p>
    <w:p w14:paraId="5A64655B" w14:textId="7E7FD153" w:rsidR="006A7836" w:rsidRPr="00D84639" w:rsidRDefault="00C02CD7" w:rsidP="00D84639">
      <w:pPr>
        <w:pStyle w:val="NormalWeb"/>
        <w:spacing w:line="360" w:lineRule="auto"/>
        <w:jc w:val="both"/>
        <w:rPr>
          <w:rFonts w:asciiTheme="minorHAnsi" w:hAnsiTheme="minorHAnsi" w:cstheme="minorBidi"/>
          <w:sz w:val="22"/>
          <w:szCs w:val="22"/>
        </w:rPr>
      </w:pPr>
      <w:r w:rsidRPr="00C02CD7">
        <w:rPr>
          <w:rFonts w:asciiTheme="minorHAnsi" w:hAnsiTheme="minorHAnsi" w:cstheme="minorBidi"/>
          <w:sz w:val="22"/>
          <w:szCs w:val="22"/>
        </w:rPr>
        <w:t xml:space="preserve">This is seen in recent studies on countries like Pakistan. </w:t>
      </w:r>
      <w:r w:rsidR="00311BC4" w:rsidRPr="00311BC4">
        <w:rPr>
          <w:rFonts w:asciiTheme="minorHAnsi" w:hAnsiTheme="minorHAnsi" w:cstheme="minorBidi"/>
          <w:sz w:val="22"/>
          <w:szCs w:val="22"/>
        </w:rPr>
        <w:t>There are signs of progress in UHC indicators; however, there are still significant variations at the provincial and rural/urban levels, particularly for less economically advantaged Provinces. Vaccination, maternal care and financial protection show considerable variation in across these areas (Yang et al., 2024). Recent reviews of global health status in rural areas have also reported that structural factors (e.g. labour force, transportation, and technological connectivity) may have a greater impact on how people use services than their individual preferences</w:t>
      </w:r>
      <w:r w:rsidR="00311BC4">
        <w:rPr>
          <w:rFonts w:asciiTheme="minorHAnsi" w:hAnsiTheme="minorHAnsi" w:cstheme="minorBidi"/>
          <w:sz w:val="22"/>
          <w:szCs w:val="22"/>
        </w:rPr>
        <w:t xml:space="preserve"> </w:t>
      </w:r>
      <w:r w:rsidR="00F113AB" w:rsidRPr="00D84639">
        <w:rPr>
          <w:rFonts w:asciiTheme="minorHAnsi" w:hAnsiTheme="minorHAnsi" w:cstheme="minorBidi"/>
          <w:sz w:val="22"/>
          <w:szCs w:val="22"/>
        </w:rPr>
        <w:t xml:space="preserve">(Chen </w:t>
      </w:r>
      <w:r w:rsidR="00F113AB" w:rsidRPr="00D84639">
        <w:rPr>
          <w:rFonts w:asciiTheme="minorHAnsi" w:hAnsiTheme="minorHAnsi" w:cstheme="minorBidi"/>
          <w:i/>
          <w:iCs/>
          <w:sz w:val="22"/>
          <w:szCs w:val="22"/>
        </w:rPr>
        <w:t>et al.</w:t>
      </w:r>
      <w:r w:rsidR="00F113AB" w:rsidRPr="00D84639">
        <w:rPr>
          <w:rFonts w:asciiTheme="minorHAnsi" w:hAnsiTheme="minorHAnsi" w:cstheme="minorBidi"/>
          <w:sz w:val="22"/>
          <w:szCs w:val="22"/>
        </w:rPr>
        <w:t>, 2019)</w:t>
      </w:r>
      <w:r w:rsidR="006A7836" w:rsidRPr="00D84639">
        <w:rPr>
          <w:rFonts w:asciiTheme="minorHAnsi" w:hAnsiTheme="minorHAnsi" w:cstheme="minorBidi"/>
          <w:sz w:val="22"/>
          <w:szCs w:val="22"/>
        </w:rPr>
        <w:t xml:space="preserve">. </w:t>
      </w:r>
    </w:p>
    <w:p w14:paraId="58913D42" w14:textId="77777777" w:rsidR="006A7836" w:rsidRPr="00D84639" w:rsidRDefault="006A7836" w:rsidP="004679E4">
      <w:pPr>
        <w:pStyle w:val="Heading2"/>
      </w:pPr>
      <w:bookmarkStart w:id="14" w:name="_Toc220447445"/>
      <w:r w:rsidRPr="00D84639">
        <w:t>2.5 National/Local UK Context</w:t>
      </w:r>
      <w:bookmarkEnd w:id="14"/>
    </w:p>
    <w:p w14:paraId="56E7E7B7" w14:textId="79B36922" w:rsidR="006A7836" w:rsidRPr="00D84639" w:rsidRDefault="006A7836"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In the UK, the National Health Service (NHS) is founded on the principle of equal access based on clinical need, not ability to pay. Nevertheless, national guidance and independent reviews report persistent socioeconomic and geographic inequalities in both health outcomes and service use. Health inequalities are defined as avoidable differences between groups linked to social and economic disadvantage and to the conditions in which people are born, grow, live, work and age</w:t>
      </w:r>
      <w:r w:rsidR="004139FC" w:rsidRPr="00D84639">
        <w:rPr>
          <w:rFonts w:asciiTheme="minorHAnsi" w:hAnsiTheme="minorHAnsi" w:cstheme="minorBidi"/>
          <w:sz w:val="22"/>
          <w:szCs w:val="22"/>
        </w:rPr>
        <w:t xml:space="preserve"> (Office for Health Improvement &amp; Disparities, 2022)</w:t>
      </w:r>
      <w:r w:rsidRPr="00D84639">
        <w:rPr>
          <w:rFonts w:asciiTheme="minorHAnsi" w:hAnsiTheme="minorHAnsi" w:cstheme="minorBidi"/>
          <w:sz w:val="22"/>
          <w:szCs w:val="22"/>
        </w:rPr>
        <w:t>. Data from England show that people living in the most deprived areas experience worse access, experience and outcomes than those in the least deprived areas, including higher emergency admissions and lower uptake of preventive care</w:t>
      </w:r>
      <w:r w:rsidR="004139FC" w:rsidRPr="00D84639">
        <w:rPr>
          <w:rFonts w:asciiTheme="minorHAnsi" w:hAnsiTheme="minorHAnsi" w:cstheme="minorBidi"/>
          <w:sz w:val="22"/>
          <w:szCs w:val="22"/>
        </w:rPr>
        <w:t xml:space="preserve"> (NHS England, 2023)</w:t>
      </w:r>
      <w:r w:rsidRPr="00D84639">
        <w:rPr>
          <w:rFonts w:asciiTheme="minorHAnsi" w:hAnsiTheme="minorHAnsi" w:cstheme="minorBidi"/>
          <w:sz w:val="22"/>
          <w:szCs w:val="22"/>
        </w:rPr>
        <w:t>.</w:t>
      </w:r>
      <w:r w:rsidR="004139FC" w:rsidRPr="00D84639">
        <w:rPr>
          <w:rFonts w:asciiTheme="minorHAnsi" w:hAnsiTheme="minorHAnsi" w:cstheme="minorBidi"/>
          <w:sz w:val="22"/>
          <w:szCs w:val="22"/>
        </w:rPr>
        <w:t xml:space="preserve"> </w:t>
      </w:r>
    </w:p>
    <w:p w14:paraId="34E972DC" w14:textId="77777777" w:rsidR="001E203E" w:rsidRDefault="003A3DC7" w:rsidP="001E203E">
      <w:pPr>
        <w:pStyle w:val="NormalWeb"/>
        <w:spacing w:line="360" w:lineRule="auto"/>
        <w:jc w:val="both"/>
        <w:rPr>
          <w:rFonts w:asciiTheme="minorHAnsi" w:hAnsiTheme="minorHAnsi" w:cstheme="minorBidi"/>
          <w:sz w:val="22"/>
          <w:szCs w:val="22"/>
        </w:rPr>
      </w:pPr>
      <w:r w:rsidRPr="003A3DC7">
        <w:rPr>
          <w:rFonts w:asciiTheme="minorHAnsi" w:hAnsiTheme="minorHAnsi" w:cstheme="minorBidi"/>
          <w:sz w:val="22"/>
          <w:szCs w:val="22"/>
        </w:rPr>
        <w:lastRenderedPageBreak/>
        <w:t>National policy has increasingly acknowledged this. The NHS long term plan was committed to stronger NHS action on health inequalities, prioritizing primary and community care in disadvantaged areas, and prioritizing conditions such as cardiovascular disease, cancer, mental illness, and maternity outcomes</w:t>
      </w:r>
      <w:r w:rsidR="001E203E">
        <w:rPr>
          <w:rFonts w:asciiTheme="minorHAnsi" w:hAnsiTheme="minorHAnsi" w:cstheme="minorBidi"/>
          <w:sz w:val="22"/>
          <w:szCs w:val="22"/>
        </w:rPr>
        <w:t xml:space="preserve"> </w:t>
      </w:r>
      <w:r w:rsidRPr="003A3DC7">
        <w:rPr>
          <w:rFonts w:asciiTheme="minorHAnsi" w:hAnsiTheme="minorHAnsi" w:cstheme="minorBidi"/>
          <w:sz w:val="22"/>
          <w:szCs w:val="22"/>
        </w:rPr>
        <w:t xml:space="preserve">(Alderwick, Hutchings, and Mays, 2024). </w:t>
      </w:r>
      <w:r w:rsidR="001E203E" w:rsidRPr="001E203E">
        <w:rPr>
          <w:rFonts w:asciiTheme="minorHAnsi" w:hAnsiTheme="minorHAnsi" w:cstheme="minorBidi"/>
          <w:sz w:val="22"/>
          <w:szCs w:val="22"/>
        </w:rPr>
        <w:t>The Core20PLUS5 model takes this commitment and translates it into a plan of action, prioritizing the most deprived 20% of the national population, locally defined inclusion populations, and five areas where inequalities in healthcare are greatest (NHS England, 2021). There is more emphasis placed upon more systematic ways of prioritization, and this remains to be seen in terms of funding, staffing, and accountability.</w:t>
      </w:r>
    </w:p>
    <w:p w14:paraId="2C48D8D3" w14:textId="77777777" w:rsidR="001E203E" w:rsidRDefault="001E203E" w:rsidP="00D84639">
      <w:pPr>
        <w:pStyle w:val="NormalWeb"/>
        <w:spacing w:line="360" w:lineRule="auto"/>
        <w:jc w:val="both"/>
        <w:rPr>
          <w:rFonts w:asciiTheme="minorHAnsi" w:hAnsiTheme="minorHAnsi" w:cstheme="minorBidi"/>
          <w:sz w:val="22"/>
          <w:szCs w:val="22"/>
        </w:rPr>
      </w:pPr>
      <w:r w:rsidRPr="001E203E">
        <w:rPr>
          <w:rFonts w:asciiTheme="minorHAnsi" w:hAnsiTheme="minorHAnsi" w:cstheme="minorBidi"/>
          <w:sz w:val="22"/>
          <w:szCs w:val="22"/>
        </w:rPr>
        <w:t>Another important policy thread is the integration of health and social care, and the white papers and briefings from the parliament highlight the need to work together and integrate the efforts of the NHS, local authority social care, and the voluntary sector through the concept of integrated care systems and place-based partnerships (House of Commons, 2021). The benefits that have been cited are the need to reduce duplication and inequality in terms of outcome and access. However, the evaluation suggests that the progress is mixed, and hence, the concept of integration could be considered as an integration conundrum rather than an integration solution.</w:t>
      </w:r>
    </w:p>
    <w:p w14:paraId="7767435E" w14:textId="6EAAC43C" w:rsidR="006A7836" w:rsidRPr="00D84639" w:rsidRDefault="001E203E" w:rsidP="00D84639">
      <w:pPr>
        <w:pStyle w:val="NormalWeb"/>
        <w:spacing w:line="360" w:lineRule="auto"/>
        <w:jc w:val="both"/>
        <w:rPr>
          <w:rFonts w:asciiTheme="minorHAnsi" w:hAnsiTheme="minorHAnsi" w:cstheme="minorBidi"/>
          <w:sz w:val="22"/>
          <w:szCs w:val="22"/>
        </w:rPr>
      </w:pPr>
      <w:r w:rsidRPr="001E203E">
        <w:rPr>
          <w:rFonts w:asciiTheme="minorHAnsi" w:hAnsiTheme="minorHAnsi" w:cstheme="minorBidi"/>
          <w:sz w:val="22"/>
          <w:szCs w:val="22"/>
        </w:rPr>
        <w:t>In terms of innovation, some initiatives are using inequalities dashboards and the Core20PLUS5 method to identify areas of need, provide outreach clinics, and co-locate services in state-of-the-art accessible premises in high deprivation areas. Nevertheless, years of austerity, rising levels of poverty, and reduced budgets for local authorities have also had an impact on the ability to address the wider determinants of health. Media investigations and expert analysis have shown that the level of inequality in the UK is severe and even worsening. Therefore, for the purpose of this dissertation, the situation in the UK will be used to highlight the complex relationships between SES, geography, and healthcare reform</w:t>
      </w:r>
      <w:r w:rsidR="006A7836" w:rsidRPr="00D84639">
        <w:rPr>
          <w:rFonts w:asciiTheme="minorHAnsi" w:hAnsiTheme="minorHAnsi" w:cstheme="minorBidi"/>
          <w:sz w:val="22"/>
          <w:szCs w:val="22"/>
        </w:rPr>
        <w:t>.</w:t>
      </w:r>
    </w:p>
    <w:p w14:paraId="4F906482" w14:textId="4A2122CA" w:rsidR="006A7836" w:rsidRPr="00D84639" w:rsidRDefault="006A7836" w:rsidP="009A23B6">
      <w:pPr>
        <w:pStyle w:val="Heading2"/>
      </w:pPr>
      <w:bookmarkStart w:id="15" w:name="_Toc220447446"/>
      <w:r w:rsidRPr="00D84639">
        <w:t>2.6</w:t>
      </w:r>
      <w:r w:rsidR="009A23B6">
        <w:t>.</w:t>
      </w:r>
      <w:r w:rsidRPr="00D84639">
        <w:t xml:space="preserve"> Conclusion</w:t>
      </w:r>
      <w:bookmarkEnd w:id="15"/>
    </w:p>
    <w:p w14:paraId="716CB6B3" w14:textId="12E8F703" w:rsidR="006A7836" w:rsidRPr="00D84639" w:rsidRDefault="006A7836"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 xml:space="preserve">This chapter has situated the dissertation topic within a broader historical, theoretical and policy context. </w:t>
      </w:r>
      <w:r w:rsidR="00743AB4" w:rsidRPr="00743AB4">
        <w:rPr>
          <w:rFonts w:asciiTheme="minorHAnsi" w:hAnsiTheme="minorHAnsi" w:cstheme="minorBidi"/>
          <w:sz w:val="22"/>
          <w:szCs w:val="22"/>
        </w:rPr>
        <w:t xml:space="preserve">In the past, attempts to extend coverage and integrate services have helped to reduce barriers, although social gradients in access have still not been removed, especially where low income, educational level, and occupation intersect with urban/rural disadvantage. Theoretical approaches such as the social determinants of health, the behavioral model of service use, and the multi-dimensional approach to understanding access help to explain these phenomena, although there are still gaps, especially regarding the inter-relationship between SES and place. </w:t>
      </w:r>
      <w:r w:rsidR="00743AB4" w:rsidRPr="00743AB4">
        <w:rPr>
          <w:rFonts w:asciiTheme="minorHAnsi" w:hAnsiTheme="minorHAnsi" w:cstheme="minorBidi"/>
          <w:sz w:val="22"/>
          <w:szCs w:val="22"/>
        </w:rPr>
        <w:lastRenderedPageBreak/>
        <w:t>The international literature demonstrates that similar SES-related inequalities in access are found across different health systems, while the UK example illustrates how equity is possible with significant variations.</w:t>
      </w:r>
    </w:p>
    <w:p w14:paraId="72A9EB4F" w14:textId="309DC6EF" w:rsidR="006A7836" w:rsidRPr="00D84639" w:rsidRDefault="006A7836" w:rsidP="00D84639">
      <w:pPr>
        <w:pStyle w:val="NormalWeb"/>
        <w:spacing w:line="360" w:lineRule="auto"/>
        <w:jc w:val="both"/>
        <w:rPr>
          <w:rFonts w:asciiTheme="minorHAnsi" w:hAnsiTheme="minorHAnsi" w:cstheme="minorBidi"/>
          <w:sz w:val="22"/>
          <w:szCs w:val="22"/>
        </w:rPr>
      </w:pPr>
      <w:r w:rsidRPr="00D84639">
        <w:rPr>
          <w:rFonts w:asciiTheme="minorHAnsi" w:hAnsiTheme="minorHAnsi" w:cstheme="minorBidi"/>
          <w:sz w:val="22"/>
          <w:szCs w:val="22"/>
        </w:rPr>
        <w:t xml:space="preserve">The next chapter will set out the methodology for the dissertation. </w:t>
      </w:r>
      <w:r w:rsidR="00F503B9" w:rsidRPr="00F503B9">
        <w:rPr>
          <w:rFonts w:asciiTheme="minorHAnsi" w:hAnsiTheme="minorHAnsi" w:cstheme="minorBidi"/>
          <w:sz w:val="22"/>
          <w:szCs w:val="22"/>
        </w:rPr>
        <w:t>It will discuss the rationale behind the use of the systematic literature review, the search strategy, and the inclusion and exclusion criteria, as well as the methods for data extraction, quality assessment, and thematic analysis. The background and analysis presented in Chapter 2 form the basis for the methodological decisions taken, as they clarify the concepts, identify the relevant international and UK policy debates, and highlight the gaps in the evidence that the systematic literature review hopes to fill.</w:t>
      </w:r>
    </w:p>
    <w:p w14:paraId="02CBAE5A" w14:textId="77777777" w:rsidR="0079288B" w:rsidRPr="00D84639" w:rsidRDefault="0079288B" w:rsidP="00D84639">
      <w:pPr>
        <w:jc w:val="both"/>
        <w:rPr>
          <w:b/>
          <w:bCs/>
          <w:szCs w:val="22"/>
          <w:lang w:val="en-GB"/>
        </w:rPr>
      </w:pPr>
    </w:p>
    <w:p w14:paraId="7654DB66" w14:textId="77777777" w:rsidR="00E545E9" w:rsidRPr="00D84639" w:rsidRDefault="00E545E9" w:rsidP="00D84639">
      <w:pPr>
        <w:jc w:val="both"/>
        <w:rPr>
          <w:b/>
          <w:bCs/>
          <w:szCs w:val="22"/>
          <w:lang w:val="en-GB"/>
        </w:rPr>
      </w:pPr>
    </w:p>
    <w:p w14:paraId="17CA8D06" w14:textId="77777777" w:rsidR="00E545E9" w:rsidRDefault="00E545E9" w:rsidP="00D84639">
      <w:pPr>
        <w:jc w:val="both"/>
        <w:rPr>
          <w:b/>
          <w:bCs/>
          <w:szCs w:val="22"/>
          <w:lang w:val="en-GB"/>
        </w:rPr>
      </w:pPr>
    </w:p>
    <w:p w14:paraId="31A2C4DC" w14:textId="77777777" w:rsidR="00B17542" w:rsidRDefault="00B17542" w:rsidP="00D84639">
      <w:pPr>
        <w:jc w:val="both"/>
        <w:rPr>
          <w:b/>
          <w:bCs/>
          <w:szCs w:val="22"/>
          <w:lang w:val="en-GB"/>
        </w:rPr>
      </w:pPr>
    </w:p>
    <w:p w14:paraId="273DDC8C" w14:textId="77777777" w:rsidR="00B17542" w:rsidRDefault="00B17542" w:rsidP="00D84639">
      <w:pPr>
        <w:jc w:val="both"/>
        <w:rPr>
          <w:b/>
          <w:bCs/>
          <w:szCs w:val="22"/>
          <w:lang w:val="en-GB"/>
        </w:rPr>
      </w:pPr>
    </w:p>
    <w:p w14:paraId="360E14AE" w14:textId="77777777" w:rsidR="00434C24" w:rsidRDefault="00434C24" w:rsidP="00D84639">
      <w:pPr>
        <w:jc w:val="both"/>
        <w:rPr>
          <w:b/>
          <w:bCs/>
          <w:szCs w:val="22"/>
          <w:lang w:val="en-GB"/>
        </w:rPr>
      </w:pPr>
    </w:p>
    <w:p w14:paraId="7E9D6F23" w14:textId="77777777" w:rsidR="00434C24" w:rsidRDefault="00434C24" w:rsidP="00D84639">
      <w:pPr>
        <w:jc w:val="both"/>
        <w:rPr>
          <w:b/>
          <w:bCs/>
          <w:szCs w:val="22"/>
          <w:lang w:val="en-GB"/>
        </w:rPr>
      </w:pPr>
    </w:p>
    <w:p w14:paraId="19D34A4C" w14:textId="77777777" w:rsidR="00434C24" w:rsidRDefault="00434C24" w:rsidP="00D84639">
      <w:pPr>
        <w:jc w:val="both"/>
        <w:rPr>
          <w:b/>
          <w:bCs/>
          <w:szCs w:val="22"/>
          <w:lang w:val="en-GB"/>
        </w:rPr>
      </w:pPr>
    </w:p>
    <w:p w14:paraId="005A1753" w14:textId="77777777" w:rsidR="00434C24" w:rsidRDefault="00434C24" w:rsidP="00D84639">
      <w:pPr>
        <w:jc w:val="both"/>
        <w:rPr>
          <w:b/>
          <w:bCs/>
          <w:szCs w:val="22"/>
          <w:lang w:val="en-GB"/>
        </w:rPr>
      </w:pPr>
    </w:p>
    <w:p w14:paraId="205B01BC" w14:textId="77777777" w:rsidR="00434C24" w:rsidRDefault="00434C24" w:rsidP="00D84639">
      <w:pPr>
        <w:jc w:val="both"/>
        <w:rPr>
          <w:b/>
          <w:bCs/>
          <w:szCs w:val="22"/>
          <w:lang w:val="en-GB"/>
        </w:rPr>
      </w:pPr>
    </w:p>
    <w:p w14:paraId="621A34E8" w14:textId="77777777" w:rsidR="00434C24" w:rsidRDefault="00434C24" w:rsidP="00D84639">
      <w:pPr>
        <w:jc w:val="both"/>
        <w:rPr>
          <w:b/>
          <w:bCs/>
          <w:szCs w:val="22"/>
          <w:lang w:val="en-GB"/>
        </w:rPr>
      </w:pPr>
    </w:p>
    <w:p w14:paraId="3C633BE9" w14:textId="77777777" w:rsidR="00434C24" w:rsidRDefault="00434C24" w:rsidP="00D84639">
      <w:pPr>
        <w:jc w:val="both"/>
        <w:rPr>
          <w:b/>
          <w:bCs/>
          <w:szCs w:val="22"/>
          <w:lang w:val="en-GB"/>
        </w:rPr>
      </w:pPr>
    </w:p>
    <w:p w14:paraId="43B97157" w14:textId="77777777" w:rsidR="00434C24" w:rsidRDefault="00434C24" w:rsidP="00D84639">
      <w:pPr>
        <w:jc w:val="both"/>
        <w:rPr>
          <w:b/>
          <w:bCs/>
          <w:szCs w:val="22"/>
          <w:lang w:val="en-GB"/>
        </w:rPr>
      </w:pPr>
    </w:p>
    <w:p w14:paraId="2F385759" w14:textId="77777777" w:rsidR="00434C24" w:rsidRDefault="00434C24" w:rsidP="00D84639">
      <w:pPr>
        <w:jc w:val="both"/>
        <w:rPr>
          <w:b/>
          <w:bCs/>
          <w:szCs w:val="22"/>
          <w:lang w:val="en-GB"/>
        </w:rPr>
      </w:pPr>
    </w:p>
    <w:p w14:paraId="66995D6B" w14:textId="77777777" w:rsidR="00434C24" w:rsidRDefault="00434C24" w:rsidP="00D84639">
      <w:pPr>
        <w:jc w:val="both"/>
        <w:rPr>
          <w:b/>
          <w:bCs/>
          <w:szCs w:val="22"/>
          <w:lang w:val="en-GB"/>
        </w:rPr>
      </w:pPr>
    </w:p>
    <w:p w14:paraId="0DEE4A98" w14:textId="77777777" w:rsidR="00B17542" w:rsidRDefault="00B17542" w:rsidP="00D84639">
      <w:pPr>
        <w:jc w:val="both"/>
        <w:rPr>
          <w:b/>
          <w:bCs/>
          <w:szCs w:val="22"/>
          <w:lang w:val="en-GB"/>
        </w:rPr>
      </w:pPr>
    </w:p>
    <w:p w14:paraId="69F72D36" w14:textId="77777777" w:rsidR="003A3DC7" w:rsidRDefault="003A3DC7" w:rsidP="00D84639">
      <w:pPr>
        <w:jc w:val="both"/>
        <w:rPr>
          <w:b/>
          <w:bCs/>
          <w:szCs w:val="22"/>
          <w:lang w:val="en-GB"/>
        </w:rPr>
      </w:pPr>
    </w:p>
    <w:p w14:paraId="54C782C1" w14:textId="77777777" w:rsidR="003A3DC7" w:rsidRDefault="003A3DC7" w:rsidP="00D84639">
      <w:pPr>
        <w:jc w:val="both"/>
        <w:rPr>
          <w:b/>
          <w:bCs/>
          <w:szCs w:val="22"/>
          <w:lang w:val="en-GB"/>
        </w:rPr>
      </w:pPr>
    </w:p>
    <w:p w14:paraId="5ACBCAE3" w14:textId="77777777" w:rsidR="003A3DC7" w:rsidRPr="00D84639" w:rsidRDefault="003A3DC7" w:rsidP="00D84639">
      <w:pPr>
        <w:jc w:val="both"/>
        <w:rPr>
          <w:b/>
          <w:bCs/>
          <w:szCs w:val="22"/>
          <w:lang w:val="en-GB"/>
        </w:rPr>
      </w:pPr>
    </w:p>
    <w:p w14:paraId="71128A1B" w14:textId="1C21B77F" w:rsidR="002D655D" w:rsidRPr="00D84639" w:rsidRDefault="002D655D" w:rsidP="00D57ADB">
      <w:pPr>
        <w:pStyle w:val="Heading1"/>
      </w:pPr>
      <w:bookmarkStart w:id="16" w:name="_Toc220447447"/>
      <w:r w:rsidRPr="00D84639">
        <w:lastRenderedPageBreak/>
        <w:t>CHAPTER 3</w:t>
      </w:r>
      <w:r w:rsidR="00044B81">
        <w:t xml:space="preserve">: </w:t>
      </w:r>
      <w:r w:rsidRPr="00D84639">
        <w:t>Methods and Search Strategy</w:t>
      </w:r>
      <w:bookmarkEnd w:id="16"/>
    </w:p>
    <w:p w14:paraId="6F491150" w14:textId="77777777" w:rsidR="002D655D" w:rsidRPr="00D84639" w:rsidRDefault="002D655D" w:rsidP="00D57ADB">
      <w:pPr>
        <w:pStyle w:val="Heading2"/>
      </w:pPr>
      <w:bookmarkStart w:id="17" w:name="_Toc220447448"/>
      <w:r w:rsidRPr="00D84639">
        <w:t>3.1 Introduction</w:t>
      </w:r>
      <w:bookmarkEnd w:id="17"/>
    </w:p>
    <w:p w14:paraId="612A0C4B" w14:textId="503AE803" w:rsidR="002D655D" w:rsidRPr="00D84639" w:rsidRDefault="00F76120" w:rsidP="00D84639">
      <w:pPr>
        <w:pStyle w:val="NormalWeb"/>
        <w:spacing w:line="360" w:lineRule="auto"/>
        <w:jc w:val="both"/>
        <w:rPr>
          <w:rFonts w:asciiTheme="minorHAnsi" w:hAnsiTheme="minorHAnsi"/>
          <w:sz w:val="22"/>
          <w:szCs w:val="22"/>
        </w:rPr>
      </w:pPr>
      <w:r w:rsidRPr="00F76120">
        <w:rPr>
          <w:rFonts w:asciiTheme="minorHAnsi" w:hAnsiTheme="minorHAnsi"/>
          <w:sz w:val="22"/>
          <w:szCs w:val="22"/>
        </w:rPr>
        <w:t>This chapter describes the way the dissertation was carried out through desk-based and literature-based approach. Desk-based approach implies that the study will not refer to new data collected with the participation of the people. It is a systematic process of identifying, choosing and evaluating academic and policy sources in order to respond to the research question (Gupta, 2024). The approach is appropriate to research socioeconomic inequalities due to the opportunity to compare the situation across nations, contexts and services types with the broad evidence base (Chigbu, Atiku and Du Plessis, 2023). To guarantee relevance and reliability of the sources used, and to offer the groundwork to the thematic findings of the Chapter 4, the methods outlined herein are necessary</w:t>
      </w:r>
      <w:r w:rsidR="002D655D" w:rsidRPr="00D84639">
        <w:rPr>
          <w:rFonts w:asciiTheme="minorHAnsi" w:hAnsiTheme="minorHAnsi"/>
          <w:sz w:val="22"/>
          <w:szCs w:val="22"/>
        </w:rPr>
        <w:t>.</w:t>
      </w:r>
    </w:p>
    <w:p w14:paraId="2526782F" w14:textId="77777777" w:rsidR="002D655D" w:rsidRPr="00D84639" w:rsidRDefault="002D655D" w:rsidP="00D57ADB">
      <w:pPr>
        <w:pStyle w:val="Heading2"/>
      </w:pPr>
      <w:bookmarkStart w:id="18" w:name="_Toc220447449"/>
      <w:r w:rsidRPr="00D84639">
        <w:t>3.2 Search Strategy</w:t>
      </w:r>
      <w:bookmarkEnd w:id="18"/>
    </w:p>
    <w:p w14:paraId="48E1D6C2" w14:textId="77777777" w:rsidR="00D57ADB" w:rsidRDefault="002D655D" w:rsidP="00D84639">
      <w:pPr>
        <w:pStyle w:val="NormalWeb"/>
        <w:spacing w:line="360" w:lineRule="auto"/>
        <w:jc w:val="both"/>
        <w:rPr>
          <w:rFonts w:asciiTheme="minorHAnsi" w:hAnsiTheme="minorHAnsi"/>
          <w:sz w:val="22"/>
          <w:szCs w:val="22"/>
        </w:rPr>
      </w:pPr>
      <w:r w:rsidRPr="00D84639">
        <w:rPr>
          <w:rFonts w:asciiTheme="minorHAnsi" w:hAnsiTheme="minorHAnsi"/>
          <w:sz w:val="22"/>
          <w:szCs w:val="22"/>
        </w:rPr>
        <w:t xml:space="preserve">Keywords were developed directly from the dissertation title and research aims. Core terms included </w:t>
      </w:r>
      <w:r w:rsidRPr="00D84639">
        <w:rPr>
          <w:rStyle w:val="Strong"/>
          <w:rFonts w:asciiTheme="minorHAnsi" w:eastAsiaTheme="majorEastAsia" w:hAnsiTheme="minorHAnsi"/>
          <w:sz w:val="22"/>
          <w:szCs w:val="22"/>
        </w:rPr>
        <w:t>“</w:t>
      </w:r>
      <w:r w:rsidRPr="00D84639">
        <w:rPr>
          <w:rStyle w:val="Strong"/>
          <w:rFonts w:asciiTheme="minorHAnsi" w:eastAsiaTheme="majorEastAsia" w:hAnsiTheme="minorHAnsi"/>
          <w:b w:val="0"/>
          <w:bCs w:val="0"/>
          <w:sz w:val="22"/>
          <w:szCs w:val="22"/>
        </w:rPr>
        <w:t>socioeconomic status,” “income,” “education,” “occupation,” “deprivation,” “healthcare access,” “social care access,” “service utilisation,” “health inequalities,” “urban,”</w:t>
      </w:r>
      <w:r w:rsidRPr="00D84639">
        <w:rPr>
          <w:rFonts w:asciiTheme="minorHAnsi" w:hAnsiTheme="minorHAnsi"/>
          <w:sz w:val="22"/>
          <w:szCs w:val="22"/>
        </w:rPr>
        <w:t xml:space="preserve"> and </w:t>
      </w:r>
      <w:r w:rsidRPr="00D84639">
        <w:rPr>
          <w:rStyle w:val="Strong"/>
          <w:rFonts w:asciiTheme="minorHAnsi" w:eastAsiaTheme="majorEastAsia" w:hAnsiTheme="minorHAnsi"/>
          <w:b w:val="0"/>
          <w:bCs w:val="0"/>
          <w:sz w:val="22"/>
          <w:szCs w:val="22"/>
        </w:rPr>
        <w:t>“rural.”</w:t>
      </w:r>
      <w:r w:rsidRPr="00D84639">
        <w:rPr>
          <w:rFonts w:asciiTheme="minorHAnsi" w:hAnsiTheme="minorHAnsi"/>
          <w:sz w:val="22"/>
          <w:szCs w:val="22"/>
        </w:rPr>
        <w:t xml:space="preserve"> These were expanded using synonyms and professional terms to improve retrieval, for example: “SES” OR “socio-economic position,” “health services” OR “primary care,” and “barriers” OR “unmet need.”</w:t>
      </w:r>
    </w:p>
    <w:p w14:paraId="4FDD5BDF" w14:textId="1AF8AD3E" w:rsidR="002D655D" w:rsidRPr="00D84639" w:rsidRDefault="002D655D" w:rsidP="00D84639">
      <w:pPr>
        <w:pStyle w:val="NormalWeb"/>
        <w:spacing w:line="360" w:lineRule="auto"/>
        <w:jc w:val="both"/>
        <w:rPr>
          <w:rFonts w:asciiTheme="minorHAnsi" w:hAnsiTheme="minorHAnsi"/>
          <w:sz w:val="22"/>
          <w:szCs w:val="22"/>
        </w:rPr>
      </w:pPr>
      <w:r w:rsidRPr="00D84639">
        <w:rPr>
          <w:rFonts w:asciiTheme="minorHAnsi" w:hAnsiTheme="minorHAnsi"/>
          <w:sz w:val="22"/>
          <w:szCs w:val="22"/>
        </w:rPr>
        <w:t xml:space="preserve">Boolean operators were used to combine concepts and narrow results. </w:t>
      </w:r>
      <w:r w:rsidRPr="00D84639">
        <w:rPr>
          <w:rStyle w:val="Strong"/>
          <w:rFonts w:asciiTheme="minorHAnsi" w:eastAsiaTheme="majorEastAsia" w:hAnsiTheme="minorHAnsi"/>
          <w:sz w:val="22"/>
          <w:szCs w:val="22"/>
        </w:rPr>
        <w:t>AND</w:t>
      </w:r>
      <w:r w:rsidRPr="00D84639">
        <w:rPr>
          <w:rFonts w:asciiTheme="minorHAnsi" w:hAnsiTheme="minorHAnsi"/>
          <w:sz w:val="22"/>
          <w:szCs w:val="22"/>
        </w:rPr>
        <w:t xml:space="preserve"> joined key concepts (e.g., “socioeconomic status” AND “access” AND rural), </w:t>
      </w:r>
      <w:r w:rsidRPr="00D84639">
        <w:rPr>
          <w:rStyle w:val="Strong"/>
          <w:rFonts w:asciiTheme="minorHAnsi" w:eastAsiaTheme="majorEastAsia" w:hAnsiTheme="minorHAnsi"/>
          <w:sz w:val="22"/>
          <w:szCs w:val="22"/>
        </w:rPr>
        <w:t>OR</w:t>
      </w:r>
      <w:r w:rsidRPr="00D84639">
        <w:rPr>
          <w:rFonts w:asciiTheme="minorHAnsi" w:hAnsiTheme="minorHAnsi"/>
          <w:sz w:val="22"/>
          <w:szCs w:val="22"/>
        </w:rPr>
        <w:t xml:space="preserve"> captured synonyms (e.g., rural OR remote), and </w:t>
      </w:r>
      <w:r w:rsidRPr="00D84639">
        <w:rPr>
          <w:rStyle w:val="Strong"/>
          <w:rFonts w:asciiTheme="minorHAnsi" w:eastAsiaTheme="majorEastAsia" w:hAnsiTheme="minorHAnsi"/>
          <w:sz w:val="22"/>
          <w:szCs w:val="22"/>
        </w:rPr>
        <w:t>NOT</w:t>
      </w:r>
      <w:r w:rsidRPr="00D84639">
        <w:rPr>
          <w:rFonts w:asciiTheme="minorHAnsi" w:hAnsiTheme="minorHAnsi"/>
          <w:sz w:val="22"/>
          <w:szCs w:val="22"/>
        </w:rPr>
        <w:t xml:space="preserve"> removed irrelevant topics when necessary (e.g., access NOT “internet access” when results were unrelated).</w:t>
      </w:r>
    </w:p>
    <w:p w14:paraId="7A1A47B6" w14:textId="77777777" w:rsidR="002D655D" w:rsidRPr="00D84639" w:rsidRDefault="002D655D" w:rsidP="00D57ADB">
      <w:pPr>
        <w:pStyle w:val="Heading2"/>
      </w:pPr>
      <w:bookmarkStart w:id="19" w:name="_Toc220447450"/>
      <w:r w:rsidRPr="00D84639">
        <w:t>3.3 Searching for Information</w:t>
      </w:r>
      <w:bookmarkEnd w:id="19"/>
    </w:p>
    <w:p w14:paraId="5E9C6726" w14:textId="77777777" w:rsidR="003A3DC7" w:rsidRPr="003A3DC7" w:rsidRDefault="003A3DC7" w:rsidP="00385AE2">
      <w:pPr>
        <w:pStyle w:val="NormalWeb"/>
        <w:spacing w:line="360" w:lineRule="auto"/>
        <w:jc w:val="both"/>
        <w:rPr>
          <w:rFonts w:asciiTheme="minorHAnsi" w:hAnsiTheme="minorHAnsi"/>
          <w:sz w:val="22"/>
          <w:szCs w:val="22"/>
        </w:rPr>
      </w:pPr>
      <w:r w:rsidRPr="003A3DC7">
        <w:rPr>
          <w:rFonts w:asciiTheme="minorHAnsi" w:hAnsiTheme="minorHAnsi"/>
          <w:sz w:val="22"/>
          <w:szCs w:val="22"/>
        </w:rPr>
        <w:t>Academic databases and reliable websites were searched to ensure the sources are reliable and relevant to health and social care. Searches included Google Scholar due to its vast database and citation visibility, and specific databases like PubMed (health and public health), CINAHL (nursing and allied health professions), and Scopus/Web of Science (multi-disciplinary with good indexing capabilities) and SocINDEX (social policy and social care). If available, the UWTSD Library Search System was used to access journals and ebooks.</w:t>
      </w:r>
    </w:p>
    <w:p w14:paraId="5D3DF8D1" w14:textId="312DFA17" w:rsidR="002D655D" w:rsidRPr="00D84639" w:rsidRDefault="003A3DC7" w:rsidP="00385AE2">
      <w:pPr>
        <w:pStyle w:val="NormalWeb"/>
        <w:spacing w:line="360" w:lineRule="auto"/>
        <w:jc w:val="both"/>
        <w:rPr>
          <w:rFonts w:asciiTheme="minorHAnsi" w:hAnsiTheme="minorHAnsi"/>
          <w:sz w:val="22"/>
          <w:szCs w:val="22"/>
        </w:rPr>
      </w:pPr>
      <w:r w:rsidRPr="003A3DC7">
        <w:rPr>
          <w:rFonts w:asciiTheme="minorHAnsi" w:hAnsiTheme="minorHAnsi"/>
          <w:sz w:val="22"/>
          <w:szCs w:val="22"/>
        </w:rPr>
        <w:lastRenderedPageBreak/>
        <w:t>Filters were implemented to refine the search and improve the quality of the sources searched. This included restricting the sources to English language only and a date range (mainly the last 10-15 years to reflect contemporary service systems) and restricting the sources to peer-reviewed sources where possible</w:t>
      </w:r>
      <w:r w:rsidR="002D655D" w:rsidRPr="00D84639">
        <w:rPr>
          <w:rFonts w:asciiTheme="minorHAnsi" w:hAnsiTheme="minorHAnsi"/>
          <w:sz w:val="22"/>
          <w:szCs w:val="22"/>
        </w:rPr>
        <w:t>. A source tracking table was maintained to record the database, search string, year, setting (urban/rural), SES measure and relevance; this is provided in the Appendix.</w:t>
      </w:r>
    </w:p>
    <w:p w14:paraId="2D7F52C0" w14:textId="77777777" w:rsidR="002D655D" w:rsidRPr="00D84639" w:rsidRDefault="002D655D" w:rsidP="00D57ADB">
      <w:pPr>
        <w:pStyle w:val="Heading2"/>
      </w:pPr>
      <w:bookmarkStart w:id="20" w:name="_Toc220447451"/>
      <w:r w:rsidRPr="00D84639">
        <w:t>3.4 Research Validation</w:t>
      </w:r>
      <w:bookmarkEnd w:id="20"/>
    </w:p>
    <w:p w14:paraId="08966E03" w14:textId="6B0CB5B3" w:rsidR="002D655D" w:rsidRPr="00D84639" w:rsidRDefault="002D655D" w:rsidP="00D84639">
      <w:pPr>
        <w:pStyle w:val="NormalWeb"/>
        <w:spacing w:line="360" w:lineRule="auto"/>
        <w:jc w:val="both"/>
        <w:rPr>
          <w:rFonts w:asciiTheme="minorHAnsi" w:hAnsiTheme="minorHAnsi"/>
          <w:sz w:val="22"/>
          <w:szCs w:val="22"/>
        </w:rPr>
      </w:pPr>
      <w:r w:rsidRPr="00D84639">
        <w:rPr>
          <w:rFonts w:asciiTheme="minorHAnsi" w:hAnsiTheme="minorHAnsi"/>
          <w:sz w:val="22"/>
          <w:szCs w:val="22"/>
        </w:rPr>
        <w:t xml:space="preserve">To decide whether sources were suitable, articles were first screened using rapid skimming of the </w:t>
      </w:r>
      <w:r w:rsidRPr="00D84639">
        <w:rPr>
          <w:rStyle w:val="Strong"/>
          <w:rFonts w:asciiTheme="minorHAnsi" w:eastAsiaTheme="majorEastAsia" w:hAnsiTheme="minorHAnsi"/>
          <w:b w:val="0"/>
          <w:bCs w:val="0"/>
          <w:sz w:val="22"/>
          <w:szCs w:val="22"/>
        </w:rPr>
        <w:t>title, abstract, introduction and conclusion</w:t>
      </w:r>
      <w:r w:rsidRPr="00D84639">
        <w:rPr>
          <w:rFonts w:asciiTheme="minorHAnsi" w:hAnsiTheme="minorHAnsi"/>
          <w:sz w:val="22"/>
          <w:szCs w:val="22"/>
        </w:rPr>
        <w:t>. This helped confirm whether the paper addressed (1) SES indicators, (2) access to health and/or social care, and (3) urban and/or rural context. Full texts were then reviewed for those that appeared relevant.</w:t>
      </w:r>
      <w:r w:rsidRPr="00D84639">
        <w:rPr>
          <w:rFonts w:asciiTheme="minorHAnsi" w:hAnsiTheme="minorHAnsi"/>
          <w:sz w:val="22"/>
          <w:szCs w:val="22"/>
        </w:rPr>
        <w:br/>
        <w:t xml:space="preserve">The CRAAP test </w:t>
      </w:r>
      <w:r w:rsidR="000A3A9A" w:rsidRPr="00D84639">
        <w:rPr>
          <w:rFonts w:asciiTheme="minorHAnsi" w:hAnsiTheme="minorHAnsi"/>
          <w:sz w:val="22"/>
          <w:szCs w:val="22"/>
        </w:rPr>
        <w:t xml:space="preserve">(Kalidas, 2021) </w:t>
      </w:r>
      <w:r w:rsidRPr="00D84639">
        <w:rPr>
          <w:rFonts w:asciiTheme="minorHAnsi" w:hAnsiTheme="minorHAnsi"/>
          <w:sz w:val="22"/>
          <w:szCs w:val="22"/>
        </w:rPr>
        <w:t xml:space="preserve">was applied to evaluate quality: Currency (how recent and relevant to current systems), Relevance (directly addressing SES and access), Authority (author credentials and reputable journals/organisations), Accuracy (clear methods and evidence-based claims) and Purpose (whether the source aimed to inform rather than persuade). Not all sources scored equally across every element, but priority was given to strong Currency, Relevance and Authority, especially for policy and system-level claims. </w:t>
      </w:r>
    </w:p>
    <w:p w14:paraId="0E072FE7" w14:textId="77777777" w:rsidR="002D655D" w:rsidRPr="00D84639" w:rsidRDefault="002D655D" w:rsidP="00D57ADB">
      <w:pPr>
        <w:pStyle w:val="Heading2"/>
      </w:pPr>
      <w:bookmarkStart w:id="21" w:name="_Toc220447452"/>
      <w:r w:rsidRPr="00D84639">
        <w:t>3.5 Inclusion and Exclusion Criteria</w:t>
      </w:r>
      <w:bookmarkEnd w:id="21"/>
    </w:p>
    <w:p w14:paraId="608964D8" w14:textId="4D66DC18" w:rsidR="00802B52" w:rsidRPr="00D57ADB" w:rsidRDefault="00802B52" w:rsidP="00D84639">
      <w:pPr>
        <w:pStyle w:val="Caption"/>
        <w:keepNext/>
        <w:spacing w:line="360" w:lineRule="auto"/>
        <w:jc w:val="both"/>
      </w:pPr>
      <w:bookmarkStart w:id="22" w:name="_Toc220447479"/>
      <w:r w:rsidRPr="00D57ADB">
        <w:t xml:space="preserve">Table </w:t>
      </w:r>
      <w:fldSimple w:instr=" SEQ Table \* ARABIC ">
        <w:r w:rsidR="00A7253B" w:rsidRPr="00D57ADB">
          <w:rPr>
            <w:noProof/>
          </w:rPr>
          <w:t>3</w:t>
        </w:r>
      </w:fldSimple>
      <w:r w:rsidRPr="00D57ADB">
        <w:rPr>
          <w:lang w:val="en-GB"/>
        </w:rPr>
        <w:t>: Inclusion and Exclusion Criteria</w:t>
      </w:r>
      <w:bookmarkEnd w:id="22"/>
    </w:p>
    <w:tbl>
      <w:tblPr>
        <w:tblStyle w:val="TableGrid"/>
        <w:tblW w:w="0" w:type="auto"/>
        <w:tblLook w:val="04A0" w:firstRow="1" w:lastRow="0" w:firstColumn="1" w:lastColumn="0" w:noHBand="0" w:noVBand="1"/>
      </w:tblPr>
      <w:tblGrid>
        <w:gridCol w:w="1361"/>
        <w:gridCol w:w="4320"/>
        <w:gridCol w:w="3335"/>
      </w:tblGrid>
      <w:tr w:rsidR="00167554" w:rsidRPr="00167554" w14:paraId="30FE5F01" w14:textId="77777777" w:rsidTr="00802B52">
        <w:tc>
          <w:tcPr>
            <w:tcW w:w="0" w:type="auto"/>
            <w:hideMark/>
          </w:tcPr>
          <w:p w14:paraId="53D9A14D" w14:textId="77777777" w:rsidR="00167554" w:rsidRPr="00167554" w:rsidRDefault="00167554" w:rsidP="00D84639">
            <w:pPr>
              <w:jc w:val="both"/>
              <w:rPr>
                <w:b/>
                <w:bCs/>
                <w:szCs w:val="22"/>
              </w:rPr>
            </w:pPr>
            <w:r w:rsidRPr="00167554">
              <w:rPr>
                <w:b/>
                <w:bCs/>
                <w:szCs w:val="22"/>
              </w:rPr>
              <w:t>Category</w:t>
            </w:r>
          </w:p>
        </w:tc>
        <w:tc>
          <w:tcPr>
            <w:tcW w:w="0" w:type="auto"/>
            <w:hideMark/>
          </w:tcPr>
          <w:p w14:paraId="5F0DE71B" w14:textId="77777777" w:rsidR="00167554" w:rsidRPr="00167554" w:rsidRDefault="00167554" w:rsidP="00D84639">
            <w:pPr>
              <w:jc w:val="both"/>
              <w:rPr>
                <w:b/>
                <w:bCs/>
                <w:szCs w:val="22"/>
              </w:rPr>
            </w:pPr>
            <w:r w:rsidRPr="00167554">
              <w:rPr>
                <w:b/>
                <w:bCs/>
                <w:szCs w:val="22"/>
              </w:rPr>
              <w:t>Inclusion</w:t>
            </w:r>
          </w:p>
        </w:tc>
        <w:tc>
          <w:tcPr>
            <w:tcW w:w="0" w:type="auto"/>
            <w:hideMark/>
          </w:tcPr>
          <w:p w14:paraId="3367D25F" w14:textId="77777777" w:rsidR="00167554" w:rsidRPr="00167554" w:rsidRDefault="00167554" w:rsidP="00D84639">
            <w:pPr>
              <w:jc w:val="both"/>
              <w:rPr>
                <w:b/>
                <w:bCs/>
                <w:szCs w:val="22"/>
              </w:rPr>
            </w:pPr>
            <w:r w:rsidRPr="00167554">
              <w:rPr>
                <w:b/>
                <w:bCs/>
                <w:szCs w:val="22"/>
              </w:rPr>
              <w:t>Exclusion</w:t>
            </w:r>
          </w:p>
        </w:tc>
      </w:tr>
      <w:tr w:rsidR="00167554" w:rsidRPr="00167554" w14:paraId="29B60989" w14:textId="77777777" w:rsidTr="00802B52">
        <w:tc>
          <w:tcPr>
            <w:tcW w:w="0" w:type="auto"/>
            <w:hideMark/>
          </w:tcPr>
          <w:p w14:paraId="298F70B2" w14:textId="77777777" w:rsidR="00167554" w:rsidRPr="00167554" w:rsidRDefault="00167554" w:rsidP="00D84639">
            <w:pPr>
              <w:jc w:val="both"/>
              <w:rPr>
                <w:szCs w:val="22"/>
              </w:rPr>
            </w:pPr>
            <w:r w:rsidRPr="00167554">
              <w:rPr>
                <w:szCs w:val="22"/>
              </w:rPr>
              <w:t>Topic focus</w:t>
            </w:r>
          </w:p>
        </w:tc>
        <w:tc>
          <w:tcPr>
            <w:tcW w:w="0" w:type="auto"/>
            <w:hideMark/>
          </w:tcPr>
          <w:p w14:paraId="7EE33381" w14:textId="77777777" w:rsidR="00167554" w:rsidRPr="00167554" w:rsidRDefault="00167554" w:rsidP="00D84639">
            <w:pPr>
              <w:jc w:val="both"/>
              <w:rPr>
                <w:szCs w:val="22"/>
              </w:rPr>
            </w:pPr>
            <w:r w:rsidRPr="00167554">
              <w:rPr>
                <w:szCs w:val="22"/>
              </w:rPr>
              <w:t>SES-linked access/utilisation/barriers in health and/or social care</w:t>
            </w:r>
          </w:p>
        </w:tc>
        <w:tc>
          <w:tcPr>
            <w:tcW w:w="0" w:type="auto"/>
            <w:hideMark/>
          </w:tcPr>
          <w:p w14:paraId="6D3BC9B5" w14:textId="77777777" w:rsidR="00167554" w:rsidRPr="00167554" w:rsidRDefault="00167554" w:rsidP="00D84639">
            <w:pPr>
              <w:jc w:val="both"/>
              <w:rPr>
                <w:szCs w:val="22"/>
              </w:rPr>
            </w:pPr>
            <w:r w:rsidRPr="00167554">
              <w:rPr>
                <w:szCs w:val="22"/>
              </w:rPr>
              <w:t>Does not examine SES or access (e.g., general health outcomes only)</w:t>
            </w:r>
          </w:p>
        </w:tc>
      </w:tr>
      <w:tr w:rsidR="00167554" w:rsidRPr="00167554" w14:paraId="115F74DF" w14:textId="77777777" w:rsidTr="00802B52">
        <w:tc>
          <w:tcPr>
            <w:tcW w:w="0" w:type="auto"/>
            <w:hideMark/>
          </w:tcPr>
          <w:p w14:paraId="47988C15" w14:textId="77777777" w:rsidR="00167554" w:rsidRPr="00167554" w:rsidRDefault="00167554" w:rsidP="00D84639">
            <w:pPr>
              <w:jc w:val="both"/>
              <w:rPr>
                <w:szCs w:val="22"/>
              </w:rPr>
            </w:pPr>
            <w:r w:rsidRPr="00167554">
              <w:rPr>
                <w:szCs w:val="22"/>
              </w:rPr>
              <w:t>Setting</w:t>
            </w:r>
          </w:p>
        </w:tc>
        <w:tc>
          <w:tcPr>
            <w:tcW w:w="0" w:type="auto"/>
            <w:hideMark/>
          </w:tcPr>
          <w:p w14:paraId="4242EE20" w14:textId="77777777" w:rsidR="00167554" w:rsidRPr="00167554" w:rsidRDefault="00167554" w:rsidP="00D84639">
            <w:pPr>
              <w:jc w:val="both"/>
              <w:rPr>
                <w:szCs w:val="22"/>
              </w:rPr>
            </w:pPr>
            <w:r w:rsidRPr="00167554">
              <w:rPr>
                <w:szCs w:val="22"/>
              </w:rPr>
              <w:t>Urban and/or rural populations clearly described</w:t>
            </w:r>
          </w:p>
        </w:tc>
        <w:tc>
          <w:tcPr>
            <w:tcW w:w="0" w:type="auto"/>
            <w:hideMark/>
          </w:tcPr>
          <w:p w14:paraId="1CB61C11" w14:textId="77777777" w:rsidR="00167554" w:rsidRPr="00167554" w:rsidRDefault="00167554" w:rsidP="00D84639">
            <w:pPr>
              <w:jc w:val="both"/>
              <w:rPr>
                <w:szCs w:val="22"/>
              </w:rPr>
            </w:pPr>
            <w:r w:rsidRPr="00167554">
              <w:rPr>
                <w:szCs w:val="22"/>
              </w:rPr>
              <w:t>No mention of setting or cannot interpret urban/rural context</w:t>
            </w:r>
          </w:p>
        </w:tc>
      </w:tr>
      <w:tr w:rsidR="00167554" w:rsidRPr="00167554" w14:paraId="5332DD80" w14:textId="77777777" w:rsidTr="00802B52">
        <w:tc>
          <w:tcPr>
            <w:tcW w:w="0" w:type="auto"/>
            <w:hideMark/>
          </w:tcPr>
          <w:p w14:paraId="16134770" w14:textId="77777777" w:rsidR="00167554" w:rsidRPr="00167554" w:rsidRDefault="00167554" w:rsidP="00D84639">
            <w:pPr>
              <w:jc w:val="both"/>
              <w:rPr>
                <w:szCs w:val="22"/>
              </w:rPr>
            </w:pPr>
            <w:r w:rsidRPr="00167554">
              <w:rPr>
                <w:szCs w:val="22"/>
              </w:rPr>
              <w:t>SES measures</w:t>
            </w:r>
          </w:p>
        </w:tc>
        <w:tc>
          <w:tcPr>
            <w:tcW w:w="0" w:type="auto"/>
            <w:hideMark/>
          </w:tcPr>
          <w:p w14:paraId="7CA83E8B" w14:textId="77777777" w:rsidR="00167554" w:rsidRPr="00167554" w:rsidRDefault="00167554" w:rsidP="00D84639">
            <w:pPr>
              <w:jc w:val="both"/>
              <w:rPr>
                <w:szCs w:val="22"/>
              </w:rPr>
            </w:pPr>
            <w:r w:rsidRPr="00167554">
              <w:rPr>
                <w:szCs w:val="22"/>
              </w:rPr>
              <w:t>Income, education, occupation and/or deprivation indices clearly defined</w:t>
            </w:r>
          </w:p>
        </w:tc>
        <w:tc>
          <w:tcPr>
            <w:tcW w:w="0" w:type="auto"/>
            <w:hideMark/>
          </w:tcPr>
          <w:p w14:paraId="5D7456CD" w14:textId="77777777" w:rsidR="00167554" w:rsidRPr="00167554" w:rsidRDefault="00167554" w:rsidP="00D84639">
            <w:pPr>
              <w:jc w:val="both"/>
              <w:rPr>
                <w:szCs w:val="22"/>
              </w:rPr>
            </w:pPr>
            <w:r w:rsidRPr="00167554">
              <w:rPr>
                <w:szCs w:val="22"/>
              </w:rPr>
              <w:t>SES not measured or unclear proxy without explanation</w:t>
            </w:r>
          </w:p>
        </w:tc>
      </w:tr>
      <w:tr w:rsidR="00167554" w:rsidRPr="00167554" w14:paraId="7C714327" w14:textId="77777777" w:rsidTr="00802B52">
        <w:tc>
          <w:tcPr>
            <w:tcW w:w="0" w:type="auto"/>
            <w:hideMark/>
          </w:tcPr>
          <w:p w14:paraId="610F8E99" w14:textId="77777777" w:rsidR="00167554" w:rsidRPr="00167554" w:rsidRDefault="00167554" w:rsidP="00D84639">
            <w:pPr>
              <w:jc w:val="both"/>
              <w:rPr>
                <w:szCs w:val="22"/>
              </w:rPr>
            </w:pPr>
            <w:r w:rsidRPr="00167554">
              <w:rPr>
                <w:szCs w:val="22"/>
              </w:rPr>
              <w:t>Study type</w:t>
            </w:r>
          </w:p>
        </w:tc>
        <w:tc>
          <w:tcPr>
            <w:tcW w:w="0" w:type="auto"/>
            <w:hideMark/>
          </w:tcPr>
          <w:p w14:paraId="2CDE7B3E" w14:textId="6E51C0DD" w:rsidR="00167554" w:rsidRPr="00167554" w:rsidRDefault="00167554" w:rsidP="00D84639">
            <w:pPr>
              <w:jc w:val="both"/>
              <w:rPr>
                <w:szCs w:val="22"/>
              </w:rPr>
            </w:pPr>
            <w:r w:rsidRPr="00167554">
              <w:rPr>
                <w:szCs w:val="22"/>
              </w:rPr>
              <w:t>Empirical quantitative, qualitative, or mixed-methods</w:t>
            </w:r>
          </w:p>
        </w:tc>
        <w:tc>
          <w:tcPr>
            <w:tcW w:w="0" w:type="auto"/>
            <w:hideMark/>
          </w:tcPr>
          <w:p w14:paraId="6E2AD66F" w14:textId="77777777" w:rsidR="00167554" w:rsidRPr="00167554" w:rsidRDefault="00167554" w:rsidP="00D84639">
            <w:pPr>
              <w:jc w:val="both"/>
              <w:rPr>
                <w:szCs w:val="22"/>
              </w:rPr>
            </w:pPr>
            <w:r w:rsidRPr="00167554">
              <w:rPr>
                <w:szCs w:val="22"/>
              </w:rPr>
              <w:t>Editorials, blog posts, non-empirical commentary</w:t>
            </w:r>
          </w:p>
        </w:tc>
      </w:tr>
      <w:tr w:rsidR="00167554" w:rsidRPr="00167554" w14:paraId="1E635F5D" w14:textId="77777777" w:rsidTr="00802B52">
        <w:tc>
          <w:tcPr>
            <w:tcW w:w="0" w:type="auto"/>
            <w:hideMark/>
          </w:tcPr>
          <w:p w14:paraId="202A1F7D" w14:textId="77777777" w:rsidR="00167554" w:rsidRPr="00167554" w:rsidRDefault="00167554" w:rsidP="00D84639">
            <w:pPr>
              <w:jc w:val="both"/>
              <w:rPr>
                <w:szCs w:val="22"/>
              </w:rPr>
            </w:pPr>
            <w:r w:rsidRPr="00167554">
              <w:rPr>
                <w:szCs w:val="22"/>
              </w:rPr>
              <w:t>Quality</w:t>
            </w:r>
          </w:p>
        </w:tc>
        <w:tc>
          <w:tcPr>
            <w:tcW w:w="0" w:type="auto"/>
            <w:hideMark/>
          </w:tcPr>
          <w:p w14:paraId="0B06BCAE" w14:textId="7E3B5100" w:rsidR="00167554" w:rsidRPr="00167554" w:rsidRDefault="00167554" w:rsidP="00D84639">
            <w:pPr>
              <w:jc w:val="both"/>
              <w:rPr>
                <w:szCs w:val="22"/>
              </w:rPr>
            </w:pPr>
            <w:r w:rsidRPr="00167554">
              <w:rPr>
                <w:szCs w:val="22"/>
              </w:rPr>
              <w:t>Peer-reviewed journals</w:t>
            </w:r>
          </w:p>
        </w:tc>
        <w:tc>
          <w:tcPr>
            <w:tcW w:w="0" w:type="auto"/>
            <w:hideMark/>
          </w:tcPr>
          <w:p w14:paraId="1C811084" w14:textId="77777777" w:rsidR="00167554" w:rsidRPr="00167554" w:rsidRDefault="00167554" w:rsidP="00D84639">
            <w:pPr>
              <w:jc w:val="both"/>
              <w:rPr>
                <w:szCs w:val="22"/>
              </w:rPr>
            </w:pPr>
            <w:r w:rsidRPr="00167554">
              <w:rPr>
                <w:szCs w:val="22"/>
              </w:rPr>
              <w:t>Unverified sources, low-credibility websites</w:t>
            </w:r>
          </w:p>
        </w:tc>
      </w:tr>
      <w:tr w:rsidR="00167554" w:rsidRPr="00167554" w14:paraId="3A9DEDA9" w14:textId="77777777" w:rsidTr="00802B52">
        <w:tc>
          <w:tcPr>
            <w:tcW w:w="0" w:type="auto"/>
            <w:hideMark/>
          </w:tcPr>
          <w:p w14:paraId="654E2A3B" w14:textId="77777777" w:rsidR="00167554" w:rsidRPr="00167554" w:rsidRDefault="00167554" w:rsidP="00D84639">
            <w:pPr>
              <w:jc w:val="both"/>
              <w:rPr>
                <w:szCs w:val="22"/>
              </w:rPr>
            </w:pPr>
            <w:r w:rsidRPr="00167554">
              <w:rPr>
                <w:szCs w:val="22"/>
              </w:rPr>
              <w:lastRenderedPageBreak/>
              <w:t>Timeframe</w:t>
            </w:r>
          </w:p>
        </w:tc>
        <w:tc>
          <w:tcPr>
            <w:tcW w:w="0" w:type="auto"/>
            <w:hideMark/>
          </w:tcPr>
          <w:p w14:paraId="02B70329" w14:textId="7543DAF3" w:rsidR="00167554" w:rsidRPr="00167554" w:rsidRDefault="00167554" w:rsidP="00D84639">
            <w:pPr>
              <w:jc w:val="both"/>
              <w:rPr>
                <w:szCs w:val="22"/>
              </w:rPr>
            </w:pPr>
            <w:r w:rsidRPr="00167554">
              <w:rPr>
                <w:szCs w:val="22"/>
              </w:rPr>
              <w:t xml:space="preserve">Mainly last 10–15 years </w:t>
            </w:r>
          </w:p>
        </w:tc>
        <w:tc>
          <w:tcPr>
            <w:tcW w:w="0" w:type="auto"/>
            <w:hideMark/>
          </w:tcPr>
          <w:p w14:paraId="4200FAAF" w14:textId="77777777" w:rsidR="00167554" w:rsidRPr="00167554" w:rsidRDefault="00167554" w:rsidP="00D84639">
            <w:pPr>
              <w:jc w:val="both"/>
              <w:rPr>
                <w:szCs w:val="22"/>
              </w:rPr>
            </w:pPr>
            <w:r w:rsidRPr="00167554">
              <w:rPr>
                <w:szCs w:val="22"/>
              </w:rPr>
              <w:t>Outdated evidence with limited relevance to current service systems</w:t>
            </w:r>
          </w:p>
        </w:tc>
      </w:tr>
      <w:tr w:rsidR="00167554" w:rsidRPr="00167554" w14:paraId="226AF914" w14:textId="77777777" w:rsidTr="00802B52">
        <w:tc>
          <w:tcPr>
            <w:tcW w:w="0" w:type="auto"/>
            <w:hideMark/>
          </w:tcPr>
          <w:p w14:paraId="57B32DF5" w14:textId="77777777" w:rsidR="00167554" w:rsidRPr="00167554" w:rsidRDefault="00167554" w:rsidP="00D84639">
            <w:pPr>
              <w:jc w:val="both"/>
              <w:rPr>
                <w:szCs w:val="22"/>
              </w:rPr>
            </w:pPr>
            <w:r w:rsidRPr="00167554">
              <w:rPr>
                <w:szCs w:val="22"/>
              </w:rPr>
              <w:t>Language</w:t>
            </w:r>
          </w:p>
        </w:tc>
        <w:tc>
          <w:tcPr>
            <w:tcW w:w="0" w:type="auto"/>
            <w:hideMark/>
          </w:tcPr>
          <w:p w14:paraId="0FF6E760" w14:textId="77777777" w:rsidR="00167554" w:rsidRPr="00167554" w:rsidRDefault="00167554" w:rsidP="00D84639">
            <w:pPr>
              <w:jc w:val="both"/>
              <w:rPr>
                <w:szCs w:val="22"/>
              </w:rPr>
            </w:pPr>
            <w:r w:rsidRPr="00167554">
              <w:rPr>
                <w:szCs w:val="22"/>
              </w:rPr>
              <w:t>English</w:t>
            </w:r>
          </w:p>
        </w:tc>
        <w:tc>
          <w:tcPr>
            <w:tcW w:w="0" w:type="auto"/>
            <w:hideMark/>
          </w:tcPr>
          <w:p w14:paraId="0E16F969" w14:textId="77777777" w:rsidR="00167554" w:rsidRPr="00167554" w:rsidRDefault="00167554" w:rsidP="00D84639">
            <w:pPr>
              <w:jc w:val="both"/>
              <w:rPr>
                <w:szCs w:val="22"/>
              </w:rPr>
            </w:pPr>
            <w:r w:rsidRPr="00167554">
              <w:rPr>
                <w:szCs w:val="22"/>
              </w:rPr>
              <w:t>Non-English (unless translated and permitted)</w:t>
            </w:r>
          </w:p>
        </w:tc>
      </w:tr>
    </w:tbl>
    <w:p w14:paraId="4954BE28" w14:textId="77777777" w:rsidR="00167554" w:rsidRPr="00D84639" w:rsidRDefault="00167554" w:rsidP="00D84639">
      <w:pPr>
        <w:jc w:val="both"/>
        <w:rPr>
          <w:szCs w:val="22"/>
        </w:rPr>
      </w:pPr>
    </w:p>
    <w:p w14:paraId="61A6BF83" w14:textId="77777777" w:rsidR="002D655D" w:rsidRPr="00D84639" w:rsidRDefault="002D655D" w:rsidP="00D57ADB">
      <w:pPr>
        <w:pStyle w:val="Heading2"/>
      </w:pPr>
      <w:bookmarkStart w:id="23" w:name="_Toc220447453"/>
      <w:r w:rsidRPr="00D84639">
        <w:t>3.6 Analysing Research</w:t>
      </w:r>
      <w:bookmarkEnd w:id="23"/>
    </w:p>
    <w:p w14:paraId="550DE6BF" w14:textId="50EEEDB4" w:rsidR="002D655D" w:rsidRPr="00D84639" w:rsidRDefault="00301918" w:rsidP="00D84639">
      <w:pPr>
        <w:pStyle w:val="NormalWeb"/>
        <w:spacing w:line="360" w:lineRule="auto"/>
        <w:jc w:val="both"/>
        <w:rPr>
          <w:rFonts w:asciiTheme="minorHAnsi" w:hAnsiTheme="minorHAnsi"/>
          <w:sz w:val="22"/>
          <w:szCs w:val="22"/>
        </w:rPr>
      </w:pPr>
      <w:r w:rsidRPr="00301918">
        <w:rPr>
          <w:rFonts w:asciiTheme="minorHAnsi" w:hAnsiTheme="minorHAnsi"/>
          <w:sz w:val="22"/>
          <w:szCs w:val="22"/>
        </w:rPr>
        <w:t>The thematic analysis approach, as described by Braun and Clarke (2006), was used to analyze the literature that was chosen. The literature was carefully read, and important findings were highlighted, especially where authors described the mechanisms that relate to SES and barriers to access or service use. Initial codes were developed based on repeated ideas, and then compared and grouped into broader themes that relate to the research objectives and access concepts</w:t>
      </w:r>
      <w:r w:rsidR="002D655D" w:rsidRPr="00D84639">
        <w:rPr>
          <w:rFonts w:asciiTheme="minorHAnsi" w:hAnsiTheme="minorHAnsi"/>
          <w:sz w:val="22"/>
          <w:szCs w:val="22"/>
        </w:rPr>
        <w:t>.</w:t>
      </w:r>
    </w:p>
    <w:p w14:paraId="115A0548" w14:textId="77777777" w:rsidR="002D655D" w:rsidRPr="00D84639" w:rsidRDefault="002D655D" w:rsidP="00D57ADB">
      <w:pPr>
        <w:pStyle w:val="Heading2"/>
      </w:pPr>
      <w:bookmarkStart w:id="24" w:name="_Toc220447454"/>
      <w:r w:rsidRPr="00D84639">
        <w:t>3.7 Ethical Considerations</w:t>
      </w:r>
      <w:bookmarkEnd w:id="24"/>
    </w:p>
    <w:p w14:paraId="4589511B" w14:textId="35887E52" w:rsidR="002D655D" w:rsidRPr="00D84639" w:rsidRDefault="002648B2" w:rsidP="00D84639">
      <w:pPr>
        <w:pStyle w:val="NormalWeb"/>
        <w:spacing w:line="360" w:lineRule="auto"/>
        <w:jc w:val="both"/>
        <w:rPr>
          <w:rFonts w:asciiTheme="minorHAnsi" w:hAnsiTheme="minorHAnsi"/>
          <w:sz w:val="22"/>
          <w:szCs w:val="22"/>
        </w:rPr>
      </w:pPr>
      <w:r w:rsidRPr="002648B2">
        <w:rPr>
          <w:rFonts w:asciiTheme="minorHAnsi" w:hAnsiTheme="minorHAnsi"/>
          <w:sz w:val="22"/>
          <w:szCs w:val="22"/>
        </w:rPr>
        <w:t>The study is a thesis that is based on secondary research only, and no primary data was collected and no subjects participated. The ethical issue then was one of academic integrity and equity in the use of sources. The sources were appropriately acknowledged (Harvard style), and sparing use was made of paraphrasing to avoid plagiarism</w:t>
      </w:r>
      <w:r w:rsidR="00CF567E" w:rsidRPr="00CF567E">
        <w:rPr>
          <w:rFonts w:asciiTheme="minorHAnsi" w:hAnsiTheme="minorHAnsi"/>
          <w:sz w:val="22"/>
          <w:szCs w:val="22"/>
        </w:rPr>
        <w:t>. The purpose of the review was to reflect honest findings without misquoting authors or cherry-picking evidence. The search process, inclusion criteria and screening decisions were documented to maintain transparency</w:t>
      </w:r>
      <w:r w:rsidR="002D655D" w:rsidRPr="00D84639">
        <w:rPr>
          <w:rFonts w:asciiTheme="minorHAnsi" w:hAnsiTheme="minorHAnsi"/>
          <w:sz w:val="22"/>
          <w:szCs w:val="22"/>
        </w:rPr>
        <w:t xml:space="preserve">. </w:t>
      </w:r>
    </w:p>
    <w:p w14:paraId="3FF94A42" w14:textId="77777777" w:rsidR="002D655D" w:rsidRPr="00D84639" w:rsidRDefault="002D655D" w:rsidP="002756CB">
      <w:pPr>
        <w:pStyle w:val="Heading2"/>
      </w:pPr>
      <w:bookmarkStart w:id="25" w:name="_Toc220447455"/>
      <w:r w:rsidRPr="00D84639">
        <w:t>3.8 Chapter Conclusion</w:t>
      </w:r>
      <w:bookmarkEnd w:id="25"/>
    </w:p>
    <w:p w14:paraId="59A28A76" w14:textId="16A07DAD" w:rsidR="002D655D" w:rsidRPr="00D84639" w:rsidRDefault="00D21C4C" w:rsidP="00D84639">
      <w:pPr>
        <w:pStyle w:val="NormalWeb"/>
        <w:spacing w:line="360" w:lineRule="auto"/>
        <w:jc w:val="both"/>
        <w:rPr>
          <w:rFonts w:asciiTheme="minorHAnsi" w:hAnsiTheme="minorHAnsi"/>
          <w:sz w:val="22"/>
          <w:szCs w:val="22"/>
        </w:rPr>
      </w:pPr>
      <w:r w:rsidRPr="00D21C4C">
        <w:rPr>
          <w:rFonts w:asciiTheme="minorHAnsi" w:hAnsiTheme="minorHAnsi"/>
          <w:sz w:val="22"/>
          <w:szCs w:val="22"/>
        </w:rPr>
        <w:t>The chapter has outlined the desk-based, literature review approach applied to define, review and analyse the literature on socioeconomic status and access to health and social care in urban and rural environments. The search strategy was conducted systematically and based on the keywords and Boolean operators, and evidence was collected in reliable databases and sources of policy. Skimming techniques and the CRAAP framework were used to evaluate quality and proper inclusion and exclusion criteria were used to guarantee relevance and consistency. The thematic coding was applied to the chosen studies with the assistance of a tracking spreadsheet and systematisation of codes and themes. The results of this analysis will be provided in chapter 4 and structured into transparent themes that respond directly to the research aim and objectives</w:t>
      </w:r>
      <w:r w:rsidR="002D655D" w:rsidRPr="00D84639">
        <w:rPr>
          <w:rFonts w:asciiTheme="minorHAnsi" w:hAnsiTheme="minorHAnsi"/>
          <w:sz w:val="22"/>
          <w:szCs w:val="22"/>
        </w:rPr>
        <w:t>.</w:t>
      </w:r>
    </w:p>
    <w:p w14:paraId="449F6023" w14:textId="60F2577D" w:rsidR="0043224A" w:rsidRPr="002756CB" w:rsidRDefault="0043224A" w:rsidP="002756CB">
      <w:pPr>
        <w:pStyle w:val="Heading1"/>
      </w:pPr>
      <w:bookmarkStart w:id="26" w:name="_Toc220447456"/>
      <w:r w:rsidRPr="002756CB">
        <w:lastRenderedPageBreak/>
        <w:t>CHAPTER 4</w:t>
      </w:r>
      <w:r w:rsidR="00C516B1" w:rsidRPr="002756CB">
        <w:t>:</w:t>
      </w:r>
      <w:r w:rsidRPr="002756CB">
        <w:t xml:space="preserve"> Findings and Discussion</w:t>
      </w:r>
      <w:bookmarkEnd w:id="26"/>
    </w:p>
    <w:p w14:paraId="0EC0AD6B" w14:textId="68308C89" w:rsidR="0043224A" w:rsidRPr="0043224A" w:rsidRDefault="0043224A" w:rsidP="002756CB">
      <w:pPr>
        <w:pStyle w:val="Heading2"/>
      </w:pPr>
      <w:bookmarkStart w:id="27" w:name="_Toc220447457"/>
      <w:r w:rsidRPr="0043224A">
        <w:t>4.1</w:t>
      </w:r>
      <w:r w:rsidR="007E4F32" w:rsidRPr="00D84639">
        <w:t>.</w:t>
      </w:r>
      <w:r w:rsidRPr="0043224A">
        <w:t xml:space="preserve"> Introduction</w:t>
      </w:r>
      <w:bookmarkEnd w:id="27"/>
      <w:r w:rsidRPr="0043224A">
        <w:t xml:space="preserve"> </w:t>
      </w:r>
    </w:p>
    <w:p w14:paraId="20B56608" w14:textId="5AB58A36" w:rsidR="0043224A" w:rsidRPr="0043224A" w:rsidRDefault="00301918" w:rsidP="00D84639">
      <w:pPr>
        <w:spacing w:before="100" w:beforeAutospacing="1" w:after="100" w:afterAutospacing="1"/>
        <w:jc w:val="both"/>
        <w:rPr>
          <w:szCs w:val="22"/>
        </w:rPr>
      </w:pPr>
      <w:r w:rsidRPr="00301918">
        <w:rPr>
          <w:szCs w:val="22"/>
        </w:rPr>
        <w:t>This chapter will discuss the findings from the systematic literature review in relation to how socioeconomic status (SES) influences access to health and social care services in urban and rural settings. The chapter will discuss the findings from the systematic literature review, including how access and inequality concepts relate to the findings. The findings will be discussed under various themes, which will be discussed in detail, along with evidence from the literature. The chapter will, therefore, be linked to the aim and objectives of the dissertation</w:t>
      </w:r>
      <w:r w:rsidR="0043224A" w:rsidRPr="0043224A">
        <w:rPr>
          <w:szCs w:val="22"/>
        </w:rPr>
        <w:t>.</w:t>
      </w:r>
    </w:p>
    <w:p w14:paraId="6A18083C" w14:textId="45261695" w:rsidR="0043224A" w:rsidRPr="0043224A" w:rsidRDefault="0043224A" w:rsidP="002756CB">
      <w:pPr>
        <w:pStyle w:val="Heading2"/>
      </w:pPr>
      <w:bookmarkStart w:id="28" w:name="_Toc220447458"/>
      <w:r w:rsidRPr="0043224A">
        <w:t>4.2 Thematic Analysis</w:t>
      </w:r>
      <w:bookmarkEnd w:id="28"/>
      <w:r w:rsidRPr="0043224A">
        <w:t xml:space="preserve"> </w:t>
      </w:r>
    </w:p>
    <w:p w14:paraId="381164D8" w14:textId="3C748899" w:rsidR="0043224A" w:rsidRPr="0043224A" w:rsidRDefault="00ED1169" w:rsidP="00D84639">
      <w:pPr>
        <w:spacing w:before="100" w:beforeAutospacing="1" w:after="100" w:afterAutospacing="1"/>
        <w:jc w:val="both"/>
        <w:rPr>
          <w:szCs w:val="22"/>
        </w:rPr>
      </w:pPr>
      <w:r w:rsidRPr="00D84639">
        <w:rPr>
          <w:szCs w:val="22"/>
        </w:rPr>
        <w:t>Thematic analysis is a qualitative method used to systematically analyse data by coding it and then grouping related codes into broader themes that capture recurring patterns of meaning relevant to the research question</w:t>
      </w:r>
      <w:r w:rsidR="0039329B" w:rsidRPr="00D84639">
        <w:rPr>
          <w:szCs w:val="22"/>
        </w:rPr>
        <w:t xml:space="preserve"> </w:t>
      </w:r>
      <w:r w:rsidR="0039329B" w:rsidRPr="00D84639">
        <w:rPr>
          <w:rFonts w:cs="Arial"/>
          <w:szCs w:val="22"/>
        </w:rPr>
        <w:t>(Braun and Clarke, 2006)</w:t>
      </w:r>
      <w:r w:rsidR="0043224A" w:rsidRPr="0043224A">
        <w:rPr>
          <w:szCs w:val="22"/>
        </w:rPr>
        <w:t>. In this dissertation, the data are findings and arguments extracted from published studies rather than interviews or survey responses. The method is appropriate for secondary research because it allows evidence from different study types (quantitative, qualitative and reviews) to be compared using a consistent analytic structure, while still preserving context and meaning</w:t>
      </w:r>
      <w:r w:rsidR="004A4FB3" w:rsidRPr="00D84639">
        <w:rPr>
          <w:szCs w:val="22"/>
        </w:rPr>
        <w:t xml:space="preserve"> </w:t>
      </w:r>
      <w:r w:rsidR="004A4FB3" w:rsidRPr="00D84639">
        <w:rPr>
          <w:rFonts w:cs="Arial"/>
          <w:szCs w:val="22"/>
        </w:rPr>
        <w:t>(Saunders, Lewis and Thornhill, 2019)</w:t>
      </w:r>
      <w:r w:rsidR="0043224A" w:rsidRPr="0043224A">
        <w:rPr>
          <w:szCs w:val="22"/>
        </w:rPr>
        <w:t>.</w:t>
      </w:r>
    </w:p>
    <w:p w14:paraId="1B786DF1" w14:textId="06352491" w:rsidR="0043224A" w:rsidRPr="0043224A" w:rsidRDefault="0043224A" w:rsidP="00D84639">
      <w:pPr>
        <w:spacing w:before="100" w:beforeAutospacing="1" w:after="100" w:afterAutospacing="1"/>
        <w:jc w:val="both"/>
        <w:rPr>
          <w:szCs w:val="22"/>
        </w:rPr>
      </w:pPr>
      <w:r w:rsidRPr="0043224A">
        <w:rPr>
          <w:szCs w:val="22"/>
        </w:rPr>
        <w:t xml:space="preserve">The reviewed literature was read in full and key findings relevant to SES, access and urban–rural setting were </w:t>
      </w:r>
      <w:r w:rsidR="007C19FE" w:rsidRPr="00D84639">
        <w:rPr>
          <w:szCs w:val="22"/>
        </w:rPr>
        <w:t>arranged in a table</w:t>
      </w:r>
      <w:r w:rsidRPr="0043224A">
        <w:rPr>
          <w:szCs w:val="22"/>
        </w:rPr>
        <w:t xml:space="preserve"> (see </w:t>
      </w:r>
      <w:r w:rsidR="00225424" w:rsidRPr="00D84639">
        <w:rPr>
          <w:szCs w:val="22"/>
        </w:rPr>
        <w:t>table below</w:t>
      </w:r>
      <w:r w:rsidRPr="0043224A">
        <w:rPr>
          <w:szCs w:val="22"/>
        </w:rPr>
        <w:t>). Codes were generated for recurring barriers and utilisation patterns (indirect costs, transport burden, digital exclusion, waiting time, provider shortages, health literacy, unmet need). These codes were then grouped into higher-order themes that aligned with the research objectives and the access dimensions discussed in Chapter 2.</w:t>
      </w:r>
    </w:p>
    <w:p w14:paraId="15C7A208" w14:textId="7F113D20" w:rsidR="00A7253B" w:rsidRPr="002756CB" w:rsidRDefault="00A7253B" w:rsidP="00D84639">
      <w:pPr>
        <w:pStyle w:val="Caption"/>
        <w:keepNext/>
        <w:spacing w:line="360" w:lineRule="auto"/>
        <w:jc w:val="both"/>
      </w:pPr>
      <w:bookmarkStart w:id="29" w:name="_Toc220447480"/>
      <w:r w:rsidRPr="002756CB">
        <w:t xml:space="preserve">Table </w:t>
      </w:r>
      <w:fldSimple w:instr=" SEQ Table \* ARABIC ">
        <w:r w:rsidRPr="002756CB">
          <w:rPr>
            <w:noProof/>
          </w:rPr>
          <w:t>4</w:t>
        </w:r>
      </w:fldSimple>
      <w:r w:rsidRPr="002756CB">
        <w:rPr>
          <w:lang w:val="en-GB"/>
        </w:rPr>
        <w:t xml:space="preserve">: </w:t>
      </w:r>
      <w:r w:rsidR="00011858" w:rsidRPr="002756CB">
        <w:rPr>
          <w:lang w:val="en-GB"/>
        </w:rPr>
        <w:t xml:space="preserve">Six-Step Thematic Analysis Process </w:t>
      </w:r>
      <w:r w:rsidR="005C1756" w:rsidRPr="002756CB">
        <w:rPr>
          <w:rFonts w:cs="Arial"/>
        </w:rPr>
        <w:t>(Braun and Clarke, 2006)</w:t>
      </w:r>
      <w:bookmarkEnd w:id="29"/>
    </w:p>
    <w:tbl>
      <w:tblPr>
        <w:tblStyle w:val="TableGrid"/>
        <w:tblW w:w="0" w:type="auto"/>
        <w:tblLook w:val="04A0" w:firstRow="1" w:lastRow="0" w:firstColumn="1" w:lastColumn="0" w:noHBand="0" w:noVBand="1"/>
      </w:tblPr>
      <w:tblGrid>
        <w:gridCol w:w="2212"/>
        <w:gridCol w:w="4294"/>
        <w:gridCol w:w="2510"/>
      </w:tblGrid>
      <w:tr w:rsidR="0043224A" w:rsidRPr="0043224A" w14:paraId="6F2A6261" w14:textId="77777777" w:rsidTr="00A7253B">
        <w:tc>
          <w:tcPr>
            <w:tcW w:w="0" w:type="auto"/>
            <w:hideMark/>
          </w:tcPr>
          <w:p w14:paraId="761E6EBE" w14:textId="77777777" w:rsidR="0043224A" w:rsidRPr="0043224A" w:rsidRDefault="0043224A" w:rsidP="00D84639">
            <w:pPr>
              <w:jc w:val="both"/>
              <w:rPr>
                <w:b/>
                <w:bCs/>
                <w:szCs w:val="22"/>
              </w:rPr>
            </w:pPr>
            <w:r w:rsidRPr="0043224A">
              <w:rPr>
                <w:b/>
                <w:bCs/>
                <w:szCs w:val="22"/>
              </w:rPr>
              <w:t>Step</w:t>
            </w:r>
          </w:p>
        </w:tc>
        <w:tc>
          <w:tcPr>
            <w:tcW w:w="0" w:type="auto"/>
            <w:hideMark/>
          </w:tcPr>
          <w:p w14:paraId="088B7812" w14:textId="77777777" w:rsidR="0043224A" w:rsidRPr="0043224A" w:rsidRDefault="0043224A" w:rsidP="00D84639">
            <w:pPr>
              <w:jc w:val="both"/>
              <w:rPr>
                <w:b/>
                <w:bCs/>
                <w:szCs w:val="22"/>
              </w:rPr>
            </w:pPr>
            <w:r w:rsidRPr="0043224A">
              <w:rPr>
                <w:b/>
                <w:bCs/>
                <w:szCs w:val="22"/>
              </w:rPr>
              <w:t>What was done in this dissertation</w:t>
            </w:r>
          </w:p>
        </w:tc>
        <w:tc>
          <w:tcPr>
            <w:tcW w:w="0" w:type="auto"/>
            <w:hideMark/>
          </w:tcPr>
          <w:p w14:paraId="698A068E" w14:textId="77777777" w:rsidR="0043224A" w:rsidRPr="0043224A" w:rsidRDefault="0043224A" w:rsidP="00D84639">
            <w:pPr>
              <w:jc w:val="both"/>
              <w:rPr>
                <w:b/>
                <w:bCs/>
                <w:szCs w:val="22"/>
              </w:rPr>
            </w:pPr>
            <w:r w:rsidRPr="0043224A">
              <w:rPr>
                <w:b/>
                <w:bCs/>
                <w:szCs w:val="22"/>
              </w:rPr>
              <w:t>Output / Evidence</w:t>
            </w:r>
          </w:p>
        </w:tc>
      </w:tr>
      <w:tr w:rsidR="0043224A" w:rsidRPr="0043224A" w14:paraId="3F2F43EF" w14:textId="77777777" w:rsidTr="00A7253B">
        <w:tc>
          <w:tcPr>
            <w:tcW w:w="0" w:type="auto"/>
            <w:hideMark/>
          </w:tcPr>
          <w:p w14:paraId="480D198D" w14:textId="77777777" w:rsidR="0043224A" w:rsidRPr="0043224A" w:rsidRDefault="0043224A" w:rsidP="00D84639">
            <w:pPr>
              <w:jc w:val="both"/>
              <w:rPr>
                <w:szCs w:val="22"/>
              </w:rPr>
            </w:pPr>
            <w:r w:rsidRPr="0043224A">
              <w:rPr>
                <w:szCs w:val="22"/>
              </w:rPr>
              <w:t>1. Familiarisation</w:t>
            </w:r>
          </w:p>
        </w:tc>
        <w:tc>
          <w:tcPr>
            <w:tcW w:w="0" w:type="auto"/>
            <w:hideMark/>
          </w:tcPr>
          <w:p w14:paraId="399A08DF" w14:textId="77777777" w:rsidR="0043224A" w:rsidRPr="0043224A" w:rsidRDefault="0043224A" w:rsidP="00D84639">
            <w:pPr>
              <w:jc w:val="both"/>
              <w:rPr>
                <w:szCs w:val="22"/>
              </w:rPr>
            </w:pPr>
            <w:r w:rsidRPr="0043224A">
              <w:rPr>
                <w:szCs w:val="22"/>
              </w:rPr>
              <w:t>Repeated reading of included studies and noting relevant findings</w:t>
            </w:r>
          </w:p>
        </w:tc>
        <w:tc>
          <w:tcPr>
            <w:tcW w:w="0" w:type="auto"/>
            <w:hideMark/>
          </w:tcPr>
          <w:p w14:paraId="655313E6" w14:textId="77777777" w:rsidR="0043224A" w:rsidRPr="0043224A" w:rsidRDefault="0043224A" w:rsidP="00D84639">
            <w:pPr>
              <w:jc w:val="both"/>
              <w:rPr>
                <w:szCs w:val="22"/>
              </w:rPr>
            </w:pPr>
            <w:r w:rsidRPr="0043224A">
              <w:rPr>
                <w:szCs w:val="22"/>
              </w:rPr>
              <w:t>Annotated notes + extracted summaries</w:t>
            </w:r>
          </w:p>
        </w:tc>
      </w:tr>
      <w:tr w:rsidR="0043224A" w:rsidRPr="0043224A" w14:paraId="69738AFA" w14:textId="77777777" w:rsidTr="00A7253B">
        <w:tc>
          <w:tcPr>
            <w:tcW w:w="0" w:type="auto"/>
            <w:hideMark/>
          </w:tcPr>
          <w:p w14:paraId="134DF873" w14:textId="77777777" w:rsidR="0043224A" w:rsidRPr="0043224A" w:rsidRDefault="0043224A" w:rsidP="00D84639">
            <w:pPr>
              <w:jc w:val="both"/>
              <w:rPr>
                <w:szCs w:val="22"/>
              </w:rPr>
            </w:pPr>
            <w:r w:rsidRPr="0043224A">
              <w:rPr>
                <w:szCs w:val="22"/>
              </w:rPr>
              <w:t>2. Coding</w:t>
            </w:r>
          </w:p>
        </w:tc>
        <w:tc>
          <w:tcPr>
            <w:tcW w:w="0" w:type="auto"/>
            <w:hideMark/>
          </w:tcPr>
          <w:p w14:paraId="31411857" w14:textId="77777777" w:rsidR="0043224A" w:rsidRPr="0043224A" w:rsidRDefault="0043224A" w:rsidP="00D84639">
            <w:pPr>
              <w:jc w:val="both"/>
              <w:rPr>
                <w:szCs w:val="22"/>
              </w:rPr>
            </w:pPr>
            <w:r w:rsidRPr="0043224A">
              <w:rPr>
                <w:szCs w:val="22"/>
              </w:rPr>
              <w:t>Labelled recurring ideas related to SES, access and place (urban/rural)</w:t>
            </w:r>
          </w:p>
        </w:tc>
        <w:tc>
          <w:tcPr>
            <w:tcW w:w="0" w:type="auto"/>
            <w:hideMark/>
          </w:tcPr>
          <w:p w14:paraId="294F7CCD" w14:textId="1E88AB6D" w:rsidR="0043224A" w:rsidRPr="0043224A" w:rsidRDefault="0025181E" w:rsidP="00D84639">
            <w:pPr>
              <w:jc w:val="both"/>
              <w:rPr>
                <w:szCs w:val="22"/>
              </w:rPr>
            </w:pPr>
            <w:r w:rsidRPr="00D84639">
              <w:rPr>
                <w:szCs w:val="22"/>
              </w:rPr>
              <w:t xml:space="preserve">Manual </w:t>
            </w:r>
            <w:r w:rsidR="0043224A" w:rsidRPr="0043224A">
              <w:rPr>
                <w:szCs w:val="22"/>
              </w:rPr>
              <w:t>Code</w:t>
            </w:r>
            <w:r w:rsidRPr="00D84639">
              <w:rPr>
                <w:szCs w:val="22"/>
              </w:rPr>
              <w:t>s generation</w:t>
            </w:r>
          </w:p>
        </w:tc>
      </w:tr>
      <w:tr w:rsidR="0043224A" w:rsidRPr="0043224A" w14:paraId="0051B0D0" w14:textId="77777777" w:rsidTr="00A7253B">
        <w:tc>
          <w:tcPr>
            <w:tcW w:w="0" w:type="auto"/>
            <w:hideMark/>
          </w:tcPr>
          <w:p w14:paraId="10A7961B" w14:textId="77777777" w:rsidR="0043224A" w:rsidRPr="0043224A" w:rsidRDefault="0043224A" w:rsidP="00D84639">
            <w:pPr>
              <w:jc w:val="both"/>
              <w:rPr>
                <w:szCs w:val="22"/>
              </w:rPr>
            </w:pPr>
            <w:r w:rsidRPr="0043224A">
              <w:rPr>
                <w:szCs w:val="22"/>
              </w:rPr>
              <w:lastRenderedPageBreak/>
              <w:t>3. Searching for themes</w:t>
            </w:r>
          </w:p>
        </w:tc>
        <w:tc>
          <w:tcPr>
            <w:tcW w:w="0" w:type="auto"/>
            <w:hideMark/>
          </w:tcPr>
          <w:p w14:paraId="083631E6" w14:textId="77777777" w:rsidR="0043224A" w:rsidRPr="0043224A" w:rsidRDefault="0043224A" w:rsidP="00D84639">
            <w:pPr>
              <w:jc w:val="both"/>
              <w:rPr>
                <w:szCs w:val="22"/>
              </w:rPr>
            </w:pPr>
            <w:r w:rsidRPr="0043224A">
              <w:rPr>
                <w:szCs w:val="22"/>
              </w:rPr>
              <w:t>Grouped related codes into broader categories</w:t>
            </w:r>
          </w:p>
        </w:tc>
        <w:tc>
          <w:tcPr>
            <w:tcW w:w="0" w:type="auto"/>
            <w:hideMark/>
          </w:tcPr>
          <w:p w14:paraId="2224FEDA" w14:textId="4F89C2D7" w:rsidR="0043224A" w:rsidRPr="0043224A" w:rsidRDefault="00A7253B" w:rsidP="00D84639">
            <w:pPr>
              <w:jc w:val="both"/>
              <w:rPr>
                <w:szCs w:val="22"/>
              </w:rPr>
            </w:pPr>
            <w:r w:rsidRPr="00D84639">
              <w:rPr>
                <w:szCs w:val="22"/>
              </w:rPr>
              <w:t>Done Manually in a table</w:t>
            </w:r>
          </w:p>
        </w:tc>
      </w:tr>
      <w:tr w:rsidR="0043224A" w:rsidRPr="0043224A" w14:paraId="7BAD2410" w14:textId="77777777" w:rsidTr="00A7253B">
        <w:tc>
          <w:tcPr>
            <w:tcW w:w="0" w:type="auto"/>
            <w:hideMark/>
          </w:tcPr>
          <w:p w14:paraId="58F8D734" w14:textId="77777777" w:rsidR="0043224A" w:rsidRPr="0043224A" w:rsidRDefault="0043224A" w:rsidP="00D84639">
            <w:pPr>
              <w:jc w:val="both"/>
              <w:rPr>
                <w:szCs w:val="22"/>
              </w:rPr>
            </w:pPr>
            <w:r w:rsidRPr="0043224A">
              <w:rPr>
                <w:szCs w:val="22"/>
              </w:rPr>
              <w:t>4. Reviewing themes</w:t>
            </w:r>
          </w:p>
        </w:tc>
        <w:tc>
          <w:tcPr>
            <w:tcW w:w="0" w:type="auto"/>
            <w:hideMark/>
          </w:tcPr>
          <w:p w14:paraId="5D64D635" w14:textId="77777777" w:rsidR="0043224A" w:rsidRPr="0043224A" w:rsidRDefault="0043224A" w:rsidP="00D84639">
            <w:pPr>
              <w:jc w:val="both"/>
              <w:rPr>
                <w:szCs w:val="22"/>
              </w:rPr>
            </w:pPr>
            <w:r w:rsidRPr="0043224A">
              <w:rPr>
                <w:szCs w:val="22"/>
              </w:rPr>
              <w:t>Checked themes against the extracted data for coherence and separation</w:t>
            </w:r>
          </w:p>
        </w:tc>
        <w:tc>
          <w:tcPr>
            <w:tcW w:w="0" w:type="auto"/>
            <w:hideMark/>
          </w:tcPr>
          <w:p w14:paraId="007AA233" w14:textId="77777777" w:rsidR="0043224A" w:rsidRPr="0043224A" w:rsidRDefault="0043224A" w:rsidP="00D84639">
            <w:pPr>
              <w:jc w:val="both"/>
              <w:rPr>
                <w:szCs w:val="22"/>
              </w:rPr>
            </w:pPr>
            <w:r w:rsidRPr="0043224A">
              <w:rPr>
                <w:szCs w:val="22"/>
              </w:rPr>
              <w:t>Refined theme boundaries</w:t>
            </w:r>
          </w:p>
        </w:tc>
      </w:tr>
      <w:tr w:rsidR="0043224A" w:rsidRPr="0043224A" w14:paraId="25F7C10C" w14:textId="77777777" w:rsidTr="00A7253B">
        <w:tc>
          <w:tcPr>
            <w:tcW w:w="0" w:type="auto"/>
            <w:hideMark/>
          </w:tcPr>
          <w:p w14:paraId="3C4D7A17" w14:textId="77777777" w:rsidR="0043224A" w:rsidRPr="0043224A" w:rsidRDefault="0043224A" w:rsidP="00D84639">
            <w:pPr>
              <w:jc w:val="both"/>
              <w:rPr>
                <w:szCs w:val="22"/>
              </w:rPr>
            </w:pPr>
            <w:r w:rsidRPr="0043224A">
              <w:rPr>
                <w:szCs w:val="22"/>
              </w:rPr>
              <w:t>5. Defining &amp; naming themes</w:t>
            </w:r>
          </w:p>
        </w:tc>
        <w:tc>
          <w:tcPr>
            <w:tcW w:w="0" w:type="auto"/>
            <w:hideMark/>
          </w:tcPr>
          <w:p w14:paraId="0351A88A" w14:textId="77777777" w:rsidR="0043224A" w:rsidRPr="0043224A" w:rsidRDefault="0043224A" w:rsidP="00D84639">
            <w:pPr>
              <w:jc w:val="both"/>
              <w:rPr>
                <w:szCs w:val="22"/>
              </w:rPr>
            </w:pPr>
            <w:r w:rsidRPr="0043224A">
              <w:rPr>
                <w:szCs w:val="22"/>
              </w:rPr>
              <w:t>Finalised theme titles and clarified what each includes/excludes</w:t>
            </w:r>
          </w:p>
        </w:tc>
        <w:tc>
          <w:tcPr>
            <w:tcW w:w="0" w:type="auto"/>
            <w:hideMark/>
          </w:tcPr>
          <w:p w14:paraId="6EBB63FD" w14:textId="77777777" w:rsidR="0043224A" w:rsidRPr="0043224A" w:rsidRDefault="0043224A" w:rsidP="00D84639">
            <w:pPr>
              <w:jc w:val="both"/>
              <w:rPr>
                <w:szCs w:val="22"/>
              </w:rPr>
            </w:pPr>
            <w:r w:rsidRPr="0043224A">
              <w:rPr>
                <w:szCs w:val="22"/>
              </w:rPr>
              <w:t>Final theme definitions</w:t>
            </w:r>
          </w:p>
        </w:tc>
      </w:tr>
      <w:tr w:rsidR="0043224A" w:rsidRPr="0043224A" w14:paraId="2501DEB2" w14:textId="77777777" w:rsidTr="00A7253B">
        <w:tc>
          <w:tcPr>
            <w:tcW w:w="0" w:type="auto"/>
            <w:hideMark/>
          </w:tcPr>
          <w:p w14:paraId="2CB5B590" w14:textId="77777777" w:rsidR="0043224A" w:rsidRPr="0043224A" w:rsidRDefault="0043224A" w:rsidP="00D84639">
            <w:pPr>
              <w:jc w:val="both"/>
              <w:rPr>
                <w:szCs w:val="22"/>
              </w:rPr>
            </w:pPr>
            <w:r w:rsidRPr="0043224A">
              <w:rPr>
                <w:szCs w:val="22"/>
              </w:rPr>
              <w:t>6. Reporting</w:t>
            </w:r>
          </w:p>
        </w:tc>
        <w:tc>
          <w:tcPr>
            <w:tcW w:w="0" w:type="auto"/>
            <w:hideMark/>
          </w:tcPr>
          <w:p w14:paraId="520324BC" w14:textId="77777777" w:rsidR="0043224A" w:rsidRPr="0043224A" w:rsidRDefault="0043224A" w:rsidP="00D84639">
            <w:pPr>
              <w:jc w:val="both"/>
              <w:rPr>
                <w:szCs w:val="22"/>
              </w:rPr>
            </w:pPr>
            <w:r w:rsidRPr="0043224A">
              <w:rPr>
                <w:szCs w:val="22"/>
              </w:rPr>
              <w:t>Structured Chapter 4 by themes and supported each with evidence</w:t>
            </w:r>
          </w:p>
        </w:tc>
        <w:tc>
          <w:tcPr>
            <w:tcW w:w="0" w:type="auto"/>
            <w:hideMark/>
          </w:tcPr>
          <w:p w14:paraId="5DA52ED1" w14:textId="77777777" w:rsidR="0043224A" w:rsidRPr="0043224A" w:rsidRDefault="0043224A" w:rsidP="00D84639">
            <w:pPr>
              <w:jc w:val="both"/>
              <w:rPr>
                <w:szCs w:val="22"/>
              </w:rPr>
            </w:pPr>
            <w:r w:rsidRPr="0043224A">
              <w:rPr>
                <w:szCs w:val="22"/>
              </w:rPr>
              <w:t>Theme sections (4.3–4.5)</w:t>
            </w:r>
          </w:p>
        </w:tc>
      </w:tr>
    </w:tbl>
    <w:p w14:paraId="53C9132D" w14:textId="7D2D2F26" w:rsidR="0043224A" w:rsidRPr="0043224A" w:rsidRDefault="0043224A" w:rsidP="00D84639">
      <w:pPr>
        <w:jc w:val="both"/>
        <w:rPr>
          <w:szCs w:val="22"/>
        </w:rPr>
      </w:pPr>
    </w:p>
    <w:p w14:paraId="63F18E3F" w14:textId="433438F0" w:rsidR="0043224A" w:rsidRPr="0043224A" w:rsidRDefault="0043224A" w:rsidP="00D84639">
      <w:pPr>
        <w:spacing w:before="100" w:beforeAutospacing="1" w:after="100" w:afterAutospacing="1"/>
        <w:jc w:val="both"/>
        <w:outlineLvl w:val="1"/>
        <w:rPr>
          <w:b/>
          <w:bCs/>
          <w:szCs w:val="22"/>
        </w:rPr>
      </w:pPr>
      <w:bookmarkStart w:id="30" w:name="_Toc220447459"/>
      <w:r w:rsidRPr="0043224A">
        <w:rPr>
          <w:b/>
          <w:bCs/>
          <w:szCs w:val="22"/>
        </w:rPr>
        <w:t xml:space="preserve">Theme 1: Socioeconomic </w:t>
      </w:r>
      <w:r w:rsidR="00021252" w:rsidRPr="00D84639">
        <w:rPr>
          <w:b/>
          <w:bCs/>
          <w:szCs w:val="22"/>
        </w:rPr>
        <w:t xml:space="preserve">Status </w:t>
      </w:r>
      <w:r w:rsidRPr="0043224A">
        <w:rPr>
          <w:b/>
          <w:bCs/>
          <w:szCs w:val="22"/>
        </w:rPr>
        <w:t xml:space="preserve">as a </w:t>
      </w:r>
      <w:r w:rsidR="00021252" w:rsidRPr="00D84639">
        <w:rPr>
          <w:b/>
          <w:bCs/>
          <w:szCs w:val="22"/>
        </w:rPr>
        <w:t xml:space="preserve">Determinant </w:t>
      </w:r>
      <w:r w:rsidRPr="0043224A">
        <w:rPr>
          <w:b/>
          <w:bCs/>
          <w:szCs w:val="22"/>
        </w:rPr>
        <w:t xml:space="preserve">of </w:t>
      </w:r>
      <w:r w:rsidR="00021252" w:rsidRPr="00D84639">
        <w:rPr>
          <w:b/>
          <w:bCs/>
          <w:szCs w:val="22"/>
        </w:rPr>
        <w:t xml:space="preserve">Access </w:t>
      </w:r>
      <w:r w:rsidRPr="0043224A">
        <w:rPr>
          <w:b/>
          <w:bCs/>
          <w:szCs w:val="22"/>
        </w:rPr>
        <w:t xml:space="preserve">to </w:t>
      </w:r>
      <w:r w:rsidR="00021252" w:rsidRPr="00D84639">
        <w:rPr>
          <w:b/>
          <w:bCs/>
          <w:szCs w:val="22"/>
        </w:rPr>
        <w:t xml:space="preserve">Health </w:t>
      </w:r>
      <w:r w:rsidRPr="0043224A">
        <w:rPr>
          <w:b/>
          <w:bCs/>
          <w:szCs w:val="22"/>
        </w:rPr>
        <w:t xml:space="preserve">and </w:t>
      </w:r>
      <w:r w:rsidR="00021252" w:rsidRPr="00D84639">
        <w:rPr>
          <w:b/>
          <w:bCs/>
          <w:szCs w:val="22"/>
        </w:rPr>
        <w:t>Social Care</w:t>
      </w:r>
      <w:bookmarkEnd w:id="30"/>
    </w:p>
    <w:p w14:paraId="7CF83503" w14:textId="77777777" w:rsidR="001C104C" w:rsidRDefault="001C104C" w:rsidP="00D84639">
      <w:pPr>
        <w:spacing w:before="100" w:beforeAutospacing="1" w:after="100" w:afterAutospacing="1"/>
        <w:jc w:val="both"/>
        <w:outlineLvl w:val="1"/>
        <w:rPr>
          <w:szCs w:val="22"/>
        </w:rPr>
      </w:pPr>
      <w:bookmarkStart w:id="31" w:name="_Toc220447460"/>
      <w:r w:rsidRPr="001C104C">
        <w:rPr>
          <w:szCs w:val="22"/>
        </w:rPr>
        <w:t>This theme shows how SES, measured by income, education, occupation, and deprivation, relates to the ability to perceive a need, pay for care, and use services. Overall, from the literature, it can be seen that when SES levels decrease, the perceived difficulty of accessing services, preventive use, and unmet needs tend to increase. This implies that, in addition to supply, access also relates to resources and abilities.</w:t>
      </w:r>
    </w:p>
    <w:p w14:paraId="0370FD97" w14:textId="3DC656AE" w:rsidR="0043224A" w:rsidRPr="0043224A" w:rsidRDefault="0043224A" w:rsidP="00D84639">
      <w:pPr>
        <w:spacing w:before="100" w:beforeAutospacing="1" w:after="100" w:afterAutospacing="1"/>
        <w:jc w:val="both"/>
        <w:outlineLvl w:val="1"/>
        <w:rPr>
          <w:b/>
          <w:bCs/>
          <w:szCs w:val="22"/>
        </w:rPr>
      </w:pPr>
      <w:r w:rsidRPr="0043224A">
        <w:rPr>
          <w:b/>
          <w:bCs/>
          <w:szCs w:val="22"/>
        </w:rPr>
        <w:t>Theme 2: Urban–rural inequalities in health and social care provision</w:t>
      </w:r>
      <w:bookmarkEnd w:id="31"/>
    </w:p>
    <w:p w14:paraId="4DDC7A71" w14:textId="77777777" w:rsidR="00961E24" w:rsidRDefault="00961E24" w:rsidP="00D84639">
      <w:pPr>
        <w:spacing w:before="100" w:beforeAutospacing="1" w:after="100" w:afterAutospacing="1"/>
        <w:jc w:val="both"/>
        <w:outlineLvl w:val="1"/>
        <w:rPr>
          <w:szCs w:val="22"/>
        </w:rPr>
      </w:pPr>
      <w:bookmarkStart w:id="32" w:name="_Toc220447461"/>
      <w:r w:rsidRPr="00961E24">
        <w:rPr>
          <w:szCs w:val="22"/>
        </w:rPr>
        <w:t>This theme emphasizes that geographical context influences the nature of the effect that SES has on access. Rural areas may exacerbate barriers such as distance, workforce availability, and specialist provision, while urban areas may experience barriers such as waiting times, administrative complexity, and complexity of pathways. The evidence indicates that inequities are generated through different processes, even though the end goal is equitable access.</w:t>
      </w:r>
    </w:p>
    <w:p w14:paraId="14F28E0E" w14:textId="3DD274ED" w:rsidR="0043224A" w:rsidRPr="0043224A" w:rsidRDefault="0043224A" w:rsidP="00D84639">
      <w:pPr>
        <w:spacing w:before="100" w:beforeAutospacing="1" w:after="100" w:afterAutospacing="1"/>
        <w:jc w:val="both"/>
        <w:outlineLvl w:val="1"/>
        <w:rPr>
          <w:b/>
          <w:bCs/>
          <w:szCs w:val="22"/>
        </w:rPr>
      </w:pPr>
      <w:r w:rsidRPr="0043224A">
        <w:rPr>
          <w:b/>
          <w:bCs/>
          <w:szCs w:val="22"/>
        </w:rPr>
        <w:t>Theme 3: Socioeconomic barriers to health and social care utilisation</w:t>
      </w:r>
      <w:bookmarkEnd w:id="32"/>
    </w:p>
    <w:p w14:paraId="38407CA3" w14:textId="1DC22A3E" w:rsidR="0043224A" w:rsidRPr="0043224A" w:rsidRDefault="001C104C" w:rsidP="00D84639">
      <w:pPr>
        <w:spacing w:before="100" w:beforeAutospacing="1" w:after="100" w:afterAutospacing="1"/>
        <w:jc w:val="both"/>
        <w:rPr>
          <w:szCs w:val="22"/>
        </w:rPr>
      </w:pPr>
      <w:r w:rsidRPr="001C104C">
        <w:rPr>
          <w:szCs w:val="22"/>
        </w:rPr>
        <w:t>This theme explores the challenges through which socioeconomic inequalities lead to the underutilization or delayed utilization of services. Financial barriers, transportation barriers, digital exclusion, time poverty, and system complexities are challenges to service utilization, which have been noted in the literature</w:t>
      </w:r>
      <w:r w:rsidR="0043224A" w:rsidRPr="0043224A">
        <w:rPr>
          <w:szCs w:val="22"/>
        </w:rPr>
        <w:t xml:space="preserve">. </w:t>
      </w:r>
    </w:p>
    <w:p w14:paraId="20CE7BDB" w14:textId="756F1D8C" w:rsidR="00446607" w:rsidRPr="00C1463C" w:rsidRDefault="00446607" w:rsidP="00D84639">
      <w:pPr>
        <w:pStyle w:val="Caption"/>
        <w:keepNext/>
        <w:spacing w:line="360" w:lineRule="auto"/>
        <w:jc w:val="both"/>
      </w:pPr>
      <w:bookmarkStart w:id="33" w:name="_Toc220447481"/>
      <w:r w:rsidRPr="00C1463C">
        <w:t xml:space="preserve">Table </w:t>
      </w:r>
      <w:fldSimple w:instr=" SEQ Table \* ARABIC ">
        <w:r w:rsidR="00A7253B" w:rsidRPr="00C1463C">
          <w:rPr>
            <w:noProof/>
          </w:rPr>
          <w:t>5</w:t>
        </w:r>
      </w:fldSimple>
      <w:r w:rsidRPr="00C1463C">
        <w:rPr>
          <w:lang w:val="en-GB"/>
        </w:rPr>
        <w:t>: Synthesis of Themes and Links to Research Objectives</w:t>
      </w:r>
      <w:bookmarkEnd w:id="33"/>
    </w:p>
    <w:tbl>
      <w:tblPr>
        <w:tblStyle w:val="TableGrid"/>
        <w:tblW w:w="0" w:type="auto"/>
        <w:tblLook w:val="04A0" w:firstRow="1" w:lastRow="0" w:firstColumn="1" w:lastColumn="0" w:noHBand="0" w:noVBand="1"/>
      </w:tblPr>
      <w:tblGrid>
        <w:gridCol w:w="3196"/>
        <w:gridCol w:w="1579"/>
        <w:gridCol w:w="4241"/>
      </w:tblGrid>
      <w:tr w:rsidR="00446607" w:rsidRPr="00D84639" w14:paraId="0E46B3DD" w14:textId="77777777" w:rsidTr="00446607">
        <w:tc>
          <w:tcPr>
            <w:tcW w:w="0" w:type="auto"/>
            <w:hideMark/>
          </w:tcPr>
          <w:p w14:paraId="184CBCA2" w14:textId="77777777" w:rsidR="00446607" w:rsidRPr="00D84639" w:rsidRDefault="00446607" w:rsidP="00D84639">
            <w:pPr>
              <w:jc w:val="both"/>
              <w:rPr>
                <w:b/>
                <w:bCs/>
                <w:szCs w:val="22"/>
              </w:rPr>
            </w:pPr>
            <w:r w:rsidRPr="00D84639">
              <w:rPr>
                <w:b/>
                <w:bCs/>
                <w:szCs w:val="22"/>
              </w:rPr>
              <w:t>Research Objective</w:t>
            </w:r>
          </w:p>
        </w:tc>
        <w:tc>
          <w:tcPr>
            <w:tcW w:w="0" w:type="auto"/>
            <w:hideMark/>
          </w:tcPr>
          <w:p w14:paraId="52ED4C78" w14:textId="77777777" w:rsidR="00446607" w:rsidRPr="00D84639" w:rsidRDefault="00446607" w:rsidP="00D84639">
            <w:pPr>
              <w:jc w:val="both"/>
              <w:rPr>
                <w:b/>
                <w:bCs/>
                <w:szCs w:val="22"/>
              </w:rPr>
            </w:pPr>
            <w:r w:rsidRPr="00D84639">
              <w:rPr>
                <w:b/>
                <w:bCs/>
                <w:szCs w:val="22"/>
              </w:rPr>
              <w:t>Relevant Theme(s)</w:t>
            </w:r>
          </w:p>
        </w:tc>
        <w:tc>
          <w:tcPr>
            <w:tcW w:w="0" w:type="auto"/>
            <w:hideMark/>
          </w:tcPr>
          <w:p w14:paraId="749B8B94" w14:textId="77777777" w:rsidR="00446607" w:rsidRPr="00D84639" w:rsidRDefault="00446607" w:rsidP="00D84639">
            <w:pPr>
              <w:jc w:val="both"/>
              <w:rPr>
                <w:b/>
                <w:bCs/>
                <w:szCs w:val="22"/>
              </w:rPr>
            </w:pPr>
            <w:r w:rsidRPr="00D84639">
              <w:rPr>
                <w:b/>
                <w:bCs/>
                <w:szCs w:val="22"/>
              </w:rPr>
              <w:t>Key Insight from the Literature</w:t>
            </w:r>
          </w:p>
        </w:tc>
      </w:tr>
      <w:tr w:rsidR="00446607" w:rsidRPr="00D84639" w14:paraId="77B90350" w14:textId="77777777" w:rsidTr="00446607">
        <w:tc>
          <w:tcPr>
            <w:tcW w:w="0" w:type="auto"/>
            <w:hideMark/>
          </w:tcPr>
          <w:p w14:paraId="496EEBF1" w14:textId="77777777" w:rsidR="00446607" w:rsidRPr="00D84639" w:rsidRDefault="00446607" w:rsidP="00D84639">
            <w:pPr>
              <w:jc w:val="both"/>
              <w:rPr>
                <w:szCs w:val="22"/>
              </w:rPr>
            </w:pPr>
            <w:r w:rsidRPr="00D84639">
              <w:rPr>
                <w:szCs w:val="22"/>
              </w:rPr>
              <w:lastRenderedPageBreak/>
              <w:t>Define and examine SES in relation to access</w:t>
            </w:r>
          </w:p>
        </w:tc>
        <w:tc>
          <w:tcPr>
            <w:tcW w:w="0" w:type="auto"/>
            <w:hideMark/>
          </w:tcPr>
          <w:p w14:paraId="3F5E6168" w14:textId="77777777" w:rsidR="00446607" w:rsidRPr="00D84639" w:rsidRDefault="00446607" w:rsidP="00D84639">
            <w:pPr>
              <w:jc w:val="both"/>
              <w:rPr>
                <w:szCs w:val="22"/>
              </w:rPr>
            </w:pPr>
            <w:r w:rsidRPr="00D84639">
              <w:rPr>
                <w:szCs w:val="22"/>
              </w:rPr>
              <w:t>Theme 1</w:t>
            </w:r>
          </w:p>
        </w:tc>
        <w:tc>
          <w:tcPr>
            <w:tcW w:w="0" w:type="auto"/>
            <w:hideMark/>
          </w:tcPr>
          <w:p w14:paraId="22CB98FE" w14:textId="77777777" w:rsidR="00446607" w:rsidRPr="00D84639" w:rsidRDefault="00446607" w:rsidP="00D84639">
            <w:pPr>
              <w:jc w:val="both"/>
              <w:rPr>
                <w:szCs w:val="22"/>
              </w:rPr>
            </w:pPr>
            <w:r w:rsidRPr="00D84639">
              <w:rPr>
                <w:szCs w:val="22"/>
              </w:rPr>
              <w:t>SES shapes access through resources, literacy, and system navigation</w:t>
            </w:r>
          </w:p>
        </w:tc>
      </w:tr>
      <w:tr w:rsidR="00446607" w:rsidRPr="00D84639" w14:paraId="2F5F789C" w14:textId="77777777" w:rsidTr="00446607">
        <w:tc>
          <w:tcPr>
            <w:tcW w:w="0" w:type="auto"/>
            <w:hideMark/>
          </w:tcPr>
          <w:p w14:paraId="0FC1195D" w14:textId="77777777" w:rsidR="00446607" w:rsidRPr="00D84639" w:rsidRDefault="00446607" w:rsidP="00D84639">
            <w:pPr>
              <w:jc w:val="both"/>
              <w:rPr>
                <w:szCs w:val="22"/>
              </w:rPr>
            </w:pPr>
            <w:r w:rsidRPr="00D84639">
              <w:rPr>
                <w:szCs w:val="22"/>
              </w:rPr>
              <w:t>Analyse urban–rural disparities</w:t>
            </w:r>
          </w:p>
        </w:tc>
        <w:tc>
          <w:tcPr>
            <w:tcW w:w="0" w:type="auto"/>
            <w:hideMark/>
          </w:tcPr>
          <w:p w14:paraId="7DF6BDA7" w14:textId="77777777" w:rsidR="00446607" w:rsidRPr="00D84639" w:rsidRDefault="00446607" w:rsidP="00D84639">
            <w:pPr>
              <w:jc w:val="both"/>
              <w:rPr>
                <w:szCs w:val="22"/>
              </w:rPr>
            </w:pPr>
            <w:r w:rsidRPr="00D84639">
              <w:rPr>
                <w:szCs w:val="22"/>
              </w:rPr>
              <w:t>Theme 2</w:t>
            </w:r>
          </w:p>
        </w:tc>
        <w:tc>
          <w:tcPr>
            <w:tcW w:w="0" w:type="auto"/>
            <w:hideMark/>
          </w:tcPr>
          <w:p w14:paraId="7DD6AAB2" w14:textId="77777777" w:rsidR="00446607" w:rsidRPr="00D84639" w:rsidRDefault="00446607" w:rsidP="00D84639">
            <w:pPr>
              <w:jc w:val="both"/>
              <w:rPr>
                <w:szCs w:val="22"/>
              </w:rPr>
            </w:pPr>
            <w:r w:rsidRPr="00D84639">
              <w:rPr>
                <w:szCs w:val="22"/>
              </w:rPr>
              <w:t>Geography modifies how SES disadvantages operate, intensifying barriers</w:t>
            </w:r>
          </w:p>
        </w:tc>
      </w:tr>
      <w:tr w:rsidR="00446607" w:rsidRPr="00D84639" w14:paraId="2E92D21D" w14:textId="77777777" w:rsidTr="00446607">
        <w:tc>
          <w:tcPr>
            <w:tcW w:w="0" w:type="auto"/>
            <w:hideMark/>
          </w:tcPr>
          <w:p w14:paraId="7CA2BB94" w14:textId="77777777" w:rsidR="00446607" w:rsidRPr="00D84639" w:rsidRDefault="00446607" w:rsidP="00D84639">
            <w:pPr>
              <w:jc w:val="both"/>
              <w:rPr>
                <w:szCs w:val="22"/>
              </w:rPr>
            </w:pPr>
            <w:r w:rsidRPr="00D84639">
              <w:rPr>
                <w:szCs w:val="22"/>
              </w:rPr>
              <w:t>Evaluate utilisation patterns and barriers</w:t>
            </w:r>
          </w:p>
        </w:tc>
        <w:tc>
          <w:tcPr>
            <w:tcW w:w="0" w:type="auto"/>
            <w:hideMark/>
          </w:tcPr>
          <w:p w14:paraId="0A0324D7" w14:textId="77777777" w:rsidR="00446607" w:rsidRPr="00D84639" w:rsidRDefault="00446607" w:rsidP="00D84639">
            <w:pPr>
              <w:jc w:val="both"/>
              <w:rPr>
                <w:szCs w:val="22"/>
              </w:rPr>
            </w:pPr>
            <w:r w:rsidRPr="00D84639">
              <w:rPr>
                <w:szCs w:val="22"/>
              </w:rPr>
              <w:t>Theme 3</w:t>
            </w:r>
          </w:p>
        </w:tc>
        <w:tc>
          <w:tcPr>
            <w:tcW w:w="0" w:type="auto"/>
            <w:hideMark/>
          </w:tcPr>
          <w:p w14:paraId="35A8FA30" w14:textId="77777777" w:rsidR="00446607" w:rsidRPr="00D84639" w:rsidRDefault="00446607" w:rsidP="00D84639">
            <w:pPr>
              <w:jc w:val="both"/>
              <w:rPr>
                <w:szCs w:val="22"/>
              </w:rPr>
            </w:pPr>
            <w:r w:rsidRPr="00D84639">
              <w:rPr>
                <w:szCs w:val="22"/>
              </w:rPr>
              <w:t>Utilisation reflects accumulated access barriers, not just need</w:t>
            </w:r>
          </w:p>
        </w:tc>
      </w:tr>
      <w:tr w:rsidR="00446607" w:rsidRPr="00D84639" w14:paraId="56052CAE" w14:textId="77777777" w:rsidTr="00446607">
        <w:tc>
          <w:tcPr>
            <w:tcW w:w="0" w:type="auto"/>
            <w:hideMark/>
          </w:tcPr>
          <w:p w14:paraId="519371BC" w14:textId="77777777" w:rsidR="00446607" w:rsidRPr="00D84639" w:rsidRDefault="00446607" w:rsidP="00D84639">
            <w:pPr>
              <w:jc w:val="both"/>
              <w:rPr>
                <w:szCs w:val="22"/>
              </w:rPr>
            </w:pPr>
            <w:r w:rsidRPr="00D84639">
              <w:rPr>
                <w:szCs w:val="22"/>
              </w:rPr>
              <w:t>Explain persistence of inequality in universal systems</w:t>
            </w:r>
          </w:p>
        </w:tc>
        <w:tc>
          <w:tcPr>
            <w:tcW w:w="0" w:type="auto"/>
            <w:hideMark/>
          </w:tcPr>
          <w:p w14:paraId="207F12EA" w14:textId="77777777" w:rsidR="00446607" w:rsidRPr="00D84639" w:rsidRDefault="00446607" w:rsidP="00D84639">
            <w:pPr>
              <w:jc w:val="both"/>
              <w:rPr>
                <w:szCs w:val="22"/>
              </w:rPr>
            </w:pPr>
            <w:r w:rsidRPr="00D84639">
              <w:rPr>
                <w:szCs w:val="22"/>
              </w:rPr>
              <w:t>Themes 1 &amp; 3</w:t>
            </w:r>
          </w:p>
        </w:tc>
        <w:tc>
          <w:tcPr>
            <w:tcW w:w="0" w:type="auto"/>
            <w:hideMark/>
          </w:tcPr>
          <w:p w14:paraId="460557C6" w14:textId="77777777" w:rsidR="00446607" w:rsidRPr="00D84639" w:rsidRDefault="00446607" w:rsidP="00D84639">
            <w:pPr>
              <w:jc w:val="both"/>
              <w:rPr>
                <w:szCs w:val="22"/>
              </w:rPr>
            </w:pPr>
            <w:r w:rsidRPr="00D84639">
              <w:rPr>
                <w:szCs w:val="22"/>
              </w:rPr>
              <w:t>Access includes timeliness, quality, and experience, not only contact</w:t>
            </w:r>
          </w:p>
        </w:tc>
      </w:tr>
    </w:tbl>
    <w:p w14:paraId="518D7439" w14:textId="77777777" w:rsidR="005F67C7" w:rsidRPr="00D84639" w:rsidRDefault="005F67C7" w:rsidP="00D84639">
      <w:pPr>
        <w:jc w:val="both"/>
        <w:rPr>
          <w:b/>
          <w:bCs/>
          <w:szCs w:val="22"/>
          <w:lang w:val="en-GB"/>
        </w:rPr>
      </w:pPr>
    </w:p>
    <w:p w14:paraId="3BBF8C80" w14:textId="77777777" w:rsidR="007F070B" w:rsidRPr="00D84639" w:rsidRDefault="007F070B" w:rsidP="00D84639">
      <w:pPr>
        <w:jc w:val="both"/>
        <w:rPr>
          <w:b/>
          <w:bCs/>
          <w:szCs w:val="22"/>
          <w:lang w:val="en-GB"/>
        </w:rPr>
      </w:pPr>
    </w:p>
    <w:p w14:paraId="0AF87C1A" w14:textId="77777777" w:rsidR="00DC59DC" w:rsidRPr="00DC59DC" w:rsidRDefault="00DC59DC" w:rsidP="00DC5362">
      <w:pPr>
        <w:pStyle w:val="Heading2"/>
      </w:pPr>
      <w:bookmarkStart w:id="34" w:name="_Toc220447462"/>
      <w:r w:rsidRPr="00DC59DC">
        <w:t>4.3 Theme 1: Socioeconomic status as a determinant of access to health and social care</w:t>
      </w:r>
      <w:bookmarkEnd w:id="34"/>
    </w:p>
    <w:p w14:paraId="0BE35B9A" w14:textId="77777777" w:rsidR="006B22E4" w:rsidRDefault="006B22E4" w:rsidP="00D84639">
      <w:pPr>
        <w:spacing w:before="100" w:beforeAutospacing="1" w:after="100" w:afterAutospacing="1"/>
        <w:jc w:val="both"/>
        <w:rPr>
          <w:szCs w:val="22"/>
        </w:rPr>
      </w:pPr>
      <w:r w:rsidRPr="006B22E4">
        <w:rPr>
          <w:szCs w:val="22"/>
        </w:rPr>
        <w:t>This theme deals with how socioeconomic status, defined in terms of income, education, occupation, and deprivation, influences access to healthcare and social care services in terms of resources, knowledge, and power to access timely and appropriate care. Through the literature reviewed, it is evident that socioeconomic status is not used as an independent factor. Rather, it is used as an essential factor to influence an individual’s ability to recognize the need, cover the cost of direct and indirect services, and withstand the administrative procedures to access care services (Fortes et al., 2022; Pampel, Krueger, and Denney, 2010). This theme directly addresses the dissertation aim in terms of how socioeconomic status creates inequalities in both healthcare and social care services.</w:t>
      </w:r>
    </w:p>
    <w:p w14:paraId="53121788" w14:textId="77777777" w:rsidR="006B22E4" w:rsidRDefault="006B22E4" w:rsidP="00D84639">
      <w:pPr>
        <w:pStyle w:val="NormalWeb"/>
        <w:spacing w:line="360" w:lineRule="auto"/>
        <w:jc w:val="both"/>
        <w:rPr>
          <w:rFonts w:asciiTheme="minorHAnsi" w:hAnsiTheme="minorHAnsi"/>
          <w:sz w:val="22"/>
          <w:szCs w:val="22"/>
        </w:rPr>
      </w:pPr>
      <w:r w:rsidRPr="006B22E4">
        <w:rPr>
          <w:rFonts w:asciiTheme="minorHAnsi" w:hAnsiTheme="minorHAnsi"/>
          <w:sz w:val="22"/>
          <w:szCs w:val="22"/>
        </w:rPr>
        <w:t>Socioeconomic status can be described as the social and economic position of a person and is normally measured by income level, educational level, occupation level, and deprivation index. All these factors are important in the sense that they determine the ability of a person to access health care (Ain, Ullah, and Bashir, 2025). Income level determines the ability of a person to pay the direct and indirect costs of health care, such as transport and the cost of time off work. Educational level determines the level of health awareness and the ability of a person to communicate with health care providers. Occupation level determines the number of hours worked and the ability of a person to access health care facilities (Almeida et al., 2017; Averill and Mills, 2022).</w:t>
      </w:r>
    </w:p>
    <w:p w14:paraId="7CC33B6B" w14:textId="77777777" w:rsidR="006B22E4" w:rsidRDefault="006B22E4" w:rsidP="00D84639">
      <w:pPr>
        <w:pStyle w:val="NormalWeb"/>
        <w:spacing w:line="360" w:lineRule="auto"/>
        <w:jc w:val="both"/>
        <w:rPr>
          <w:rFonts w:asciiTheme="minorHAnsi" w:hAnsiTheme="minorHAnsi"/>
          <w:sz w:val="22"/>
          <w:szCs w:val="22"/>
        </w:rPr>
      </w:pPr>
      <w:r w:rsidRPr="006B22E4">
        <w:rPr>
          <w:rFonts w:asciiTheme="minorHAnsi" w:hAnsiTheme="minorHAnsi"/>
          <w:sz w:val="22"/>
          <w:szCs w:val="22"/>
        </w:rPr>
        <w:t xml:space="preserve">Throughout literature, it was seen that socioeconomic status impacts access primarily through people's capacity to access and utilize care, rather than how much they desire care. It was seen </w:t>
      </w:r>
      <w:r w:rsidRPr="006B22E4">
        <w:rPr>
          <w:rFonts w:asciiTheme="minorHAnsi" w:hAnsiTheme="minorHAnsi"/>
          <w:sz w:val="22"/>
          <w:szCs w:val="22"/>
        </w:rPr>
        <w:lastRenderedPageBreak/>
        <w:t>how low income and insecure employment can impact individuals’ flexibility and indirect costs. For instance, travel costs, child care, and taking time off work can be critical barriers, and individuals may avoid attending scheduled care or avoid attending follow-up care even if it is close to home (Basyouni and El Keshky, 2021). Education and occupational status have been seen to impact individuals’ health literacy, how comfortable they are in communicating with care professionals, and how proficient they are in navigating systems and paperwork (Khraim et al., 2025).</w:t>
      </w:r>
    </w:p>
    <w:p w14:paraId="1B64E065" w14:textId="77777777" w:rsidR="006B22E4" w:rsidRDefault="006B22E4" w:rsidP="00D84639">
      <w:pPr>
        <w:spacing w:before="100" w:beforeAutospacing="1" w:after="100" w:afterAutospacing="1"/>
        <w:jc w:val="both"/>
        <w:rPr>
          <w:szCs w:val="22"/>
        </w:rPr>
      </w:pPr>
      <w:r w:rsidRPr="006B22E4">
        <w:rPr>
          <w:szCs w:val="22"/>
        </w:rPr>
        <w:t>These factors account for why service availability alone is not enough to ensure fair access. Rather, access is determined by the match between an individual's resources and service organization. While care may not have a direct cost, its actual cost includes time, travel, and the capacity to translate entitlement into effective contact and treatment, which tends to favor higher SES groups (Propper, 2024). These factors account for why low SES groups have greater needs for, but lesser access to, preventive and specialist care where navigation demands and waiting times are longer (Raine et al., 2016).</w:t>
      </w:r>
    </w:p>
    <w:p w14:paraId="627B7E36" w14:textId="77777777" w:rsidR="006B22E4" w:rsidRDefault="006B22E4" w:rsidP="00D84639">
      <w:pPr>
        <w:spacing w:before="100" w:beforeAutospacing="1" w:after="100" w:afterAutospacing="1"/>
        <w:jc w:val="both"/>
        <w:rPr>
          <w:szCs w:val="22"/>
        </w:rPr>
      </w:pPr>
      <w:r w:rsidRPr="006B22E4">
        <w:rPr>
          <w:szCs w:val="22"/>
        </w:rPr>
        <w:t>The strongest evidence for SES as a factor in access comes from studies measuring perceptions of difficulty in accessing care, rather than relying on actual service use. Oliveira et al.'s (2025) study demonstrates the persistence of socioeconomic inequalities in perceived difficulties in accessing health services among older adults, with those from lower socioeconomic groups experiencing more difficulties. The importance of this study, and indeed its relevance to our argument, does not reside in its demonstration of inequality, but in what it implies in terms of underlying mechanisms. Perceived difficulties are a direct reflection of actual difficulties, such as affordability, waiting times, and administrative hurdles, which might not be captured through actual use. This adds weight to our assertion that equality cannot be measured by actual use, as individuals may appear to use a service when, in fact, they are experiencing delayed access, inferior pathways, or unmet need (Stevens et al., 2023).</w:t>
      </w:r>
    </w:p>
    <w:p w14:paraId="6104E967" w14:textId="77777777" w:rsidR="006B22E4" w:rsidRDefault="006B22E4" w:rsidP="00D84639">
      <w:pPr>
        <w:spacing w:before="100" w:beforeAutospacing="1" w:after="100" w:afterAutospacing="1"/>
        <w:jc w:val="both"/>
        <w:rPr>
          <w:szCs w:val="22"/>
        </w:rPr>
      </w:pPr>
      <w:r w:rsidRPr="006B22E4">
        <w:rPr>
          <w:szCs w:val="22"/>
        </w:rPr>
        <w:t>However, this perceived difficulty is also dependent on expectations and awareness. For example, individuals with higher educational levels might have more critical perceptions of service quality, while the lower SES groups might have normalized difficulties in access and might not report them because they have lower expectations (Ain, Ullah, and Bashir, 2025). Even with this limitation, the consistent direction of association found in Oliveira et al. (2025) suggests that the relationship is not an artefact of measurement but is likely driven by persistent barriers related to SES.</w:t>
      </w:r>
    </w:p>
    <w:p w14:paraId="7FB3D13C" w14:textId="77777777" w:rsidR="006B22E4" w:rsidRDefault="006B22E4" w:rsidP="00D84639">
      <w:pPr>
        <w:spacing w:before="100" w:beforeAutospacing="1" w:after="100" w:afterAutospacing="1"/>
        <w:jc w:val="both"/>
        <w:rPr>
          <w:szCs w:val="22"/>
        </w:rPr>
      </w:pPr>
      <w:r w:rsidRPr="006B22E4">
        <w:rPr>
          <w:szCs w:val="22"/>
        </w:rPr>
        <w:lastRenderedPageBreak/>
        <w:t>One of the major interpretative contributions of the evidence specifically relating to the UK is the distinction between the distribution of healthcare quantity and access quality. Raine et al. (2016) assert that there is a high concentration of public expenditure and some forms of healthcare service utilization among poorer people, which might initially suggest equity. However, after adjusting for need, evidence suggests that there are pro-rich advantages in terms of specialist care, some forms of quality, and patient experience. This is an important finding because it suggests a different dimension of inequality. It suggests that it is possible for more people in poorer groups to have more healthcare contacts because of greater levels of illness, but still not have access to timely, high-quality care or preventive care, which can reduce inequality in the long run. Propper (2024) suggests this is an appropriate approach to explain why people who benefit from healthcare require additional resources such as time, social capital, and system navigation. This would explain why people of low SES still have disadvantages in waiting times, specialist care, and preventive care even without direct charges.</w:t>
      </w:r>
    </w:p>
    <w:p w14:paraId="499DD5F7" w14:textId="77777777" w:rsidR="006B22E4" w:rsidRDefault="006B22E4" w:rsidP="00D84639">
      <w:pPr>
        <w:spacing w:before="100" w:beforeAutospacing="1" w:after="100" w:afterAutospacing="1"/>
        <w:jc w:val="both"/>
        <w:rPr>
          <w:szCs w:val="22"/>
        </w:rPr>
      </w:pPr>
      <w:r w:rsidRPr="006B22E4">
        <w:rPr>
          <w:szCs w:val="22"/>
        </w:rPr>
        <w:t>This also challenges the simplistic assumptions made in policy, as the policy might only be designed to increase the supply, but the inequality might persist through less obvious mechanisms, such as appointment systems, referral criteria, and the role of the patient advocate. The evidence, therefore, suggests that equitable access is not only a funding issue but also a design issue, as the design and ease with which need is converted into access are key determinants (Mohamed et al., 2025).</w:t>
      </w:r>
    </w:p>
    <w:p w14:paraId="07A07937" w14:textId="4F7C1086" w:rsidR="006B22E4" w:rsidRDefault="006B22E4" w:rsidP="00D84639">
      <w:pPr>
        <w:spacing w:before="100" w:beforeAutospacing="1" w:after="100" w:afterAutospacing="1"/>
        <w:jc w:val="both"/>
        <w:rPr>
          <w:szCs w:val="22"/>
        </w:rPr>
      </w:pPr>
      <w:r w:rsidRPr="006B22E4">
        <w:rPr>
          <w:szCs w:val="22"/>
        </w:rPr>
        <w:t>Further, evidence also indicates that inequalities in SES are not necessarily set in stone, as Asaria et al. (2016) demonstrated in their study on the effect of investing in primary care in England, which led to a reduction in inequalities in the supply and quality of primary care services over time. More importantly, however, inequalities in preventable admissions and deaths remained only marginally improved, implying that while access to the front door of the healthcare system is essential, it is not enough, suggesting that the inequalities are either the result of external factors, such as living conditions, employment, etc., or that they are the result of inequalities further down the system, including access to specialist care, continuity, etc., which would include the social determinants of health, implying that while access to healthcare services is one of the determinants of inequalities, it is not the only one, as suggested in the social determinants perspective on inequalities in health, as discussed by McMaughan, Oloruntoba, and Smith (2020).</w:t>
      </w:r>
    </w:p>
    <w:p w14:paraId="5160B4AF" w14:textId="77777777" w:rsidR="006B22E4" w:rsidRDefault="006B22E4" w:rsidP="00DC5362">
      <w:pPr>
        <w:spacing w:before="100" w:beforeAutospacing="1" w:after="100" w:afterAutospacing="1"/>
        <w:jc w:val="both"/>
        <w:rPr>
          <w:szCs w:val="22"/>
        </w:rPr>
      </w:pPr>
      <w:r w:rsidRPr="006B22E4">
        <w:rPr>
          <w:szCs w:val="22"/>
        </w:rPr>
        <w:lastRenderedPageBreak/>
        <w:t>At the same time, it is argued in the literature that there is a gap in what can be concluded. In this regard, Meulman et al. (2024) argue that factors contributing to SES differences in healthcare utilisation are highly context-dependent, and system-level influences have been under-examined. This means that it is difficult to make strong causal claims, “as many studies rely on measures of utilisation without adequately capturing need or severity of conditions” (Yaw et al., 2025). In this regard, another methodological issue is raised by Propper (2024), where it is argued that if need is not well measured, it can be difficult to see “the extent to which disadvantage is contained in later presentation, multimorbidity, and deprivation.” In this case, SES inequalities in access can be greater than they appear based on statistics of utilisation.</w:t>
      </w:r>
    </w:p>
    <w:p w14:paraId="7B2CD7A0" w14:textId="760FE05E" w:rsidR="007F070B" w:rsidRPr="00DC5362" w:rsidRDefault="006B22E4" w:rsidP="00DC5362">
      <w:pPr>
        <w:spacing w:before="100" w:beforeAutospacing="1" w:after="100" w:afterAutospacing="1"/>
        <w:jc w:val="both"/>
        <w:rPr>
          <w:szCs w:val="22"/>
        </w:rPr>
      </w:pPr>
      <w:r w:rsidRPr="006B22E4">
        <w:rPr>
          <w:szCs w:val="22"/>
        </w:rPr>
        <w:t>Overall, the objectives are supported by Theme 1, which indicates that SES, based on income, education, occupation, and deprivation, is an access determinant based on affordability, awareness, health literacy, and navigation. The theme also indicates that inequalities exist even in universal healthcare systems, based on the understanding that access is also based on timeliness, quality, and experience rather than just contact. This theme is closely related to Theme 3 because the factors established in this theme are the same factors that lead to reduced or delayed utilization based on time poverty, indirect costs, and administrative burden (Oliveira et al., 2025; Raine et al., 2016; Propper, 2024). This theme is also related to Theme 2 because the socioeconomic factors are the same, but they are affected by urban and rural areas depending on the distribution of services and travel burden, indicating that socioeconomic status is worsened by living location rather than being an isolated factor</w:t>
      </w:r>
      <w:r>
        <w:rPr>
          <w:szCs w:val="22"/>
        </w:rPr>
        <w:t xml:space="preserve"> </w:t>
      </w:r>
      <w:r w:rsidR="00DC59DC" w:rsidRPr="00DC59DC">
        <w:rPr>
          <w:szCs w:val="22"/>
        </w:rPr>
        <w:t>(Meulman et al., 2024).</w:t>
      </w:r>
    </w:p>
    <w:p w14:paraId="6E4C32EA" w14:textId="5E540A93" w:rsidR="00040B80" w:rsidRPr="00D84639" w:rsidRDefault="00040B80" w:rsidP="00DC5362">
      <w:pPr>
        <w:pStyle w:val="Heading2"/>
      </w:pPr>
      <w:bookmarkStart w:id="35" w:name="_Toc220447463"/>
      <w:r w:rsidRPr="00D84639">
        <w:t>4.4 Theme 2: Urban</w:t>
      </w:r>
      <w:r w:rsidR="00AD5823" w:rsidRPr="00D84639">
        <w:t xml:space="preserve"> </w:t>
      </w:r>
      <w:r w:rsidRPr="00D84639">
        <w:t>Rural Inequalities in Health and Social Care Provision</w:t>
      </w:r>
      <w:bookmarkEnd w:id="35"/>
    </w:p>
    <w:p w14:paraId="17AFD9D0" w14:textId="77777777" w:rsidR="00556ED1" w:rsidRDefault="00556ED1" w:rsidP="00D84639">
      <w:pPr>
        <w:pStyle w:val="NormalWeb"/>
        <w:spacing w:line="360" w:lineRule="auto"/>
        <w:jc w:val="both"/>
        <w:rPr>
          <w:rFonts w:asciiTheme="minorHAnsi" w:hAnsiTheme="minorHAnsi"/>
          <w:sz w:val="22"/>
          <w:szCs w:val="22"/>
        </w:rPr>
      </w:pPr>
      <w:r w:rsidRPr="00556ED1">
        <w:rPr>
          <w:rFonts w:asciiTheme="minorHAnsi" w:hAnsiTheme="minorHAnsi"/>
          <w:sz w:val="22"/>
          <w:szCs w:val="22"/>
        </w:rPr>
        <w:t>This theme is concerned with the role of place in shaping access by affecting the distribution, organisation, and continuity of health and social care services and how these aspects of place interact with socioeconomic disadvantage. In the dissertation, urban rural inequalities are the differences in the availability of service provision, the burden of travel, workforce availability, and continuity of pathways between the urban and rural population (Castillo et al., 2022). This theme is directly concerned with the aim of the dissertation: to examine the impact of socioeconomic status on inequalities in access between the urban and rural population. The finding is that geography is not a separate factor but modifies the nature and strength of socioeconomic inequalities by affecting the availability of service provision and the continuity of pathways.</w:t>
      </w:r>
    </w:p>
    <w:p w14:paraId="232708F3" w14:textId="77777777" w:rsidR="00556ED1" w:rsidRDefault="00556ED1" w:rsidP="00D84639">
      <w:pPr>
        <w:pStyle w:val="NormalWeb"/>
        <w:spacing w:line="360" w:lineRule="auto"/>
        <w:jc w:val="both"/>
        <w:rPr>
          <w:rFonts w:asciiTheme="minorHAnsi" w:hAnsiTheme="minorHAnsi"/>
          <w:sz w:val="22"/>
          <w:szCs w:val="22"/>
        </w:rPr>
      </w:pPr>
      <w:r w:rsidRPr="00556ED1">
        <w:rPr>
          <w:rFonts w:asciiTheme="minorHAnsi" w:hAnsiTheme="minorHAnsi"/>
          <w:sz w:val="22"/>
          <w:szCs w:val="22"/>
        </w:rPr>
        <w:t xml:space="preserve">The motivation for disparities in access is based on socioeconomic status, but this differs for urban and rural areas. In rural areas, SES is generally low, and distance and transportation </w:t>
      </w:r>
      <w:r w:rsidRPr="00556ED1">
        <w:rPr>
          <w:rFonts w:asciiTheme="minorHAnsi" w:hAnsiTheme="minorHAnsi"/>
          <w:sz w:val="22"/>
          <w:szCs w:val="22"/>
        </w:rPr>
        <w:lastRenderedPageBreak/>
        <w:t>difficulties exacerbate the problem, and the cost of time wasted traveling is a major problem. The lack of service providers and experts means that low SES individuals are less likely to have realistic choices, increasing the likelihood of delayed care (Allan, Williamson, and Kulu, 2017; Castillo et al., 2022). Access may be facilitated for those living in cities, but the time spent waiting, the complexity of the system, and fragmentation may act as a disincentive for low SES individuals. Low SES individuals have less time, security, and support and therefore find it harder to cope with these systems, resulting in inequality even when service provision is physically available (Chen et al., 2019).</w:t>
      </w:r>
    </w:p>
    <w:p w14:paraId="4A6737A7" w14:textId="77777777" w:rsidR="00556ED1" w:rsidRDefault="00556ED1" w:rsidP="00D84639">
      <w:pPr>
        <w:pStyle w:val="Caption"/>
        <w:keepNext/>
        <w:spacing w:line="360" w:lineRule="auto"/>
        <w:jc w:val="both"/>
        <w:rPr>
          <w:i w:val="0"/>
          <w:iCs w:val="0"/>
          <w:color w:val="auto"/>
          <w:sz w:val="22"/>
          <w:szCs w:val="22"/>
        </w:rPr>
      </w:pPr>
      <w:bookmarkStart w:id="36" w:name="_Toc220447482"/>
      <w:r w:rsidRPr="00556ED1">
        <w:rPr>
          <w:i w:val="0"/>
          <w:iCs w:val="0"/>
          <w:color w:val="auto"/>
          <w:sz w:val="22"/>
          <w:szCs w:val="22"/>
        </w:rPr>
        <w:t>The rural context of the studies examined here is repeatedly linked with the lack of availability and access characterized by the lack of providers, the lack of the supply of specialists, and the greater travel distance. On the other hand, rural contexts are characterized by greater service density, greater service complexity, and greater service fragmentation and system administrative load (Castillo et al., 2022). Another important fact to consider is the analysis of the fact that greater supply does not automatically equate with greater access. This could continue to plague the populations of urban contexts with disadvantages to low-income populations who may not be as flexible to access service appointments and service points (Lynch et al., 2025). Populations in rural contexts may face fewer administrative layers but a structural deficit of provision in the local context, which means that even the most motivated populations cannot easily translate need into access. In both contexts, access is unequal when the service design assumes the presence of people who have access to time, transportation, digital access, and stability, which are all socially patterned (Nadorff et al., 2025).</w:t>
      </w:r>
    </w:p>
    <w:p w14:paraId="089E63BA" w14:textId="2053D035" w:rsidR="00563501" w:rsidRPr="00DC5362" w:rsidRDefault="00563501" w:rsidP="00D84639">
      <w:pPr>
        <w:pStyle w:val="Caption"/>
        <w:keepNext/>
        <w:spacing w:line="360" w:lineRule="auto"/>
        <w:jc w:val="both"/>
      </w:pPr>
      <w:r w:rsidRPr="00DC5362">
        <w:t xml:space="preserve">Table </w:t>
      </w:r>
      <w:fldSimple w:instr=" SEQ Table \* ARABIC ">
        <w:r w:rsidR="00A7253B" w:rsidRPr="00DC5362">
          <w:rPr>
            <w:noProof/>
          </w:rPr>
          <w:t>6</w:t>
        </w:r>
      </w:fldSimple>
      <w:r w:rsidRPr="00DC5362">
        <w:rPr>
          <w:lang w:val="en-GB"/>
        </w:rPr>
        <w:t xml:space="preserve">: Urban–Rural Differences in Access Characteristics </w:t>
      </w:r>
      <w:r w:rsidR="005A2985" w:rsidRPr="00DC5362">
        <w:rPr>
          <w:lang w:val="en-GB"/>
        </w:rPr>
        <w:t>(</w:t>
      </w:r>
      <w:r w:rsidRPr="00DC5362">
        <w:t>Ford et al.</w:t>
      </w:r>
      <w:r w:rsidR="005A2985" w:rsidRPr="00DC5362">
        <w:t xml:space="preserve">, </w:t>
      </w:r>
      <w:r w:rsidRPr="00DC5362">
        <w:t>2016; Allan et al.</w:t>
      </w:r>
      <w:r w:rsidR="005A2985" w:rsidRPr="00DC5362">
        <w:t xml:space="preserve">, </w:t>
      </w:r>
      <w:r w:rsidRPr="00DC5362">
        <w:t>2017; Ryan-Ndegwa et al.</w:t>
      </w:r>
      <w:r w:rsidR="005A2985" w:rsidRPr="00DC5362">
        <w:t xml:space="preserve">, </w:t>
      </w:r>
      <w:r w:rsidRPr="00DC5362">
        <w:t>2021)</w:t>
      </w:r>
      <w:bookmarkEnd w:id="36"/>
    </w:p>
    <w:tbl>
      <w:tblPr>
        <w:tblStyle w:val="TableGrid"/>
        <w:tblW w:w="0" w:type="auto"/>
        <w:tblLook w:val="04A0" w:firstRow="1" w:lastRow="0" w:firstColumn="1" w:lastColumn="0" w:noHBand="0" w:noVBand="1"/>
      </w:tblPr>
      <w:tblGrid>
        <w:gridCol w:w="1594"/>
        <w:gridCol w:w="2129"/>
        <w:gridCol w:w="2354"/>
        <w:gridCol w:w="2939"/>
      </w:tblGrid>
      <w:tr w:rsidR="00563501" w:rsidRPr="00D84639" w14:paraId="59348A1E" w14:textId="77777777" w:rsidTr="00563501">
        <w:tc>
          <w:tcPr>
            <w:tcW w:w="0" w:type="auto"/>
            <w:hideMark/>
          </w:tcPr>
          <w:p w14:paraId="11FD6B5F" w14:textId="77777777" w:rsidR="00563501" w:rsidRPr="00D84639" w:rsidRDefault="00563501" w:rsidP="00D84639">
            <w:pPr>
              <w:jc w:val="both"/>
              <w:rPr>
                <w:b/>
                <w:bCs/>
                <w:szCs w:val="22"/>
              </w:rPr>
            </w:pPr>
            <w:r w:rsidRPr="00D84639">
              <w:rPr>
                <w:b/>
                <w:bCs/>
                <w:szCs w:val="22"/>
              </w:rPr>
              <w:t>Access Dimension</w:t>
            </w:r>
          </w:p>
        </w:tc>
        <w:tc>
          <w:tcPr>
            <w:tcW w:w="0" w:type="auto"/>
            <w:hideMark/>
          </w:tcPr>
          <w:p w14:paraId="420CD92E" w14:textId="77777777" w:rsidR="00563501" w:rsidRPr="00D84639" w:rsidRDefault="00563501" w:rsidP="00D84639">
            <w:pPr>
              <w:jc w:val="both"/>
              <w:rPr>
                <w:b/>
                <w:bCs/>
                <w:szCs w:val="22"/>
              </w:rPr>
            </w:pPr>
            <w:r w:rsidRPr="00D84639">
              <w:rPr>
                <w:b/>
                <w:bCs/>
                <w:szCs w:val="22"/>
              </w:rPr>
              <w:t>Urban Context</w:t>
            </w:r>
          </w:p>
        </w:tc>
        <w:tc>
          <w:tcPr>
            <w:tcW w:w="0" w:type="auto"/>
            <w:hideMark/>
          </w:tcPr>
          <w:p w14:paraId="01F47FFF" w14:textId="77777777" w:rsidR="00563501" w:rsidRPr="00D84639" w:rsidRDefault="00563501" w:rsidP="00D84639">
            <w:pPr>
              <w:jc w:val="both"/>
              <w:rPr>
                <w:b/>
                <w:bCs/>
                <w:szCs w:val="22"/>
              </w:rPr>
            </w:pPr>
            <w:r w:rsidRPr="00D84639">
              <w:rPr>
                <w:b/>
                <w:bCs/>
                <w:szCs w:val="22"/>
              </w:rPr>
              <w:t>Rural Context</w:t>
            </w:r>
          </w:p>
        </w:tc>
        <w:tc>
          <w:tcPr>
            <w:tcW w:w="0" w:type="auto"/>
            <w:hideMark/>
          </w:tcPr>
          <w:p w14:paraId="1BDF1BA7" w14:textId="77777777" w:rsidR="00563501" w:rsidRPr="00D84639" w:rsidRDefault="00563501" w:rsidP="00D84639">
            <w:pPr>
              <w:jc w:val="both"/>
              <w:rPr>
                <w:b/>
                <w:bCs/>
                <w:szCs w:val="22"/>
              </w:rPr>
            </w:pPr>
            <w:r w:rsidRPr="00D84639">
              <w:rPr>
                <w:b/>
                <w:bCs/>
                <w:szCs w:val="22"/>
              </w:rPr>
              <w:t>Implications for Low-SES Groups</w:t>
            </w:r>
          </w:p>
        </w:tc>
      </w:tr>
      <w:tr w:rsidR="00563501" w:rsidRPr="00D84639" w14:paraId="43EFC453" w14:textId="77777777" w:rsidTr="00563501">
        <w:tc>
          <w:tcPr>
            <w:tcW w:w="0" w:type="auto"/>
            <w:hideMark/>
          </w:tcPr>
          <w:p w14:paraId="4FA3976F" w14:textId="77777777" w:rsidR="00563501" w:rsidRPr="00D84639" w:rsidRDefault="00563501" w:rsidP="00D84639">
            <w:pPr>
              <w:jc w:val="both"/>
              <w:rPr>
                <w:szCs w:val="22"/>
              </w:rPr>
            </w:pPr>
            <w:r w:rsidRPr="00D84639">
              <w:rPr>
                <w:szCs w:val="22"/>
              </w:rPr>
              <w:t>Service availability</w:t>
            </w:r>
          </w:p>
        </w:tc>
        <w:tc>
          <w:tcPr>
            <w:tcW w:w="0" w:type="auto"/>
            <w:hideMark/>
          </w:tcPr>
          <w:p w14:paraId="51F564CD" w14:textId="77777777" w:rsidR="00563501" w:rsidRPr="00D84639" w:rsidRDefault="00563501" w:rsidP="00D84639">
            <w:pPr>
              <w:jc w:val="both"/>
              <w:rPr>
                <w:szCs w:val="22"/>
              </w:rPr>
            </w:pPr>
            <w:r w:rsidRPr="00D84639">
              <w:rPr>
                <w:szCs w:val="22"/>
              </w:rPr>
              <w:t>Higher density, more providers</w:t>
            </w:r>
          </w:p>
        </w:tc>
        <w:tc>
          <w:tcPr>
            <w:tcW w:w="0" w:type="auto"/>
            <w:hideMark/>
          </w:tcPr>
          <w:p w14:paraId="4E28E064" w14:textId="77777777" w:rsidR="00563501" w:rsidRPr="00D84639" w:rsidRDefault="00563501" w:rsidP="00D84639">
            <w:pPr>
              <w:jc w:val="both"/>
              <w:rPr>
                <w:szCs w:val="22"/>
              </w:rPr>
            </w:pPr>
            <w:r w:rsidRPr="00D84639">
              <w:rPr>
                <w:szCs w:val="22"/>
              </w:rPr>
              <w:t>Fewer providers, limited specialist care</w:t>
            </w:r>
          </w:p>
        </w:tc>
        <w:tc>
          <w:tcPr>
            <w:tcW w:w="0" w:type="auto"/>
            <w:hideMark/>
          </w:tcPr>
          <w:p w14:paraId="113546F4" w14:textId="77777777" w:rsidR="00563501" w:rsidRPr="00D84639" w:rsidRDefault="00563501" w:rsidP="00D84639">
            <w:pPr>
              <w:jc w:val="both"/>
              <w:rPr>
                <w:szCs w:val="22"/>
              </w:rPr>
            </w:pPr>
            <w:r w:rsidRPr="00D84639">
              <w:rPr>
                <w:szCs w:val="22"/>
              </w:rPr>
              <w:t>SES disadvantage amplified by scarcity in rural areas</w:t>
            </w:r>
          </w:p>
        </w:tc>
      </w:tr>
      <w:tr w:rsidR="00563501" w:rsidRPr="00D84639" w14:paraId="3087650B" w14:textId="77777777" w:rsidTr="00563501">
        <w:tc>
          <w:tcPr>
            <w:tcW w:w="0" w:type="auto"/>
            <w:hideMark/>
          </w:tcPr>
          <w:p w14:paraId="604B7B24" w14:textId="77777777" w:rsidR="00563501" w:rsidRPr="00D84639" w:rsidRDefault="00563501" w:rsidP="00D84639">
            <w:pPr>
              <w:jc w:val="both"/>
              <w:rPr>
                <w:szCs w:val="22"/>
              </w:rPr>
            </w:pPr>
            <w:r w:rsidRPr="00D84639">
              <w:rPr>
                <w:szCs w:val="22"/>
              </w:rPr>
              <w:t>Travel burden</w:t>
            </w:r>
          </w:p>
        </w:tc>
        <w:tc>
          <w:tcPr>
            <w:tcW w:w="0" w:type="auto"/>
            <w:hideMark/>
          </w:tcPr>
          <w:p w14:paraId="4AC00FDC" w14:textId="77777777" w:rsidR="00563501" w:rsidRPr="00D84639" w:rsidRDefault="00563501" w:rsidP="00D84639">
            <w:pPr>
              <w:jc w:val="both"/>
              <w:rPr>
                <w:szCs w:val="22"/>
              </w:rPr>
            </w:pPr>
            <w:r w:rsidRPr="00D84639">
              <w:rPr>
                <w:szCs w:val="22"/>
              </w:rPr>
              <w:t>Shorter distances but congestion</w:t>
            </w:r>
          </w:p>
        </w:tc>
        <w:tc>
          <w:tcPr>
            <w:tcW w:w="0" w:type="auto"/>
            <w:hideMark/>
          </w:tcPr>
          <w:p w14:paraId="452D4775" w14:textId="77777777" w:rsidR="00563501" w:rsidRPr="00D84639" w:rsidRDefault="00563501" w:rsidP="00D84639">
            <w:pPr>
              <w:jc w:val="both"/>
              <w:rPr>
                <w:szCs w:val="22"/>
              </w:rPr>
            </w:pPr>
            <w:r w:rsidRPr="00D84639">
              <w:rPr>
                <w:szCs w:val="22"/>
              </w:rPr>
              <w:t>Longer distances, limited transport</w:t>
            </w:r>
          </w:p>
        </w:tc>
        <w:tc>
          <w:tcPr>
            <w:tcW w:w="0" w:type="auto"/>
            <w:hideMark/>
          </w:tcPr>
          <w:p w14:paraId="751B39DA" w14:textId="77777777" w:rsidR="00563501" w:rsidRPr="00D84639" w:rsidRDefault="00563501" w:rsidP="00D84639">
            <w:pPr>
              <w:jc w:val="both"/>
              <w:rPr>
                <w:szCs w:val="22"/>
              </w:rPr>
            </w:pPr>
            <w:r w:rsidRPr="00D84639">
              <w:rPr>
                <w:szCs w:val="22"/>
              </w:rPr>
              <w:t>Higher indirect costs for rural low-income populations</w:t>
            </w:r>
          </w:p>
        </w:tc>
      </w:tr>
      <w:tr w:rsidR="00563501" w:rsidRPr="00D84639" w14:paraId="30343281" w14:textId="77777777" w:rsidTr="00563501">
        <w:tc>
          <w:tcPr>
            <w:tcW w:w="0" w:type="auto"/>
            <w:hideMark/>
          </w:tcPr>
          <w:p w14:paraId="553C32C8" w14:textId="77777777" w:rsidR="00563501" w:rsidRPr="00D84639" w:rsidRDefault="00563501" w:rsidP="00D84639">
            <w:pPr>
              <w:jc w:val="both"/>
              <w:rPr>
                <w:szCs w:val="22"/>
              </w:rPr>
            </w:pPr>
            <w:r w:rsidRPr="00D84639">
              <w:rPr>
                <w:szCs w:val="22"/>
              </w:rPr>
              <w:t>System complexity</w:t>
            </w:r>
          </w:p>
        </w:tc>
        <w:tc>
          <w:tcPr>
            <w:tcW w:w="0" w:type="auto"/>
            <w:hideMark/>
          </w:tcPr>
          <w:p w14:paraId="0175100E" w14:textId="77777777" w:rsidR="00563501" w:rsidRPr="00D84639" w:rsidRDefault="00563501" w:rsidP="00D84639">
            <w:pPr>
              <w:jc w:val="both"/>
              <w:rPr>
                <w:szCs w:val="22"/>
              </w:rPr>
            </w:pPr>
            <w:r w:rsidRPr="00D84639">
              <w:rPr>
                <w:szCs w:val="22"/>
              </w:rPr>
              <w:t>Fragmented pathways, long waits</w:t>
            </w:r>
          </w:p>
        </w:tc>
        <w:tc>
          <w:tcPr>
            <w:tcW w:w="0" w:type="auto"/>
            <w:hideMark/>
          </w:tcPr>
          <w:p w14:paraId="02F5A40F" w14:textId="77777777" w:rsidR="00563501" w:rsidRPr="00D84639" w:rsidRDefault="00563501" w:rsidP="00D84639">
            <w:pPr>
              <w:jc w:val="both"/>
              <w:rPr>
                <w:szCs w:val="22"/>
              </w:rPr>
            </w:pPr>
            <w:r w:rsidRPr="00D84639">
              <w:rPr>
                <w:szCs w:val="22"/>
              </w:rPr>
              <w:t>Simpler pathways but fewer options</w:t>
            </w:r>
          </w:p>
        </w:tc>
        <w:tc>
          <w:tcPr>
            <w:tcW w:w="0" w:type="auto"/>
            <w:hideMark/>
          </w:tcPr>
          <w:p w14:paraId="24A3850E" w14:textId="77777777" w:rsidR="00563501" w:rsidRPr="00D84639" w:rsidRDefault="00563501" w:rsidP="00D84639">
            <w:pPr>
              <w:jc w:val="both"/>
              <w:rPr>
                <w:szCs w:val="22"/>
              </w:rPr>
            </w:pPr>
            <w:r w:rsidRPr="00D84639">
              <w:rPr>
                <w:szCs w:val="22"/>
              </w:rPr>
              <w:t>Navigation burdens affect urban low-SES groups</w:t>
            </w:r>
          </w:p>
        </w:tc>
      </w:tr>
      <w:tr w:rsidR="00563501" w:rsidRPr="00D84639" w14:paraId="3B180E55" w14:textId="77777777" w:rsidTr="00563501">
        <w:tc>
          <w:tcPr>
            <w:tcW w:w="0" w:type="auto"/>
            <w:hideMark/>
          </w:tcPr>
          <w:p w14:paraId="5D8243D5" w14:textId="77777777" w:rsidR="00563501" w:rsidRPr="00D84639" w:rsidRDefault="00563501" w:rsidP="00D84639">
            <w:pPr>
              <w:jc w:val="both"/>
              <w:rPr>
                <w:szCs w:val="22"/>
              </w:rPr>
            </w:pPr>
            <w:r w:rsidRPr="00D84639">
              <w:rPr>
                <w:szCs w:val="22"/>
              </w:rPr>
              <w:lastRenderedPageBreak/>
              <w:t>Workforce stability</w:t>
            </w:r>
          </w:p>
        </w:tc>
        <w:tc>
          <w:tcPr>
            <w:tcW w:w="0" w:type="auto"/>
            <w:hideMark/>
          </w:tcPr>
          <w:p w14:paraId="69713714" w14:textId="77777777" w:rsidR="00563501" w:rsidRPr="00D84639" w:rsidRDefault="00563501" w:rsidP="00D84639">
            <w:pPr>
              <w:jc w:val="both"/>
              <w:rPr>
                <w:szCs w:val="22"/>
              </w:rPr>
            </w:pPr>
            <w:r w:rsidRPr="00D84639">
              <w:rPr>
                <w:szCs w:val="22"/>
              </w:rPr>
              <w:t>Higher turnover</w:t>
            </w:r>
          </w:p>
        </w:tc>
        <w:tc>
          <w:tcPr>
            <w:tcW w:w="0" w:type="auto"/>
            <w:hideMark/>
          </w:tcPr>
          <w:p w14:paraId="375AE3B1" w14:textId="77777777" w:rsidR="00563501" w:rsidRPr="00D84639" w:rsidRDefault="00563501" w:rsidP="00D84639">
            <w:pPr>
              <w:jc w:val="both"/>
              <w:rPr>
                <w:szCs w:val="22"/>
              </w:rPr>
            </w:pPr>
            <w:r w:rsidRPr="00D84639">
              <w:rPr>
                <w:szCs w:val="22"/>
              </w:rPr>
              <w:t>Recruitment and retention challenges</w:t>
            </w:r>
          </w:p>
        </w:tc>
        <w:tc>
          <w:tcPr>
            <w:tcW w:w="0" w:type="auto"/>
            <w:hideMark/>
          </w:tcPr>
          <w:p w14:paraId="34DDC695" w14:textId="77777777" w:rsidR="00563501" w:rsidRPr="00D84639" w:rsidRDefault="00563501" w:rsidP="00D84639">
            <w:pPr>
              <w:jc w:val="both"/>
              <w:rPr>
                <w:szCs w:val="22"/>
              </w:rPr>
            </w:pPr>
            <w:r w:rsidRPr="00D84639">
              <w:rPr>
                <w:szCs w:val="22"/>
              </w:rPr>
              <w:t>Reduced continuity of care in rural settings</w:t>
            </w:r>
          </w:p>
        </w:tc>
      </w:tr>
    </w:tbl>
    <w:p w14:paraId="581C0246" w14:textId="77777777" w:rsidR="00563501" w:rsidRPr="00D84639" w:rsidRDefault="00563501" w:rsidP="00D84639">
      <w:pPr>
        <w:pStyle w:val="NormalWeb"/>
        <w:spacing w:line="360" w:lineRule="auto"/>
        <w:jc w:val="both"/>
        <w:rPr>
          <w:rFonts w:asciiTheme="minorHAnsi" w:hAnsiTheme="minorHAnsi"/>
          <w:sz w:val="22"/>
          <w:szCs w:val="22"/>
        </w:rPr>
      </w:pPr>
    </w:p>
    <w:p w14:paraId="0844FFFA" w14:textId="77777777" w:rsidR="00FF2124" w:rsidRDefault="00FF2124" w:rsidP="00D84639">
      <w:pPr>
        <w:pStyle w:val="NormalWeb"/>
        <w:spacing w:line="360" w:lineRule="auto"/>
        <w:jc w:val="both"/>
        <w:rPr>
          <w:rFonts w:asciiTheme="minorHAnsi" w:hAnsiTheme="minorHAnsi"/>
          <w:sz w:val="22"/>
          <w:szCs w:val="22"/>
        </w:rPr>
      </w:pPr>
      <w:r w:rsidRPr="00FF2124">
        <w:rPr>
          <w:rFonts w:asciiTheme="minorHAnsi" w:hAnsiTheme="minorHAnsi"/>
          <w:sz w:val="22"/>
          <w:szCs w:val="22"/>
        </w:rPr>
        <w:t>This approach is consistent with an access approach in which service match to people's needs is mediated by availability and accessibility, aspects of service provision that can be compromised in rural living. It is also consistent with more general evidence suggesting that barriers to access are not just down to individuals, but also to service organization and limitations in local infrastructure (Aldawood et al., 2024). Cabañero-Garcia et al. (2025) provide further support for this approach by demonstrating how barriers integrate socioeconomic factors on the demand side with geographic factors on the supply side, with community factors and the digital divide crossing over between the two. Their synthesis implies that urban–rural inequalities should be conceptualized as systems, not dichotomies.</w:t>
      </w:r>
    </w:p>
    <w:p w14:paraId="0630FB01" w14:textId="77777777" w:rsidR="00FF2124" w:rsidRDefault="00FF2124" w:rsidP="00D84639">
      <w:pPr>
        <w:pStyle w:val="NormalWeb"/>
        <w:spacing w:line="360" w:lineRule="auto"/>
        <w:jc w:val="both"/>
        <w:rPr>
          <w:rFonts w:asciiTheme="minorHAnsi" w:hAnsiTheme="minorHAnsi"/>
          <w:sz w:val="22"/>
          <w:szCs w:val="22"/>
        </w:rPr>
      </w:pPr>
      <w:r w:rsidRPr="00FF2124">
        <w:rPr>
          <w:rFonts w:asciiTheme="minorHAnsi" w:hAnsiTheme="minorHAnsi"/>
          <w:sz w:val="22"/>
          <w:szCs w:val="22"/>
        </w:rPr>
        <w:t>Ford et al. (2016) give a deeper look into rural access, especially since they target socio-economically disadvantaged older adults in rural areas and examine access throughout a patient pathway. The contribution of Ford et al.’s realist approach is that, unlike other studies, they do not just look at what the barriers are, but also how they operate, such as how transport, practice capacity, and booking systems are barriers to accessibility. One such implication is critical, and that is, while physical distance might be a barrier to rural disadvantage, how services operate also plays a part. For example, online booking systems requiring repeated telephone calls or internet availability might be neutral, but they are discriminatory in areas with poor internet connectivity or transportation options, as suggested by Xi et al. (2025). This helps to build a case for arguing that rural access problems cannot be solved by providing more services, but they also need to be designed to incorporate transport support, flexible appointment availability, and accessibility-friendly outreach.</w:t>
      </w:r>
    </w:p>
    <w:p w14:paraId="0ADFF184" w14:textId="77777777" w:rsidR="00FF2124" w:rsidRDefault="00FF2124" w:rsidP="00D84639">
      <w:pPr>
        <w:pStyle w:val="NormalWeb"/>
        <w:spacing w:line="360" w:lineRule="auto"/>
        <w:jc w:val="both"/>
        <w:rPr>
          <w:rFonts w:asciiTheme="minorHAnsi" w:hAnsiTheme="minorHAnsi"/>
          <w:sz w:val="22"/>
          <w:szCs w:val="22"/>
        </w:rPr>
      </w:pPr>
      <w:r w:rsidRPr="00FF2124">
        <w:rPr>
          <w:rFonts w:asciiTheme="minorHAnsi" w:hAnsiTheme="minorHAnsi"/>
          <w:sz w:val="22"/>
          <w:szCs w:val="22"/>
        </w:rPr>
        <w:t xml:space="preserve">The second perspective is offered by Ryan-Ndegwa, Zamani, and Akrami (2021), who write from a UK-based surgical practice. Their work reveals inequalities in access to hip replacement surgery based on socioeconomic, demographic, and geographic factors. While they found that rural areas can have more provision relative to needs but still require more travel, this is an important distinction for analysis. It challenges assumptions about rural areas having less access to care. More access relative to needs can be seen as equitable, but if it means more travel for care, it can still be unequal. The distinction between having more access relative to needs and having more travel for care is an important one for this dissertation because it reveals </w:t>
      </w:r>
      <w:r w:rsidRPr="00FF2124">
        <w:rPr>
          <w:rFonts w:asciiTheme="minorHAnsi" w:hAnsiTheme="minorHAnsi"/>
          <w:sz w:val="22"/>
          <w:szCs w:val="22"/>
        </w:rPr>
        <w:lastRenderedPageBreak/>
        <w:t>why access needs to be considered more than just service provision and why travel needs to be considered part of access, not separate from it (Mah, Dobson, and Thomson, 2025; Marmot and Bell, 2010).</w:t>
      </w:r>
    </w:p>
    <w:p w14:paraId="7F1D0419" w14:textId="77777777" w:rsidR="00FF2124" w:rsidRDefault="00FF2124" w:rsidP="00D84639">
      <w:pPr>
        <w:pStyle w:val="NormalWeb"/>
        <w:spacing w:line="360" w:lineRule="auto"/>
        <w:jc w:val="both"/>
        <w:rPr>
          <w:rFonts w:asciiTheme="minorHAnsi" w:hAnsiTheme="minorHAnsi"/>
          <w:sz w:val="22"/>
          <w:szCs w:val="22"/>
        </w:rPr>
      </w:pPr>
      <w:r w:rsidRPr="00FF2124">
        <w:rPr>
          <w:rFonts w:asciiTheme="minorHAnsi" w:hAnsiTheme="minorHAnsi"/>
          <w:sz w:val="22"/>
          <w:szCs w:val="22"/>
        </w:rPr>
        <w:t>Allan, Williamson, and Kulu (2017) contribute to the field by demonstrating the differences between urban and rural areas are partly due to composition but cannot be entirely accounted for by population characteristics. They discovered that health differences due to place are diminished when controlling for sociodemographic factors like education and occupational status, but differences still exist. This suggests the effect of place is independent of the characteristics of the people who live there. This implies the significance of service organisation and environment on health and access to health care, despite SES differences being controlled for (Brazil et al., 2025).</w:t>
      </w:r>
    </w:p>
    <w:p w14:paraId="52DAAD49" w14:textId="77777777" w:rsidR="00FF2124" w:rsidRDefault="00FF2124" w:rsidP="00DC5362">
      <w:pPr>
        <w:pStyle w:val="NormalWeb"/>
        <w:spacing w:line="360" w:lineRule="auto"/>
        <w:jc w:val="both"/>
        <w:rPr>
          <w:rFonts w:asciiTheme="minorHAnsi" w:hAnsiTheme="minorHAnsi"/>
          <w:sz w:val="22"/>
          <w:szCs w:val="22"/>
        </w:rPr>
      </w:pPr>
      <w:r w:rsidRPr="00FF2124">
        <w:rPr>
          <w:rFonts w:asciiTheme="minorHAnsi" w:hAnsiTheme="minorHAnsi"/>
          <w:sz w:val="22"/>
          <w:szCs w:val="22"/>
        </w:rPr>
        <w:t>More extensive reviews shed light on why spatial patterns exist. Meulman et al. (2024) demonstrate that, in universal coverage systems, socioeconomic differences in utilisation are influenced by factors at the individual, community, and system levels, with mixed effects and strong context dependence. Their research supports the notion that geography affects the process between need and use, and it also underscores an important limitation: system factors have been less examined than individual factors. Bammert et al. (2024) note meso-level access factors, including provider density and distance, and report that, again, interaction effects between system access features and SES have been understudied. The crucial point here is that many studies find geography's effects, but do not actually investigate how geography interacts with SES, making it more difficult to identify what will work best in rural vs. urban settings.</w:t>
      </w:r>
    </w:p>
    <w:p w14:paraId="1A730A7D" w14:textId="77777777" w:rsidR="00563501" w:rsidRPr="00D84639" w:rsidRDefault="00563501" w:rsidP="00DC5362">
      <w:pPr>
        <w:pStyle w:val="Heading2"/>
      </w:pPr>
      <w:bookmarkStart w:id="37" w:name="_Toc220447464"/>
      <w:r w:rsidRPr="00D84639">
        <w:t>4.5 Theme 3: Socioeconomic barriers to health and social care utilisation</w:t>
      </w:r>
      <w:bookmarkEnd w:id="37"/>
    </w:p>
    <w:p w14:paraId="69C5EA9C" w14:textId="77777777" w:rsidR="004E2FE0" w:rsidRDefault="004E2FE0" w:rsidP="00D84639">
      <w:pPr>
        <w:pStyle w:val="NormalWeb"/>
        <w:spacing w:line="360" w:lineRule="auto"/>
        <w:jc w:val="both"/>
        <w:rPr>
          <w:rFonts w:asciiTheme="minorHAnsi" w:hAnsiTheme="minorHAnsi"/>
          <w:sz w:val="22"/>
          <w:szCs w:val="22"/>
        </w:rPr>
      </w:pPr>
      <w:r w:rsidRPr="004E2FE0">
        <w:rPr>
          <w:rFonts w:asciiTheme="minorHAnsi" w:hAnsiTheme="minorHAnsi"/>
          <w:sz w:val="22"/>
          <w:szCs w:val="22"/>
        </w:rPr>
        <w:t>This theme reveals how socioeconomic disadvantages emerge in terms of service utilization. In this dissertation, utilization means actual service use, such as attending scheduled visits, receiving treatments, using preventive care, or receiving social support (Peker et al., 2025; Wang and Lo, 2022). The evidence indicates that having low socioeconomic status not only means having greater health needs but also implies having barriers to service utilization. This theme directly responds to the aim of assessing how socioeconomic status influences service utilization. The main finding in this theme is that service utilization is affected by service accessibility costs, not merely service availability or medical needs (Peker et al., 2025; Wang and Lo, 2022).</w:t>
      </w:r>
    </w:p>
    <w:p w14:paraId="5B620AF7" w14:textId="11AB0AB1" w:rsidR="00563501" w:rsidRPr="00D84639" w:rsidRDefault="00F0784F" w:rsidP="00D84639">
      <w:pPr>
        <w:pStyle w:val="NormalWeb"/>
        <w:spacing w:line="360" w:lineRule="auto"/>
        <w:jc w:val="both"/>
        <w:rPr>
          <w:rFonts w:asciiTheme="minorHAnsi" w:hAnsiTheme="minorHAnsi"/>
          <w:sz w:val="22"/>
          <w:szCs w:val="22"/>
        </w:rPr>
      </w:pPr>
      <w:r w:rsidRPr="00F0784F">
        <w:rPr>
          <w:rFonts w:asciiTheme="minorHAnsi" w:hAnsiTheme="minorHAnsi"/>
          <w:sz w:val="22"/>
          <w:szCs w:val="22"/>
        </w:rPr>
        <w:lastRenderedPageBreak/>
        <w:t>In the literature, the most consistent obstacle is not an individual factor but a group of limitations that affect low-SES groups. Monetary strain restricts the choice of travel, childcare, prescription costs, wherever available, or frequent visits (Xi et al., 2025). Time poverty, which is usually associated with unstable employment, childcare duties, or working in shifts, makes it hard to keep appointments during regular hours. Poor digital access, and poor digital confidence, may decrease the capacity to make appointments, locate information, or participate in telehealth (Sacks et al., 2020). The complexity of the system further increases this since users must learn the referral routes, not to mention full forms, or even long queuing procedures. These obstacles are important in that they alter behaviour predictively: individuals postpone help-seeking, miss appointments, use urgent care more often, or discontinue long-term management. This meaning aligns with the argument that access is not free when indirect costs and navigation requirements are large and can be used to explain why inequalities remain even in universal systems (Propper, 2024</w:t>
      </w:r>
      <w:r w:rsidR="00563501" w:rsidRPr="00D84639">
        <w:rPr>
          <w:rFonts w:asciiTheme="minorHAnsi" w:hAnsiTheme="minorHAnsi"/>
          <w:sz w:val="22"/>
          <w:szCs w:val="22"/>
        </w:rPr>
        <w:t>).</w:t>
      </w:r>
    </w:p>
    <w:p w14:paraId="5C8EC824" w14:textId="64A0355D" w:rsidR="00BB4912" w:rsidRPr="00DC5362" w:rsidRDefault="00BB4912" w:rsidP="00D84639">
      <w:pPr>
        <w:pStyle w:val="Caption"/>
        <w:keepNext/>
        <w:spacing w:line="360" w:lineRule="auto"/>
        <w:jc w:val="both"/>
      </w:pPr>
      <w:bookmarkStart w:id="38" w:name="_Toc220447483"/>
      <w:r w:rsidRPr="00DC5362">
        <w:t xml:space="preserve">Table </w:t>
      </w:r>
      <w:fldSimple w:instr=" SEQ Table \* ARABIC ">
        <w:r w:rsidR="00A7253B" w:rsidRPr="00DC5362">
          <w:rPr>
            <w:noProof/>
          </w:rPr>
          <w:t>7</w:t>
        </w:r>
      </w:fldSimple>
      <w:r w:rsidRPr="00DC5362">
        <w:rPr>
          <w:lang w:val="en-GB"/>
        </w:rPr>
        <w:t>: Socioeconomic Barriers Across the Care Pathway</w:t>
      </w:r>
      <w:bookmarkEnd w:id="38"/>
      <w:r w:rsidRPr="00DC5362">
        <w:rPr>
          <w:lang w:val="en-GB"/>
        </w:rPr>
        <w:t xml:space="preserve"> </w:t>
      </w:r>
    </w:p>
    <w:tbl>
      <w:tblPr>
        <w:tblStyle w:val="TableGrid"/>
        <w:tblW w:w="0" w:type="auto"/>
        <w:tblLook w:val="04A0" w:firstRow="1" w:lastRow="0" w:firstColumn="1" w:lastColumn="0" w:noHBand="0" w:noVBand="1"/>
      </w:tblPr>
      <w:tblGrid>
        <w:gridCol w:w="1549"/>
        <w:gridCol w:w="2623"/>
        <w:gridCol w:w="2504"/>
        <w:gridCol w:w="2340"/>
      </w:tblGrid>
      <w:tr w:rsidR="00BB4912" w:rsidRPr="00D84639" w14:paraId="4C30DDD6" w14:textId="77777777" w:rsidTr="00BB4912">
        <w:tc>
          <w:tcPr>
            <w:tcW w:w="0" w:type="auto"/>
            <w:hideMark/>
          </w:tcPr>
          <w:p w14:paraId="6458E244" w14:textId="77777777" w:rsidR="00BB4912" w:rsidRPr="00D84639" w:rsidRDefault="00BB4912" w:rsidP="00D84639">
            <w:pPr>
              <w:jc w:val="both"/>
              <w:rPr>
                <w:b/>
                <w:bCs/>
                <w:szCs w:val="22"/>
              </w:rPr>
            </w:pPr>
            <w:r w:rsidRPr="00D84639">
              <w:rPr>
                <w:b/>
                <w:bCs/>
                <w:szCs w:val="22"/>
              </w:rPr>
              <w:t>Stage of Access</w:t>
            </w:r>
          </w:p>
        </w:tc>
        <w:tc>
          <w:tcPr>
            <w:tcW w:w="0" w:type="auto"/>
            <w:hideMark/>
          </w:tcPr>
          <w:p w14:paraId="40ED3D7E" w14:textId="77777777" w:rsidR="00BB4912" w:rsidRPr="00D84639" w:rsidRDefault="00BB4912" w:rsidP="00D84639">
            <w:pPr>
              <w:jc w:val="both"/>
              <w:rPr>
                <w:b/>
                <w:bCs/>
                <w:szCs w:val="22"/>
              </w:rPr>
            </w:pPr>
            <w:r w:rsidRPr="00D84639">
              <w:rPr>
                <w:b/>
                <w:bCs/>
                <w:szCs w:val="22"/>
              </w:rPr>
              <w:t>Common Barriers</w:t>
            </w:r>
          </w:p>
        </w:tc>
        <w:tc>
          <w:tcPr>
            <w:tcW w:w="0" w:type="auto"/>
            <w:hideMark/>
          </w:tcPr>
          <w:p w14:paraId="685CEF1A" w14:textId="77777777" w:rsidR="00BB4912" w:rsidRPr="00D84639" w:rsidRDefault="00BB4912" w:rsidP="00D84639">
            <w:pPr>
              <w:jc w:val="both"/>
              <w:rPr>
                <w:b/>
                <w:bCs/>
                <w:szCs w:val="22"/>
              </w:rPr>
            </w:pPr>
            <w:r w:rsidRPr="00D84639">
              <w:rPr>
                <w:b/>
                <w:bCs/>
                <w:szCs w:val="22"/>
              </w:rPr>
              <w:t>SES Groups Most Affected</w:t>
            </w:r>
          </w:p>
        </w:tc>
        <w:tc>
          <w:tcPr>
            <w:tcW w:w="0" w:type="auto"/>
            <w:hideMark/>
          </w:tcPr>
          <w:p w14:paraId="504D9A9A" w14:textId="77777777" w:rsidR="00BB4912" w:rsidRPr="00D84639" w:rsidRDefault="00BB4912" w:rsidP="00D84639">
            <w:pPr>
              <w:jc w:val="both"/>
              <w:rPr>
                <w:b/>
                <w:bCs/>
                <w:szCs w:val="22"/>
              </w:rPr>
            </w:pPr>
            <w:r w:rsidRPr="00D84639">
              <w:rPr>
                <w:b/>
                <w:bCs/>
                <w:szCs w:val="22"/>
              </w:rPr>
              <w:t>Evidence Base</w:t>
            </w:r>
          </w:p>
        </w:tc>
      </w:tr>
      <w:tr w:rsidR="00BB4912" w:rsidRPr="00D84639" w14:paraId="142DF286" w14:textId="77777777" w:rsidTr="00BB4912">
        <w:tc>
          <w:tcPr>
            <w:tcW w:w="0" w:type="auto"/>
            <w:hideMark/>
          </w:tcPr>
          <w:p w14:paraId="09BB370F" w14:textId="77777777" w:rsidR="00BB4912" w:rsidRPr="00D84639" w:rsidRDefault="00BB4912" w:rsidP="00D84639">
            <w:pPr>
              <w:jc w:val="both"/>
              <w:rPr>
                <w:szCs w:val="22"/>
              </w:rPr>
            </w:pPr>
            <w:r w:rsidRPr="00D84639">
              <w:rPr>
                <w:szCs w:val="22"/>
              </w:rPr>
              <w:t>Recognising need</w:t>
            </w:r>
          </w:p>
        </w:tc>
        <w:tc>
          <w:tcPr>
            <w:tcW w:w="0" w:type="auto"/>
            <w:hideMark/>
          </w:tcPr>
          <w:p w14:paraId="6E3BE588" w14:textId="77777777" w:rsidR="00BB4912" w:rsidRPr="00D84639" w:rsidRDefault="00BB4912" w:rsidP="00D84639">
            <w:pPr>
              <w:jc w:val="both"/>
              <w:rPr>
                <w:szCs w:val="22"/>
              </w:rPr>
            </w:pPr>
            <w:r w:rsidRPr="00D84639">
              <w:rPr>
                <w:szCs w:val="22"/>
              </w:rPr>
              <w:t>Low health literacy, normalisation of poor health</w:t>
            </w:r>
          </w:p>
        </w:tc>
        <w:tc>
          <w:tcPr>
            <w:tcW w:w="0" w:type="auto"/>
            <w:hideMark/>
          </w:tcPr>
          <w:p w14:paraId="0AE17D42" w14:textId="77777777" w:rsidR="00BB4912" w:rsidRPr="00D84639" w:rsidRDefault="00BB4912" w:rsidP="00D84639">
            <w:pPr>
              <w:jc w:val="both"/>
              <w:rPr>
                <w:szCs w:val="22"/>
              </w:rPr>
            </w:pPr>
            <w:r w:rsidRPr="00D84639">
              <w:rPr>
                <w:szCs w:val="22"/>
              </w:rPr>
              <w:t>Low education, deprived groups</w:t>
            </w:r>
          </w:p>
        </w:tc>
        <w:tc>
          <w:tcPr>
            <w:tcW w:w="0" w:type="auto"/>
            <w:hideMark/>
          </w:tcPr>
          <w:p w14:paraId="078F0135" w14:textId="77777777" w:rsidR="00BB4912" w:rsidRPr="00D84639" w:rsidRDefault="00BB4912" w:rsidP="00D84639">
            <w:pPr>
              <w:jc w:val="both"/>
              <w:rPr>
                <w:szCs w:val="22"/>
              </w:rPr>
            </w:pPr>
            <w:r w:rsidRPr="00D84639">
              <w:rPr>
                <w:szCs w:val="22"/>
              </w:rPr>
              <w:t>Oliveira et al. (2025)</w:t>
            </w:r>
          </w:p>
        </w:tc>
      </w:tr>
      <w:tr w:rsidR="00BB4912" w:rsidRPr="00D84639" w14:paraId="143BD51F" w14:textId="77777777" w:rsidTr="00BB4912">
        <w:tc>
          <w:tcPr>
            <w:tcW w:w="0" w:type="auto"/>
            <w:hideMark/>
          </w:tcPr>
          <w:p w14:paraId="41BDAEDC" w14:textId="77777777" w:rsidR="00BB4912" w:rsidRPr="00D84639" w:rsidRDefault="00BB4912" w:rsidP="00D84639">
            <w:pPr>
              <w:jc w:val="both"/>
              <w:rPr>
                <w:szCs w:val="22"/>
              </w:rPr>
            </w:pPr>
            <w:r w:rsidRPr="00D84639">
              <w:rPr>
                <w:szCs w:val="22"/>
              </w:rPr>
              <w:t>Seeking care</w:t>
            </w:r>
          </w:p>
        </w:tc>
        <w:tc>
          <w:tcPr>
            <w:tcW w:w="0" w:type="auto"/>
            <w:hideMark/>
          </w:tcPr>
          <w:p w14:paraId="24E9FFE5" w14:textId="77777777" w:rsidR="00BB4912" w:rsidRPr="00D84639" w:rsidRDefault="00BB4912" w:rsidP="00D84639">
            <w:pPr>
              <w:jc w:val="both"/>
              <w:rPr>
                <w:szCs w:val="22"/>
              </w:rPr>
            </w:pPr>
            <w:r w:rsidRPr="00D84639">
              <w:rPr>
                <w:szCs w:val="22"/>
              </w:rPr>
              <w:t>Cost concerns, time poverty, work constraints</w:t>
            </w:r>
          </w:p>
        </w:tc>
        <w:tc>
          <w:tcPr>
            <w:tcW w:w="0" w:type="auto"/>
            <w:hideMark/>
          </w:tcPr>
          <w:p w14:paraId="400AC317" w14:textId="77777777" w:rsidR="00BB4912" w:rsidRPr="00D84639" w:rsidRDefault="00BB4912" w:rsidP="00D84639">
            <w:pPr>
              <w:jc w:val="both"/>
              <w:rPr>
                <w:szCs w:val="22"/>
              </w:rPr>
            </w:pPr>
            <w:r w:rsidRPr="00D84639">
              <w:rPr>
                <w:szCs w:val="22"/>
              </w:rPr>
              <w:t>Low-income and precarious workers</w:t>
            </w:r>
          </w:p>
        </w:tc>
        <w:tc>
          <w:tcPr>
            <w:tcW w:w="0" w:type="auto"/>
            <w:hideMark/>
          </w:tcPr>
          <w:p w14:paraId="77EB2D75" w14:textId="77777777" w:rsidR="00BB4912" w:rsidRPr="00D84639" w:rsidRDefault="00BB4912" w:rsidP="00D84639">
            <w:pPr>
              <w:jc w:val="both"/>
              <w:rPr>
                <w:szCs w:val="22"/>
              </w:rPr>
            </w:pPr>
            <w:r w:rsidRPr="00D84639">
              <w:rPr>
                <w:szCs w:val="22"/>
              </w:rPr>
              <w:t>Propper (2024)</w:t>
            </w:r>
          </w:p>
        </w:tc>
      </w:tr>
      <w:tr w:rsidR="00BB4912" w:rsidRPr="00D84639" w14:paraId="741AA487" w14:textId="77777777" w:rsidTr="00BB4912">
        <w:tc>
          <w:tcPr>
            <w:tcW w:w="0" w:type="auto"/>
            <w:hideMark/>
          </w:tcPr>
          <w:p w14:paraId="566BC43A" w14:textId="77777777" w:rsidR="00BB4912" w:rsidRPr="00D84639" w:rsidRDefault="00BB4912" w:rsidP="00D84639">
            <w:pPr>
              <w:jc w:val="both"/>
              <w:rPr>
                <w:szCs w:val="22"/>
              </w:rPr>
            </w:pPr>
            <w:r w:rsidRPr="00D84639">
              <w:rPr>
                <w:szCs w:val="22"/>
              </w:rPr>
              <w:t>Reaching services</w:t>
            </w:r>
          </w:p>
        </w:tc>
        <w:tc>
          <w:tcPr>
            <w:tcW w:w="0" w:type="auto"/>
            <w:hideMark/>
          </w:tcPr>
          <w:p w14:paraId="7F53C739" w14:textId="77777777" w:rsidR="00BB4912" w:rsidRPr="00D84639" w:rsidRDefault="00BB4912" w:rsidP="00D84639">
            <w:pPr>
              <w:jc w:val="both"/>
              <w:rPr>
                <w:szCs w:val="22"/>
              </w:rPr>
            </w:pPr>
            <w:r w:rsidRPr="00D84639">
              <w:rPr>
                <w:szCs w:val="22"/>
              </w:rPr>
              <w:t>Transport, digital exclusion</w:t>
            </w:r>
          </w:p>
        </w:tc>
        <w:tc>
          <w:tcPr>
            <w:tcW w:w="0" w:type="auto"/>
            <w:hideMark/>
          </w:tcPr>
          <w:p w14:paraId="4C0ED3F6" w14:textId="77777777" w:rsidR="00BB4912" w:rsidRPr="00D84639" w:rsidRDefault="00BB4912" w:rsidP="00D84639">
            <w:pPr>
              <w:jc w:val="both"/>
              <w:rPr>
                <w:szCs w:val="22"/>
              </w:rPr>
            </w:pPr>
            <w:r w:rsidRPr="00D84639">
              <w:rPr>
                <w:szCs w:val="22"/>
              </w:rPr>
              <w:t>Rural and deprived urban populations</w:t>
            </w:r>
          </w:p>
        </w:tc>
        <w:tc>
          <w:tcPr>
            <w:tcW w:w="0" w:type="auto"/>
            <w:hideMark/>
          </w:tcPr>
          <w:p w14:paraId="6FE660C0" w14:textId="77777777" w:rsidR="00BB4912" w:rsidRPr="00D84639" w:rsidRDefault="00BB4912" w:rsidP="00D84639">
            <w:pPr>
              <w:jc w:val="both"/>
              <w:rPr>
                <w:szCs w:val="22"/>
              </w:rPr>
            </w:pPr>
            <w:r w:rsidRPr="00D84639">
              <w:rPr>
                <w:szCs w:val="22"/>
              </w:rPr>
              <w:t>Ford et al. (2016); Cabañero-Garcia et al. (2025)</w:t>
            </w:r>
          </w:p>
        </w:tc>
      </w:tr>
      <w:tr w:rsidR="00BB4912" w:rsidRPr="00D84639" w14:paraId="4F7420E0" w14:textId="77777777" w:rsidTr="00BB4912">
        <w:tc>
          <w:tcPr>
            <w:tcW w:w="0" w:type="auto"/>
            <w:hideMark/>
          </w:tcPr>
          <w:p w14:paraId="3D26B5C5" w14:textId="77777777" w:rsidR="00BB4912" w:rsidRPr="00D84639" w:rsidRDefault="00BB4912" w:rsidP="00D84639">
            <w:pPr>
              <w:jc w:val="both"/>
              <w:rPr>
                <w:szCs w:val="22"/>
              </w:rPr>
            </w:pPr>
            <w:r w:rsidRPr="00D84639">
              <w:rPr>
                <w:szCs w:val="22"/>
              </w:rPr>
              <w:t>Continuing care</w:t>
            </w:r>
          </w:p>
        </w:tc>
        <w:tc>
          <w:tcPr>
            <w:tcW w:w="0" w:type="auto"/>
            <w:hideMark/>
          </w:tcPr>
          <w:p w14:paraId="1118219C" w14:textId="77777777" w:rsidR="00BB4912" w:rsidRPr="00D84639" w:rsidRDefault="00BB4912" w:rsidP="00D84639">
            <w:pPr>
              <w:jc w:val="both"/>
              <w:rPr>
                <w:szCs w:val="22"/>
              </w:rPr>
            </w:pPr>
            <w:r w:rsidRPr="00D84639">
              <w:rPr>
                <w:szCs w:val="22"/>
              </w:rPr>
              <w:t>Missed appointments, fragmented follow-up</w:t>
            </w:r>
          </w:p>
        </w:tc>
        <w:tc>
          <w:tcPr>
            <w:tcW w:w="0" w:type="auto"/>
            <w:hideMark/>
          </w:tcPr>
          <w:p w14:paraId="65CE0562" w14:textId="77777777" w:rsidR="00BB4912" w:rsidRPr="00D84639" w:rsidRDefault="00BB4912" w:rsidP="00D84639">
            <w:pPr>
              <w:jc w:val="both"/>
              <w:rPr>
                <w:szCs w:val="22"/>
              </w:rPr>
            </w:pPr>
            <w:r w:rsidRPr="00D84639">
              <w:rPr>
                <w:szCs w:val="22"/>
              </w:rPr>
              <w:t>Multi-morbid, socially disadvantaged groups</w:t>
            </w:r>
          </w:p>
        </w:tc>
        <w:tc>
          <w:tcPr>
            <w:tcW w:w="0" w:type="auto"/>
            <w:hideMark/>
          </w:tcPr>
          <w:p w14:paraId="2BB164C8" w14:textId="77777777" w:rsidR="00BB4912" w:rsidRPr="00D84639" w:rsidRDefault="00BB4912" w:rsidP="00D84639">
            <w:pPr>
              <w:jc w:val="both"/>
              <w:rPr>
                <w:szCs w:val="22"/>
              </w:rPr>
            </w:pPr>
            <w:r w:rsidRPr="00D84639">
              <w:rPr>
                <w:szCs w:val="22"/>
              </w:rPr>
              <w:t>Raine et al. (2016)</w:t>
            </w:r>
          </w:p>
        </w:tc>
      </w:tr>
    </w:tbl>
    <w:p w14:paraId="2EACA13D" w14:textId="77777777" w:rsidR="00BB4912" w:rsidRPr="00D84639" w:rsidRDefault="00BB4912" w:rsidP="00D84639">
      <w:pPr>
        <w:pStyle w:val="NormalWeb"/>
        <w:spacing w:line="360" w:lineRule="auto"/>
        <w:jc w:val="both"/>
        <w:rPr>
          <w:rFonts w:asciiTheme="minorHAnsi" w:hAnsiTheme="minorHAnsi"/>
          <w:sz w:val="22"/>
          <w:szCs w:val="22"/>
        </w:rPr>
      </w:pPr>
    </w:p>
    <w:p w14:paraId="7AEB2FE3" w14:textId="6EBC5158" w:rsidR="00563501" w:rsidRPr="00D84639" w:rsidRDefault="00423E36" w:rsidP="00D84639">
      <w:pPr>
        <w:pStyle w:val="NormalWeb"/>
        <w:spacing w:line="360" w:lineRule="auto"/>
        <w:jc w:val="both"/>
        <w:rPr>
          <w:rFonts w:asciiTheme="minorHAnsi" w:hAnsiTheme="minorHAnsi"/>
          <w:sz w:val="22"/>
          <w:szCs w:val="22"/>
        </w:rPr>
      </w:pPr>
      <w:r w:rsidRPr="00423E36">
        <w:rPr>
          <w:rFonts w:asciiTheme="minorHAnsi" w:hAnsiTheme="minorHAnsi"/>
          <w:sz w:val="22"/>
          <w:szCs w:val="22"/>
        </w:rPr>
        <w:t xml:space="preserve">Raine et al. (2016) offer significant evidence that utilisation may seem fair at the surface but still embody inequity. Their assessment suggests that poorer groups consume more publicly funded care in general, which may be viewed as pro-poor distribution. However, their need-adjusted outcomes incline pro-rich benefits in specialist care and preventive services, as well as variations in terms of quality and patient experience. To utilise, the implication is that low-SES </w:t>
      </w:r>
      <w:r w:rsidRPr="00423E36">
        <w:rPr>
          <w:rFonts w:asciiTheme="minorHAnsi" w:hAnsiTheme="minorHAnsi"/>
          <w:sz w:val="22"/>
          <w:szCs w:val="22"/>
        </w:rPr>
        <w:lastRenderedPageBreak/>
        <w:t xml:space="preserve">groups can be clustered in reactive and high-intensity service use since they access care later and in poorer health, and higher-SES groups access more timely preventive and specialist routes. Propper (2024) supports this position by stating that time costs, health system navigation, and complementary resources determine the ability of individuals to turn contact with services into health improvement. </w:t>
      </w:r>
      <w:r w:rsidR="00563501" w:rsidRPr="00D84639">
        <w:rPr>
          <w:rFonts w:asciiTheme="minorHAnsi" w:hAnsiTheme="minorHAnsi"/>
          <w:sz w:val="22"/>
          <w:szCs w:val="22"/>
        </w:rPr>
        <w:t>The critical point is that utilisation patterns should not be treated as a direct indicator of fair access without understanding the pathway through which care is reached.</w:t>
      </w:r>
    </w:p>
    <w:p w14:paraId="00E9AD7E" w14:textId="63B099F3" w:rsidR="005A148C" w:rsidRPr="00D84639" w:rsidRDefault="005A148C" w:rsidP="00D84639">
      <w:pPr>
        <w:pStyle w:val="NormalWeb"/>
        <w:spacing w:line="360" w:lineRule="auto"/>
        <w:jc w:val="both"/>
        <w:rPr>
          <w:rFonts w:asciiTheme="minorHAnsi" w:hAnsiTheme="minorHAnsi"/>
          <w:sz w:val="22"/>
          <w:szCs w:val="22"/>
        </w:rPr>
      </w:pPr>
      <w:r w:rsidRPr="00D84639">
        <w:rPr>
          <w:rFonts w:asciiTheme="minorHAnsi" w:hAnsiTheme="minorHAnsi"/>
          <w:sz w:val="22"/>
          <w:szCs w:val="22"/>
        </w:rPr>
        <w:t xml:space="preserve">The literature suggests that utilisation is an imperfect indicator of equity because high use can reflect high need rather than fair access. </w:t>
      </w:r>
      <w:r w:rsidR="00D36866" w:rsidRPr="00D36866">
        <w:rPr>
          <w:rFonts w:asciiTheme="minorHAnsi" w:hAnsiTheme="minorHAnsi"/>
          <w:sz w:val="22"/>
          <w:szCs w:val="22"/>
        </w:rPr>
        <w:t>Research indicates that, for example, “lower SES groups may be more likely to rely on emergency and reactive care, while higher SES groups may be more likely to access preventive care in the early stages and specialist care further along the pathway.” (Allan, Williamson, and Kulu, 2017; Castillo et al., 2022; Dassah et al., 2018). These barriers accrue at various points throughout the pathway, including indirect costs, time poverty, health literacy, transport, digital exclusion, and administrative barriers. Research indicates that having universal coverage is not enough to remove barriers, as “whether or not people can access care depends on how care is organised and whether they can convert their entitlement to timely and appropriate care.” These barriers accrue at various points throughout the pathway, including indirect costs, time poverty, health literacy, transport, digital exclusion, and administrative barriers</w:t>
      </w:r>
      <w:r w:rsidR="00D36866">
        <w:rPr>
          <w:rFonts w:asciiTheme="minorHAnsi" w:hAnsiTheme="minorHAnsi"/>
          <w:sz w:val="22"/>
          <w:szCs w:val="22"/>
        </w:rPr>
        <w:t xml:space="preserve"> </w:t>
      </w:r>
      <w:r w:rsidR="008E107F" w:rsidRPr="00D84639">
        <w:rPr>
          <w:rFonts w:asciiTheme="minorHAnsi" w:hAnsiTheme="minorHAnsi" w:cs="Arial"/>
          <w:sz w:val="22"/>
          <w:szCs w:val="22"/>
        </w:rPr>
        <w:t xml:space="preserve">(Gulliford </w:t>
      </w:r>
      <w:r w:rsidR="008E107F" w:rsidRPr="00D84639">
        <w:rPr>
          <w:rFonts w:asciiTheme="minorHAnsi" w:hAnsiTheme="minorHAnsi" w:cs="Arial"/>
          <w:i/>
          <w:iCs/>
          <w:sz w:val="22"/>
          <w:szCs w:val="22"/>
        </w:rPr>
        <w:t>et al.</w:t>
      </w:r>
      <w:r w:rsidR="008E107F" w:rsidRPr="00D84639">
        <w:rPr>
          <w:rFonts w:asciiTheme="minorHAnsi" w:hAnsiTheme="minorHAnsi" w:cs="Arial"/>
          <w:sz w:val="22"/>
          <w:szCs w:val="22"/>
        </w:rPr>
        <w:t xml:space="preserve">, 2022; Khraim </w:t>
      </w:r>
      <w:r w:rsidR="008E107F" w:rsidRPr="00D84639">
        <w:rPr>
          <w:rFonts w:asciiTheme="minorHAnsi" w:hAnsiTheme="minorHAnsi" w:cs="Arial"/>
          <w:i/>
          <w:iCs/>
          <w:sz w:val="22"/>
          <w:szCs w:val="22"/>
        </w:rPr>
        <w:t>et al.</w:t>
      </w:r>
      <w:r w:rsidR="008E107F" w:rsidRPr="00D84639">
        <w:rPr>
          <w:rFonts w:asciiTheme="minorHAnsi" w:hAnsiTheme="minorHAnsi" w:cs="Arial"/>
          <w:sz w:val="22"/>
          <w:szCs w:val="22"/>
        </w:rPr>
        <w:t>, 2025)</w:t>
      </w:r>
      <w:r w:rsidR="00D33517" w:rsidRPr="00D84639">
        <w:rPr>
          <w:rFonts w:asciiTheme="minorHAnsi" w:hAnsiTheme="minorHAnsi"/>
          <w:sz w:val="22"/>
          <w:szCs w:val="22"/>
        </w:rPr>
        <w:t>.</w:t>
      </w:r>
    </w:p>
    <w:p w14:paraId="056BD3AA" w14:textId="77777777" w:rsidR="00945C63" w:rsidRDefault="00945C63" w:rsidP="00D84639">
      <w:pPr>
        <w:pStyle w:val="NormalWeb"/>
        <w:spacing w:line="360" w:lineRule="auto"/>
        <w:jc w:val="both"/>
        <w:rPr>
          <w:rFonts w:asciiTheme="minorHAnsi" w:hAnsiTheme="minorHAnsi"/>
          <w:sz w:val="22"/>
          <w:szCs w:val="22"/>
        </w:rPr>
      </w:pPr>
      <w:r w:rsidRPr="00945C63">
        <w:rPr>
          <w:rFonts w:asciiTheme="minorHAnsi" w:hAnsiTheme="minorHAnsi"/>
          <w:sz w:val="22"/>
          <w:szCs w:val="22"/>
        </w:rPr>
        <w:t>Oliveira et al. (2025) add to this by examining perceived difficulty in accessing care. The fact that education and income levels are related to perceived difficulty suggests that difficulties are experienced before utilisation. This is important because it helps clarify the reasons behind the underutilisation of preventive services or the delay in seeking help. If the system is difficult to use, individuals may self-limit their own utilisation, delay until symptoms are severe, and only utilise the system when the problem is pressing. While subjective, the fact that perceived difficulty follows a socioeconomic gradient over multiple years suggests that difficulties are not random but are related to structural factors. The other important factor is that utilisation is not only constrained by medical need, but also constrained by the social and practical conditions in which need is expressed (Packness et al., 2019).</w:t>
      </w:r>
    </w:p>
    <w:p w14:paraId="2C10E294" w14:textId="178589BC" w:rsidR="00563501" w:rsidRPr="00D84639" w:rsidRDefault="00945C63" w:rsidP="00D84639">
      <w:pPr>
        <w:pStyle w:val="NormalWeb"/>
        <w:spacing w:line="360" w:lineRule="auto"/>
        <w:jc w:val="both"/>
        <w:rPr>
          <w:rFonts w:asciiTheme="minorHAnsi" w:hAnsiTheme="minorHAnsi"/>
          <w:sz w:val="22"/>
          <w:szCs w:val="22"/>
        </w:rPr>
      </w:pPr>
      <w:r w:rsidRPr="00945C63">
        <w:rPr>
          <w:rFonts w:asciiTheme="minorHAnsi" w:hAnsiTheme="minorHAnsi"/>
          <w:sz w:val="22"/>
          <w:szCs w:val="22"/>
        </w:rPr>
        <w:t xml:space="preserve">Ford et al. (2016) take this analysis further, and the ways barriers are seen to act through a step-by-step process to care for disadvantaged older people in a rural setting are described. The value of this particular body of evidence is that it demonstrates the ways utilisation is produced through a number of small barriers, rather than one major one. The critical implication is that </w:t>
      </w:r>
      <w:r w:rsidRPr="00945C63">
        <w:rPr>
          <w:rFonts w:asciiTheme="minorHAnsi" w:hAnsiTheme="minorHAnsi"/>
          <w:sz w:val="22"/>
          <w:szCs w:val="22"/>
        </w:rPr>
        <w:lastRenderedPageBreak/>
        <w:t>even small system design elements, such as scheduling, practice capacity, and reception, can produce unequal utilisation when users vary on dimensions such as time, confidence, and mobility</w:t>
      </w:r>
      <w:r w:rsidR="00563501" w:rsidRPr="00D84639">
        <w:rPr>
          <w:rFonts w:asciiTheme="minorHAnsi" w:hAnsiTheme="minorHAnsi"/>
          <w:sz w:val="22"/>
          <w:szCs w:val="22"/>
        </w:rPr>
        <w:t>. This supports the view that utilisation inequalities are partly service-generated, not only demand-generated</w:t>
      </w:r>
      <w:r w:rsidR="00850CA1" w:rsidRPr="00D84639">
        <w:rPr>
          <w:rFonts w:asciiTheme="minorHAnsi" w:hAnsiTheme="minorHAnsi"/>
          <w:sz w:val="22"/>
          <w:szCs w:val="22"/>
        </w:rPr>
        <w:t xml:space="preserve"> </w:t>
      </w:r>
      <w:r w:rsidR="00850CA1" w:rsidRPr="00D84639">
        <w:rPr>
          <w:rFonts w:asciiTheme="minorHAnsi" w:hAnsiTheme="minorHAnsi" w:cs="Arial"/>
          <w:sz w:val="22"/>
          <w:szCs w:val="22"/>
        </w:rPr>
        <w:t>(Ala and Chen, 2022)</w:t>
      </w:r>
      <w:r w:rsidR="00563501" w:rsidRPr="00D84639">
        <w:rPr>
          <w:rFonts w:asciiTheme="minorHAnsi" w:hAnsiTheme="minorHAnsi"/>
          <w:sz w:val="22"/>
          <w:szCs w:val="22"/>
        </w:rPr>
        <w:t>.</w:t>
      </w:r>
    </w:p>
    <w:p w14:paraId="552609F5" w14:textId="6CD621F6" w:rsidR="00563501" w:rsidRPr="00D84639" w:rsidRDefault="00563501" w:rsidP="00D84639">
      <w:pPr>
        <w:pStyle w:val="NormalWeb"/>
        <w:spacing w:line="360" w:lineRule="auto"/>
        <w:jc w:val="both"/>
        <w:rPr>
          <w:rFonts w:asciiTheme="minorHAnsi" w:hAnsiTheme="minorHAnsi"/>
          <w:sz w:val="22"/>
          <w:szCs w:val="22"/>
        </w:rPr>
      </w:pPr>
      <w:r w:rsidRPr="00D84639">
        <w:rPr>
          <w:rFonts w:asciiTheme="minorHAnsi" w:hAnsiTheme="minorHAnsi"/>
          <w:sz w:val="22"/>
          <w:szCs w:val="22"/>
        </w:rPr>
        <w:t xml:space="preserve">A key weakness across the evidence base is that health care utilisation is measured more often and more consistently than social care utilisation. Cabañero-Garcia et al. (2025) partly address this by reviewing barriers across healthcare, social services and long-term care. They show that barriers include socioeconomic factors on the demand side and geographic constraints on the supply side, with digital exclusion and community factors influencing both. Their analysis supports the argument that barriers are cumulative and interdependent. For example, </w:t>
      </w:r>
      <w:r w:rsidR="00CA2D9C" w:rsidRPr="00D84639">
        <w:rPr>
          <w:rFonts w:asciiTheme="minorHAnsi" w:hAnsiTheme="minorHAnsi" w:cs="Arial"/>
          <w:sz w:val="22"/>
          <w:szCs w:val="22"/>
        </w:rPr>
        <w:t xml:space="preserve">Lu </w:t>
      </w:r>
      <w:r w:rsidR="00CA2D9C" w:rsidRPr="00D84639">
        <w:rPr>
          <w:rFonts w:asciiTheme="minorHAnsi" w:hAnsiTheme="minorHAnsi" w:cs="Arial"/>
          <w:i/>
          <w:iCs/>
          <w:sz w:val="22"/>
          <w:szCs w:val="22"/>
        </w:rPr>
        <w:t>et al.</w:t>
      </w:r>
      <w:r w:rsidR="00CA2D9C" w:rsidRPr="00D84639">
        <w:rPr>
          <w:rFonts w:asciiTheme="minorHAnsi" w:hAnsiTheme="minorHAnsi" w:cs="Arial"/>
          <w:sz w:val="22"/>
          <w:szCs w:val="22"/>
        </w:rPr>
        <w:t xml:space="preserve"> (2022) also argue that </w:t>
      </w:r>
      <w:r w:rsidRPr="00D84639">
        <w:rPr>
          <w:rFonts w:asciiTheme="minorHAnsi" w:hAnsiTheme="minorHAnsi"/>
          <w:sz w:val="22"/>
          <w:szCs w:val="22"/>
        </w:rPr>
        <w:t>poverty increases financial strain and reduces digital access; limited digital access reduces the ability to navigate systems; navigation problems reduce timely care; late care increases severity and dependence, which can raise social care need. This interdependence matters for this dissertation because it indicates that utilisation in health and social care cannot be treated as separate problems. Inequalities in one system can shift demand to the other or worsen outcomes when support is delayed.</w:t>
      </w:r>
    </w:p>
    <w:p w14:paraId="3523716F" w14:textId="77777777" w:rsidR="00DA7C6A" w:rsidRDefault="00DA7C6A" w:rsidP="00D84639">
      <w:pPr>
        <w:pStyle w:val="NormalWeb"/>
        <w:spacing w:line="360" w:lineRule="auto"/>
        <w:jc w:val="both"/>
        <w:rPr>
          <w:rFonts w:asciiTheme="minorHAnsi" w:hAnsiTheme="minorHAnsi"/>
          <w:sz w:val="22"/>
          <w:szCs w:val="22"/>
        </w:rPr>
      </w:pPr>
      <w:r w:rsidRPr="00DA7C6A">
        <w:rPr>
          <w:rFonts w:asciiTheme="minorHAnsi" w:hAnsiTheme="minorHAnsi"/>
          <w:sz w:val="22"/>
          <w:szCs w:val="22"/>
        </w:rPr>
        <w:t>French et al. (2021) also show, through this study, that utilisation is a product of negotiation, especially for palliative and end-of-life care. The synthesis also shows that socioeconomic factors affect need identification, action, service conditions, and service receipt. This is important because, analytically, it illustrates that utilisation is not just a product of individual choice; rather, it is a product of repeated negotiation and interaction with patients, families, and service providers. It also illustrates that inequality is not always a product of underutilisation; rather, inequality may also be a product of utilisation, such that while one group may have service contact, another may have later-stage service, illustrating inequality in terms of the quality and timing of utilisation rather than the presence or absence of utilisation (Lai et al., 2024).</w:t>
      </w:r>
    </w:p>
    <w:p w14:paraId="65F9BD25" w14:textId="198CDC35" w:rsidR="00DA7C6A" w:rsidRDefault="00DA7C6A" w:rsidP="00D84639">
      <w:pPr>
        <w:pStyle w:val="NormalWeb"/>
        <w:spacing w:line="360" w:lineRule="auto"/>
        <w:jc w:val="both"/>
        <w:rPr>
          <w:rFonts w:asciiTheme="minorHAnsi" w:hAnsiTheme="minorHAnsi"/>
          <w:sz w:val="22"/>
          <w:szCs w:val="22"/>
        </w:rPr>
      </w:pPr>
      <w:r w:rsidRPr="00DA7C6A">
        <w:rPr>
          <w:rFonts w:asciiTheme="minorHAnsi" w:hAnsiTheme="minorHAnsi"/>
          <w:sz w:val="22"/>
          <w:szCs w:val="22"/>
        </w:rPr>
        <w:t xml:space="preserve">Moreover, large reviews underscore that utilisation inequalities tend to be highly context-dependent. In fact, Meulman et al. (2024) show that in terms of direction, different factors contribute to socioeconomic inequalities in healthcare utilisation in different ways across countries with universal coverage. Bammert et al. (2024) underscore the importance of meso-level access dimensions such as physician density and distance, and argue that "interactions between access characteristics and SES have been under-investigated." The key point here is that "while there is consistency in the presence of barriers, there is evidence of variability in </w:t>
      </w:r>
      <w:r w:rsidRPr="00DA7C6A">
        <w:rPr>
          <w:rFonts w:asciiTheme="minorHAnsi" w:hAnsiTheme="minorHAnsi"/>
          <w:sz w:val="22"/>
          <w:szCs w:val="22"/>
        </w:rPr>
        <w:lastRenderedPageBreak/>
        <w:t>strength for each barrier across service types, countries, and for preventive, curative, and emergency care." While this complicates the formulation of a generalised solution, it reinforces the argument for more targeted approaches based on access dimensions.</w:t>
      </w:r>
    </w:p>
    <w:p w14:paraId="7968E761" w14:textId="469A11AC" w:rsidR="00563501" w:rsidRPr="00D84639" w:rsidRDefault="00194B67" w:rsidP="00D84639">
      <w:pPr>
        <w:pStyle w:val="NormalWeb"/>
        <w:spacing w:line="360" w:lineRule="auto"/>
        <w:jc w:val="both"/>
        <w:rPr>
          <w:rFonts w:asciiTheme="minorHAnsi" w:hAnsiTheme="minorHAnsi"/>
          <w:sz w:val="22"/>
          <w:szCs w:val="22"/>
        </w:rPr>
      </w:pPr>
      <w:r w:rsidRPr="00194B67">
        <w:rPr>
          <w:rFonts w:asciiTheme="minorHAnsi" w:hAnsiTheme="minorHAnsi"/>
          <w:sz w:val="22"/>
          <w:szCs w:val="22"/>
        </w:rPr>
        <w:t>As can be seen in Theme 3, socioeconomic disadvantage acts as a constraint on utilization through direct costs, indirect costs, time poverty, transport, digital exclusion, and the complexity of navigating the system, which can explain the failure of universal coverage to automatically lead to equitable utilization, as well as the social patterning of preventive and specialist pathways (Raine et al., 2016; Propper, 2024). This theme is linked to Theme 1, as the barriers outlined in this theme are the ways in which socioeconomic position affects access capability in practice, and it is linked to Theme 2, as the experience of transport costs and service availability can vary depending on geography, as can digital exclusion in rural area</w:t>
      </w:r>
      <w:r>
        <w:rPr>
          <w:rFonts w:asciiTheme="minorHAnsi" w:hAnsiTheme="minorHAnsi"/>
          <w:sz w:val="22"/>
          <w:szCs w:val="22"/>
        </w:rPr>
        <w:t>s</w:t>
      </w:r>
      <w:r w:rsidR="00563501" w:rsidRPr="00D84639">
        <w:rPr>
          <w:rFonts w:asciiTheme="minorHAnsi" w:hAnsiTheme="minorHAnsi"/>
          <w:sz w:val="22"/>
          <w:szCs w:val="22"/>
        </w:rPr>
        <w:t xml:space="preserve">. </w:t>
      </w:r>
    </w:p>
    <w:p w14:paraId="624BE47D" w14:textId="0895F190" w:rsidR="00D45543" w:rsidRDefault="00B76567" w:rsidP="00B76567">
      <w:pPr>
        <w:pStyle w:val="Heading2"/>
      </w:pPr>
      <w:bookmarkStart w:id="39" w:name="_Toc220447465"/>
      <w:r>
        <w:t>4.6. Conclusion</w:t>
      </w:r>
      <w:bookmarkEnd w:id="39"/>
    </w:p>
    <w:p w14:paraId="4D4F7409" w14:textId="3D24C29B" w:rsidR="00A12359" w:rsidRDefault="004B0E90" w:rsidP="00616202">
      <w:pPr>
        <w:pStyle w:val="NormalWeb"/>
        <w:spacing w:line="360" w:lineRule="auto"/>
        <w:jc w:val="both"/>
        <w:rPr>
          <w:rFonts w:ascii="Aptos" w:hAnsi="Aptos"/>
          <w:sz w:val="22"/>
          <w:szCs w:val="22"/>
        </w:rPr>
      </w:pPr>
      <w:r w:rsidRPr="004B0E90">
        <w:rPr>
          <w:rFonts w:ascii="Aptos" w:hAnsi="Aptos"/>
          <w:sz w:val="22"/>
          <w:szCs w:val="22"/>
        </w:rPr>
        <w:t>In this chapter, findings from the systematic literature review and thematic analysis were presented and discussed. The themes presented explained how socioeconomic status affects healthcare and social care access in urban and rural areas. First, income, education, occupation, and deprivation affect access to healthcare and social care through affordability, health literacy, confidence, and ability. Second, urban and rural areas affect these inequalities through differences in availability, travel, workforce, waiting times, and pathway fragmentation. Third, actual hindrances such as indirect costs, time poverty, transport, and digital exclusion mediate inequalities and result in delayed and differential use. The next chapter will conclude the dissertation and present recommendations based on evidence</w:t>
      </w:r>
      <w:r w:rsidR="00A12359" w:rsidRPr="00616202">
        <w:rPr>
          <w:rFonts w:ascii="Aptos" w:hAnsi="Aptos"/>
          <w:sz w:val="22"/>
          <w:szCs w:val="22"/>
        </w:rPr>
        <w:t>.</w:t>
      </w:r>
    </w:p>
    <w:p w14:paraId="692EA3FA" w14:textId="77777777" w:rsidR="004B39BB" w:rsidRDefault="004B39BB" w:rsidP="00616202">
      <w:pPr>
        <w:pStyle w:val="NormalWeb"/>
        <w:spacing w:line="360" w:lineRule="auto"/>
        <w:jc w:val="both"/>
        <w:rPr>
          <w:rFonts w:ascii="Aptos" w:hAnsi="Aptos"/>
          <w:sz w:val="22"/>
          <w:szCs w:val="22"/>
        </w:rPr>
      </w:pPr>
    </w:p>
    <w:p w14:paraId="19C2E7AC" w14:textId="77777777" w:rsidR="004B39BB" w:rsidRDefault="004B39BB" w:rsidP="00616202">
      <w:pPr>
        <w:pStyle w:val="NormalWeb"/>
        <w:spacing w:line="360" w:lineRule="auto"/>
        <w:jc w:val="both"/>
        <w:rPr>
          <w:rFonts w:ascii="Aptos" w:hAnsi="Aptos"/>
          <w:sz w:val="22"/>
          <w:szCs w:val="22"/>
        </w:rPr>
      </w:pPr>
    </w:p>
    <w:p w14:paraId="4687F5CB" w14:textId="77777777" w:rsidR="004B39BB" w:rsidRDefault="004B39BB" w:rsidP="00616202">
      <w:pPr>
        <w:pStyle w:val="NormalWeb"/>
        <w:spacing w:line="360" w:lineRule="auto"/>
        <w:jc w:val="both"/>
        <w:rPr>
          <w:rFonts w:ascii="Aptos" w:hAnsi="Aptos"/>
          <w:sz w:val="22"/>
          <w:szCs w:val="22"/>
        </w:rPr>
      </w:pPr>
    </w:p>
    <w:p w14:paraId="096E0EA3" w14:textId="77777777" w:rsidR="004B39BB" w:rsidRDefault="004B39BB" w:rsidP="00616202">
      <w:pPr>
        <w:pStyle w:val="NormalWeb"/>
        <w:spacing w:line="360" w:lineRule="auto"/>
        <w:jc w:val="both"/>
        <w:rPr>
          <w:rFonts w:ascii="Aptos" w:hAnsi="Aptos"/>
          <w:sz w:val="22"/>
          <w:szCs w:val="22"/>
        </w:rPr>
      </w:pPr>
    </w:p>
    <w:p w14:paraId="7B911250" w14:textId="2AA8E176" w:rsidR="00190A4E" w:rsidRPr="00D84639" w:rsidRDefault="00190A4E" w:rsidP="00B76567">
      <w:pPr>
        <w:pStyle w:val="Heading1"/>
      </w:pPr>
      <w:bookmarkStart w:id="40" w:name="_Toc220447466"/>
      <w:r w:rsidRPr="00D84639">
        <w:lastRenderedPageBreak/>
        <w:t>CHAPTER 5</w:t>
      </w:r>
      <w:r w:rsidR="00905522" w:rsidRPr="00D84639">
        <w:t>:</w:t>
      </w:r>
      <w:r w:rsidRPr="00D84639">
        <w:t xml:space="preserve"> Conclusion and Recommendations</w:t>
      </w:r>
      <w:bookmarkEnd w:id="40"/>
    </w:p>
    <w:p w14:paraId="07788060" w14:textId="3823826F" w:rsidR="00190A4E" w:rsidRPr="00D84639" w:rsidRDefault="00190A4E" w:rsidP="00D64CC6">
      <w:pPr>
        <w:pStyle w:val="Heading2"/>
      </w:pPr>
      <w:bookmarkStart w:id="41" w:name="_Toc220447467"/>
      <w:r w:rsidRPr="00D84639">
        <w:t>5.1</w:t>
      </w:r>
      <w:r w:rsidR="00E268A8" w:rsidRPr="00D84639">
        <w:t>.</w:t>
      </w:r>
      <w:r w:rsidRPr="00D84639">
        <w:t xml:space="preserve"> Overall Conclusion</w:t>
      </w:r>
      <w:bookmarkEnd w:id="41"/>
    </w:p>
    <w:p w14:paraId="39CE77E8" w14:textId="77777777" w:rsidR="00A471BD" w:rsidRDefault="00A471BD" w:rsidP="00D84639">
      <w:pPr>
        <w:pStyle w:val="NormalWeb"/>
        <w:spacing w:line="360" w:lineRule="auto"/>
        <w:jc w:val="both"/>
        <w:rPr>
          <w:rFonts w:asciiTheme="minorHAnsi" w:hAnsiTheme="minorHAnsi"/>
          <w:sz w:val="22"/>
          <w:szCs w:val="22"/>
        </w:rPr>
      </w:pPr>
      <w:r w:rsidRPr="00A471BD">
        <w:rPr>
          <w:rFonts w:asciiTheme="minorHAnsi" w:hAnsiTheme="minorHAnsi"/>
          <w:sz w:val="22"/>
          <w:szCs w:val="22"/>
        </w:rPr>
        <w:t>This dissertation was concerned with examining the effect of socioeconomic status on access to health and social care services, considering both urban and rural settings. Chapter 1 outlined the purpose and aims of the research, together with highlighting inequalities in access, despite policy rhetoric emphasizing equity. Chapter 2 placed the research topic in its historical, theoretical, and policy context, illustrating that access is socially and spatially structured rather than uniform. Chapter 3 outlined the methodological approach taken, including a desk-based approach, which was transparent and systematic in gathering relevant literature. Chapter 4 outlined the findings, which were arranged around three themes.</w:t>
      </w:r>
    </w:p>
    <w:p w14:paraId="34E19959" w14:textId="69A983CB" w:rsidR="00190A4E" w:rsidRPr="00D84639" w:rsidRDefault="00A471BD" w:rsidP="00D84639">
      <w:pPr>
        <w:pStyle w:val="NormalWeb"/>
        <w:spacing w:line="360" w:lineRule="auto"/>
        <w:jc w:val="both"/>
        <w:rPr>
          <w:rFonts w:asciiTheme="minorHAnsi" w:hAnsiTheme="minorHAnsi"/>
          <w:sz w:val="22"/>
          <w:szCs w:val="22"/>
        </w:rPr>
      </w:pPr>
      <w:r w:rsidRPr="00A471BD">
        <w:rPr>
          <w:rFonts w:asciiTheme="minorHAnsi" w:hAnsiTheme="minorHAnsi"/>
          <w:sz w:val="22"/>
          <w:szCs w:val="22"/>
        </w:rPr>
        <w:t>The first study found that socioeconomic status acts as a structural factor in access inequalities, affecting resource availability, health literacy, and system navigation. The second study found that urban and rural settings mediate inequalities in access, depending on variations in service accessibility, distance, workforce, and system complexities. The third study found that inequalities in utilisation result from socioeconomic barriers, including financial, time, transport, and digital barriers. All research aims were addressed, and findings confirmed that access inequalities result from interactions between social factors and settings, rather than personal choices</w:t>
      </w:r>
      <w:r w:rsidR="00190A4E" w:rsidRPr="00D84639">
        <w:rPr>
          <w:rFonts w:asciiTheme="minorHAnsi" w:hAnsiTheme="minorHAnsi"/>
          <w:sz w:val="22"/>
          <w:szCs w:val="22"/>
        </w:rPr>
        <w:t>.</w:t>
      </w:r>
    </w:p>
    <w:p w14:paraId="4DC4C732" w14:textId="77777777" w:rsidR="00190A4E" w:rsidRPr="00D84639" w:rsidRDefault="00190A4E" w:rsidP="00D64CC6">
      <w:pPr>
        <w:pStyle w:val="Heading2"/>
      </w:pPr>
      <w:bookmarkStart w:id="42" w:name="_Toc220447468"/>
      <w:r w:rsidRPr="00D84639">
        <w:t>5.2 Recommendations</w:t>
      </w:r>
      <w:bookmarkEnd w:id="42"/>
    </w:p>
    <w:p w14:paraId="111A972B" w14:textId="77777777" w:rsidR="00190A4E" w:rsidRPr="00D84639" w:rsidRDefault="00190A4E" w:rsidP="00D64CC6">
      <w:pPr>
        <w:pStyle w:val="Heading3"/>
      </w:pPr>
      <w:bookmarkStart w:id="43" w:name="_Toc220447469"/>
      <w:r w:rsidRPr="00D84639">
        <w:t>5.2.1 Recommendation 1: Embed socioeconomic sensitivity into service design and access pathways</w:t>
      </w:r>
      <w:bookmarkEnd w:id="43"/>
    </w:p>
    <w:p w14:paraId="44260378" w14:textId="75CB7062" w:rsidR="00190A4E" w:rsidRPr="00D84639" w:rsidRDefault="00190A4E" w:rsidP="00D84639">
      <w:pPr>
        <w:pStyle w:val="NormalWeb"/>
        <w:spacing w:line="360" w:lineRule="auto"/>
        <w:jc w:val="both"/>
        <w:rPr>
          <w:rFonts w:asciiTheme="minorHAnsi" w:hAnsiTheme="minorHAnsi"/>
          <w:sz w:val="22"/>
          <w:szCs w:val="22"/>
        </w:rPr>
      </w:pPr>
      <w:r w:rsidRPr="00D84639">
        <w:rPr>
          <w:rFonts w:asciiTheme="minorHAnsi" w:hAnsiTheme="minorHAnsi"/>
          <w:sz w:val="22"/>
          <w:szCs w:val="22"/>
        </w:rPr>
        <w:t>Health and social care services should be designed with explicit consideration of socioeconomic differences in time, income, literacy and stability. This includes simplifying booking systems, offering flexible appointment times, reducing administrative burden and providing clear, accessible information in multiple formats. Services that assume digital access, flexible work schedules or high health literacy risk reinforcing inequality. Embedding socioeconomic sensitivity would help ensure that entitlement translates into real access</w:t>
      </w:r>
      <w:r w:rsidR="006F6772" w:rsidRPr="00D84639">
        <w:rPr>
          <w:rFonts w:asciiTheme="minorHAnsi" w:hAnsiTheme="minorHAnsi"/>
          <w:sz w:val="22"/>
          <w:szCs w:val="22"/>
        </w:rPr>
        <w:t xml:space="preserve"> </w:t>
      </w:r>
      <w:r w:rsidR="006F6772" w:rsidRPr="00D84639">
        <w:rPr>
          <w:rFonts w:asciiTheme="minorHAnsi" w:hAnsiTheme="minorHAnsi" w:cs="Arial"/>
          <w:sz w:val="22"/>
          <w:szCs w:val="22"/>
        </w:rPr>
        <w:t xml:space="preserve">(Manarte, 2024; Meulman </w:t>
      </w:r>
      <w:r w:rsidR="006F6772" w:rsidRPr="00D84639">
        <w:rPr>
          <w:rFonts w:asciiTheme="minorHAnsi" w:hAnsiTheme="minorHAnsi" w:cs="Arial"/>
          <w:i/>
          <w:iCs/>
          <w:sz w:val="22"/>
          <w:szCs w:val="22"/>
        </w:rPr>
        <w:t>et al.</w:t>
      </w:r>
      <w:r w:rsidR="006F6772" w:rsidRPr="00D84639">
        <w:rPr>
          <w:rFonts w:asciiTheme="minorHAnsi" w:hAnsiTheme="minorHAnsi" w:cs="Arial"/>
          <w:sz w:val="22"/>
          <w:szCs w:val="22"/>
        </w:rPr>
        <w:t>, 2024)</w:t>
      </w:r>
      <w:r w:rsidRPr="00D84639">
        <w:rPr>
          <w:rFonts w:asciiTheme="minorHAnsi" w:hAnsiTheme="minorHAnsi"/>
          <w:sz w:val="22"/>
          <w:szCs w:val="22"/>
        </w:rPr>
        <w:t>. A major barrier to this recommendation is pressure on staff time and resources, which can limit the ability to redesign pathways. This can be addressed by piloting changes in high-need areas, using feedback from service users, and integrating access design into routine service improvement rather than treating it as an additional task</w:t>
      </w:r>
      <w:r w:rsidR="004363E4" w:rsidRPr="00D84639">
        <w:rPr>
          <w:rFonts w:asciiTheme="minorHAnsi" w:hAnsiTheme="minorHAnsi"/>
          <w:sz w:val="22"/>
          <w:szCs w:val="22"/>
        </w:rPr>
        <w:t xml:space="preserve"> </w:t>
      </w:r>
      <w:r w:rsidR="004363E4" w:rsidRPr="00D84639">
        <w:rPr>
          <w:rFonts w:asciiTheme="minorHAnsi" w:hAnsiTheme="minorHAnsi" w:cs="Arial"/>
          <w:sz w:val="22"/>
          <w:szCs w:val="22"/>
        </w:rPr>
        <w:t xml:space="preserve">(Lloyd </w:t>
      </w:r>
      <w:r w:rsidR="004363E4" w:rsidRPr="00D84639">
        <w:rPr>
          <w:rFonts w:asciiTheme="minorHAnsi" w:hAnsiTheme="minorHAnsi" w:cs="Arial"/>
          <w:i/>
          <w:iCs/>
          <w:sz w:val="22"/>
          <w:szCs w:val="22"/>
        </w:rPr>
        <w:t>et al.</w:t>
      </w:r>
      <w:r w:rsidR="004363E4" w:rsidRPr="00D84639">
        <w:rPr>
          <w:rFonts w:asciiTheme="minorHAnsi" w:hAnsiTheme="minorHAnsi" w:cs="Arial"/>
          <w:sz w:val="22"/>
          <w:szCs w:val="22"/>
        </w:rPr>
        <w:t>, 2023)</w:t>
      </w:r>
      <w:r w:rsidRPr="00D84639">
        <w:rPr>
          <w:rFonts w:asciiTheme="minorHAnsi" w:hAnsiTheme="minorHAnsi"/>
          <w:sz w:val="22"/>
          <w:szCs w:val="22"/>
        </w:rPr>
        <w:t>.</w:t>
      </w:r>
    </w:p>
    <w:p w14:paraId="015FEAF0" w14:textId="77777777" w:rsidR="00190A4E" w:rsidRPr="00D84639" w:rsidRDefault="00190A4E" w:rsidP="00D64CC6">
      <w:pPr>
        <w:pStyle w:val="Heading3"/>
      </w:pPr>
      <w:bookmarkStart w:id="44" w:name="_Toc220447470"/>
      <w:r w:rsidRPr="00D84639">
        <w:lastRenderedPageBreak/>
        <w:t>5.2.2 Recommendation 2: Adopt place-based strategies to reduce urban and rural access gaps</w:t>
      </w:r>
      <w:bookmarkEnd w:id="44"/>
    </w:p>
    <w:p w14:paraId="57C4B295" w14:textId="21A0DA7F" w:rsidR="00190A4E" w:rsidRPr="00D84639" w:rsidRDefault="00D3257E" w:rsidP="00D84639">
      <w:pPr>
        <w:pStyle w:val="NormalWeb"/>
        <w:spacing w:line="360" w:lineRule="auto"/>
        <w:jc w:val="both"/>
        <w:rPr>
          <w:rFonts w:asciiTheme="minorHAnsi" w:hAnsiTheme="minorHAnsi"/>
          <w:sz w:val="22"/>
          <w:szCs w:val="22"/>
        </w:rPr>
      </w:pPr>
      <w:r w:rsidRPr="00D3257E">
        <w:rPr>
          <w:rFonts w:asciiTheme="minorHAnsi" w:hAnsiTheme="minorHAnsi"/>
          <w:sz w:val="22"/>
          <w:szCs w:val="22"/>
        </w:rPr>
        <w:t>Placemaking methods must be embraced by policymakers and the commissioners based on the variation of access barriers between urban and rural environments. In the rural setting, this involves investment in transport support, outreach, workforce incentive and flexible delivery models like mobile clinics. Urban areas should focus on the reduction of waiting bottlenecks, enhancement of continuity, and facilitation of navigation between fragmented services (Khatri et al., 2024). One of the limitations is that place-based strategies demand coordination among sector and governmental levels, which may be complicated. This could be defeated through the available local collaborations and integrated care frameworks to coordinate health and social care and community resource in common equity objectives</w:t>
      </w:r>
      <w:r>
        <w:rPr>
          <w:rFonts w:asciiTheme="minorHAnsi" w:hAnsiTheme="minorHAnsi"/>
          <w:sz w:val="22"/>
          <w:szCs w:val="22"/>
        </w:rPr>
        <w:t xml:space="preserve"> </w:t>
      </w:r>
      <w:r w:rsidR="00E55442" w:rsidRPr="00D84639">
        <w:rPr>
          <w:rFonts w:asciiTheme="minorHAnsi" w:hAnsiTheme="minorHAnsi" w:cs="Arial"/>
          <w:sz w:val="22"/>
          <w:szCs w:val="22"/>
        </w:rPr>
        <w:t xml:space="preserve">(Pogrmilović </w:t>
      </w:r>
      <w:r w:rsidR="00E55442" w:rsidRPr="00D84639">
        <w:rPr>
          <w:rFonts w:asciiTheme="minorHAnsi" w:hAnsiTheme="minorHAnsi" w:cs="Arial"/>
          <w:i/>
          <w:iCs/>
          <w:sz w:val="22"/>
          <w:szCs w:val="22"/>
        </w:rPr>
        <w:t>et al.</w:t>
      </w:r>
      <w:r w:rsidR="00E55442" w:rsidRPr="00D84639">
        <w:rPr>
          <w:rFonts w:asciiTheme="minorHAnsi" w:hAnsiTheme="minorHAnsi" w:cs="Arial"/>
          <w:sz w:val="22"/>
          <w:szCs w:val="22"/>
        </w:rPr>
        <w:t>, 2023)</w:t>
      </w:r>
      <w:r w:rsidR="00190A4E" w:rsidRPr="00D84639">
        <w:rPr>
          <w:rFonts w:asciiTheme="minorHAnsi" w:hAnsiTheme="minorHAnsi"/>
          <w:sz w:val="22"/>
          <w:szCs w:val="22"/>
        </w:rPr>
        <w:t>.</w:t>
      </w:r>
    </w:p>
    <w:p w14:paraId="3003DD37" w14:textId="77777777" w:rsidR="00190A4E" w:rsidRPr="00D84639" w:rsidRDefault="00190A4E" w:rsidP="00D64CC6">
      <w:pPr>
        <w:pStyle w:val="Heading3"/>
      </w:pPr>
      <w:bookmarkStart w:id="45" w:name="_Toc220447471"/>
      <w:r w:rsidRPr="00D84639">
        <w:t>5.2.3 Recommendation 3: Reduce practical barriers to utilisation through targeted support</w:t>
      </w:r>
      <w:bookmarkEnd w:id="45"/>
    </w:p>
    <w:p w14:paraId="1F4A592E" w14:textId="053F1AA6" w:rsidR="00190A4E" w:rsidRPr="00D84639" w:rsidRDefault="00190A4E" w:rsidP="00D84639">
      <w:pPr>
        <w:pStyle w:val="NormalWeb"/>
        <w:spacing w:line="360" w:lineRule="auto"/>
        <w:jc w:val="both"/>
        <w:rPr>
          <w:rFonts w:asciiTheme="minorHAnsi" w:hAnsiTheme="minorHAnsi"/>
          <w:sz w:val="22"/>
          <w:szCs w:val="22"/>
        </w:rPr>
      </w:pPr>
      <w:r w:rsidRPr="00D84639">
        <w:rPr>
          <w:rFonts w:asciiTheme="minorHAnsi" w:hAnsiTheme="minorHAnsi"/>
          <w:sz w:val="22"/>
          <w:szCs w:val="22"/>
        </w:rPr>
        <w:t xml:space="preserve">Targeted support should be provided to reduce the practical barriers that limit service use among low socioeconomic groups. </w:t>
      </w:r>
      <w:r w:rsidR="00B90758" w:rsidRPr="00B90758">
        <w:rPr>
          <w:rFonts w:asciiTheme="minorHAnsi" w:hAnsiTheme="minorHAnsi"/>
          <w:sz w:val="22"/>
          <w:szCs w:val="22"/>
        </w:rPr>
        <w:t>This has travel support, digital-access support, community-based navigators, and guarded appointment time for individuals who experience time poverty or caring commitments. These measures will be useful in preventing delayed presentation and excessive reliance on emergency care (Bekerom et al., 2024). One of the critical issues is determining who is eligible without augmenting stigma or administrative burden. This is manageable through area-level deprivation measures, collaboration with community organisations that are trusted, and integration of support with mainstream services where people need not identify themselves as disadvantaged (Bekerom et al., 2024).</w:t>
      </w:r>
    </w:p>
    <w:p w14:paraId="633C1A17" w14:textId="77777777" w:rsidR="00D45543" w:rsidRPr="00D84639" w:rsidRDefault="00D45543" w:rsidP="00D84639">
      <w:pPr>
        <w:pStyle w:val="NormalWeb"/>
        <w:spacing w:line="360" w:lineRule="auto"/>
        <w:jc w:val="both"/>
        <w:rPr>
          <w:rFonts w:asciiTheme="minorHAnsi" w:hAnsiTheme="minorHAnsi"/>
          <w:sz w:val="22"/>
          <w:szCs w:val="22"/>
        </w:rPr>
      </w:pPr>
    </w:p>
    <w:p w14:paraId="0538307E" w14:textId="77777777" w:rsidR="00563501" w:rsidRPr="00D84639" w:rsidRDefault="00563501" w:rsidP="00D84639">
      <w:pPr>
        <w:jc w:val="both"/>
        <w:rPr>
          <w:b/>
          <w:bCs/>
          <w:szCs w:val="22"/>
          <w:lang w:val="en-GB"/>
        </w:rPr>
      </w:pPr>
    </w:p>
    <w:p w14:paraId="6761DD1E" w14:textId="77777777" w:rsidR="000B5AB8" w:rsidRPr="00D84639" w:rsidRDefault="000B5AB8" w:rsidP="00D84639">
      <w:pPr>
        <w:jc w:val="both"/>
        <w:rPr>
          <w:b/>
          <w:bCs/>
          <w:szCs w:val="22"/>
          <w:lang w:val="en-GB"/>
        </w:rPr>
      </w:pPr>
    </w:p>
    <w:p w14:paraId="54F56544" w14:textId="77777777" w:rsidR="000B5AB8" w:rsidRDefault="000B5AB8" w:rsidP="00D84639">
      <w:pPr>
        <w:jc w:val="both"/>
        <w:rPr>
          <w:b/>
          <w:bCs/>
          <w:szCs w:val="22"/>
          <w:lang w:val="en-GB"/>
        </w:rPr>
      </w:pPr>
    </w:p>
    <w:p w14:paraId="05447E5D" w14:textId="77777777" w:rsidR="004B39BB" w:rsidRDefault="004B39BB" w:rsidP="00D84639">
      <w:pPr>
        <w:jc w:val="both"/>
        <w:rPr>
          <w:b/>
          <w:bCs/>
          <w:szCs w:val="22"/>
          <w:lang w:val="en-GB"/>
        </w:rPr>
      </w:pPr>
    </w:p>
    <w:p w14:paraId="62840936" w14:textId="77777777" w:rsidR="004B39BB" w:rsidRPr="00D84639" w:rsidRDefault="004B39BB" w:rsidP="00D84639">
      <w:pPr>
        <w:jc w:val="both"/>
        <w:rPr>
          <w:b/>
          <w:bCs/>
          <w:szCs w:val="22"/>
          <w:lang w:val="en-GB"/>
        </w:rPr>
      </w:pPr>
    </w:p>
    <w:p w14:paraId="1D1F084B" w14:textId="63523EA4" w:rsidR="000B5AB8" w:rsidRPr="00D64CC6" w:rsidRDefault="00D810D8" w:rsidP="00D64CC6">
      <w:pPr>
        <w:pStyle w:val="Heading1"/>
      </w:pPr>
      <w:bookmarkStart w:id="46" w:name="_Toc220447472"/>
      <w:r w:rsidRPr="00D64CC6">
        <w:lastRenderedPageBreak/>
        <w:t>References</w:t>
      </w:r>
      <w:bookmarkEnd w:id="46"/>
    </w:p>
    <w:p w14:paraId="79289C07"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Ain, N.U., Ullah, O. and Bashir, B. (2025) ‘Socioeconomic Status and Access to Quality Higher Education: A Quantitative Study’, </w:t>
      </w:r>
      <w:r w:rsidRPr="00D84639">
        <w:rPr>
          <w:rFonts w:asciiTheme="minorHAnsi" w:hAnsiTheme="minorHAnsi" w:cs="Arial"/>
          <w:i/>
          <w:iCs/>
          <w:sz w:val="22"/>
          <w:szCs w:val="22"/>
        </w:rPr>
        <w:t>Journal of Regional Studies Review</w:t>
      </w:r>
      <w:r w:rsidRPr="00D84639">
        <w:rPr>
          <w:rFonts w:asciiTheme="minorHAnsi" w:hAnsiTheme="minorHAnsi" w:cs="Arial"/>
          <w:sz w:val="22"/>
          <w:szCs w:val="22"/>
        </w:rPr>
        <w:t>, 4(3), pp. 1–22. doi:https://doi.org/10.62843/jrsr/2025.4c116.</w:t>
      </w:r>
    </w:p>
    <w:p w14:paraId="25F6A7BD"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Ala, A. and Chen, F. (2022) ‘Appointment Scheduling Problem in Complexity Systems of the Healthcare Services: A Comprehensive Review’, </w:t>
      </w:r>
      <w:r w:rsidRPr="00D84639">
        <w:rPr>
          <w:rFonts w:asciiTheme="minorHAnsi" w:hAnsiTheme="minorHAnsi" w:cs="Arial"/>
          <w:i/>
          <w:iCs/>
          <w:sz w:val="22"/>
          <w:szCs w:val="22"/>
        </w:rPr>
        <w:t>Journal of Healthcare Engineering</w:t>
      </w:r>
      <w:r w:rsidRPr="00D84639">
        <w:rPr>
          <w:rFonts w:asciiTheme="minorHAnsi" w:hAnsiTheme="minorHAnsi" w:cs="Arial"/>
          <w:sz w:val="22"/>
          <w:szCs w:val="22"/>
        </w:rPr>
        <w:t>, 2022(5819813), p. e5819813. doi:https://doi.org/10.1155/2022/5819813.</w:t>
      </w:r>
    </w:p>
    <w:p w14:paraId="028DC66B"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Aldawood, 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(2024) ‘Theories, models and frameworks to understand barriers to the provision of mobility-assistive technologies: a scoping review’, </w:t>
      </w:r>
      <w:r w:rsidRPr="00D84639">
        <w:rPr>
          <w:rFonts w:asciiTheme="minorHAnsi" w:hAnsiTheme="minorHAnsi" w:cs="Arial"/>
          <w:i/>
          <w:iCs/>
          <w:sz w:val="22"/>
          <w:szCs w:val="22"/>
        </w:rPr>
        <w:t>BMJ Open</w:t>
      </w:r>
      <w:r w:rsidRPr="00D84639">
        <w:rPr>
          <w:rFonts w:asciiTheme="minorHAnsi" w:hAnsiTheme="minorHAnsi" w:cs="Arial"/>
          <w:sz w:val="22"/>
          <w:szCs w:val="22"/>
        </w:rPr>
        <w:t>, 14(5), p. 080633. doi:https://doi.org/10.1136/bmjopen-2023-080633.</w:t>
      </w:r>
    </w:p>
    <w:p w14:paraId="1401B8A9"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Alderwick, H., Hutchings, A. and Mays, N. (2024) ‘Solving poverty or tackling healthcare inequalities? Qualitative study exploring local interpretations of national policy on health inequalities under new NHS reforms in England’, </w:t>
      </w:r>
      <w:r w:rsidRPr="00D84639">
        <w:rPr>
          <w:rFonts w:asciiTheme="minorHAnsi" w:hAnsiTheme="minorHAnsi" w:cs="Arial"/>
          <w:i/>
          <w:iCs/>
          <w:sz w:val="22"/>
          <w:szCs w:val="22"/>
        </w:rPr>
        <w:t>BMJ Open</w:t>
      </w:r>
      <w:r w:rsidRPr="00D84639">
        <w:rPr>
          <w:rFonts w:asciiTheme="minorHAnsi" w:hAnsiTheme="minorHAnsi" w:cs="Arial"/>
          <w:sz w:val="22"/>
          <w:szCs w:val="22"/>
        </w:rPr>
        <w:t>, 14(4), p. e081954. doi:https://doi.org/10.1136/bmjopen-2023-081954.</w:t>
      </w:r>
    </w:p>
    <w:p w14:paraId="2115F14F"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Alkhawaldeh, 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(2023) ‘Application and Use of Andersen’s Behavioral Model as Theoretical Framework: A Systematic Literature Review from 2012–2021’, </w:t>
      </w:r>
      <w:r w:rsidRPr="00D84639">
        <w:rPr>
          <w:rFonts w:asciiTheme="minorHAnsi" w:hAnsiTheme="minorHAnsi" w:cs="Arial"/>
          <w:i/>
          <w:iCs/>
          <w:sz w:val="22"/>
          <w:szCs w:val="22"/>
        </w:rPr>
        <w:t>Iranian journal of public health</w:t>
      </w:r>
      <w:r w:rsidRPr="00D84639">
        <w:rPr>
          <w:rFonts w:asciiTheme="minorHAnsi" w:hAnsiTheme="minorHAnsi" w:cs="Arial"/>
          <w:sz w:val="22"/>
          <w:szCs w:val="22"/>
        </w:rPr>
        <w:t>, 52(7). doi:https://doi.org/10.18502/ijph.v52i7.13236.</w:t>
      </w:r>
    </w:p>
    <w:p w14:paraId="61D719DF"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Allan, R., Williamson, P. and Kulu, H. (2017) ‘Unravelling urban-rural health disparities in England’, </w:t>
      </w:r>
      <w:r w:rsidRPr="00D84639">
        <w:rPr>
          <w:rFonts w:asciiTheme="minorHAnsi" w:hAnsiTheme="minorHAnsi" w:cs="Arial"/>
          <w:i/>
          <w:iCs/>
          <w:sz w:val="22"/>
          <w:szCs w:val="22"/>
        </w:rPr>
        <w:t>Population, Space and Place</w:t>
      </w:r>
      <w:r w:rsidRPr="00D84639">
        <w:rPr>
          <w:rFonts w:asciiTheme="minorHAnsi" w:hAnsiTheme="minorHAnsi" w:cs="Arial"/>
          <w:sz w:val="22"/>
          <w:szCs w:val="22"/>
        </w:rPr>
        <w:t>, 23(8), p. e2073. doi:https://doi.org/10.1002/psp.2073.</w:t>
      </w:r>
    </w:p>
    <w:p w14:paraId="1408665E"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Almeida, A.P.S.C.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(2017) ‘Socioeconomic determinants of access to health services among older adults: a systematic review’, </w:t>
      </w:r>
      <w:r w:rsidRPr="00D84639">
        <w:rPr>
          <w:rFonts w:asciiTheme="minorHAnsi" w:hAnsiTheme="minorHAnsi" w:cs="Arial"/>
          <w:i/>
          <w:iCs/>
          <w:sz w:val="22"/>
          <w:szCs w:val="22"/>
        </w:rPr>
        <w:t>Revista de Saúde Pública</w:t>
      </w:r>
      <w:r w:rsidRPr="00D84639">
        <w:rPr>
          <w:rFonts w:asciiTheme="minorHAnsi" w:hAnsiTheme="minorHAnsi" w:cs="Arial"/>
          <w:sz w:val="22"/>
          <w:szCs w:val="22"/>
        </w:rPr>
        <w:t>, 51(0). doi:https://doi.org/10.1590/s1518-8787.2017051006661.</w:t>
      </w:r>
    </w:p>
    <w:p w14:paraId="214BDC46"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Asaria, M.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(2016) ‘How a universal health system reduces inequalities: lessons from England’, </w:t>
      </w:r>
      <w:r w:rsidRPr="00D84639">
        <w:rPr>
          <w:rFonts w:asciiTheme="minorHAnsi" w:hAnsiTheme="minorHAnsi" w:cs="Arial"/>
          <w:i/>
          <w:iCs/>
          <w:sz w:val="22"/>
          <w:szCs w:val="22"/>
        </w:rPr>
        <w:t>Journal of Epidemiology and Community Health</w:t>
      </w:r>
      <w:r w:rsidRPr="00D84639">
        <w:rPr>
          <w:rFonts w:asciiTheme="minorHAnsi" w:hAnsiTheme="minorHAnsi" w:cs="Arial"/>
          <w:sz w:val="22"/>
          <w:szCs w:val="22"/>
        </w:rPr>
        <w:t>, 70(7), pp. 637–643. doi:https://doi.org/10.1136/jech-2015-206742.</w:t>
      </w:r>
    </w:p>
    <w:p w14:paraId="764E1EC7"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Averill, R.F. and Mills, R.E. (2022) ‘Impact of Socioeconomic Status on Delivery System Effectiveness’, </w:t>
      </w:r>
      <w:r w:rsidRPr="00D84639">
        <w:rPr>
          <w:rFonts w:asciiTheme="minorHAnsi" w:hAnsiTheme="minorHAnsi" w:cs="Arial"/>
          <w:i/>
          <w:iCs/>
          <w:sz w:val="22"/>
          <w:szCs w:val="22"/>
        </w:rPr>
        <w:t>Journal of Ambulatory Care Management</w:t>
      </w:r>
      <w:r w:rsidRPr="00D84639">
        <w:rPr>
          <w:rFonts w:asciiTheme="minorHAnsi" w:hAnsiTheme="minorHAnsi" w:cs="Arial"/>
          <w:sz w:val="22"/>
          <w:szCs w:val="22"/>
        </w:rPr>
        <w:t>, Publish Ahead of Print. doi:https://doi.org/10.1097/jac.0000000000000438.</w:t>
      </w:r>
    </w:p>
    <w:p w14:paraId="2DFF9EB9"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lastRenderedPageBreak/>
        <w:t xml:space="preserve">Bammert, P.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(2024) ‘The role of mesolevel characteristics of the health care system and socioeconomic factors on health care use – results of a scoping review’, </w:t>
      </w:r>
      <w:r w:rsidRPr="00D84639">
        <w:rPr>
          <w:rFonts w:asciiTheme="minorHAnsi" w:hAnsiTheme="minorHAnsi" w:cs="Arial"/>
          <w:i/>
          <w:iCs/>
          <w:sz w:val="22"/>
          <w:szCs w:val="22"/>
        </w:rPr>
        <w:t>International journal for equity in health</w:t>
      </w:r>
      <w:r w:rsidRPr="00D84639">
        <w:rPr>
          <w:rFonts w:asciiTheme="minorHAnsi" w:hAnsiTheme="minorHAnsi" w:cs="Arial"/>
          <w:sz w:val="22"/>
          <w:szCs w:val="22"/>
        </w:rPr>
        <w:t>, 23(1). doi:https://doi.org/10.1186/s12939-024-02122-6.</w:t>
      </w:r>
    </w:p>
    <w:p w14:paraId="4278DE5F"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Basyouni, S.S. and El Keshky, M.E.S. (2021) ‘Job Insecurity, Work-Related Flow, and Financial Anxiety in the Midst of COVID-19 Pandemic and Economic Downturn’, </w:t>
      </w:r>
      <w:r w:rsidRPr="00D84639">
        <w:rPr>
          <w:rFonts w:asciiTheme="minorHAnsi" w:hAnsiTheme="minorHAnsi" w:cs="Arial"/>
          <w:i/>
          <w:iCs/>
          <w:sz w:val="22"/>
          <w:szCs w:val="22"/>
        </w:rPr>
        <w:t>Frontiers in Psychology</w:t>
      </w:r>
      <w:r w:rsidRPr="00D84639">
        <w:rPr>
          <w:rFonts w:asciiTheme="minorHAnsi" w:hAnsiTheme="minorHAnsi" w:cs="Arial"/>
          <w:sz w:val="22"/>
          <w:szCs w:val="22"/>
        </w:rPr>
        <w:t>, 12. doi:https://doi.org/10.3389/fpsyg.2021.632265.</w:t>
      </w:r>
    </w:p>
    <w:p w14:paraId="31F7C113"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Bekerom, L. van den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(2024) ‘Health behavior interventions among people with lower socio-economic position: a scoping review of behavior change techniques and effectiveness’, </w:t>
      </w:r>
      <w:r w:rsidRPr="00D84639">
        <w:rPr>
          <w:rFonts w:asciiTheme="minorHAnsi" w:hAnsiTheme="minorHAnsi" w:cs="Arial"/>
          <w:i/>
          <w:iCs/>
          <w:sz w:val="22"/>
          <w:szCs w:val="22"/>
        </w:rPr>
        <w:t>Health Psychology and Behavioral Medicine</w:t>
      </w:r>
      <w:r w:rsidRPr="00D84639">
        <w:rPr>
          <w:rFonts w:asciiTheme="minorHAnsi" w:hAnsiTheme="minorHAnsi" w:cs="Arial"/>
          <w:sz w:val="22"/>
          <w:szCs w:val="22"/>
        </w:rPr>
        <w:t>, 12(1), p. 2365931. doi:https://doi.org/10.1080/21642850.2024.2365931.</w:t>
      </w:r>
    </w:p>
    <w:p w14:paraId="08B6B239"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Braun, V. and Clarke, V. (2006) ‘Using Thematic Analysis in Psychology’, </w:t>
      </w:r>
      <w:r w:rsidRPr="00D84639">
        <w:rPr>
          <w:rFonts w:asciiTheme="minorHAnsi" w:hAnsiTheme="minorHAnsi" w:cs="Arial"/>
          <w:i/>
          <w:iCs/>
          <w:sz w:val="22"/>
          <w:szCs w:val="22"/>
        </w:rPr>
        <w:t>Qualitative Research in Psychology</w:t>
      </w:r>
      <w:r w:rsidRPr="00D84639">
        <w:rPr>
          <w:rFonts w:asciiTheme="minorHAnsi" w:hAnsiTheme="minorHAnsi" w:cs="Arial"/>
          <w:sz w:val="22"/>
          <w:szCs w:val="22"/>
        </w:rPr>
        <w:t>, 3(2), pp. 77–101. doi:https://doi.org/10.1191/1478088706qp063oa.</w:t>
      </w:r>
    </w:p>
    <w:p w14:paraId="63DFF0A6"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Brazil, N.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‘Beyond the residential neighborhood: A scoping review of research on urban neighborhood networks’, </w:t>
      </w:r>
      <w:r w:rsidRPr="00D84639">
        <w:rPr>
          <w:rFonts w:asciiTheme="minorHAnsi" w:hAnsiTheme="minorHAnsi" w:cs="Arial"/>
          <w:i/>
          <w:iCs/>
          <w:sz w:val="22"/>
          <w:szCs w:val="22"/>
        </w:rPr>
        <w:t>Social Science &amp; Medicine</w:t>
      </w:r>
      <w:r w:rsidRPr="00D84639">
        <w:rPr>
          <w:rFonts w:asciiTheme="minorHAnsi" w:hAnsiTheme="minorHAnsi" w:cs="Arial"/>
          <w:sz w:val="22"/>
          <w:szCs w:val="22"/>
        </w:rPr>
        <w:t>, 372, p. 117945. doi:https://doi.org/10.1016/j.socscimed.2025.117945.</w:t>
      </w:r>
    </w:p>
    <w:p w14:paraId="211FF622"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Cabañero-Garcia, E.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‘Barriers to health, Social and long-term Care Access among Older adults: a Systematic Review of Reviews’, </w:t>
      </w:r>
      <w:r w:rsidRPr="00D84639">
        <w:rPr>
          <w:rFonts w:asciiTheme="minorHAnsi" w:hAnsiTheme="minorHAnsi" w:cs="Arial"/>
          <w:i/>
          <w:iCs/>
          <w:sz w:val="22"/>
          <w:szCs w:val="22"/>
        </w:rPr>
        <w:t>International Journal for Equity in Health</w:t>
      </w:r>
      <w:r w:rsidRPr="00D84639">
        <w:rPr>
          <w:rFonts w:asciiTheme="minorHAnsi" w:hAnsiTheme="minorHAnsi" w:cs="Arial"/>
          <w:sz w:val="22"/>
          <w:szCs w:val="22"/>
        </w:rPr>
        <w:t>, 24(1). doi:https://doi.org/10.1186/s12939-025-02429-y.</w:t>
      </w:r>
    </w:p>
    <w:p w14:paraId="62324A6B"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Castillo, C.P.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(2022) ‘Urban–rural continuum: an overview of their interactions and territorial disparities’, </w:t>
      </w:r>
      <w:r w:rsidRPr="00D84639">
        <w:rPr>
          <w:rFonts w:asciiTheme="minorHAnsi" w:hAnsiTheme="minorHAnsi" w:cs="Arial"/>
          <w:i/>
          <w:iCs/>
          <w:sz w:val="22"/>
          <w:szCs w:val="22"/>
        </w:rPr>
        <w:t>Regional Science Policy &amp; Practice</w:t>
      </w:r>
      <w:r w:rsidRPr="00D84639">
        <w:rPr>
          <w:rFonts w:asciiTheme="minorHAnsi" w:hAnsiTheme="minorHAnsi" w:cs="Arial"/>
          <w:sz w:val="22"/>
          <w:szCs w:val="22"/>
        </w:rPr>
        <w:t>, 15(4), pp. 729–768. doi:https://doi.org/10.1111/rsp3.12592.</w:t>
      </w:r>
    </w:p>
    <w:p w14:paraId="3E5DE36E"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Chen, X.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(2019) ‘Differences in Rural and Urban Health Information Access and Use’, </w:t>
      </w:r>
      <w:r w:rsidRPr="00D84639">
        <w:rPr>
          <w:rFonts w:asciiTheme="minorHAnsi" w:hAnsiTheme="minorHAnsi" w:cs="Arial"/>
          <w:i/>
          <w:iCs/>
          <w:sz w:val="22"/>
          <w:szCs w:val="22"/>
        </w:rPr>
        <w:t>The Journal of Rural Health</w:t>
      </w:r>
      <w:r w:rsidRPr="00D84639">
        <w:rPr>
          <w:rFonts w:asciiTheme="minorHAnsi" w:hAnsiTheme="minorHAnsi" w:cs="Arial"/>
          <w:sz w:val="22"/>
          <w:szCs w:val="22"/>
        </w:rPr>
        <w:t>, 35(3), pp. 405–417. doi:https://doi.org/10.1111/jrh.12335.</w:t>
      </w:r>
    </w:p>
    <w:p w14:paraId="32EAD6C4"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Chigbu, U.E., Atiku, S.O. and Du Plessis, C.C. (2023) ‘The Science of Literature Reviews: Searching, Identifying, Selecting, and Synthesising’, </w:t>
      </w:r>
      <w:r w:rsidRPr="00D84639">
        <w:rPr>
          <w:rFonts w:asciiTheme="minorHAnsi" w:hAnsiTheme="minorHAnsi" w:cs="Arial"/>
          <w:i/>
          <w:iCs/>
          <w:sz w:val="22"/>
          <w:szCs w:val="22"/>
        </w:rPr>
        <w:t>Publications</w:t>
      </w:r>
      <w:r w:rsidRPr="00D84639">
        <w:rPr>
          <w:rFonts w:asciiTheme="minorHAnsi" w:hAnsiTheme="minorHAnsi" w:cs="Arial"/>
          <w:sz w:val="22"/>
          <w:szCs w:val="22"/>
        </w:rPr>
        <w:t>, 11(1), p. 2. doi:https://doi.org/10.3390/publications11010002.</w:t>
      </w:r>
    </w:p>
    <w:p w14:paraId="763DF4F1"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Coates, 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‘The Impact of Rural Hospital Closures and Mergers on Health System Ecologies: A Scoping Review’, </w:t>
      </w:r>
      <w:r w:rsidRPr="00D84639">
        <w:rPr>
          <w:rFonts w:asciiTheme="minorHAnsi" w:hAnsiTheme="minorHAnsi" w:cs="Arial"/>
          <w:i/>
          <w:iCs/>
          <w:sz w:val="22"/>
          <w:szCs w:val="22"/>
        </w:rPr>
        <w:t>Medical care research and review : MCRR</w:t>
      </w:r>
      <w:r w:rsidRPr="00D84639">
        <w:rPr>
          <w:rFonts w:asciiTheme="minorHAnsi" w:hAnsiTheme="minorHAnsi" w:cs="Arial"/>
          <w:sz w:val="22"/>
          <w:szCs w:val="22"/>
        </w:rPr>
        <w:t>, 82(5), pp. 359–375. doi:https://doi.org/10.1177/10775587251355671.</w:t>
      </w:r>
    </w:p>
    <w:p w14:paraId="41EAB64A"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lastRenderedPageBreak/>
        <w:t xml:space="preserve">Dassah, E.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(2018) ‘Factors affecting access to primary health care services for persons with disabilities in rural areas: a “best-fit” framework synthesis’, </w:t>
      </w:r>
      <w:r w:rsidRPr="00D84639">
        <w:rPr>
          <w:rFonts w:asciiTheme="minorHAnsi" w:hAnsiTheme="minorHAnsi" w:cs="Arial"/>
          <w:i/>
          <w:iCs/>
          <w:sz w:val="22"/>
          <w:szCs w:val="22"/>
        </w:rPr>
        <w:t>Global Health Research and Policy</w:t>
      </w:r>
      <w:r w:rsidRPr="00D84639">
        <w:rPr>
          <w:rFonts w:asciiTheme="minorHAnsi" w:hAnsiTheme="minorHAnsi" w:cs="Arial"/>
          <w:sz w:val="22"/>
          <w:szCs w:val="22"/>
        </w:rPr>
        <w:t>, 3(1). doi:https://doi.org/10.1186/s41256-018-0091-x.</w:t>
      </w:r>
    </w:p>
    <w:p w14:paraId="64600E92"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Erku, D.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(2023) ‘Community engagement initiatives in primary health care to achieve universal health coverage: A realist synthesis of scoping review’, </w:t>
      </w:r>
      <w:r w:rsidRPr="00D84639">
        <w:rPr>
          <w:rFonts w:asciiTheme="minorHAnsi" w:hAnsiTheme="minorHAnsi" w:cs="Arial"/>
          <w:i/>
          <w:iCs/>
          <w:sz w:val="22"/>
          <w:szCs w:val="22"/>
        </w:rPr>
        <w:t>PLOS ONE</w:t>
      </w:r>
      <w:r w:rsidRPr="00D84639">
        <w:rPr>
          <w:rFonts w:asciiTheme="minorHAnsi" w:hAnsiTheme="minorHAnsi" w:cs="Arial"/>
          <w:sz w:val="22"/>
          <w:szCs w:val="22"/>
        </w:rPr>
        <w:t>. Edited by S. Reddy, 18(5). doi:https://doi.org/10.1371/journal.pone.0285222.</w:t>
      </w:r>
    </w:p>
    <w:p w14:paraId="541BE123"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Ford, J.A.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(2016) ‘Access to primary care for socioeconomically disadvantaged older people in rural areas: a realist review’, </w:t>
      </w:r>
      <w:r w:rsidRPr="00D84639">
        <w:rPr>
          <w:rFonts w:asciiTheme="minorHAnsi" w:hAnsiTheme="minorHAnsi" w:cs="Arial"/>
          <w:i/>
          <w:iCs/>
          <w:sz w:val="22"/>
          <w:szCs w:val="22"/>
        </w:rPr>
        <w:t>BMJ Open</w:t>
      </w:r>
      <w:r w:rsidRPr="00D84639">
        <w:rPr>
          <w:rFonts w:asciiTheme="minorHAnsi" w:hAnsiTheme="minorHAnsi" w:cs="Arial"/>
          <w:sz w:val="22"/>
          <w:szCs w:val="22"/>
        </w:rPr>
        <w:t>, 6(5), p. e010652. doi:https://doi.org/10.1136/bmjopen-2015-010652.</w:t>
      </w:r>
    </w:p>
    <w:p w14:paraId="4C98DD59"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Fortes, K.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(2022) ‘The influence of social determinants of education on nursing student persistence and professional values’, </w:t>
      </w:r>
      <w:r w:rsidRPr="00D84639">
        <w:rPr>
          <w:rFonts w:asciiTheme="minorHAnsi" w:hAnsiTheme="minorHAnsi" w:cs="Arial"/>
          <w:i/>
          <w:iCs/>
          <w:sz w:val="22"/>
          <w:szCs w:val="22"/>
        </w:rPr>
        <w:t>Journal of Professional Nursing</w:t>
      </w:r>
      <w:r w:rsidRPr="00D84639">
        <w:rPr>
          <w:rFonts w:asciiTheme="minorHAnsi" w:hAnsiTheme="minorHAnsi" w:cs="Arial"/>
          <w:sz w:val="22"/>
          <w:szCs w:val="22"/>
        </w:rPr>
        <w:t>, 39(1), pp. 41–53. doi:https://doi.org/10.1016/j.profnurs.2021.11.011.</w:t>
      </w:r>
    </w:p>
    <w:p w14:paraId="1F706CCF"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French, M.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(2021) ‘Exploring socioeconomic inequities in access to palliative and end-of-life care in the UK: a narrative synthesis’, </w:t>
      </w:r>
      <w:r w:rsidRPr="00D84639">
        <w:rPr>
          <w:rFonts w:asciiTheme="minorHAnsi" w:hAnsiTheme="minorHAnsi" w:cs="Arial"/>
          <w:i/>
          <w:iCs/>
          <w:sz w:val="22"/>
          <w:szCs w:val="22"/>
        </w:rPr>
        <w:t>BMC Palliative Care</w:t>
      </w:r>
      <w:r w:rsidRPr="00D84639">
        <w:rPr>
          <w:rFonts w:asciiTheme="minorHAnsi" w:hAnsiTheme="minorHAnsi" w:cs="Arial"/>
          <w:sz w:val="22"/>
          <w:szCs w:val="22"/>
        </w:rPr>
        <w:t>, 20(1), p. 179. doi:https://doi.org/10.1186/s12904-021-00878-0.</w:t>
      </w:r>
    </w:p>
    <w:p w14:paraId="370B13FF"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Gabriel, K.P.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‘Socioeconomic Status and Employee Well-Being: An Intersectional and Resource-Based View of Health Inequalities at Work’, </w:t>
      </w:r>
      <w:r w:rsidRPr="00D84639">
        <w:rPr>
          <w:rFonts w:asciiTheme="minorHAnsi" w:hAnsiTheme="minorHAnsi" w:cs="Arial"/>
          <w:i/>
          <w:iCs/>
          <w:sz w:val="22"/>
          <w:szCs w:val="22"/>
        </w:rPr>
        <w:t>Journal of Management</w:t>
      </w:r>
      <w:r w:rsidRPr="00D84639">
        <w:rPr>
          <w:rFonts w:asciiTheme="minorHAnsi" w:hAnsiTheme="minorHAnsi" w:cs="Arial"/>
          <w:sz w:val="22"/>
          <w:szCs w:val="22"/>
        </w:rPr>
        <w:t>, 51(6). doi:https://doi.org/10.1177/01492063241311869.</w:t>
      </w:r>
    </w:p>
    <w:p w14:paraId="3F0AEC76"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Gulliford, M.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(2022) ‘What does “access to health care” mean?’, </w:t>
      </w:r>
      <w:r w:rsidRPr="00D84639">
        <w:rPr>
          <w:rFonts w:asciiTheme="minorHAnsi" w:hAnsiTheme="minorHAnsi" w:cs="Arial"/>
          <w:i/>
          <w:iCs/>
          <w:sz w:val="22"/>
          <w:szCs w:val="22"/>
        </w:rPr>
        <w:t>Journal of Health Services Research &amp; Policy</w:t>
      </w:r>
      <w:r w:rsidRPr="00D84639">
        <w:rPr>
          <w:rFonts w:asciiTheme="minorHAnsi" w:hAnsiTheme="minorHAnsi" w:cs="Arial"/>
          <w:sz w:val="22"/>
          <w:szCs w:val="22"/>
        </w:rPr>
        <w:t>, 7(3), pp. 186–188. doi:https://doi.org/10.1258/135581902760082517.</w:t>
      </w:r>
    </w:p>
    <w:p w14:paraId="211E4801"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Gupta, K. (2024) ‘Methodological and Theoretical Rigor in Desk Research’.</w:t>
      </w:r>
    </w:p>
    <w:p w14:paraId="21BD1FBD"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Halliday, J. (2025) </w:t>
      </w:r>
      <w:r w:rsidRPr="00D84639">
        <w:rPr>
          <w:rFonts w:asciiTheme="minorHAnsi" w:hAnsiTheme="minorHAnsi" w:cs="Arial"/>
          <w:i/>
          <w:iCs/>
          <w:sz w:val="22"/>
          <w:szCs w:val="22"/>
        </w:rPr>
        <w:t>Britain’s ‘medieval’ health inequality is devastating NHS, experts say</w:t>
      </w:r>
      <w:r w:rsidRPr="00D84639">
        <w:rPr>
          <w:rFonts w:asciiTheme="minorHAnsi" w:hAnsiTheme="minorHAnsi" w:cs="Arial"/>
          <w:sz w:val="22"/>
          <w:szCs w:val="22"/>
        </w:rPr>
        <w:t xml:space="preserve">, </w:t>
      </w:r>
      <w:r w:rsidRPr="00D84639">
        <w:rPr>
          <w:rFonts w:asciiTheme="minorHAnsi" w:hAnsiTheme="minorHAnsi" w:cs="Arial"/>
          <w:i/>
          <w:iCs/>
          <w:sz w:val="22"/>
          <w:szCs w:val="22"/>
        </w:rPr>
        <w:t>the Guardian</w:t>
      </w:r>
      <w:r w:rsidRPr="00D84639">
        <w:rPr>
          <w:rFonts w:asciiTheme="minorHAnsi" w:hAnsiTheme="minorHAnsi" w:cs="Arial"/>
          <w:sz w:val="22"/>
          <w:szCs w:val="22"/>
        </w:rPr>
        <w:t>. The Guardian. Available at: https://www.theguardian.com/society/2025/jun/29/britains-medieval-health-inequality-is-devastating-nhs-experts-say (Accessed: 1 December 2025).</w:t>
      </w:r>
    </w:p>
    <w:p w14:paraId="6F77532C"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Hart, J.T. (1971) ‘The Inverse Care Law’, </w:t>
      </w:r>
      <w:r w:rsidRPr="00D84639">
        <w:rPr>
          <w:rFonts w:asciiTheme="minorHAnsi" w:hAnsiTheme="minorHAnsi" w:cs="Arial"/>
          <w:i/>
          <w:iCs/>
          <w:sz w:val="22"/>
          <w:szCs w:val="22"/>
        </w:rPr>
        <w:t>The Lancet</w:t>
      </w:r>
      <w:r w:rsidRPr="00D84639">
        <w:rPr>
          <w:rFonts w:asciiTheme="minorHAnsi" w:hAnsiTheme="minorHAnsi" w:cs="Arial"/>
          <w:sz w:val="22"/>
          <w:szCs w:val="22"/>
        </w:rPr>
        <w:t>, 297(7696), pp. 405–412. doi:https://doi.org/10.1016/s0140-6736(71)92410-x.</w:t>
      </w:r>
    </w:p>
    <w:p w14:paraId="4FBEC40E"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lastRenderedPageBreak/>
        <w:t xml:space="preserve">House of Commons (2021) </w:t>
      </w:r>
      <w:r w:rsidRPr="00D84639">
        <w:rPr>
          <w:rFonts w:asciiTheme="minorHAnsi" w:hAnsiTheme="minorHAnsi" w:cs="Arial"/>
          <w:i/>
          <w:iCs/>
          <w:sz w:val="22"/>
          <w:szCs w:val="22"/>
        </w:rPr>
        <w:t>The Government’s White Paper proposals for the reform of Health and Social Care First Report of Session 2021–22</w:t>
      </w:r>
      <w:r w:rsidRPr="00D84639">
        <w:rPr>
          <w:rFonts w:asciiTheme="minorHAnsi" w:hAnsiTheme="minorHAnsi" w:cs="Arial"/>
          <w:sz w:val="22"/>
          <w:szCs w:val="22"/>
        </w:rPr>
        <w:t>. House of Commons Health and Social Care Committee, pp. 1–54.</w:t>
      </w:r>
    </w:p>
    <w:p w14:paraId="64743DB4"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Kalidas, A.J. (2021) ‘The Effectiveness of CRAAP Test in Evaluating Credibility of Sources’, </w:t>
      </w:r>
      <w:r w:rsidRPr="00D84639">
        <w:rPr>
          <w:rFonts w:asciiTheme="minorHAnsi" w:hAnsiTheme="minorHAnsi" w:cs="Arial"/>
          <w:i/>
          <w:iCs/>
          <w:sz w:val="22"/>
          <w:szCs w:val="22"/>
        </w:rPr>
        <w:t>International Journal of TESOL &amp; Education</w:t>
      </w:r>
      <w:r w:rsidRPr="00D84639">
        <w:rPr>
          <w:rFonts w:asciiTheme="minorHAnsi" w:hAnsiTheme="minorHAnsi" w:cs="Arial"/>
          <w:sz w:val="22"/>
          <w:szCs w:val="22"/>
        </w:rPr>
        <w:t>, 1(2), pp. 1–14.</w:t>
      </w:r>
    </w:p>
    <w:p w14:paraId="5A6FFC74"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Khatri, R.B.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(2024) ‘Enablers and barriers of community health programs for improved equity and universal coverage of primary health care services: A scoping review’, </w:t>
      </w:r>
      <w:r w:rsidRPr="00D84639">
        <w:rPr>
          <w:rFonts w:asciiTheme="minorHAnsi" w:hAnsiTheme="minorHAnsi" w:cs="Arial"/>
          <w:i/>
          <w:iCs/>
          <w:sz w:val="22"/>
          <w:szCs w:val="22"/>
        </w:rPr>
        <w:t>BMC Primary Care</w:t>
      </w:r>
      <w:r w:rsidRPr="00D84639">
        <w:rPr>
          <w:rFonts w:asciiTheme="minorHAnsi" w:hAnsiTheme="minorHAnsi" w:cs="Arial"/>
          <w:sz w:val="22"/>
          <w:szCs w:val="22"/>
        </w:rPr>
        <w:t>, 25(1). doi:https://doi.org/10.1186/s12875-024-02629-5.</w:t>
      </w:r>
    </w:p>
    <w:p w14:paraId="1534D4B8"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Khraim, F.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‘Exploring Influencing Factors on Health Literacy Knowledge and Experience Among Healthcare Providers: A Cross-Sectional Study’, </w:t>
      </w:r>
      <w:r w:rsidRPr="00D84639">
        <w:rPr>
          <w:rFonts w:asciiTheme="minorHAnsi" w:hAnsiTheme="minorHAnsi" w:cs="Arial"/>
          <w:i/>
          <w:iCs/>
          <w:sz w:val="22"/>
          <w:szCs w:val="22"/>
        </w:rPr>
        <w:t>Risk Management and Healthcare Policy</w:t>
      </w:r>
      <w:r w:rsidRPr="00D84639">
        <w:rPr>
          <w:rFonts w:asciiTheme="minorHAnsi" w:hAnsiTheme="minorHAnsi" w:cs="Arial"/>
          <w:sz w:val="22"/>
          <w:szCs w:val="22"/>
        </w:rPr>
        <w:t>, Volume 18, pp. 2297–2311. doi:https://doi.org/10.2147/rmhp.s504064.</w:t>
      </w:r>
    </w:p>
    <w:p w14:paraId="26D163DF"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Lai, L.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(2024) ‘Effects of human inequality and urbanization on ecological well-being performance: A System-GMM analysis’, </w:t>
      </w:r>
      <w:r w:rsidRPr="00D84639">
        <w:rPr>
          <w:rFonts w:asciiTheme="minorHAnsi" w:hAnsiTheme="minorHAnsi" w:cs="Arial"/>
          <w:i/>
          <w:iCs/>
          <w:sz w:val="22"/>
          <w:szCs w:val="22"/>
        </w:rPr>
        <w:t>Heliyon</w:t>
      </w:r>
      <w:r w:rsidRPr="00D84639">
        <w:rPr>
          <w:rFonts w:asciiTheme="minorHAnsi" w:hAnsiTheme="minorHAnsi" w:cs="Arial"/>
          <w:sz w:val="22"/>
          <w:szCs w:val="22"/>
        </w:rPr>
        <w:t>, 10(13), pp. e34040–e34040. doi:https://doi.org/10.1016/j.heliyon.2024.e34040.</w:t>
      </w:r>
    </w:p>
    <w:p w14:paraId="49F1315C"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Lederle, M., Tempes, J. and Bitzer, E.M. (2021) ‘Application of Andersen’s behavioural model of health services use: a scoping review with a focus on qualitative health services research’, </w:t>
      </w:r>
      <w:r w:rsidRPr="00D84639">
        <w:rPr>
          <w:rFonts w:asciiTheme="minorHAnsi" w:hAnsiTheme="minorHAnsi" w:cs="Arial"/>
          <w:i/>
          <w:iCs/>
          <w:sz w:val="22"/>
          <w:szCs w:val="22"/>
        </w:rPr>
        <w:t>BMJ Open</w:t>
      </w:r>
      <w:r w:rsidRPr="00D84639">
        <w:rPr>
          <w:rFonts w:asciiTheme="minorHAnsi" w:hAnsiTheme="minorHAnsi" w:cs="Arial"/>
          <w:sz w:val="22"/>
          <w:szCs w:val="22"/>
        </w:rPr>
        <w:t>, 11(5), p. e045018. doi:https://doi.org/10.1136/bmjopen-2020-045018.</w:t>
      </w:r>
    </w:p>
    <w:p w14:paraId="44FF7DF9"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Lloyd, R.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(2023) ‘Health service improvement using positive patient feedback: Systematic scoping review’, </w:t>
      </w:r>
      <w:r w:rsidRPr="00D84639">
        <w:rPr>
          <w:rFonts w:asciiTheme="minorHAnsi" w:hAnsiTheme="minorHAnsi" w:cs="Arial"/>
          <w:i/>
          <w:iCs/>
          <w:sz w:val="22"/>
          <w:szCs w:val="22"/>
        </w:rPr>
        <w:t>ProQuest</w:t>
      </w:r>
      <w:r w:rsidRPr="00D84639">
        <w:rPr>
          <w:rFonts w:asciiTheme="minorHAnsi" w:hAnsiTheme="minorHAnsi" w:cs="Arial"/>
          <w:sz w:val="22"/>
          <w:szCs w:val="22"/>
        </w:rPr>
        <w:t>, 18(10), p. e0275045. doi:https://doi.org/10.1371/journal.pone.0275045.</w:t>
      </w:r>
    </w:p>
    <w:p w14:paraId="18909459"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Looper, M. de and Lafortune, G. (2009) ‘Measuring Disparities in Health Status and in Access and Use of Health Care in OECD Countries’, </w:t>
      </w:r>
      <w:r w:rsidRPr="00D84639">
        <w:rPr>
          <w:rFonts w:asciiTheme="minorHAnsi" w:hAnsiTheme="minorHAnsi" w:cs="Arial"/>
          <w:i/>
          <w:iCs/>
          <w:sz w:val="22"/>
          <w:szCs w:val="22"/>
        </w:rPr>
        <w:t>www.oecd-ilibrary.org</w:t>
      </w:r>
      <w:r w:rsidRPr="00D84639">
        <w:rPr>
          <w:rFonts w:asciiTheme="minorHAnsi" w:hAnsiTheme="minorHAnsi" w:cs="Arial"/>
          <w:sz w:val="22"/>
          <w:szCs w:val="22"/>
        </w:rPr>
        <w:t xml:space="preserve"> [Preprint]. doi:https://doi.org/10.1787/225748084267.</w:t>
      </w:r>
    </w:p>
    <w:p w14:paraId="7D97DA78"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Lu, K.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(2022) ‘Impact of Financial Barriers on Health status, Healthcare Utilisation and Economic Burden among Individuals with Cognitive impairment: a National cross-sectional Survey’, </w:t>
      </w:r>
      <w:r w:rsidRPr="00D84639">
        <w:rPr>
          <w:rFonts w:asciiTheme="minorHAnsi" w:hAnsiTheme="minorHAnsi" w:cs="Arial"/>
          <w:i/>
          <w:iCs/>
          <w:sz w:val="22"/>
          <w:szCs w:val="22"/>
        </w:rPr>
        <w:t>BMJ Open</w:t>
      </w:r>
      <w:r w:rsidRPr="00D84639">
        <w:rPr>
          <w:rFonts w:asciiTheme="minorHAnsi" w:hAnsiTheme="minorHAnsi" w:cs="Arial"/>
          <w:sz w:val="22"/>
          <w:szCs w:val="22"/>
        </w:rPr>
        <w:t>, 12(5), p. e056466. doi:https://doi.org/10.1136/bmjopen-2021-056466.</w:t>
      </w:r>
    </w:p>
    <w:p w14:paraId="45A51A04"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Lynch, L.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‘“Where am I meant to go from here?”: Young people’s experiences of navigating referral processes, waiting lists and access pathways in mental health services’, </w:t>
      </w:r>
      <w:r w:rsidRPr="00D84639">
        <w:rPr>
          <w:rFonts w:asciiTheme="minorHAnsi" w:hAnsiTheme="minorHAnsi" w:cs="Arial"/>
          <w:i/>
          <w:iCs/>
          <w:sz w:val="22"/>
          <w:szCs w:val="22"/>
        </w:rPr>
        <w:lastRenderedPageBreak/>
        <w:t>Children and Youth Services Review</w:t>
      </w:r>
      <w:r w:rsidRPr="00D84639">
        <w:rPr>
          <w:rFonts w:asciiTheme="minorHAnsi" w:hAnsiTheme="minorHAnsi" w:cs="Arial"/>
          <w:sz w:val="22"/>
          <w:szCs w:val="22"/>
        </w:rPr>
        <w:t>, 172, p. 108248. doi:https://doi.org/10.1016/j.childyouth.2025.108248.</w:t>
      </w:r>
    </w:p>
    <w:p w14:paraId="69E3DEFF"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Mah, H., Dobson, R. and Thomson, A. (2025) ‘The Importance of Lived Experience: A Scoping Review on the Value of Patient and Public Involvement in Health Research’, </w:t>
      </w:r>
      <w:r w:rsidRPr="00D84639">
        <w:rPr>
          <w:rFonts w:asciiTheme="minorHAnsi" w:hAnsiTheme="minorHAnsi" w:cs="Arial"/>
          <w:i/>
          <w:iCs/>
          <w:sz w:val="22"/>
          <w:szCs w:val="22"/>
        </w:rPr>
        <w:t>Health Expectations</w:t>
      </w:r>
      <w:r w:rsidRPr="00D84639">
        <w:rPr>
          <w:rFonts w:asciiTheme="minorHAnsi" w:hAnsiTheme="minorHAnsi" w:cs="Arial"/>
          <w:sz w:val="22"/>
          <w:szCs w:val="22"/>
        </w:rPr>
        <w:t>, 28(2). doi:https://doi.org/10.1111/hex.70205.</w:t>
      </w:r>
    </w:p>
    <w:p w14:paraId="65EECAC8"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Manarte, L. (2024) ‘Technology and Access to Healthcare with Different Scheduling Systems: A Scoping Review’, </w:t>
      </w:r>
      <w:r w:rsidRPr="00D84639">
        <w:rPr>
          <w:rFonts w:asciiTheme="minorHAnsi" w:hAnsiTheme="minorHAnsi" w:cs="Arial"/>
          <w:i/>
          <w:iCs/>
          <w:sz w:val="22"/>
          <w:szCs w:val="22"/>
        </w:rPr>
        <w:t>Healthcare Informatics Research</w:t>
      </w:r>
      <w:r w:rsidRPr="00D84639">
        <w:rPr>
          <w:rFonts w:asciiTheme="minorHAnsi" w:hAnsiTheme="minorHAnsi" w:cs="Arial"/>
          <w:sz w:val="22"/>
          <w:szCs w:val="22"/>
        </w:rPr>
        <w:t>, 30(3), pp. 194–205. doi:https://doi.org/10.4258/hir.2024.30.3.194.</w:t>
      </w:r>
    </w:p>
    <w:p w14:paraId="14E634F3"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Marmot, M. and Bell, R. (2010) ‘Fair society, Healthy Lives’, </w:t>
      </w:r>
      <w:r w:rsidRPr="00D84639">
        <w:rPr>
          <w:rFonts w:asciiTheme="minorHAnsi" w:hAnsiTheme="minorHAnsi" w:cs="Arial"/>
          <w:i/>
          <w:iCs/>
          <w:sz w:val="22"/>
          <w:szCs w:val="22"/>
        </w:rPr>
        <w:t>Public Health</w:t>
      </w:r>
      <w:r w:rsidRPr="00D84639">
        <w:rPr>
          <w:rFonts w:asciiTheme="minorHAnsi" w:hAnsiTheme="minorHAnsi" w:cs="Arial"/>
          <w:sz w:val="22"/>
          <w:szCs w:val="22"/>
        </w:rPr>
        <w:t>, 126(1), pp. S4–S10. doi:https://doi.org/10.1016/j.puhe.2012.05.014.</w:t>
      </w:r>
    </w:p>
    <w:p w14:paraId="5E89FD08"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McAllister, 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(2018) ‘How do macro-level structural determinants affect inequalities in mental health? – a systematic review of the literature’, </w:t>
      </w:r>
      <w:r w:rsidRPr="00D84639">
        <w:rPr>
          <w:rFonts w:asciiTheme="minorHAnsi" w:hAnsiTheme="minorHAnsi" w:cs="Arial"/>
          <w:i/>
          <w:iCs/>
          <w:sz w:val="22"/>
          <w:szCs w:val="22"/>
        </w:rPr>
        <w:t>International Journal for Equity in Health</w:t>
      </w:r>
      <w:r w:rsidRPr="00D84639">
        <w:rPr>
          <w:rFonts w:asciiTheme="minorHAnsi" w:hAnsiTheme="minorHAnsi" w:cs="Arial"/>
          <w:sz w:val="22"/>
          <w:szCs w:val="22"/>
        </w:rPr>
        <w:t>, 17(1). doi:https://doi.org/10.1186/s12939-018-0879-9.</w:t>
      </w:r>
    </w:p>
    <w:p w14:paraId="6EBD02EE"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McMaughan, D.J., Oloruntoba, O. and Smith, M.L. (2020) ‘Socioeconomic Status and Access to healthcare: Interrelated Drivers for Healthy Aging’, </w:t>
      </w:r>
      <w:r w:rsidRPr="00D84639">
        <w:rPr>
          <w:rFonts w:asciiTheme="minorHAnsi" w:hAnsiTheme="minorHAnsi" w:cs="Arial"/>
          <w:i/>
          <w:iCs/>
          <w:sz w:val="22"/>
          <w:szCs w:val="22"/>
        </w:rPr>
        <w:t>Frontiers in Public Health</w:t>
      </w:r>
      <w:r w:rsidRPr="00D84639">
        <w:rPr>
          <w:rFonts w:asciiTheme="minorHAnsi" w:hAnsiTheme="minorHAnsi" w:cs="Arial"/>
          <w:sz w:val="22"/>
          <w:szCs w:val="22"/>
        </w:rPr>
        <w:t>, 8(231), pp. 1–9. doi:https://doi.org/10.3389/fpubh.2020.00231.</w:t>
      </w:r>
    </w:p>
    <w:p w14:paraId="64265B4C"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Meulman, I.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(2024) ‘Systematic review of individual-level, community-level, and healthcare system-level factors contributing to socioeconomic differences in healthcare utilisation in OECD countries with universal health coverage’, </w:t>
      </w:r>
      <w:r w:rsidRPr="00D84639">
        <w:rPr>
          <w:rFonts w:asciiTheme="minorHAnsi" w:hAnsiTheme="minorHAnsi" w:cs="Arial"/>
          <w:i/>
          <w:iCs/>
          <w:sz w:val="22"/>
          <w:szCs w:val="22"/>
        </w:rPr>
        <w:t>BMJ open</w:t>
      </w:r>
      <w:r w:rsidRPr="00D84639">
        <w:rPr>
          <w:rFonts w:asciiTheme="minorHAnsi" w:hAnsiTheme="minorHAnsi" w:cs="Arial"/>
          <w:sz w:val="22"/>
          <w:szCs w:val="22"/>
        </w:rPr>
        <w:t>, 14(3). doi:https://doi.org/10.1136/bmjopen-2023-080559.</w:t>
      </w:r>
    </w:p>
    <w:p w14:paraId="2E894F99"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Mohamed, Y.A.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‘A survey on health spending and comprehensive eGuide for healthcare: Challenges, implementation and future directions’, </w:t>
      </w:r>
      <w:r w:rsidRPr="00D84639">
        <w:rPr>
          <w:rFonts w:asciiTheme="minorHAnsi" w:hAnsiTheme="minorHAnsi" w:cs="Arial"/>
          <w:i/>
          <w:iCs/>
          <w:sz w:val="22"/>
          <w:szCs w:val="22"/>
        </w:rPr>
        <w:t>Sustainable Futures</w:t>
      </w:r>
      <w:r w:rsidRPr="00D84639">
        <w:rPr>
          <w:rFonts w:asciiTheme="minorHAnsi" w:hAnsiTheme="minorHAnsi" w:cs="Arial"/>
          <w:sz w:val="22"/>
          <w:szCs w:val="22"/>
        </w:rPr>
        <w:t>, 11, p. 101584. doi:https://doi.org/10.1016/j.sftr.2025.101584.</w:t>
      </w:r>
    </w:p>
    <w:p w14:paraId="64BF6404"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Moscrop, 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(2019) ‘A systematic review of reasons for and against asking patients about their socioeconomic contexts’, </w:t>
      </w:r>
      <w:r w:rsidRPr="00D84639">
        <w:rPr>
          <w:rFonts w:asciiTheme="minorHAnsi" w:hAnsiTheme="minorHAnsi" w:cs="Arial"/>
          <w:i/>
          <w:iCs/>
          <w:sz w:val="22"/>
          <w:szCs w:val="22"/>
        </w:rPr>
        <w:t>International Journal for Equity in Health</w:t>
      </w:r>
      <w:r w:rsidRPr="00D84639">
        <w:rPr>
          <w:rFonts w:asciiTheme="minorHAnsi" w:hAnsiTheme="minorHAnsi" w:cs="Arial"/>
          <w:sz w:val="22"/>
          <w:szCs w:val="22"/>
        </w:rPr>
        <w:t>, 18(1). doi:https://doi.org/10.1186/s12939-019-1014-2.</w:t>
      </w:r>
    </w:p>
    <w:p w14:paraId="1D6CD994"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Nadorff, D.K.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‘Down the Digital Delta: Health Information Inequities Among Rural Mississippi Caregivers’, </w:t>
      </w:r>
      <w:r w:rsidRPr="00D84639">
        <w:rPr>
          <w:rFonts w:asciiTheme="minorHAnsi" w:hAnsiTheme="minorHAnsi" w:cs="Arial"/>
          <w:i/>
          <w:iCs/>
          <w:sz w:val="22"/>
          <w:szCs w:val="22"/>
        </w:rPr>
        <w:t>Healthcare</w:t>
      </w:r>
      <w:r w:rsidRPr="00D84639">
        <w:rPr>
          <w:rFonts w:asciiTheme="minorHAnsi" w:hAnsiTheme="minorHAnsi" w:cs="Arial"/>
          <w:sz w:val="22"/>
          <w:szCs w:val="22"/>
        </w:rPr>
        <w:t>, 13(18), p. 2361. doi:https://doi.org/10.3390/healthcare13182361.</w:t>
      </w:r>
    </w:p>
    <w:p w14:paraId="73E3BA5C"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lastRenderedPageBreak/>
        <w:t xml:space="preserve">NHS England (2021) </w:t>
      </w:r>
      <w:r w:rsidRPr="00D84639">
        <w:rPr>
          <w:rFonts w:asciiTheme="minorHAnsi" w:hAnsiTheme="minorHAnsi" w:cs="Arial"/>
          <w:i/>
          <w:iCs/>
          <w:sz w:val="22"/>
          <w:szCs w:val="22"/>
        </w:rPr>
        <w:t>Core20PLUS5 an Approach to Reducing Health Inequalities</w:t>
      </w:r>
      <w:r w:rsidRPr="00D84639">
        <w:rPr>
          <w:rFonts w:asciiTheme="minorHAnsi" w:hAnsiTheme="minorHAnsi" w:cs="Arial"/>
          <w:sz w:val="22"/>
          <w:szCs w:val="22"/>
        </w:rPr>
        <w:t xml:space="preserve">, </w:t>
      </w:r>
      <w:r w:rsidRPr="00D84639">
        <w:rPr>
          <w:rFonts w:asciiTheme="minorHAnsi" w:hAnsiTheme="minorHAnsi" w:cs="Arial"/>
          <w:i/>
          <w:iCs/>
          <w:sz w:val="22"/>
          <w:szCs w:val="22"/>
        </w:rPr>
        <w:t>www.england.nhs.uk</w:t>
      </w:r>
      <w:r w:rsidRPr="00D84639">
        <w:rPr>
          <w:rFonts w:asciiTheme="minorHAnsi" w:hAnsiTheme="minorHAnsi" w:cs="Arial"/>
          <w:sz w:val="22"/>
          <w:szCs w:val="22"/>
        </w:rPr>
        <w:t>. NHS England. Available at: https://www.england.nhs.uk/about/equality/equality-hub/national-healthcare-inequalities-improvement-programme/core20plus5/ (Accessed: 1 December 2025).</w:t>
      </w:r>
    </w:p>
    <w:p w14:paraId="02715316"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NHS England (2023) </w:t>
      </w:r>
      <w:r w:rsidRPr="00D84639">
        <w:rPr>
          <w:rFonts w:asciiTheme="minorHAnsi" w:hAnsiTheme="minorHAnsi" w:cs="Arial"/>
          <w:i/>
          <w:iCs/>
          <w:sz w:val="22"/>
          <w:szCs w:val="22"/>
        </w:rPr>
        <w:t>Deprivation What is deprivation health?</w:t>
      </w:r>
      <w:r w:rsidRPr="00D84639">
        <w:rPr>
          <w:rFonts w:asciiTheme="minorHAnsi" w:hAnsiTheme="minorHAnsi" w:cs="Arial"/>
          <w:sz w:val="22"/>
          <w:szCs w:val="22"/>
        </w:rPr>
        <w:t xml:space="preserve">, </w:t>
      </w:r>
      <w:r w:rsidRPr="00D84639">
        <w:rPr>
          <w:rFonts w:asciiTheme="minorHAnsi" w:hAnsiTheme="minorHAnsi" w:cs="Arial"/>
          <w:i/>
          <w:iCs/>
          <w:sz w:val="22"/>
          <w:szCs w:val="22"/>
        </w:rPr>
        <w:t>www.england.nhs.uk</w:t>
      </w:r>
      <w:r w:rsidRPr="00D84639">
        <w:rPr>
          <w:rFonts w:asciiTheme="minorHAnsi" w:hAnsiTheme="minorHAnsi" w:cs="Arial"/>
          <w:sz w:val="22"/>
          <w:szCs w:val="22"/>
        </w:rPr>
        <w:t>. NHS England. Available at: https://www.england.nhs.uk/about/equality/equality-hub/national-healthcare-inequalities-improvement-programme/what-are-healthcare-inequalities/deprivation/ (Accessed: 1 December 2025).</w:t>
      </w:r>
    </w:p>
    <w:p w14:paraId="508D299D"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Office for Health Improvement &amp; Disparities (2022) </w:t>
      </w:r>
      <w:r w:rsidRPr="00D84639">
        <w:rPr>
          <w:rFonts w:asciiTheme="minorHAnsi" w:hAnsiTheme="minorHAnsi" w:cs="Arial"/>
          <w:i/>
          <w:iCs/>
          <w:sz w:val="22"/>
          <w:szCs w:val="22"/>
        </w:rPr>
        <w:t>Health disparities and health inequalities: applying All Our Health</w:t>
      </w:r>
      <w:r w:rsidRPr="00D84639">
        <w:rPr>
          <w:rFonts w:asciiTheme="minorHAnsi" w:hAnsiTheme="minorHAnsi" w:cs="Arial"/>
          <w:sz w:val="22"/>
          <w:szCs w:val="22"/>
        </w:rPr>
        <w:t xml:space="preserve">, </w:t>
      </w:r>
      <w:r w:rsidRPr="00D84639">
        <w:rPr>
          <w:rFonts w:asciiTheme="minorHAnsi" w:hAnsiTheme="minorHAnsi" w:cs="Arial"/>
          <w:i/>
          <w:iCs/>
          <w:sz w:val="22"/>
          <w:szCs w:val="22"/>
        </w:rPr>
        <w:t>GOV.UK</w:t>
      </w:r>
      <w:r w:rsidRPr="00D84639">
        <w:rPr>
          <w:rFonts w:asciiTheme="minorHAnsi" w:hAnsiTheme="minorHAnsi" w:cs="Arial"/>
          <w:sz w:val="22"/>
          <w:szCs w:val="22"/>
        </w:rPr>
        <w:t>. Available at: https://www.gov.uk/government/publications/health-disparities-and-health-inequalities-applying-all-our-health/health-disparities-and-health-inequalities-applying-all-our-health? (Accessed: 1 December 2025).</w:t>
      </w:r>
    </w:p>
    <w:p w14:paraId="528255D6"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Öğdül, H.G. (2010) ‘Urban and Rural Definitions in Regional Context: A Case Study on Turkey’, </w:t>
      </w:r>
      <w:r w:rsidRPr="00D84639">
        <w:rPr>
          <w:rFonts w:asciiTheme="minorHAnsi" w:hAnsiTheme="minorHAnsi" w:cs="Arial"/>
          <w:i/>
          <w:iCs/>
          <w:sz w:val="22"/>
          <w:szCs w:val="22"/>
        </w:rPr>
        <w:t>European Planning Studies</w:t>
      </w:r>
      <w:r w:rsidRPr="00D84639">
        <w:rPr>
          <w:rFonts w:asciiTheme="minorHAnsi" w:hAnsiTheme="minorHAnsi" w:cs="Arial"/>
          <w:sz w:val="22"/>
          <w:szCs w:val="22"/>
        </w:rPr>
        <w:t>, 18(9), pp. 1519–1541. doi:https://doi.org/10.1080/09654313.2010.492589.</w:t>
      </w:r>
    </w:p>
    <w:p w14:paraId="6D23CF80"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Oliveira, E.C.T.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‘Socioeconomic inequalities related to perceived difficulty in accessing health services among older adults: A cross-sectional analysis of SABE Study Data’, </w:t>
      </w:r>
      <w:r w:rsidRPr="00D84639">
        <w:rPr>
          <w:rFonts w:asciiTheme="minorHAnsi" w:hAnsiTheme="minorHAnsi" w:cs="Arial"/>
          <w:i/>
          <w:iCs/>
          <w:sz w:val="22"/>
          <w:szCs w:val="22"/>
        </w:rPr>
        <w:t>PLoS ONE</w:t>
      </w:r>
      <w:r w:rsidRPr="00D84639">
        <w:rPr>
          <w:rFonts w:asciiTheme="minorHAnsi" w:hAnsiTheme="minorHAnsi" w:cs="Arial"/>
          <w:sz w:val="22"/>
          <w:szCs w:val="22"/>
        </w:rPr>
        <w:t>, 20(5), pp. e0322333–e0322333. doi:https://doi.org/10.1371/journal.pone.0322333.</w:t>
      </w:r>
    </w:p>
    <w:p w14:paraId="11DC5CC3"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Packness, 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(2019) ‘Are perceived barriers to accessing mental healthcare associated with socioeconomic position among individuals with symptoms of depression? Questionnaire-results from the Lolland-Falster Health Study, a rural Danish population study’, </w:t>
      </w:r>
      <w:r w:rsidRPr="00D84639">
        <w:rPr>
          <w:rFonts w:asciiTheme="minorHAnsi" w:hAnsiTheme="minorHAnsi" w:cs="Arial"/>
          <w:i/>
          <w:iCs/>
          <w:sz w:val="22"/>
          <w:szCs w:val="22"/>
        </w:rPr>
        <w:t>BMJ Open</w:t>
      </w:r>
      <w:r w:rsidRPr="00D84639">
        <w:rPr>
          <w:rFonts w:asciiTheme="minorHAnsi" w:hAnsiTheme="minorHAnsi" w:cs="Arial"/>
          <w:sz w:val="22"/>
          <w:szCs w:val="22"/>
        </w:rPr>
        <w:t>, 9(3), p. e023844. doi:https://doi.org/10.1136/bmjopen-2018-023844.</w:t>
      </w:r>
    </w:p>
    <w:p w14:paraId="4DDF50AC"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Pampel, F.C., Krueger, P.M. and Denney, J.T. (2010) ‘Socioeconomic Disparities in Health Behaviors’, </w:t>
      </w:r>
      <w:r w:rsidRPr="00D84639">
        <w:rPr>
          <w:rFonts w:asciiTheme="minorHAnsi" w:hAnsiTheme="minorHAnsi" w:cs="Arial"/>
          <w:i/>
          <w:iCs/>
          <w:sz w:val="22"/>
          <w:szCs w:val="22"/>
        </w:rPr>
        <w:t>Annual Review of Sociology</w:t>
      </w:r>
      <w:r w:rsidRPr="00D84639">
        <w:rPr>
          <w:rFonts w:asciiTheme="minorHAnsi" w:hAnsiTheme="minorHAnsi" w:cs="Arial"/>
          <w:sz w:val="22"/>
          <w:szCs w:val="22"/>
        </w:rPr>
        <w:t>, 36(1), pp. 349–370. doi:https://doi.org/10.1146/annurev.soc.012809.102529.</w:t>
      </w:r>
    </w:p>
    <w:p w14:paraId="0B26BA4B"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Peker, Ş.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‘Understanding the utilization of preventive health services for non-communicable diseases: a qualitative study with community members and family physicians’, </w:t>
      </w:r>
      <w:r w:rsidRPr="00D84639">
        <w:rPr>
          <w:rFonts w:asciiTheme="minorHAnsi" w:hAnsiTheme="minorHAnsi" w:cs="Arial"/>
          <w:i/>
          <w:iCs/>
          <w:sz w:val="22"/>
          <w:szCs w:val="22"/>
        </w:rPr>
        <w:t>BMC Primary Care</w:t>
      </w:r>
      <w:r w:rsidRPr="00D84639">
        <w:rPr>
          <w:rFonts w:asciiTheme="minorHAnsi" w:hAnsiTheme="minorHAnsi" w:cs="Arial"/>
          <w:sz w:val="22"/>
          <w:szCs w:val="22"/>
        </w:rPr>
        <w:t>, 26(1). doi:https://doi.org/10.1186/s12875-025-02958-z.</w:t>
      </w:r>
    </w:p>
    <w:p w14:paraId="67C5809F"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lastRenderedPageBreak/>
        <w:t xml:space="preserve">Penchansky, R. and Thomas, J.W. (1981) ‘The Concept of Access: Definition and Relationship to Consumer Satisfaction’, </w:t>
      </w:r>
      <w:r w:rsidRPr="00D84639">
        <w:rPr>
          <w:rFonts w:asciiTheme="minorHAnsi" w:hAnsiTheme="minorHAnsi" w:cs="Arial"/>
          <w:i/>
          <w:iCs/>
          <w:sz w:val="22"/>
          <w:szCs w:val="22"/>
        </w:rPr>
        <w:t>Medical Care</w:t>
      </w:r>
      <w:r w:rsidRPr="00D84639">
        <w:rPr>
          <w:rFonts w:asciiTheme="minorHAnsi" w:hAnsiTheme="minorHAnsi" w:cs="Arial"/>
          <w:sz w:val="22"/>
          <w:szCs w:val="22"/>
        </w:rPr>
        <w:t>, 19(2), pp. 127–140. doi:https://doi.org/10.1097/00005650-198102000-00001.</w:t>
      </w:r>
    </w:p>
    <w:p w14:paraId="1EE44881"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Pogrmilović, B.K.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(2023) ‘Government, governance, and place-based approaches: lessons from and for public policy’, </w:t>
      </w:r>
      <w:r w:rsidRPr="00D84639">
        <w:rPr>
          <w:rFonts w:asciiTheme="minorHAnsi" w:hAnsiTheme="minorHAnsi" w:cs="Arial"/>
          <w:i/>
          <w:iCs/>
          <w:sz w:val="22"/>
          <w:szCs w:val="22"/>
        </w:rPr>
        <w:t>Health Research Policy and Systems</w:t>
      </w:r>
      <w:r w:rsidRPr="00D84639">
        <w:rPr>
          <w:rFonts w:asciiTheme="minorHAnsi" w:hAnsiTheme="minorHAnsi" w:cs="Arial"/>
          <w:sz w:val="22"/>
          <w:szCs w:val="22"/>
        </w:rPr>
        <w:t>, 21(1). doi:https://doi.org/10.1186/s12961-023-01074-7.</w:t>
      </w:r>
    </w:p>
    <w:p w14:paraId="36BE3031"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Porter, D. (1994) </w:t>
      </w:r>
      <w:r w:rsidRPr="00D84639">
        <w:rPr>
          <w:rFonts w:asciiTheme="minorHAnsi" w:hAnsiTheme="minorHAnsi" w:cs="Arial"/>
          <w:i/>
          <w:iCs/>
          <w:sz w:val="22"/>
          <w:szCs w:val="22"/>
        </w:rPr>
        <w:t>The History of Public Health and the Modern State</w:t>
      </w:r>
      <w:r w:rsidRPr="00D84639">
        <w:rPr>
          <w:rFonts w:asciiTheme="minorHAnsi" w:hAnsiTheme="minorHAnsi" w:cs="Arial"/>
          <w:sz w:val="22"/>
          <w:szCs w:val="22"/>
        </w:rPr>
        <w:t xml:space="preserve">, </w:t>
      </w:r>
      <w:r w:rsidRPr="00D84639">
        <w:rPr>
          <w:rFonts w:asciiTheme="minorHAnsi" w:hAnsiTheme="minorHAnsi" w:cs="Arial"/>
          <w:i/>
          <w:iCs/>
          <w:sz w:val="22"/>
          <w:szCs w:val="22"/>
        </w:rPr>
        <w:t>Google Books</w:t>
      </w:r>
      <w:r w:rsidRPr="00D84639">
        <w:rPr>
          <w:rFonts w:asciiTheme="minorHAnsi" w:hAnsiTheme="minorHAnsi" w:cs="Arial"/>
          <w:sz w:val="22"/>
          <w:szCs w:val="22"/>
        </w:rPr>
        <w:t>.</w:t>
      </w:r>
    </w:p>
    <w:p w14:paraId="394B8B89"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Propper, C. (2024) ‘Socio-economic inequality in the distribution of health care in the UK’, </w:t>
      </w:r>
      <w:r w:rsidRPr="00D84639">
        <w:rPr>
          <w:rFonts w:asciiTheme="minorHAnsi" w:hAnsiTheme="minorHAnsi" w:cs="Arial"/>
          <w:i/>
          <w:iCs/>
          <w:sz w:val="22"/>
          <w:szCs w:val="22"/>
        </w:rPr>
        <w:t>Oxford Open Economics</w:t>
      </w:r>
      <w:r w:rsidRPr="00D84639">
        <w:rPr>
          <w:rFonts w:asciiTheme="minorHAnsi" w:hAnsiTheme="minorHAnsi" w:cs="Arial"/>
          <w:sz w:val="22"/>
          <w:szCs w:val="22"/>
        </w:rPr>
        <w:t>, 3(Supplement_1), pp. 577–581. doi:https://doi.org/10.1093/ooec/odad090.</w:t>
      </w:r>
    </w:p>
    <w:p w14:paraId="2234E867"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Raine, R.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(2016) ‘Socio-economic inequalities in health care in England’, </w:t>
      </w:r>
      <w:r w:rsidRPr="00D84639">
        <w:rPr>
          <w:rFonts w:asciiTheme="minorHAnsi" w:hAnsiTheme="minorHAnsi" w:cs="Arial"/>
          <w:i/>
          <w:iCs/>
          <w:sz w:val="22"/>
          <w:szCs w:val="22"/>
        </w:rPr>
        <w:t>Institute for Fiscal Studies</w:t>
      </w:r>
      <w:r w:rsidRPr="00D84639">
        <w:rPr>
          <w:rFonts w:asciiTheme="minorHAnsi" w:hAnsiTheme="minorHAnsi" w:cs="Arial"/>
          <w:sz w:val="22"/>
          <w:szCs w:val="22"/>
        </w:rPr>
        <w:t>, 37(3-4), pp. 371–403.</w:t>
      </w:r>
    </w:p>
    <w:p w14:paraId="62C484E4"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Ranjan, A., Sundararaman, T. and Garg, S. (2023) ‘Measurement of unmet healthcare needs to assess progress on universal health coverage - exploring a novel approach based on household surveys’, </w:t>
      </w:r>
      <w:r w:rsidRPr="00D84639">
        <w:rPr>
          <w:rFonts w:asciiTheme="minorHAnsi" w:hAnsiTheme="minorHAnsi" w:cs="Arial"/>
          <w:i/>
          <w:iCs/>
          <w:sz w:val="22"/>
          <w:szCs w:val="22"/>
        </w:rPr>
        <w:t>BMC Health Services Research</w:t>
      </w:r>
      <w:r w:rsidRPr="00D84639">
        <w:rPr>
          <w:rFonts w:asciiTheme="minorHAnsi" w:hAnsiTheme="minorHAnsi" w:cs="Arial"/>
          <w:sz w:val="22"/>
          <w:szCs w:val="22"/>
        </w:rPr>
        <w:t>, 23(1). doi:https://doi.org/10.1186/s12913-023-09542-0.</w:t>
      </w:r>
    </w:p>
    <w:p w14:paraId="282B17FD"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Russell, D.J.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‘Remote health: what are the problems and what can we do about them? Insights from Australia’, </w:t>
      </w:r>
      <w:r w:rsidRPr="00D84639">
        <w:rPr>
          <w:rFonts w:asciiTheme="minorHAnsi" w:hAnsiTheme="minorHAnsi" w:cs="Arial"/>
          <w:i/>
          <w:iCs/>
          <w:sz w:val="22"/>
          <w:szCs w:val="22"/>
        </w:rPr>
        <w:t>BMC Health Services Research</w:t>
      </w:r>
      <w:r w:rsidRPr="00D84639">
        <w:rPr>
          <w:rFonts w:asciiTheme="minorHAnsi" w:hAnsiTheme="minorHAnsi" w:cs="Arial"/>
          <w:sz w:val="22"/>
          <w:szCs w:val="22"/>
        </w:rPr>
        <w:t>, 25(1). doi:https://doi.org/10.1186/s12913-025-12828-0.</w:t>
      </w:r>
    </w:p>
    <w:p w14:paraId="184413BD"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Ryan-Ndegwa, S., Zamani, R. and Akrami, M. (2021) ‘Assessing demographic access to hip replacement surgery in the United Kingdom: a systematic review’, </w:t>
      </w:r>
      <w:r w:rsidRPr="00D84639">
        <w:rPr>
          <w:rFonts w:asciiTheme="minorHAnsi" w:hAnsiTheme="minorHAnsi" w:cs="Arial"/>
          <w:i/>
          <w:iCs/>
          <w:sz w:val="22"/>
          <w:szCs w:val="22"/>
        </w:rPr>
        <w:t>International Journal for Equity in Health</w:t>
      </w:r>
      <w:r w:rsidRPr="00D84639">
        <w:rPr>
          <w:rFonts w:asciiTheme="minorHAnsi" w:hAnsiTheme="minorHAnsi" w:cs="Arial"/>
          <w:sz w:val="22"/>
          <w:szCs w:val="22"/>
        </w:rPr>
        <w:t>, 20(1). doi:https://doi.org/10.1186/s12939-021-01561-9.</w:t>
      </w:r>
    </w:p>
    <w:p w14:paraId="06B5F070"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Sacks, E.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(2020) ‘Communities, universal health coverage and primary health care’, </w:t>
      </w:r>
      <w:r w:rsidRPr="00D84639">
        <w:rPr>
          <w:rFonts w:asciiTheme="minorHAnsi" w:hAnsiTheme="minorHAnsi" w:cs="Arial"/>
          <w:i/>
          <w:iCs/>
          <w:sz w:val="22"/>
          <w:szCs w:val="22"/>
        </w:rPr>
        <w:t>Bulletin of the World Health Organization</w:t>
      </w:r>
      <w:r w:rsidRPr="00D84639">
        <w:rPr>
          <w:rFonts w:asciiTheme="minorHAnsi" w:hAnsiTheme="minorHAnsi" w:cs="Arial"/>
          <w:sz w:val="22"/>
          <w:szCs w:val="22"/>
        </w:rPr>
        <w:t>, 98(11), pp. 773–780. doi:https://doi.org/10.2471/blt.20.252445.</w:t>
      </w:r>
    </w:p>
    <w:p w14:paraId="0CD5A3B3"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Sakellariou, D. and Rotarou, E.S. (2017) ‘The Effects of Neoliberal Policies on Access to Healthcare for People with Disabilities’, </w:t>
      </w:r>
      <w:r w:rsidRPr="00D84639">
        <w:rPr>
          <w:rFonts w:asciiTheme="minorHAnsi" w:hAnsiTheme="minorHAnsi" w:cs="Arial"/>
          <w:i/>
          <w:iCs/>
          <w:sz w:val="22"/>
          <w:szCs w:val="22"/>
        </w:rPr>
        <w:t>International Journal for Equity in Health</w:t>
      </w:r>
      <w:r w:rsidRPr="00D84639">
        <w:rPr>
          <w:rFonts w:asciiTheme="minorHAnsi" w:hAnsiTheme="minorHAnsi" w:cs="Arial"/>
          <w:sz w:val="22"/>
          <w:szCs w:val="22"/>
        </w:rPr>
        <w:t>, 16(1). doi:https://doi.org/10.1186/s12939-017-0699-3.</w:t>
      </w:r>
    </w:p>
    <w:p w14:paraId="7AF5C78A"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lastRenderedPageBreak/>
        <w:t xml:space="preserve">Saunders, M.N., Lewis, P. and Thornhill, A. (2019) ‘Understanding research philosophy and approaches to theory development’, in </w:t>
      </w:r>
      <w:r w:rsidRPr="00D84639">
        <w:rPr>
          <w:rFonts w:asciiTheme="minorHAnsi" w:hAnsiTheme="minorHAnsi" w:cs="Arial"/>
          <w:i/>
          <w:iCs/>
          <w:sz w:val="22"/>
          <w:szCs w:val="22"/>
        </w:rPr>
        <w:t>Research Methods for Business Students</w:t>
      </w:r>
      <w:r w:rsidRPr="00D84639">
        <w:rPr>
          <w:rFonts w:asciiTheme="minorHAnsi" w:hAnsiTheme="minorHAnsi" w:cs="Arial"/>
          <w:sz w:val="22"/>
          <w:szCs w:val="22"/>
        </w:rPr>
        <w:t>. Pearson Education, Limited, pp. 128–171.</w:t>
      </w:r>
    </w:p>
    <w:p w14:paraId="41F4FE35"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Saurman, E. (2015) ‘Improving access: modifying Penchansky and Thomas’s Theory of Access’, </w:t>
      </w:r>
      <w:r w:rsidRPr="00D84639">
        <w:rPr>
          <w:rFonts w:asciiTheme="minorHAnsi" w:hAnsiTheme="minorHAnsi" w:cs="Arial"/>
          <w:i/>
          <w:iCs/>
          <w:sz w:val="22"/>
          <w:szCs w:val="22"/>
        </w:rPr>
        <w:t>Journal of Health Services Research &amp; Policy</w:t>
      </w:r>
      <w:r w:rsidRPr="00D84639">
        <w:rPr>
          <w:rFonts w:asciiTheme="minorHAnsi" w:hAnsiTheme="minorHAnsi" w:cs="Arial"/>
          <w:sz w:val="22"/>
          <w:szCs w:val="22"/>
        </w:rPr>
        <w:t>, 21(1), pp. 36–39. doi:https://doi.org/10.1177/1355819615600001.</w:t>
      </w:r>
    </w:p>
    <w:p w14:paraId="6EC90181"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Shutt, A.E.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‘The intersection of the social determinants of health and antimicrobial resistance in human populations: a systematic review’, </w:t>
      </w:r>
      <w:r w:rsidRPr="00D84639">
        <w:rPr>
          <w:rFonts w:asciiTheme="minorHAnsi" w:hAnsiTheme="minorHAnsi" w:cs="Arial"/>
          <w:i/>
          <w:iCs/>
          <w:sz w:val="22"/>
          <w:szCs w:val="22"/>
        </w:rPr>
        <w:t>BMJ Global Health</w:t>
      </w:r>
      <w:r w:rsidRPr="00D84639">
        <w:rPr>
          <w:rFonts w:asciiTheme="minorHAnsi" w:hAnsiTheme="minorHAnsi" w:cs="Arial"/>
          <w:sz w:val="22"/>
          <w:szCs w:val="22"/>
        </w:rPr>
        <w:t>, 10(5), p. e017389. doi:https://doi.org/10.1136/bmjgh-2024-017389.</w:t>
      </w:r>
    </w:p>
    <w:p w14:paraId="304BB24B"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Stevens, A.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(2023) ‘Quality and equity: a shared agenda for universal health coverage’, </w:t>
      </w:r>
      <w:r w:rsidRPr="00D84639">
        <w:rPr>
          <w:rFonts w:asciiTheme="minorHAnsi" w:hAnsiTheme="minorHAnsi" w:cs="Arial"/>
          <w:i/>
          <w:iCs/>
          <w:sz w:val="22"/>
          <w:szCs w:val="22"/>
        </w:rPr>
        <w:t>BMJ Global Health</w:t>
      </w:r>
      <w:r w:rsidRPr="00D84639">
        <w:rPr>
          <w:rFonts w:asciiTheme="minorHAnsi" w:hAnsiTheme="minorHAnsi" w:cs="Arial"/>
          <w:sz w:val="22"/>
          <w:szCs w:val="22"/>
        </w:rPr>
        <w:t>, 8(7), p. e012561. doi:https://doi.org/10.1136/bmjgh-2023-012561.</w:t>
      </w:r>
    </w:p>
    <w:p w14:paraId="6303A775"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Tulchinsky, T.H. (2018) ‘Bismarck and the Long Road to Universal Health Coverage’, </w:t>
      </w:r>
      <w:r w:rsidRPr="00D84639">
        <w:rPr>
          <w:rFonts w:asciiTheme="minorHAnsi" w:hAnsiTheme="minorHAnsi" w:cs="Arial"/>
          <w:i/>
          <w:iCs/>
          <w:sz w:val="22"/>
          <w:szCs w:val="22"/>
        </w:rPr>
        <w:t>Case Studies in Public Health</w:t>
      </w:r>
      <w:r w:rsidRPr="00D84639">
        <w:rPr>
          <w:rFonts w:asciiTheme="minorHAnsi" w:hAnsiTheme="minorHAnsi" w:cs="Arial"/>
          <w:sz w:val="22"/>
          <w:szCs w:val="22"/>
        </w:rPr>
        <w:t>, pp. 131–179. doi:https://doi.org/10.1016/B978-0-12-804571-8.00031-7.</w:t>
      </w:r>
    </w:p>
    <w:p w14:paraId="1E3C26E5"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Wang, M.-J. and Lo, Y.-T. (2022) ‘Strategies for Improving the Utilization of Preventive Care Services: Application of Importance–Performance Gap Analysis Method’, </w:t>
      </w:r>
      <w:r w:rsidRPr="00D84639">
        <w:rPr>
          <w:rFonts w:asciiTheme="minorHAnsi" w:hAnsiTheme="minorHAnsi" w:cs="Arial"/>
          <w:i/>
          <w:iCs/>
          <w:sz w:val="22"/>
          <w:szCs w:val="22"/>
        </w:rPr>
        <w:t>International Journal of Environmental Research and Public Health</w:t>
      </w:r>
      <w:r w:rsidRPr="00D84639">
        <w:rPr>
          <w:rFonts w:asciiTheme="minorHAnsi" w:hAnsiTheme="minorHAnsi" w:cs="Arial"/>
          <w:sz w:val="22"/>
          <w:szCs w:val="22"/>
        </w:rPr>
        <w:t>, 19(20), p. 13195. doi:https://doi.org/10.3390/ijerph192013195.</w:t>
      </w:r>
    </w:p>
    <w:p w14:paraId="04ACEE8B"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World Health Organization (2025) </w:t>
      </w:r>
      <w:r w:rsidRPr="00D84639">
        <w:rPr>
          <w:rFonts w:asciiTheme="minorHAnsi" w:hAnsiTheme="minorHAnsi" w:cs="Arial"/>
          <w:i/>
          <w:iCs/>
          <w:sz w:val="22"/>
          <w:szCs w:val="22"/>
        </w:rPr>
        <w:t>Universal Health Coverage (UHC)</w:t>
      </w:r>
      <w:r w:rsidRPr="00D84639">
        <w:rPr>
          <w:rFonts w:asciiTheme="minorHAnsi" w:hAnsiTheme="minorHAnsi" w:cs="Arial"/>
          <w:sz w:val="22"/>
          <w:szCs w:val="22"/>
        </w:rPr>
        <w:t xml:space="preserve">, </w:t>
      </w:r>
      <w:r w:rsidRPr="00D84639">
        <w:rPr>
          <w:rFonts w:asciiTheme="minorHAnsi" w:hAnsiTheme="minorHAnsi" w:cs="Arial"/>
          <w:i/>
          <w:iCs/>
          <w:sz w:val="22"/>
          <w:szCs w:val="22"/>
        </w:rPr>
        <w:t>World Health Organization</w:t>
      </w:r>
      <w:r w:rsidRPr="00D84639">
        <w:rPr>
          <w:rFonts w:asciiTheme="minorHAnsi" w:hAnsiTheme="minorHAnsi" w:cs="Arial"/>
          <w:sz w:val="22"/>
          <w:szCs w:val="22"/>
        </w:rPr>
        <w:t>. Available at: https://www.who.int/news-room/fact-sheets/detail/universal-health-coverage-(uhc) (Accessed: 1 December 2025).</w:t>
      </w:r>
    </w:p>
    <w:p w14:paraId="79480BAE"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Xi, H.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‘Barriers towards enhancing mobility through integrated mobility services in a regional and rural context: insights from suppliers and organisers’, </w:t>
      </w:r>
      <w:r w:rsidRPr="00D84639">
        <w:rPr>
          <w:rFonts w:asciiTheme="minorHAnsi" w:hAnsiTheme="minorHAnsi" w:cs="Arial"/>
          <w:i/>
          <w:iCs/>
          <w:sz w:val="22"/>
          <w:szCs w:val="22"/>
        </w:rPr>
        <w:t>Transport Policy</w:t>
      </w:r>
      <w:r w:rsidRPr="00D84639">
        <w:rPr>
          <w:rFonts w:asciiTheme="minorHAnsi" w:hAnsiTheme="minorHAnsi" w:cs="Arial"/>
          <w:sz w:val="22"/>
          <w:szCs w:val="22"/>
        </w:rPr>
        <w:t>, 171, pp. 282–295. doi:https://doi.org/10.1016/j.tranpol.2025.06.012.</w:t>
      </w:r>
    </w:p>
    <w:p w14:paraId="5BF51376"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Yang, D.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(2024) ‘Pakistan’s path to universal health coverage: national and regional insights’, </w:t>
      </w:r>
      <w:r w:rsidRPr="00D84639">
        <w:rPr>
          <w:rFonts w:asciiTheme="minorHAnsi" w:hAnsiTheme="minorHAnsi" w:cs="Arial"/>
          <w:i/>
          <w:iCs/>
          <w:sz w:val="22"/>
          <w:szCs w:val="22"/>
        </w:rPr>
        <w:t>International Journal for Equity in Health</w:t>
      </w:r>
      <w:r w:rsidRPr="00D84639">
        <w:rPr>
          <w:rFonts w:asciiTheme="minorHAnsi" w:hAnsiTheme="minorHAnsi" w:cs="Arial"/>
          <w:sz w:val="22"/>
          <w:szCs w:val="22"/>
        </w:rPr>
        <w:t>, 23(1). doi:https://doi.org/10.1186/s12939-024-02232-1.</w:t>
      </w:r>
    </w:p>
    <w:p w14:paraId="63F87C71"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t xml:space="preserve">Yaw, O.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(2025) ‘Factors influencing health service utilisation among older adults in the Tamale metropolis: a cross-sectional study based on Andersen’s behavioural model’, </w:t>
      </w:r>
      <w:r w:rsidRPr="00D84639">
        <w:rPr>
          <w:rFonts w:asciiTheme="minorHAnsi" w:hAnsiTheme="minorHAnsi" w:cs="Arial"/>
          <w:i/>
          <w:iCs/>
          <w:sz w:val="22"/>
          <w:szCs w:val="22"/>
        </w:rPr>
        <w:t>BMC Geriatrics</w:t>
      </w:r>
      <w:r w:rsidRPr="00D84639">
        <w:rPr>
          <w:rFonts w:asciiTheme="minorHAnsi" w:hAnsiTheme="minorHAnsi" w:cs="Arial"/>
          <w:sz w:val="22"/>
          <w:szCs w:val="22"/>
        </w:rPr>
        <w:t>, 25(1), pp. 937–937. doi:https://doi.org/10.1186/s12877-025-06651-9.</w:t>
      </w:r>
    </w:p>
    <w:p w14:paraId="4ECAEE71" w14:textId="77777777" w:rsidR="00C361F0" w:rsidRPr="00D84639" w:rsidRDefault="00C361F0" w:rsidP="00D84639">
      <w:pPr>
        <w:pStyle w:val="NormalWeb"/>
        <w:spacing w:before="0" w:beforeAutospacing="0" w:after="240" w:afterAutospacing="0" w:line="360" w:lineRule="auto"/>
        <w:jc w:val="both"/>
        <w:rPr>
          <w:rFonts w:asciiTheme="minorHAnsi" w:hAnsiTheme="minorHAnsi" w:cs="Arial"/>
          <w:sz w:val="22"/>
          <w:szCs w:val="22"/>
        </w:rPr>
      </w:pPr>
      <w:r w:rsidRPr="00D84639">
        <w:rPr>
          <w:rFonts w:asciiTheme="minorHAnsi" w:hAnsiTheme="minorHAnsi" w:cs="Arial"/>
          <w:sz w:val="22"/>
          <w:szCs w:val="22"/>
        </w:rPr>
        <w:lastRenderedPageBreak/>
        <w:t xml:space="preserve">Zaneva, M. </w:t>
      </w:r>
      <w:r w:rsidRPr="00D84639">
        <w:rPr>
          <w:rFonts w:asciiTheme="minorHAnsi" w:hAnsiTheme="minorHAnsi" w:cs="Arial"/>
          <w:i/>
          <w:iCs/>
          <w:sz w:val="22"/>
          <w:szCs w:val="22"/>
        </w:rPr>
        <w:t>et al.</w:t>
      </w:r>
      <w:r w:rsidRPr="00D84639">
        <w:rPr>
          <w:rFonts w:asciiTheme="minorHAnsi" w:hAnsiTheme="minorHAnsi" w:cs="Arial"/>
          <w:sz w:val="22"/>
          <w:szCs w:val="22"/>
        </w:rPr>
        <w:t xml:space="preserve"> (2024) ‘What do we mean when we talk about socioeconomic status? Implications for measurement, mechanisms and interventions from a critical review on adolescent mental health’, </w:t>
      </w:r>
      <w:r w:rsidRPr="00D84639">
        <w:rPr>
          <w:rFonts w:asciiTheme="minorHAnsi" w:hAnsiTheme="minorHAnsi" w:cs="Arial"/>
          <w:i/>
          <w:iCs/>
          <w:sz w:val="22"/>
          <w:szCs w:val="22"/>
        </w:rPr>
        <w:t>General Psychiatry</w:t>
      </w:r>
      <w:r w:rsidRPr="00D84639">
        <w:rPr>
          <w:rFonts w:asciiTheme="minorHAnsi" w:hAnsiTheme="minorHAnsi" w:cs="Arial"/>
          <w:sz w:val="22"/>
          <w:szCs w:val="22"/>
        </w:rPr>
        <w:t>, 37(6), p. e101455. doi:https://doi.org/10.1136/gpsych-2023-101455.</w:t>
      </w:r>
    </w:p>
    <w:p w14:paraId="4B77C5AD" w14:textId="77777777" w:rsidR="00D810D8" w:rsidRDefault="00D810D8" w:rsidP="00D84639">
      <w:pPr>
        <w:jc w:val="both"/>
        <w:rPr>
          <w:szCs w:val="22"/>
          <w:lang w:val="en-GB" w:eastAsia="en-US"/>
        </w:rPr>
      </w:pPr>
    </w:p>
    <w:p w14:paraId="6DF658A3" w14:textId="77777777" w:rsidR="006A2AD5" w:rsidRDefault="006A2AD5" w:rsidP="00D84639">
      <w:pPr>
        <w:jc w:val="both"/>
        <w:rPr>
          <w:szCs w:val="22"/>
          <w:lang w:val="en-GB" w:eastAsia="en-US"/>
        </w:rPr>
      </w:pPr>
    </w:p>
    <w:p w14:paraId="3046FA96" w14:textId="77777777" w:rsidR="006A2AD5" w:rsidRDefault="006A2AD5" w:rsidP="00D84639">
      <w:pPr>
        <w:jc w:val="both"/>
        <w:rPr>
          <w:szCs w:val="22"/>
          <w:lang w:val="en-GB" w:eastAsia="en-US"/>
        </w:rPr>
      </w:pPr>
    </w:p>
    <w:p w14:paraId="11E94180" w14:textId="77777777" w:rsidR="006A2AD5" w:rsidRDefault="006A2AD5" w:rsidP="00D84639">
      <w:pPr>
        <w:jc w:val="both"/>
        <w:rPr>
          <w:szCs w:val="22"/>
          <w:lang w:val="en-GB" w:eastAsia="en-US"/>
        </w:rPr>
      </w:pPr>
    </w:p>
    <w:p w14:paraId="3E337DE8" w14:textId="77777777" w:rsidR="006A2AD5" w:rsidRDefault="006A2AD5" w:rsidP="00D84639">
      <w:pPr>
        <w:jc w:val="both"/>
        <w:rPr>
          <w:szCs w:val="22"/>
          <w:lang w:val="en-GB" w:eastAsia="en-US"/>
        </w:rPr>
      </w:pPr>
    </w:p>
    <w:p w14:paraId="0655603E" w14:textId="77777777" w:rsidR="006A2AD5" w:rsidRDefault="006A2AD5" w:rsidP="00D84639">
      <w:pPr>
        <w:jc w:val="both"/>
        <w:rPr>
          <w:szCs w:val="22"/>
          <w:lang w:val="en-GB" w:eastAsia="en-US"/>
        </w:rPr>
      </w:pPr>
    </w:p>
    <w:p w14:paraId="1F426B1B" w14:textId="77777777" w:rsidR="006A2AD5" w:rsidRDefault="006A2AD5" w:rsidP="00D84639">
      <w:pPr>
        <w:jc w:val="both"/>
        <w:rPr>
          <w:szCs w:val="22"/>
          <w:lang w:val="en-GB" w:eastAsia="en-US"/>
        </w:rPr>
      </w:pPr>
    </w:p>
    <w:p w14:paraId="0C77D021" w14:textId="77777777" w:rsidR="006A2AD5" w:rsidRDefault="006A2AD5" w:rsidP="00D84639">
      <w:pPr>
        <w:jc w:val="both"/>
        <w:rPr>
          <w:szCs w:val="22"/>
          <w:lang w:val="en-GB" w:eastAsia="en-US"/>
        </w:rPr>
      </w:pPr>
    </w:p>
    <w:p w14:paraId="1EE55629" w14:textId="77777777" w:rsidR="006A2AD5" w:rsidRDefault="006A2AD5" w:rsidP="00D84639">
      <w:pPr>
        <w:jc w:val="both"/>
        <w:rPr>
          <w:szCs w:val="22"/>
          <w:lang w:val="en-GB" w:eastAsia="en-US"/>
        </w:rPr>
      </w:pPr>
    </w:p>
    <w:p w14:paraId="176E746A" w14:textId="77777777" w:rsidR="006A2AD5" w:rsidRDefault="006A2AD5" w:rsidP="00D84639">
      <w:pPr>
        <w:jc w:val="both"/>
        <w:rPr>
          <w:szCs w:val="22"/>
          <w:lang w:val="en-GB" w:eastAsia="en-US"/>
        </w:rPr>
      </w:pPr>
    </w:p>
    <w:p w14:paraId="6DA20AA3" w14:textId="77777777" w:rsidR="006A2AD5" w:rsidRDefault="006A2AD5" w:rsidP="00D84639">
      <w:pPr>
        <w:jc w:val="both"/>
        <w:rPr>
          <w:szCs w:val="22"/>
          <w:lang w:val="en-GB" w:eastAsia="en-US"/>
        </w:rPr>
      </w:pPr>
    </w:p>
    <w:p w14:paraId="4361F4C4" w14:textId="77777777" w:rsidR="006A2AD5" w:rsidRDefault="006A2AD5" w:rsidP="00D84639">
      <w:pPr>
        <w:jc w:val="both"/>
        <w:rPr>
          <w:szCs w:val="22"/>
          <w:lang w:val="en-GB" w:eastAsia="en-US"/>
        </w:rPr>
      </w:pPr>
    </w:p>
    <w:p w14:paraId="7485BD4D" w14:textId="77777777" w:rsidR="006A2AD5" w:rsidRDefault="006A2AD5" w:rsidP="00D84639">
      <w:pPr>
        <w:jc w:val="both"/>
        <w:rPr>
          <w:szCs w:val="22"/>
          <w:lang w:val="en-GB" w:eastAsia="en-US"/>
        </w:rPr>
      </w:pPr>
    </w:p>
    <w:p w14:paraId="10806082" w14:textId="77777777" w:rsidR="006A2AD5" w:rsidRDefault="006A2AD5" w:rsidP="00D84639">
      <w:pPr>
        <w:jc w:val="both"/>
        <w:rPr>
          <w:szCs w:val="22"/>
          <w:lang w:val="en-GB" w:eastAsia="en-US"/>
        </w:rPr>
      </w:pPr>
    </w:p>
    <w:p w14:paraId="7286E495" w14:textId="77777777" w:rsidR="006A2AD5" w:rsidRDefault="006A2AD5" w:rsidP="00D84639">
      <w:pPr>
        <w:jc w:val="both"/>
        <w:rPr>
          <w:szCs w:val="22"/>
          <w:lang w:val="en-GB" w:eastAsia="en-US"/>
        </w:rPr>
      </w:pPr>
    </w:p>
    <w:p w14:paraId="3B45A623" w14:textId="77777777" w:rsidR="006A2AD5" w:rsidRDefault="006A2AD5" w:rsidP="00D84639">
      <w:pPr>
        <w:jc w:val="both"/>
        <w:rPr>
          <w:szCs w:val="22"/>
          <w:lang w:val="en-GB" w:eastAsia="en-US"/>
        </w:rPr>
      </w:pPr>
    </w:p>
    <w:p w14:paraId="056D54AC" w14:textId="77777777" w:rsidR="006A2AD5" w:rsidRDefault="006A2AD5" w:rsidP="00D84639">
      <w:pPr>
        <w:jc w:val="both"/>
        <w:rPr>
          <w:szCs w:val="22"/>
          <w:lang w:val="en-GB" w:eastAsia="en-US"/>
        </w:rPr>
      </w:pPr>
    </w:p>
    <w:p w14:paraId="08BF84F0" w14:textId="77777777" w:rsidR="006A2AD5" w:rsidRDefault="006A2AD5" w:rsidP="00D84639">
      <w:pPr>
        <w:jc w:val="both"/>
        <w:rPr>
          <w:szCs w:val="22"/>
          <w:lang w:val="en-GB" w:eastAsia="en-US"/>
        </w:rPr>
      </w:pPr>
    </w:p>
    <w:p w14:paraId="1AA9C12C" w14:textId="77777777" w:rsidR="006A2AD5" w:rsidRDefault="006A2AD5" w:rsidP="00D84639">
      <w:pPr>
        <w:jc w:val="both"/>
        <w:rPr>
          <w:szCs w:val="22"/>
          <w:lang w:val="en-GB" w:eastAsia="en-US"/>
        </w:rPr>
      </w:pPr>
    </w:p>
    <w:p w14:paraId="21B844AF" w14:textId="77777777" w:rsidR="006A2AD5" w:rsidRDefault="006A2AD5" w:rsidP="00D84639">
      <w:pPr>
        <w:jc w:val="both"/>
        <w:rPr>
          <w:szCs w:val="22"/>
          <w:lang w:val="en-GB" w:eastAsia="en-US"/>
        </w:rPr>
      </w:pPr>
    </w:p>
    <w:p w14:paraId="734809D6" w14:textId="77777777" w:rsidR="006A2AD5" w:rsidRDefault="006A2AD5" w:rsidP="00D84639">
      <w:pPr>
        <w:jc w:val="both"/>
        <w:rPr>
          <w:szCs w:val="22"/>
          <w:lang w:val="en-GB" w:eastAsia="en-US"/>
        </w:rPr>
      </w:pPr>
    </w:p>
    <w:p w14:paraId="147B3A63" w14:textId="77777777" w:rsidR="006A2AD5" w:rsidRDefault="006A2AD5" w:rsidP="00D84639">
      <w:pPr>
        <w:jc w:val="both"/>
        <w:rPr>
          <w:szCs w:val="22"/>
          <w:lang w:val="en-GB" w:eastAsia="en-US"/>
        </w:rPr>
      </w:pPr>
    </w:p>
    <w:p w14:paraId="1F56F0A9" w14:textId="77777777" w:rsidR="006A2AD5" w:rsidRDefault="006A2AD5" w:rsidP="00D84639">
      <w:pPr>
        <w:jc w:val="both"/>
        <w:rPr>
          <w:szCs w:val="22"/>
          <w:lang w:val="en-GB" w:eastAsia="en-US"/>
        </w:rPr>
      </w:pPr>
    </w:p>
    <w:p w14:paraId="5569D204" w14:textId="77777777" w:rsidR="006A2AD5" w:rsidRDefault="006A2AD5" w:rsidP="00D84639">
      <w:pPr>
        <w:jc w:val="both"/>
        <w:rPr>
          <w:szCs w:val="22"/>
          <w:lang w:val="en-GB" w:eastAsia="en-US"/>
        </w:rPr>
      </w:pPr>
    </w:p>
    <w:p w14:paraId="4213FEFD" w14:textId="77777777" w:rsidR="006A2AD5" w:rsidRDefault="006A2AD5" w:rsidP="00D84639">
      <w:pPr>
        <w:jc w:val="both"/>
        <w:rPr>
          <w:szCs w:val="22"/>
          <w:lang w:val="en-GB" w:eastAsia="en-US"/>
        </w:rPr>
      </w:pPr>
    </w:p>
    <w:p w14:paraId="6DCB2E62" w14:textId="77777777" w:rsidR="006A2AD5" w:rsidRDefault="006A2AD5" w:rsidP="00D84639">
      <w:pPr>
        <w:jc w:val="both"/>
        <w:rPr>
          <w:szCs w:val="22"/>
          <w:lang w:val="en-GB" w:eastAsia="en-US"/>
        </w:rPr>
        <w:sectPr w:rsidR="006A2AD5">
          <w:footerReference w:type="even" r:id="rId14"/>
          <w:footerReference w:type="default" r:id="rId15"/>
          <w:pgSz w:w="11906" w:h="16838"/>
          <w:pgMar w:top="1440" w:right="1440" w:bottom="1440" w:left="1440" w:header="708" w:footer="708" w:gutter="0"/>
          <w:cols w:space="708"/>
          <w:docGrid w:linePitch="360"/>
        </w:sectPr>
      </w:pPr>
    </w:p>
    <w:p w14:paraId="78CEF5BF" w14:textId="1911CA5F" w:rsidR="00EB4790" w:rsidRPr="00D64CC6" w:rsidRDefault="00EB4790" w:rsidP="00D64CC6">
      <w:pPr>
        <w:pStyle w:val="Heading1"/>
      </w:pPr>
      <w:bookmarkStart w:id="47" w:name="_Toc220447473"/>
      <w:r w:rsidRPr="00D64CC6">
        <w:lastRenderedPageBreak/>
        <w:t>Appendi</w:t>
      </w:r>
      <w:r w:rsidR="00D64CC6">
        <w:t>ces</w:t>
      </w:r>
      <w:bookmarkEnd w:id="47"/>
    </w:p>
    <w:p w14:paraId="419F0D5B" w14:textId="0D705A0F" w:rsidR="00B61374" w:rsidRPr="00054DD7" w:rsidRDefault="00B61374" w:rsidP="008444BD">
      <w:pPr>
        <w:pStyle w:val="Heading2"/>
        <w:rPr>
          <w:rFonts w:eastAsia="Times New Roman" w:cs="Times New Roman"/>
        </w:rPr>
      </w:pPr>
      <w:bookmarkStart w:id="48" w:name="_Toc220447474"/>
      <w:r w:rsidRPr="00D84639">
        <w:t>Appendix A: Source Tracking Table</w:t>
      </w:r>
      <w:bookmarkEnd w:id="48"/>
    </w:p>
    <w:tbl>
      <w:tblPr>
        <w:tblStyle w:val="TableGrid"/>
        <w:tblW w:w="5000" w:type="pct"/>
        <w:tblLook w:val="04A0" w:firstRow="1" w:lastRow="0" w:firstColumn="1" w:lastColumn="0" w:noHBand="0" w:noVBand="1"/>
      </w:tblPr>
      <w:tblGrid>
        <w:gridCol w:w="829"/>
        <w:gridCol w:w="1411"/>
        <w:gridCol w:w="2111"/>
        <w:gridCol w:w="2549"/>
        <w:gridCol w:w="2119"/>
        <w:gridCol w:w="4929"/>
      </w:tblGrid>
      <w:tr w:rsidR="00B61374" w:rsidRPr="00D84639" w14:paraId="6FD1B40B" w14:textId="77777777" w:rsidTr="00A42EC0">
        <w:tc>
          <w:tcPr>
            <w:tcW w:w="390" w:type="pct"/>
            <w:hideMark/>
          </w:tcPr>
          <w:p w14:paraId="0DD039F2" w14:textId="77777777" w:rsidR="00B61374" w:rsidRPr="00054DD7" w:rsidRDefault="00B61374" w:rsidP="00D84639">
            <w:pPr>
              <w:jc w:val="both"/>
              <w:rPr>
                <w:b/>
                <w:bCs/>
                <w:szCs w:val="22"/>
              </w:rPr>
            </w:pPr>
            <w:r w:rsidRPr="00054DD7">
              <w:rPr>
                <w:b/>
                <w:bCs/>
                <w:szCs w:val="22"/>
              </w:rPr>
              <w:t>Saved</w:t>
            </w:r>
          </w:p>
        </w:tc>
        <w:tc>
          <w:tcPr>
            <w:tcW w:w="786" w:type="pct"/>
            <w:hideMark/>
          </w:tcPr>
          <w:p w14:paraId="084BC33F" w14:textId="77777777" w:rsidR="00B61374" w:rsidRPr="00054DD7" w:rsidRDefault="00B61374" w:rsidP="00D84639">
            <w:pPr>
              <w:jc w:val="both"/>
              <w:rPr>
                <w:b/>
                <w:bCs/>
                <w:szCs w:val="22"/>
              </w:rPr>
            </w:pPr>
            <w:r w:rsidRPr="00054DD7">
              <w:rPr>
                <w:b/>
                <w:bCs/>
                <w:szCs w:val="22"/>
              </w:rPr>
              <w:t>Author &amp; Year</w:t>
            </w:r>
          </w:p>
        </w:tc>
        <w:tc>
          <w:tcPr>
            <w:tcW w:w="943" w:type="pct"/>
            <w:hideMark/>
          </w:tcPr>
          <w:p w14:paraId="5D8E028E" w14:textId="77777777" w:rsidR="00B61374" w:rsidRPr="00054DD7" w:rsidRDefault="00B61374" w:rsidP="00D84639">
            <w:pPr>
              <w:jc w:val="both"/>
              <w:rPr>
                <w:b/>
                <w:bCs/>
                <w:szCs w:val="22"/>
              </w:rPr>
            </w:pPr>
            <w:r w:rsidRPr="00054DD7">
              <w:rPr>
                <w:b/>
                <w:bCs/>
                <w:szCs w:val="22"/>
              </w:rPr>
              <w:t>Title</w:t>
            </w:r>
          </w:p>
        </w:tc>
        <w:tc>
          <w:tcPr>
            <w:tcW w:w="1100" w:type="pct"/>
            <w:hideMark/>
          </w:tcPr>
          <w:p w14:paraId="2C04E40B" w14:textId="77777777" w:rsidR="00B61374" w:rsidRPr="00054DD7" w:rsidRDefault="00B61374" w:rsidP="00D84639">
            <w:pPr>
              <w:jc w:val="both"/>
              <w:rPr>
                <w:b/>
                <w:bCs/>
                <w:szCs w:val="22"/>
              </w:rPr>
            </w:pPr>
            <w:r w:rsidRPr="00054DD7">
              <w:rPr>
                <w:b/>
                <w:bCs/>
                <w:szCs w:val="22"/>
              </w:rPr>
              <w:t>Summary</w:t>
            </w:r>
          </w:p>
        </w:tc>
        <w:tc>
          <w:tcPr>
            <w:tcW w:w="946" w:type="pct"/>
            <w:hideMark/>
          </w:tcPr>
          <w:p w14:paraId="52AD4765" w14:textId="77777777" w:rsidR="00B61374" w:rsidRPr="00054DD7" w:rsidRDefault="00B61374" w:rsidP="00D84639">
            <w:pPr>
              <w:jc w:val="both"/>
              <w:rPr>
                <w:b/>
                <w:bCs/>
                <w:szCs w:val="22"/>
              </w:rPr>
            </w:pPr>
            <w:r w:rsidRPr="00054DD7">
              <w:rPr>
                <w:b/>
                <w:bCs/>
                <w:szCs w:val="22"/>
              </w:rPr>
              <w:t>CRAAP Notes</w:t>
            </w:r>
          </w:p>
        </w:tc>
        <w:tc>
          <w:tcPr>
            <w:tcW w:w="834" w:type="pct"/>
            <w:hideMark/>
          </w:tcPr>
          <w:p w14:paraId="5C98DFE1" w14:textId="77777777" w:rsidR="00B61374" w:rsidRPr="00054DD7" w:rsidRDefault="00B61374" w:rsidP="00D84639">
            <w:pPr>
              <w:jc w:val="both"/>
              <w:rPr>
                <w:b/>
                <w:bCs/>
                <w:szCs w:val="22"/>
              </w:rPr>
            </w:pPr>
            <w:r w:rsidRPr="00054DD7">
              <w:rPr>
                <w:b/>
                <w:bCs/>
                <w:szCs w:val="22"/>
              </w:rPr>
              <w:t>Suggested File Name (Desktop – hypothetical)</w:t>
            </w:r>
          </w:p>
        </w:tc>
      </w:tr>
      <w:tr w:rsidR="00B61374" w:rsidRPr="00D84639" w14:paraId="56B2BD40" w14:textId="77777777" w:rsidTr="00A42EC0">
        <w:tc>
          <w:tcPr>
            <w:tcW w:w="390" w:type="pct"/>
            <w:hideMark/>
          </w:tcPr>
          <w:p w14:paraId="5AF50D1F"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06053329" w14:textId="77777777" w:rsidR="00B61374" w:rsidRPr="00054DD7" w:rsidRDefault="00B61374" w:rsidP="00D84639">
            <w:pPr>
              <w:jc w:val="both"/>
              <w:rPr>
                <w:szCs w:val="22"/>
              </w:rPr>
            </w:pPr>
            <w:r w:rsidRPr="00054DD7">
              <w:rPr>
                <w:szCs w:val="22"/>
              </w:rPr>
              <w:t>McMaughan et al. (2020)</w:t>
            </w:r>
          </w:p>
        </w:tc>
        <w:tc>
          <w:tcPr>
            <w:tcW w:w="943" w:type="pct"/>
            <w:hideMark/>
          </w:tcPr>
          <w:p w14:paraId="108857A8" w14:textId="77777777" w:rsidR="00B61374" w:rsidRPr="00054DD7" w:rsidRDefault="00B61374" w:rsidP="00D84639">
            <w:pPr>
              <w:jc w:val="both"/>
              <w:rPr>
                <w:szCs w:val="22"/>
              </w:rPr>
            </w:pPr>
            <w:r w:rsidRPr="00054DD7">
              <w:rPr>
                <w:szCs w:val="22"/>
              </w:rPr>
              <w:t>Socioeconomic Status and Access to Healthcare: Interrelated Drivers for Healthy Aging</w:t>
            </w:r>
          </w:p>
        </w:tc>
        <w:tc>
          <w:tcPr>
            <w:tcW w:w="1100" w:type="pct"/>
            <w:hideMark/>
          </w:tcPr>
          <w:p w14:paraId="59977E81" w14:textId="77777777" w:rsidR="00B61374" w:rsidRPr="00054DD7" w:rsidRDefault="00B61374" w:rsidP="00D84639">
            <w:pPr>
              <w:jc w:val="both"/>
              <w:rPr>
                <w:szCs w:val="22"/>
              </w:rPr>
            </w:pPr>
            <w:r w:rsidRPr="00054DD7">
              <w:rPr>
                <w:szCs w:val="22"/>
              </w:rPr>
              <w:t>Mini-review linking SES, access to care, and healthy ageing; highlights policy and grassroots interventions.</w:t>
            </w:r>
          </w:p>
        </w:tc>
        <w:tc>
          <w:tcPr>
            <w:tcW w:w="946" w:type="pct"/>
            <w:hideMark/>
          </w:tcPr>
          <w:p w14:paraId="23DCF6BA" w14:textId="77777777" w:rsidR="00B61374" w:rsidRPr="00054DD7" w:rsidRDefault="00B61374" w:rsidP="00D84639">
            <w:pPr>
              <w:jc w:val="both"/>
              <w:rPr>
                <w:szCs w:val="22"/>
              </w:rPr>
            </w:pPr>
            <w:r w:rsidRPr="00054DD7">
              <w:rPr>
                <w:b/>
                <w:bCs/>
                <w:szCs w:val="22"/>
              </w:rPr>
              <w:t>C</w:t>
            </w:r>
            <w:r w:rsidRPr="00054DD7">
              <w:rPr>
                <w:szCs w:val="22"/>
              </w:rPr>
              <w:t xml:space="preserve">: Peer-reviewed; </w:t>
            </w:r>
            <w:r w:rsidRPr="00054DD7">
              <w:rPr>
                <w:b/>
                <w:bCs/>
                <w:szCs w:val="22"/>
              </w:rPr>
              <w:t>R</w:t>
            </w:r>
            <w:r w:rsidRPr="00054DD7">
              <w:rPr>
                <w:szCs w:val="22"/>
              </w:rPr>
              <w:t xml:space="preserve">: 2020; </w:t>
            </w:r>
            <w:r w:rsidRPr="00054DD7">
              <w:rPr>
                <w:b/>
                <w:bCs/>
                <w:szCs w:val="22"/>
              </w:rPr>
              <w:t>A</w:t>
            </w:r>
            <w:r w:rsidRPr="00054DD7">
              <w:rPr>
                <w:szCs w:val="22"/>
              </w:rPr>
              <w:t xml:space="preserve">: Academic authors; </w:t>
            </w:r>
            <w:r w:rsidRPr="00054DD7">
              <w:rPr>
                <w:b/>
                <w:bCs/>
                <w:szCs w:val="22"/>
              </w:rPr>
              <w:t>A</w:t>
            </w:r>
            <w:r w:rsidRPr="00054DD7">
              <w:rPr>
                <w:szCs w:val="22"/>
              </w:rPr>
              <w:t xml:space="preserve">: Conceptual synthesis; </w:t>
            </w:r>
            <w:r w:rsidRPr="00054DD7">
              <w:rPr>
                <w:b/>
                <w:bCs/>
                <w:szCs w:val="22"/>
              </w:rPr>
              <w:t>P</w:t>
            </w:r>
            <w:r w:rsidRPr="00054DD7">
              <w:rPr>
                <w:szCs w:val="22"/>
              </w:rPr>
              <w:t>: Inform policy</w:t>
            </w:r>
          </w:p>
        </w:tc>
        <w:tc>
          <w:tcPr>
            <w:tcW w:w="834" w:type="pct"/>
            <w:hideMark/>
          </w:tcPr>
          <w:p w14:paraId="6EF20B91" w14:textId="77777777" w:rsidR="00B61374" w:rsidRPr="00054DD7" w:rsidRDefault="00B61374" w:rsidP="00D84639">
            <w:pPr>
              <w:jc w:val="both"/>
              <w:rPr>
                <w:szCs w:val="22"/>
              </w:rPr>
            </w:pPr>
            <w:r w:rsidRPr="00054DD7">
              <w:rPr>
                <w:szCs w:val="22"/>
              </w:rPr>
              <w:t>McMaughan_2020_SES_HealthyAging.pdf</w:t>
            </w:r>
          </w:p>
        </w:tc>
      </w:tr>
      <w:tr w:rsidR="00B61374" w:rsidRPr="00D84639" w14:paraId="49374167" w14:textId="77777777" w:rsidTr="00A42EC0">
        <w:tc>
          <w:tcPr>
            <w:tcW w:w="390" w:type="pct"/>
            <w:hideMark/>
          </w:tcPr>
          <w:p w14:paraId="22131898"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51A3389D" w14:textId="77777777" w:rsidR="00B61374" w:rsidRPr="00054DD7" w:rsidRDefault="00B61374" w:rsidP="00D84639">
            <w:pPr>
              <w:jc w:val="both"/>
              <w:rPr>
                <w:szCs w:val="22"/>
              </w:rPr>
            </w:pPr>
            <w:r w:rsidRPr="00054DD7">
              <w:rPr>
                <w:szCs w:val="22"/>
              </w:rPr>
              <w:t>Oliveira et al. (2025)</w:t>
            </w:r>
          </w:p>
        </w:tc>
        <w:tc>
          <w:tcPr>
            <w:tcW w:w="943" w:type="pct"/>
            <w:hideMark/>
          </w:tcPr>
          <w:p w14:paraId="7DBFBE1E" w14:textId="77777777" w:rsidR="00B61374" w:rsidRPr="00054DD7" w:rsidRDefault="00B61374" w:rsidP="00D84639">
            <w:pPr>
              <w:jc w:val="both"/>
              <w:rPr>
                <w:szCs w:val="22"/>
              </w:rPr>
            </w:pPr>
            <w:r w:rsidRPr="00054DD7">
              <w:rPr>
                <w:szCs w:val="22"/>
              </w:rPr>
              <w:t>Socioeconomic inequalities in perceived difficulty accessing health services</w:t>
            </w:r>
          </w:p>
        </w:tc>
        <w:tc>
          <w:tcPr>
            <w:tcW w:w="1100" w:type="pct"/>
            <w:hideMark/>
          </w:tcPr>
          <w:p w14:paraId="3FED71FF" w14:textId="77777777" w:rsidR="00B61374" w:rsidRPr="00054DD7" w:rsidRDefault="00B61374" w:rsidP="00D84639">
            <w:pPr>
              <w:jc w:val="both"/>
              <w:rPr>
                <w:szCs w:val="22"/>
              </w:rPr>
            </w:pPr>
            <w:r w:rsidRPr="00054DD7">
              <w:rPr>
                <w:szCs w:val="22"/>
              </w:rPr>
              <w:t>Cross-sectional analysis of SABE data showing persistent SES inequalities in Brazil despite UHC.</w:t>
            </w:r>
          </w:p>
        </w:tc>
        <w:tc>
          <w:tcPr>
            <w:tcW w:w="946" w:type="pct"/>
            <w:hideMark/>
          </w:tcPr>
          <w:p w14:paraId="133B0919" w14:textId="77777777" w:rsidR="00B61374" w:rsidRPr="00054DD7" w:rsidRDefault="00B61374" w:rsidP="00D84639">
            <w:pPr>
              <w:jc w:val="both"/>
              <w:rPr>
                <w:szCs w:val="22"/>
              </w:rPr>
            </w:pPr>
            <w:r w:rsidRPr="00054DD7">
              <w:rPr>
                <w:b/>
                <w:bCs/>
                <w:szCs w:val="22"/>
              </w:rPr>
              <w:t>C</w:t>
            </w:r>
            <w:r w:rsidRPr="00054DD7">
              <w:rPr>
                <w:szCs w:val="22"/>
              </w:rPr>
              <w:t xml:space="preserve">: PLoS ONE; </w:t>
            </w:r>
            <w:r w:rsidRPr="00054DD7">
              <w:rPr>
                <w:b/>
                <w:bCs/>
                <w:szCs w:val="22"/>
              </w:rPr>
              <w:t>R</w:t>
            </w:r>
            <w:r w:rsidRPr="00054DD7">
              <w:rPr>
                <w:szCs w:val="22"/>
              </w:rPr>
              <w:t xml:space="preserve">: 2025; </w:t>
            </w:r>
            <w:r w:rsidRPr="00054DD7">
              <w:rPr>
                <w:b/>
                <w:bCs/>
                <w:szCs w:val="22"/>
              </w:rPr>
              <w:t>A</w:t>
            </w:r>
            <w:r w:rsidRPr="00054DD7">
              <w:rPr>
                <w:szCs w:val="22"/>
              </w:rPr>
              <w:t xml:space="preserve">: Large dataset; </w:t>
            </w:r>
            <w:r w:rsidRPr="00054DD7">
              <w:rPr>
                <w:b/>
                <w:bCs/>
                <w:szCs w:val="22"/>
              </w:rPr>
              <w:t>A</w:t>
            </w:r>
            <w:r w:rsidRPr="00054DD7">
              <w:rPr>
                <w:szCs w:val="22"/>
              </w:rPr>
              <w:t xml:space="preserve">: Strong methods; </w:t>
            </w:r>
            <w:r w:rsidRPr="00054DD7">
              <w:rPr>
                <w:b/>
                <w:bCs/>
                <w:szCs w:val="22"/>
              </w:rPr>
              <w:t>P</w:t>
            </w:r>
            <w:r w:rsidRPr="00054DD7">
              <w:rPr>
                <w:szCs w:val="22"/>
              </w:rPr>
              <w:t>: Equity focus</w:t>
            </w:r>
          </w:p>
        </w:tc>
        <w:tc>
          <w:tcPr>
            <w:tcW w:w="834" w:type="pct"/>
            <w:hideMark/>
          </w:tcPr>
          <w:p w14:paraId="5AD8C62B" w14:textId="77777777" w:rsidR="00B61374" w:rsidRPr="00054DD7" w:rsidRDefault="00B61374" w:rsidP="00D84639">
            <w:pPr>
              <w:jc w:val="both"/>
              <w:rPr>
                <w:szCs w:val="22"/>
              </w:rPr>
            </w:pPr>
            <w:r w:rsidRPr="00054DD7">
              <w:rPr>
                <w:szCs w:val="22"/>
              </w:rPr>
              <w:t>Oliveira_2025_Access_Inequality_SABE.pdf</w:t>
            </w:r>
          </w:p>
        </w:tc>
      </w:tr>
      <w:tr w:rsidR="00B61374" w:rsidRPr="00D84639" w14:paraId="1BB0E7F0" w14:textId="77777777" w:rsidTr="00A42EC0">
        <w:tc>
          <w:tcPr>
            <w:tcW w:w="390" w:type="pct"/>
            <w:hideMark/>
          </w:tcPr>
          <w:p w14:paraId="67D4E7D4"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6DCEA0EE" w14:textId="77777777" w:rsidR="00B61374" w:rsidRPr="00054DD7" w:rsidRDefault="00B61374" w:rsidP="00D84639">
            <w:pPr>
              <w:jc w:val="both"/>
              <w:rPr>
                <w:szCs w:val="22"/>
              </w:rPr>
            </w:pPr>
            <w:r w:rsidRPr="00054DD7">
              <w:rPr>
                <w:szCs w:val="22"/>
              </w:rPr>
              <w:t>Meulman et al. (2024)</w:t>
            </w:r>
          </w:p>
        </w:tc>
        <w:tc>
          <w:tcPr>
            <w:tcW w:w="943" w:type="pct"/>
            <w:hideMark/>
          </w:tcPr>
          <w:p w14:paraId="2B00C066" w14:textId="77777777" w:rsidR="00B61374" w:rsidRPr="00054DD7" w:rsidRDefault="00B61374" w:rsidP="00D84639">
            <w:pPr>
              <w:jc w:val="both"/>
              <w:rPr>
                <w:szCs w:val="22"/>
              </w:rPr>
            </w:pPr>
            <w:r w:rsidRPr="00054DD7">
              <w:rPr>
                <w:szCs w:val="22"/>
              </w:rPr>
              <w:t>SES Differences in Healthcare Utilisation in OECD Countries</w:t>
            </w:r>
          </w:p>
        </w:tc>
        <w:tc>
          <w:tcPr>
            <w:tcW w:w="1100" w:type="pct"/>
            <w:hideMark/>
          </w:tcPr>
          <w:p w14:paraId="56E1DF25" w14:textId="77777777" w:rsidR="00B61374" w:rsidRPr="00054DD7" w:rsidRDefault="00B61374" w:rsidP="00D84639">
            <w:pPr>
              <w:jc w:val="both"/>
              <w:rPr>
                <w:szCs w:val="22"/>
              </w:rPr>
            </w:pPr>
            <w:r w:rsidRPr="00054DD7">
              <w:rPr>
                <w:szCs w:val="22"/>
              </w:rPr>
              <w:t xml:space="preserve">Large systematic review identifying individual, community, and system-level drivers of </w:t>
            </w:r>
            <w:r w:rsidRPr="00054DD7">
              <w:rPr>
                <w:szCs w:val="22"/>
              </w:rPr>
              <w:lastRenderedPageBreak/>
              <w:t>SES-based utilisation differences.</w:t>
            </w:r>
          </w:p>
        </w:tc>
        <w:tc>
          <w:tcPr>
            <w:tcW w:w="946" w:type="pct"/>
            <w:hideMark/>
          </w:tcPr>
          <w:p w14:paraId="323A8355" w14:textId="77777777" w:rsidR="00B61374" w:rsidRPr="00054DD7" w:rsidRDefault="00B61374" w:rsidP="00D84639">
            <w:pPr>
              <w:jc w:val="both"/>
              <w:rPr>
                <w:szCs w:val="22"/>
              </w:rPr>
            </w:pPr>
            <w:r w:rsidRPr="00054DD7">
              <w:rPr>
                <w:b/>
                <w:bCs/>
                <w:szCs w:val="22"/>
              </w:rPr>
              <w:lastRenderedPageBreak/>
              <w:t>C</w:t>
            </w:r>
            <w:r w:rsidRPr="00054DD7">
              <w:rPr>
                <w:szCs w:val="22"/>
              </w:rPr>
              <w:t xml:space="preserve">: BMJ Open; </w:t>
            </w:r>
            <w:r w:rsidRPr="00054DD7">
              <w:rPr>
                <w:b/>
                <w:bCs/>
                <w:szCs w:val="22"/>
              </w:rPr>
              <w:t>R</w:t>
            </w:r>
            <w:r w:rsidRPr="00054DD7">
              <w:rPr>
                <w:szCs w:val="22"/>
              </w:rPr>
              <w:t xml:space="preserve">: 2024; </w:t>
            </w:r>
            <w:r w:rsidRPr="00054DD7">
              <w:rPr>
                <w:b/>
                <w:bCs/>
                <w:szCs w:val="22"/>
              </w:rPr>
              <w:t>A</w:t>
            </w:r>
            <w:r w:rsidRPr="00054DD7">
              <w:rPr>
                <w:szCs w:val="22"/>
              </w:rPr>
              <w:t xml:space="preserve">: PRISMA; </w:t>
            </w:r>
            <w:r w:rsidRPr="00054DD7">
              <w:rPr>
                <w:b/>
                <w:bCs/>
                <w:szCs w:val="22"/>
              </w:rPr>
              <w:t>A</w:t>
            </w:r>
            <w:r w:rsidRPr="00054DD7">
              <w:rPr>
                <w:szCs w:val="22"/>
              </w:rPr>
              <w:t xml:space="preserve">: Robust; </w:t>
            </w:r>
            <w:r w:rsidRPr="00054DD7">
              <w:rPr>
                <w:b/>
                <w:bCs/>
                <w:szCs w:val="22"/>
              </w:rPr>
              <w:t>P</w:t>
            </w:r>
            <w:r w:rsidRPr="00054DD7">
              <w:rPr>
                <w:szCs w:val="22"/>
              </w:rPr>
              <w:t>: Research gaps</w:t>
            </w:r>
          </w:p>
        </w:tc>
        <w:tc>
          <w:tcPr>
            <w:tcW w:w="834" w:type="pct"/>
            <w:hideMark/>
          </w:tcPr>
          <w:p w14:paraId="09CD1525" w14:textId="77777777" w:rsidR="00B61374" w:rsidRPr="00054DD7" w:rsidRDefault="00B61374" w:rsidP="00D84639">
            <w:pPr>
              <w:jc w:val="both"/>
              <w:rPr>
                <w:szCs w:val="22"/>
              </w:rPr>
            </w:pPr>
            <w:r w:rsidRPr="00054DD7">
              <w:rPr>
                <w:szCs w:val="22"/>
              </w:rPr>
              <w:t>Meulman_2024_SES_HCU_SystematicReview.pdf</w:t>
            </w:r>
          </w:p>
        </w:tc>
      </w:tr>
      <w:tr w:rsidR="00B61374" w:rsidRPr="00D84639" w14:paraId="300BCFC1" w14:textId="77777777" w:rsidTr="00A42EC0">
        <w:tc>
          <w:tcPr>
            <w:tcW w:w="390" w:type="pct"/>
            <w:hideMark/>
          </w:tcPr>
          <w:p w14:paraId="6CBE9E34"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67C81DAF" w14:textId="77777777" w:rsidR="00B61374" w:rsidRPr="00054DD7" w:rsidRDefault="00B61374" w:rsidP="00D84639">
            <w:pPr>
              <w:jc w:val="both"/>
              <w:rPr>
                <w:szCs w:val="22"/>
              </w:rPr>
            </w:pPr>
            <w:r w:rsidRPr="00054DD7">
              <w:rPr>
                <w:szCs w:val="22"/>
              </w:rPr>
              <w:t>Raine et al. (2016)</w:t>
            </w:r>
          </w:p>
        </w:tc>
        <w:tc>
          <w:tcPr>
            <w:tcW w:w="943" w:type="pct"/>
            <w:hideMark/>
          </w:tcPr>
          <w:p w14:paraId="0327B8E4" w14:textId="77777777" w:rsidR="00B61374" w:rsidRPr="00054DD7" w:rsidRDefault="00B61374" w:rsidP="00D84639">
            <w:pPr>
              <w:jc w:val="both"/>
              <w:rPr>
                <w:szCs w:val="22"/>
              </w:rPr>
            </w:pPr>
            <w:r w:rsidRPr="00054DD7">
              <w:rPr>
                <w:szCs w:val="22"/>
              </w:rPr>
              <w:t>Socio-economic inequalities in health care in England</w:t>
            </w:r>
          </w:p>
        </w:tc>
        <w:tc>
          <w:tcPr>
            <w:tcW w:w="1100" w:type="pct"/>
            <w:hideMark/>
          </w:tcPr>
          <w:p w14:paraId="25ECAF0A" w14:textId="77777777" w:rsidR="00B61374" w:rsidRPr="00054DD7" w:rsidRDefault="00B61374" w:rsidP="00D84639">
            <w:pPr>
              <w:jc w:val="both"/>
              <w:rPr>
                <w:szCs w:val="22"/>
              </w:rPr>
            </w:pPr>
            <w:r w:rsidRPr="00054DD7">
              <w:rPr>
                <w:szCs w:val="22"/>
              </w:rPr>
              <w:t>Comprehensive review of inequities in healthcare use, quality, and outcomes in England.</w:t>
            </w:r>
          </w:p>
        </w:tc>
        <w:tc>
          <w:tcPr>
            <w:tcW w:w="946" w:type="pct"/>
            <w:hideMark/>
          </w:tcPr>
          <w:p w14:paraId="0403CC8F" w14:textId="77777777" w:rsidR="00B61374" w:rsidRPr="00054DD7" w:rsidRDefault="00B61374" w:rsidP="00D84639">
            <w:pPr>
              <w:jc w:val="both"/>
              <w:rPr>
                <w:szCs w:val="22"/>
              </w:rPr>
            </w:pPr>
            <w:r w:rsidRPr="00054DD7">
              <w:rPr>
                <w:b/>
                <w:bCs/>
                <w:szCs w:val="22"/>
              </w:rPr>
              <w:t>C</w:t>
            </w:r>
            <w:r w:rsidRPr="00054DD7">
              <w:rPr>
                <w:szCs w:val="22"/>
              </w:rPr>
              <w:t xml:space="preserve">: IFS; </w:t>
            </w:r>
            <w:r w:rsidRPr="00054DD7">
              <w:rPr>
                <w:b/>
                <w:bCs/>
                <w:szCs w:val="22"/>
              </w:rPr>
              <w:t>R</w:t>
            </w:r>
            <w:r w:rsidRPr="00054DD7">
              <w:rPr>
                <w:szCs w:val="22"/>
              </w:rPr>
              <w:t xml:space="preserve">: 2016; </w:t>
            </w:r>
            <w:r w:rsidRPr="00054DD7">
              <w:rPr>
                <w:b/>
                <w:bCs/>
                <w:szCs w:val="22"/>
              </w:rPr>
              <w:t>A</w:t>
            </w:r>
            <w:r w:rsidRPr="00054DD7">
              <w:rPr>
                <w:szCs w:val="22"/>
              </w:rPr>
              <w:t xml:space="preserve">: UK experts; </w:t>
            </w:r>
            <w:r w:rsidRPr="00054DD7">
              <w:rPr>
                <w:b/>
                <w:bCs/>
                <w:szCs w:val="22"/>
              </w:rPr>
              <w:t>A</w:t>
            </w:r>
            <w:r w:rsidRPr="00054DD7">
              <w:rPr>
                <w:szCs w:val="22"/>
              </w:rPr>
              <w:t xml:space="preserve">: Strong empirical base; </w:t>
            </w:r>
            <w:r w:rsidRPr="00054DD7">
              <w:rPr>
                <w:b/>
                <w:bCs/>
                <w:szCs w:val="22"/>
              </w:rPr>
              <w:t>P</w:t>
            </w:r>
            <w:r w:rsidRPr="00054DD7">
              <w:rPr>
                <w:szCs w:val="22"/>
              </w:rPr>
              <w:t>: Policy</w:t>
            </w:r>
          </w:p>
        </w:tc>
        <w:tc>
          <w:tcPr>
            <w:tcW w:w="834" w:type="pct"/>
            <w:hideMark/>
          </w:tcPr>
          <w:p w14:paraId="20CB3DBA" w14:textId="77777777" w:rsidR="00B61374" w:rsidRPr="00054DD7" w:rsidRDefault="00B61374" w:rsidP="00D84639">
            <w:pPr>
              <w:jc w:val="both"/>
              <w:rPr>
                <w:szCs w:val="22"/>
              </w:rPr>
            </w:pPr>
            <w:r w:rsidRPr="00054DD7">
              <w:rPr>
                <w:szCs w:val="22"/>
              </w:rPr>
              <w:t>Raine_2016_Inequalities_England.pdf</w:t>
            </w:r>
          </w:p>
        </w:tc>
      </w:tr>
      <w:tr w:rsidR="00B61374" w:rsidRPr="00D84639" w14:paraId="7908F52A" w14:textId="77777777" w:rsidTr="00A42EC0">
        <w:tc>
          <w:tcPr>
            <w:tcW w:w="390" w:type="pct"/>
            <w:hideMark/>
          </w:tcPr>
          <w:p w14:paraId="502DE805"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0C2AD78B" w14:textId="77777777" w:rsidR="00B61374" w:rsidRPr="00054DD7" w:rsidRDefault="00B61374" w:rsidP="00D84639">
            <w:pPr>
              <w:jc w:val="both"/>
              <w:rPr>
                <w:szCs w:val="22"/>
              </w:rPr>
            </w:pPr>
            <w:r w:rsidRPr="00054DD7">
              <w:rPr>
                <w:szCs w:val="22"/>
              </w:rPr>
              <w:t>Propper (2024)</w:t>
            </w:r>
          </w:p>
        </w:tc>
        <w:tc>
          <w:tcPr>
            <w:tcW w:w="943" w:type="pct"/>
            <w:hideMark/>
          </w:tcPr>
          <w:p w14:paraId="629BAD29" w14:textId="77777777" w:rsidR="00B61374" w:rsidRPr="00054DD7" w:rsidRDefault="00B61374" w:rsidP="00D84639">
            <w:pPr>
              <w:jc w:val="both"/>
              <w:rPr>
                <w:szCs w:val="22"/>
              </w:rPr>
            </w:pPr>
            <w:r w:rsidRPr="00054DD7">
              <w:rPr>
                <w:szCs w:val="22"/>
              </w:rPr>
              <w:t>Socio-economic inequality in the distribution of health care in the UK</w:t>
            </w:r>
          </w:p>
        </w:tc>
        <w:tc>
          <w:tcPr>
            <w:tcW w:w="1100" w:type="pct"/>
            <w:hideMark/>
          </w:tcPr>
          <w:p w14:paraId="094EEA8B" w14:textId="77777777" w:rsidR="00B61374" w:rsidRPr="00054DD7" w:rsidRDefault="00B61374" w:rsidP="00D84639">
            <w:pPr>
              <w:jc w:val="both"/>
              <w:rPr>
                <w:szCs w:val="22"/>
              </w:rPr>
            </w:pPr>
            <w:r w:rsidRPr="00054DD7">
              <w:rPr>
                <w:szCs w:val="22"/>
              </w:rPr>
              <w:t>Economic commentary explaining healthcare inequality through health production and equity frameworks.</w:t>
            </w:r>
          </w:p>
        </w:tc>
        <w:tc>
          <w:tcPr>
            <w:tcW w:w="946" w:type="pct"/>
            <w:hideMark/>
          </w:tcPr>
          <w:p w14:paraId="33889882" w14:textId="77777777" w:rsidR="00B61374" w:rsidRPr="00054DD7" w:rsidRDefault="00B61374" w:rsidP="00D84639">
            <w:pPr>
              <w:jc w:val="both"/>
              <w:rPr>
                <w:szCs w:val="22"/>
              </w:rPr>
            </w:pPr>
            <w:r w:rsidRPr="00054DD7">
              <w:rPr>
                <w:b/>
                <w:bCs/>
                <w:szCs w:val="22"/>
              </w:rPr>
              <w:t>C</w:t>
            </w:r>
            <w:r w:rsidRPr="00054DD7">
              <w:rPr>
                <w:szCs w:val="22"/>
              </w:rPr>
              <w:t xml:space="preserve">: Oxford Open; </w:t>
            </w:r>
            <w:r w:rsidRPr="00054DD7">
              <w:rPr>
                <w:b/>
                <w:bCs/>
                <w:szCs w:val="22"/>
              </w:rPr>
              <w:t>R</w:t>
            </w:r>
            <w:r w:rsidRPr="00054DD7">
              <w:rPr>
                <w:szCs w:val="22"/>
              </w:rPr>
              <w:t xml:space="preserve">: 2024; </w:t>
            </w:r>
            <w:r w:rsidRPr="00054DD7">
              <w:rPr>
                <w:b/>
                <w:bCs/>
                <w:szCs w:val="22"/>
              </w:rPr>
              <w:t>A</w:t>
            </w:r>
            <w:r w:rsidRPr="00054DD7">
              <w:rPr>
                <w:szCs w:val="22"/>
              </w:rPr>
              <w:t xml:space="preserve">: Leading economist; </w:t>
            </w:r>
            <w:r w:rsidRPr="00054DD7">
              <w:rPr>
                <w:b/>
                <w:bCs/>
                <w:szCs w:val="22"/>
              </w:rPr>
              <w:t>A</w:t>
            </w:r>
            <w:r w:rsidRPr="00054DD7">
              <w:rPr>
                <w:szCs w:val="22"/>
              </w:rPr>
              <w:t xml:space="preserve">: Theoretical; </w:t>
            </w:r>
            <w:r w:rsidRPr="00054DD7">
              <w:rPr>
                <w:b/>
                <w:bCs/>
                <w:szCs w:val="22"/>
              </w:rPr>
              <w:t>P</w:t>
            </w:r>
            <w:r w:rsidRPr="00054DD7">
              <w:rPr>
                <w:szCs w:val="22"/>
              </w:rPr>
              <w:t>: Conceptual</w:t>
            </w:r>
          </w:p>
        </w:tc>
        <w:tc>
          <w:tcPr>
            <w:tcW w:w="834" w:type="pct"/>
            <w:hideMark/>
          </w:tcPr>
          <w:p w14:paraId="1A4F8E0B" w14:textId="77777777" w:rsidR="00B61374" w:rsidRPr="00054DD7" w:rsidRDefault="00B61374" w:rsidP="00D84639">
            <w:pPr>
              <w:jc w:val="both"/>
              <w:rPr>
                <w:szCs w:val="22"/>
              </w:rPr>
            </w:pPr>
            <w:r w:rsidRPr="00054DD7">
              <w:rPr>
                <w:szCs w:val="22"/>
              </w:rPr>
              <w:t>Propper_2024_HealthCare_Inequality_UK.pdf</w:t>
            </w:r>
          </w:p>
        </w:tc>
      </w:tr>
      <w:tr w:rsidR="00B61374" w:rsidRPr="00D84639" w14:paraId="6FB97F8F" w14:textId="77777777" w:rsidTr="00A42EC0">
        <w:tc>
          <w:tcPr>
            <w:tcW w:w="390" w:type="pct"/>
            <w:hideMark/>
          </w:tcPr>
          <w:p w14:paraId="67B23CCC"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3BD35792" w14:textId="77777777" w:rsidR="00B61374" w:rsidRPr="00054DD7" w:rsidRDefault="00B61374" w:rsidP="00D84639">
            <w:pPr>
              <w:jc w:val="both"/>
              <w:rPr>
                <w:szCs w:val="22"/>
              </w:rPr>
            </w:pPr>
            <w:r w:rsidRPr="00054DD7">
              <w:rPr>
                <w:szCs w:val="22"/>
              </w:rPr>
              <w:t>Ryan-Ndegwa et al. (2021)</w:t>
            </w:r>
          </w:p>
        </w:tc>
        <w:tc>
          <w:tcPr>
            <w:tcW w:w="943" w:type="pct"/>
            <w:hideMark/>
          </w:tcPr>
          <w:p w14:paraId="35D34060" w14:textId="77777777" w:rsidR="00B61374" w:rsidRPr="00054DD7" w:rsidRDefault="00B61374" w:rsidP="00D84639">
            <w:pPr>
              <w:jc w:val="both"/>
              <w:rPr>
                <w:szCs w:val="22"/>
              </w:rPr>
            </w:pPr>
            <w:r w:rsidRPr="00054DD7">
              <w:rPr>
                <w:szCs w:val="22"/>
              </w:rPr>
              <w:t>Access to hip replacement surgery in the UK</w:t>
            </w:r>
          </w:p>
        </w:tc>
        <w:tc>
          <w:tcPr>
            <w:tcW w:w="1100" w:type="pct"/>
            <w:hideMark/>
          </w:tcPr>
          <w:p w14:paraId="04596F88" w14:textId="77777777" w:rsidR="00B61374" w:rsidRPr="00054DD7" w:rsidRDefault="00B61374" w:rsidP="00D84639">
            <w:pPr>
              <w:jc w:val="both"/>
              <w:rPr>
                <w:szCs w:val="22"/>
              </w:rPr>
            </w:pPr>
            <w:r w:rsidRPr="00054DD7">
              <w:rPr>
                <w:szCs w:val="22"/>
              </w:rPr>
              <w:t>Systematic review identifying SES, ethnic, age, and geographic inequalities in hip replacement access.</w:t>
            </w:r>
          </w:p>
        </w:tc>
        <w:tc>
          <w:tcPr>
            <w:tcW w:w="946" w:type="pct"/>
            <w:hideMark/>
          </w:tcPr>
          <w:p w14:paraId="761860E9" w14:textId="77777777" w:rsidR="00B61374" w:rsidRPr="00054DD7" w:rsidRDefault="00B61374" w:rsidP="00D84639">
            <w:pPr>
              <w:jc w:val="both"/>
              <w:rPr>
                <w:szCs w:val="22"/>
              </w:rPr>
            </w:pPr>
            <w:r w:rsidRPr="00054DD7">
              <w:rPr>
                <w:b/>
                <w:bCs/>
                <w:szCs w:val="22"/>
              </w:rPr>
              <w:t>C</w:t>
            </w:r>
            <w:r w:rsidRPr="00054DD7">
              <w:rPr>
                <w:szCs w:val="22"/>
              </w:rPr>
              <w:t xml:space="preserve">: IJ Equity Health; </w:t>
            </w:r>
            <w:r w:rsidRPr="00054DD7">
              <w:rPr>
                <w:b/>
                <w:bCs/>
                <w:szCs w:val="22"/>
              </w:rPr>
              <w:t>R</w:t>
            </w:r>
            <w:r w:rsidRPr="00054DD7">
              <w:rPr>
                <w:szCs w:val="22"/>
              </w:rPr>
              <w:t xml:space="preserve">: 2021; </w:t>
            </w:r>
            <w:r w:rsidRPr="00054DD7">
              <w:rPr>
                <w:b/>
                <w:bCs/>
                <w:szCs w:val="22"/>
              </w:rPr>
              <w:t>A</w:t>
            </w:r>
            <w:r w:rsidRPr="00054DD7">
              <w:rPr>
                <w:szCs w:val="22"/>
              </w:rPr>
              <w:t xml:space="preserve">: Peer-reviewed; </w:t>
            </w:r>
            <w:r w:rsidRPr="00054DD7">
              <w:rPr>
                <w:b/>
                <w:bCs/>
                <w:szCs w:val="22"/>
              </w:rPr>
              <w:t>A</w:t>
            </w:r>
            <w:r w:rsidRPr="00054DD7">
              <w:rPr>
                <w:szCs w:val="22"/>
              </w:rPr>
              <w:t xml:space="preserve">: Clear synthesis; </w:t>
            </w:r>
            <w:r w:rsidRPr="00054DD7">
              <w:rPr>
                <w:b/>
                <w:bCs/>
                <w:szCs w:val="22"/>
              </w:rPr>
              <w:t>P</w:t>
            </w:r>
            <w:r w:rsidRPr="00054DD7">
              <w:rPr>
                <w:szCs w:val="22"/>
              </w:rPr>
              <w:t>: Clinical equity</w:t>
            </w:r>
          </w:p>
        </w:tc>
        <w:tc>
          <w:tcPr>
            <w:tcW w:w="834" w:type="pct"/>
            <w:hideMark/>
          </w:tcPr>
          <w:p w14:paraId="204AC6CE" w14:textId="77777777" w:rsidR="00B61374" w:rsidRPr="00054DD7" w:rsidRDefault="00B61374" w:rsidP="00D84639">
            <w:pPr>
              <w:jc w:val="both"/>
              <w:rPr>
                <w:szCs w:val="22"/>
              </w:rPr>
            </w:pPr>
            <w:r w:rsidRPr="00054DD7">
              <w:rPr>
                <w:szCs w:val="22"/>
              </w:rPr>
              <w:t>RyanNdegwa_2021_HipReplacement_Access.pdf</w:t>
            </w:r>
          </w:p>
        </w:tc>
      </w:tr>
      <w:tr w:rsidR="00B61374" w:rsidRPr="00D84639" w14:paraId="4C23A2BD" w14:textId="77777777" w:rsidTr="00A42EC0">
        <w:tc>
          <w:tcPr>
            <w:tcW w:w="390" w:type="pct"/>
            <w:hideMark/>
          </w:tcPr>
          <w:p w14:paraId="3A5F9007"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7F2538C7" w14:textId="77777777" w:rsidR="00B61374" w:rsidRPr="00054DD7" w:rsidRDefault="00B61374" w:rsidP="00D84639">
            <w:pPr>
              <w:jc w:val="both"/>
              <w:rPr>
                <w:szCs w:val="22"/>
              </w:rPr>
            </w:pPr>
            <w:r w:rsidRPr="00054DD7">
              <w:rPr>
                <w:szCs w:val="22"/>
              </w:rPr>
              <w:t>Asaria et al. (2016)</w:t>
            </w:r>
          </w:p>
        </w:tc>
        <w:tc>
          <w:tcPr>
            <w:tcW w:w="943" w:type="pct"/>
            <w:hideMark/>
          </w:tcPr>
          <w:p w14:paraId="52001B22" w14:textId="77777777" w:rsidR="00B61374" w:rsidRPr="00054DD7" w:rsidRDefault="00B61374" w:rsidP="00D84639">
            <w:pPr>
              <w:jc w:val="both"/>
              <w:rPr>
                <w:szCs w:val="22"/>
              </w:rPr>
            </w:pPr>
            <w:r w:rsidRPr="00054DD7">
              <w:rPr>
                <w:szCs w:val="22"/>
              </w:rPr>
              <w:t>How a universal health system reduces inequalities</w:t>
            </w:r>
          </w:p>
        </w:tc>
        <w:tc>
          <w:tcPr>
            <w:tcW w:w="1100" w:type="pct"/>
            <w:hideMark/>
          </w:tcPr>
          <w:p w14:paraId="691DD651" w14:textId="77777777" w:rsidR="00B61374" w:rsidRPr="00054DD7" w:rsidRDefault="00B61374" w:rsidP="00D84639">
            <w:pPr>
              <w:jc w:val="both"/>
              <w:rPr>
                <w:szCs w:val="22"/>
              </w:rPr>
            </w:pPr>
            <w:r w:rsidRPr="00054DD7">
              <w:rPr>
                <w:szCs w:val="22"/>
              </w:rPr>
              <w:t>Longitudinal analysis showing reduced primary care inequalities under NHS reforms.</w:t>
            </w:r>
          </w:p>
        </w:tc>
        <w:tc>
          <w:tcPr>
            <w:tcW w:w="946" w:type="pct"/>
            <w:hideMark/>
          </w:tcPr>
          <w:p w14:paraId="38B3E201" w14:textId="77777777" w:rsidR="00B61374" w:rsidRPr="00054DD7" w:rsidRDefault="00B61374" w:rsidP="00D84639">
            <w:pPr>
              <w:jc w:val="both"/>
              <w:rPr>
                <w:szCs w:val="22"/>
              </w:rPr>
            </w:pPr>
            <w:r w:rsidRPr="00054DD7">
              <w:rPr>
                <w:b/>
                <w:bCs/>
                <w:szCs w:val="22"/>
              </w:rPr>
              <w:t>C</w:t>
            </w:r>
            <w:r w:rsidRPr="00054DD7">
              <w:rPr>
                <w:szCs w:val="22"/>
              </w:rPr>
              <w:t xml:space="preserve">: JECH; </w:t>
            </w:r>
            <w:r w:rsidRPr="00054DD7">
              <w:rPr>
                <w:b/>
                <w:bCs/>
                <w:szCs w:val="22"/>
              </w:rPr>
              <w:t>R</w:t>
            </w:r>
            <w:r w:rsidRPr="00054DD7">
              <w:rPr>
                <w:szCs w:val="22"/>
              </w:rPr>
              <w:t xml:space="preserve">: 2016; </w:t>
            </w:r>
            <w:r w:rsidRPr="00054DD7">
              <w:rPr>
                <w:b/>
                <w:bCs/>
                <w:szCs w:val="22"/>
              </w:rPr>
              <w:t>A</w:t>
            </w:r>
            <w:r w:rsidRPr="00054DD7">
              <w:rPr>
                <w:szCs w:val="22"/>
              </w:rPr>
              <w:t xml:space="preserve">: Population-level; </w:t>
            </w:r>
            <w:r w:rsidRPr="00054DD7">
              <w:rPr>
                <w:b/>
                <w:bCs/>
                <w:szCs w:val="22"/>
              </w:rPr>
              <w:t>A</w:t>
            </w:r>
            <w:r w:rsidRPr="00054DD7">
              <w:rPr>
                <w:szCs w:val="22"/>
              </w:rPr>
              <w:t xml:space="preserve">: Strong data; </w:t>
            </w:r>
            <w:r w:rsidRPr="00054DD7">
              <w:rPr>
                <w:b/>
                <w:bCs/>
                <w:szCs w:val="22"/>
              </w:rPr>
              <w:t>P</w:t>
            </w:r>
            <w:r w:rsidRPr="00054DD7">
              <w:rPr>
                <w:szCs w:val="22"/>
              </w:rPr>
              <w:t>: Policy learning</w:t>
            </w:r>
          </w:p>
        </w:tc>
        <w:tc>
          <w:tcPr>
            <w:tcW w:w="834" w:type="pct"/>
            <w:hideMark/>
          </w:tcPr>
          <w:p w14:paraId="67F20E83" w14:textId="77777777" w:rsidR="00B61374" w:rsidRPr="00054DD7" w:rsidRDefault="00B61374" w:rsidP="00D84639">
            <w:pPr>
              <w:jc w:val="both"/>
              <w:rPr>
                <w:szCs w:val="22"/>
              </w:rPr>
            </w:pPr>
            <w:r w:rsidRPr="00054DD7">
              <w:rPr>
                <w:szCs w:val="22"/>
              </w:rPr>
              <w:t>Asaria_2016_NHS_Inequality_Reduction.pdf</w:t>
            </w:r>
          </w:p>
        </w:tc>
      </w:tr>
      <w:tr w:rsidR="00B61374" w:rsidRPr="00D84639" w14:paraId="22E116AB" w14:textId="77777777" w:rsidTr="00A42EC0">
        <w:tc>
          <w:tcPr>
            <w:tcW w:w="390" w:type="pct"/>
            <w:hideMark/>
          </w:tcPr>
          <w:p w14:paraId="0E26FCC3" w14:textId="77777777" w:rsidR="00B61374" w:rsidRPr="00054DD7" w:rsidRDefault="00B61374" w:rsidP="00D84639">
            <w:pPr>
              <w:jc w:val="both"/>
              <w:rPr>
                <w:szCs w:val="22"/>
              </w:rPr>
            </w:pPr>
            <w:r w:rsidRPr="00054DD7">
              <w:rPr>
                <w:rFonts w:ascii="Apple Color Emoji" w:hAnsi="Apple Color Emoji" w:cs="Apple Color Emoji"/>
                <w:szCs w:val="22"/>
              </w:rPr>
              <w:lastRenderedPageBreak/>
              <w:t>✔</w:t>
            </w:r>
          </w:p>
        </w:tc>
        <w:tc>
          <w:tcPr>
            <w:tcW w:w="786" w:type="pct"/>
            <w:hideMark/>
          </w:tcPr>
          <w:p w14:paraId="08BB7EFD" w14:textId="77777777" w:rsidR="00B61374" w:rsidRPr="00054DD7" w:rsidRDefault="00B61374" w:rsidP="00D84639">
            <w:pPr>
              <w:jc w:val="both"/>
              <w:rPr>
                <w:szCs w:val="22"/>
              </w:rPr>
            </w:pPr>
            <w:r w:rsidRPr="00054DD7">
              <w:rPr>
                <w:szCs w:val="22"/>
              </w:rPr>
              <w:t>Allan et al. (2017)</w:t>
            </w:r>
          </w:p>
        </w:tc>
        <w:tc>
          <w:tcPr>
            <w:tcW w:w="943" w:type="pct"/>
            <w:hideMark/>
          </w:tcPr>
          <w:p w14:paraId="1C036197" w14:textId="77777777" w:rsidR="00B61374" w:rsidRPr="00054DD7" w:rsidRDefault="00B61374" w:rsidP="00D84639">
            <w:pPr>
              <w:jc w:val="both"/>
              <w:rPr>
                <w:szCs w:val="22"/>
              </w:rPr>
            </w:pPr>
            <w:r w:rsidRPr="00054DD7">
              <w:rPr>
                <w:szCs w:val="22"/>
              </w:rPr>
              <w:t>Unravelling urban–rural health disparities in England</w:t>
            </w:r>
          </w:p>
        </w:tc>
        <w:tc>
          <w:tcPr>
            <w:tcW w:w="1100" w:type="pct"/>
            <w:hideMark/>
          </w:tcPr>
          <w:p w14:paraId="48C3A1BE" w14:textId="77777777" w:rsidR="00B61374" w:rsidRPr="00054DD7" w:rsidRDefault="00B61374" w:rsidP="00D84639">
            <w:pPr>
              <w:jc w:val="both"/>
              <w:rPr>
                <w:szCs w:val="22"/>
              </w:rPr>
            </w:pPr>
            <w:r w:rsidRPr="00054DD7">
              <w:rPr>
                <w:szCs w:val="22"/>
              </w:rPr>
              <w:t>Census-based study identifying urban–rural gradients and a protective “London effect”.</w:t>
            </w:r>
          </w:p>
        </w:tc>
        <w:tc>
          <w:tcPr>
            <w:tcW w:w="946" w:type="pct"/>
            <w:hideMark/>
          </w:tcPr>
          <w:p w14:paraId="1420BF3B" w14:textId="77777777" w:rsidR="00B61374" w:rsidRPr="00054DD7" w:rsidRDefault="00B61374" w:rsidP="00D84639">
            <w:pPr>
              <w:jc w:val="both"/>
              <w:rPr>
                <w:szCs w:val="22"/>
              </w:rPr>
            </w:pPr>
            <w:r w:rsidRPr="00054DD7">
              <w:rPr>
                <w:b/>
                <w:bCs/>
                <w:szCs w:val="22"/>
              </w:rPr>
              <w:t>C</w:t>
            </w:r>
            <w:r w:rsidRPr="00054DD7">
              <w:rPr>
                <w:szCs w:val="22"/>
              </w:rPr>
              <w:t xml:space="preserve">: Population Space Place; </w:t>
            </w:r>
            <w:r w:rsidRPr="00054DD7">
              <w:rPr>
                <w:b/>
                <w:bCs/>
                <w:szCs w:val="22"/>
              </w:rPr>
              <w:t>R</w:t>
            </w:r>
            <w:r w:rsidRPr="00054DD7">
              <w:rPr>
                <w:szCs w:val="22"/>
              </w:rPr>
              <w:t xml:space="preserve">: 2017; </w:t>
            </w:r>
            <w:r w:rsidRPr="00054DD7">
              <w:rPr>
                <w:b/>
                <w:bCs/>
                <w:szCs w:val="22"/>
              </w:rPr>
              <w:t>A</w:t>
            </w:r>
            <w:r w:rsidRPr="00054DD7">
              <w:rPr>
                <w:szCs w:val="22"/>
              </w:rPr>
              <w:t xml:space="preserve">: National data; </w:t>
            </w:r>
            <w:r w:rsidRPr="00054DD7">
              <w:rPr>
                <w:b/>
                <w:bCs/>
                <w:szCs w:val="22"/>
              </w:rPr>
              <w:t>A</w:t>
            </w:r>
            <w:r w:rsidRPr="00054DD7">
              <w:rPr>
                <w:szCs w:val="22"/>
              </w:rPr>
              <w:t xml:space="preserve">: Robust stats; </w:t>
            </w:r>
            <w:r w:rsidRPr="00054DD7">
              <w:rPr>
                <w:b/>
                <w:bCs/>
                <w:szCs w:val="22"/>
              </w:rPr>
              <w:t>P</w:t>
            </w:r>
            <w:r w:rsidRPr="00054DD7">
              <w:rPr>
                <w:szCs w:val="22"/>
              </w:rPr>
              <w:t>: Spatial equity</w:t>
            </w:r>
          </w:p>
        </w:tc>
        <w:tc>
          <w:tcPr>
            <w:tcW w:w="834" w:type="pct"/>
            <w:hideMark/>
          </w:tcPr>
          <w:p w14:paraId="4754FFAB" w14:textId="77777777" w:rsidR="00B61374" w:rsidRPr="00054DD7" w:rsidRDefault="00B61374" w:rsidP="00D84639">
            <w:pPr>
              <w:jc w:val="both"/>
              <w:rPr>
                <w:szCs w:val="22"/>
              </w:rPr>
            </w:pPr>
            <w:r w:rsidRPr="00054DD7">
              <w:rPr>
                <w:szCs w:val="22"/>
              </w:rPr>
              <w:t>Allan_2017_Urban_Rural_Health.pdf</w:t>
            </w:r>
          </w:p>
        </w:tc>
      </w:tr>
      <w:tr w:rsidR="00B61374" w:rsidRPr="00D84639" w14:paraId="6E32BA0B" w14:textId="77777777" w:rsidTr="00A42EC0">
        <w:tc>
          <w:tcPr>
            <w:tcW w:w="390" w:type="pct"/>
            <w:hideMark/>
          </w:tcPr>
          <w:p w14:paraId="302F65E7"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25652935" w14:textId="77777777" w:rsidR="00B61374" w:rsidRPr="00054DD7" w:rsidRDefault="00B61374" w:rsidP="00D84639">
            <w:pPr>
              <w:jc w:val="both"/>
              <w:rPr>
                <w:szCs w:val="22"/>
              </w:rPr>
            </w:pPr>
            <w:r w:rsidRPr="00054DD7">
              <w:rPr>
                <w:szCs w:val="22"/>
              </w:rPr>
              <w:t>Almeida et al. (2017)</w:t>
            </w:r>
          </w:p>
        </w:tc>
        <w:tc>
          <w:tcPr>
            <w:tcW w:w="943" w:type="pct"/>
            <w:hideMark/>
          </w:tcPr>
          <w:p w14:paraId="34EAAB60" w14:textId="77777777" w:rsidR="00B61374" w:rsidRPr="00054DD7" w:rsidRDefault="00B61374" w:rsidP="00D84639">
            <w:pPr>
              <w:jc w:val="both"/>
              <w:rPr>
                <w:szCs w:val="22"/>
              </w:rPr>
            </w:pPr>
            <w:r w:rsidRPr="00054DD7">
              <w:rPr>
                <w:szCs w:val="22"/>
              </w:rPr>
              <w:t>Socioeconomic determinants of access among older adults</w:t>
            </w:r>
          </w:p>
        </w:tc>
        <w:tc>
          <w:tcPr>
            <w:tcW w:w="1100" w:type="pct"/>
            <w:hideMark/>
          </w:tcPr>
          <w:p w14:paraId="29BD428A" w14:textId="77777777" w:rsidR="00B61374" w:rsidRPr="00054DD7" w:rsidRDefault="00B61374" w:rsidP="00D84639">
            <w:pPr>
              <w:jc w:val="both"/>
              <w:rPr>
                <w:szCs w:val="22"/>
              </w:rPr>
            </w:pPr>
            <w:r w:rsidRPr="00054DD7">
              <w:rPr>
                <w:szCs w:val="22"/>
              </w:rPr>
              <w:t>Systematic review linking income/education with outpatient and dental care access.</w:t>
            </w:r>
          </w:p>
        </w:tc>
        <w:tc>
          <w:tcPr>
            <w:tcW w:w="946" w:type="pct"/>
            <w:hideMark/>
          </w:tcPr>
          <w:p w14:paraId="5CAE789B" w14:textId="77777777" w:rsidR="00B61374" w:rsidRPr="00054DD7" w:rsidRDefault="00B61374" w:rsidP="00D84639">
            <w:pPr>
              <w:jc w:val="both"/>
              <w:rPr>
                <w:szCs w:val="22"/>
              </w:rPr>
            </w:pPr>
            <w:r w:rsidRPr="00054DD7">
              <w:rPr>
                <w:b/>
                <w:bCs/>
                <w:szCs w:val="22"/>
              </w:rPr>
              <w:t>C</w:t>
            </w:r>
            <w:r w:rsidRPr="00054DD7">
              <w:rPr>
                <w:szCs w:val="22"/>
              </w:rPr>
              <w:t xml:space="preserve">: Rev Saúde Pública; </w:t>
            </w:r>
            <w:r w:rsidRPr="00054DD7">
              <w:rPr>
                <w:b/>
                <w:bCs/>
                <w:szCs w:val="22"/>
              </w:rPr>
              <w:t>R</w:t>
            </w:r>
            <w:r w:rsidRPr="00054DD7">
              <w:rPr>
                <w:szCs w:val="22"/>
              </w:rPr>
              <w:t xml:space="preserve">: 2017; </w:t>
            </w:r>
            <w:r w:rsidRPr="00054DD7">
              <w:rPr>
                <w:b/>
                <w:bCs/>
                <w:szCs w:val="22"/>
              </w:rPr>
              <w:t>A</w:t>
            </w:r>
            <w:r w:rsidRPr="00054DD7">
              <w:rPr>
                <w:szCs w:val="22"/>
              </w:rPr>
              <w:t xml:space="preserve">: Multilingual; </w:t>
            </w:r>
            <w:r w:rsidRPr="00054DD7">
              <w:rPr>
                <w:b/>
                <w:bCs/>
                <w:szCs w:val="22"/>
              </w:rPr>
              <w:t>A</w:t>
            </w:r>
            <w:r w:rsidRPr="00054DD7">
              <w:rPr>
                <w:szCs w:val="22"/>
              </w:rPr>
              <w:t xml:space="preserve">: Broad scope; </w:t>
            </w:r>
            <w:r w:rsidRPr="00054DD7">
              <w:rPr>
                <w:b/>
                <w:bCs/>
                <w:szCs w:val="22"/>
              </w:rPr>
              <w:t>P</w:t>
            </w:r>
            <w:r w:rsidRPr="00054DD7">
              <w:rPr>
                <w:szCs w:val="22"/>
              </w:rPr>
              <w:t>: Global ageing</w:t>
            </w:r>
          </w:p>
        </w:tc>
        <w:tc>
          <w:tcPr>
            <w:tcW w:w="834" w:type="pct"/>
            <w:hideMark/>
          </w:tcPr>
          <w:p w14:paraId="2C55AF4C" w14:textId="77777777" w:rsidR="00B61374" w:rsidRPr="00054DD7" w:rsidRDefault="00B61374" w:rsidP="00D84639">
            <w:pPr>
              <w:jc w:val="both"/>
              <w:rPr>
                <w:szCs w:val="22"/>
              </w:rPr>
            </w:pPr>
            <w:r w:rsidRPr="00054DD7">
              <w:rPr>
                <w:szCs w:val="22"/>
              </w:rPr>
              <w:t>Almeida_2017_SES_Access_OlderAdults.pdf</w:t>
            </w:r>
          </w:p>
        </w:tc>
      </w:tr>
      <w:tr w:rsidR="00B61374" w:rsidRPr="00D84639" w14:paraId="54060EBD" w14:textId="77777777" w:rsidTr="00A42EC0">
        <w:tc>
          <w:tcPr>
            <w:tcW w:w="390" w:type="pct"/>
            <w:hideMark/>
          </w:tcPr>
          <w:p w14:paraId="2B18241F"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582E70EF" w14:textId="77777777" w:rsidR="00B61374" w:rsidRPr="00054DD7" w:rsidRDefault="00B61374" w:rsidP="00D84639">
            <w:pPr>
              <w:jc w:val="both"/>
              <w:rPr>
                <w:szCs w:val="22"/>
              </w:rPr>
            </w:pPr>
            <w:r w:rsidRPr="00054DD7">
              <w:rPr>
                <w:szCs w:val="22"/>
              </w:rPr>
              <w:t>Bammert et al. (2024)</w:t>
            </w:r>
          </w:p>
        </w:tc>
        <w:tc>
          <w:tcPr>
            <w:tcW w:w="943" w:type="pct"/>
            <w:hideMark/>
          </w:tcPr>
          <w:p w14:paraId="08AF5918" w14:textId="77777777" w:rsidR="00B61374" w:rsidRPr="00054DD7" w:rsidRDefault="00B61374" w:rsidP="00D84639">
            <w:pPr>
              <w:jc w:val="both"/>
              <w:rPr>
                <w:szCs w:val="22"/>
              </w:rPr>
            </w:pPr>
            <w:r w:rsidRPr="00054DD7">
              <w:rPr>
                <w:szCs w:val="22"/>
              </w:rPr>
              <w:t>Mesolevel healthcare characteristics &amp; SES</w:t>
            </w:r>
          </w:p>
        </w:tc>
        <w:tc>
          <w:tcPr>
            <w:tcW w:w="1100" w:type="pct"/>
            <w:hideMark/>
          </w:tcPr>
          <w:p w14:paraId="49F9A025" w14:textId="77777777" w:rsidR="00B61374" w:rsidRPr="00054DD7" w:rsidRDefault="00B61374" w:rsidP="00D84639">
            <w:pPr>
              <w:jc w:val="both"/>
              <w:rPr>
                <w:szCs w:val="22"/>
              </w:rPr>
            </w:pPr>
            <w:r w:rsidRPr="00054DD7">
              <w:rPr>
                <w:szCs w:val="22"/>
              </w:rPr>
              <w:t>Scoping review highlighting institutional-level access factors and SES interactions.</w:t>
            </w:r>
          </w:p>
        </w:tc>
        <w:tc>
          <w:tcPr>
            <w:tcW w:w="946" w:type="pct"/>
            <w:hideMark/>
          </w:tcPr>
          <w:p w14:paraId="08818EA6" w14:textId="77777777" w:rsidR="00B61374" w:rsidRPr="00054DD7" w:rsidRDefault="00B61374" w:rsidP="00D84639">
            <w:pPr>
              <w:jc w:val="both"/>
              <w:rPr>
                <w:szCs w:val="22"/>
              </w:rPr>
            </w:pPr>
            <w:r w:rsidRPr="00054DD7">
              <w:rPr>
                <w:b/>
                <w:bCs/>
                <w:szCs w:val="22"/>
              </w:rPr>
              <w:t>C</w:t>
            </w:r>
            <w:r w:rsidRPr="00054DD7">
              <w:rPr>
                <w:szCs w:val="22"/>
              </w:rPr>
              <w:t xml:space="preserve">: IJ Equity Health; </w:t>
            </w:r>
            <w:r w:rsidRPr="00054DD7">
              <w:rPr>
                <w:b/>
                <w:bCs/>
                <w:szCs w:val="22"/>
              </w:rPr>
              <w:t>R</w:t>
            </w:r>
            <w:r w:rsidRPr="00054DD7">
              <w:rPr>
                <w:szCs w:val="22"/>
              </w:rPr>
              <w:t xml:space="preserve">: 2024; </w:t>
            </w:r>
            <w:r w:rsidRPr="00054DD7">
              <w:rPr>
                <w:b/>
                <w:bCs/>
                <w:szCs w:val="22"/>
              </w:rPr>
              <w:t>A</w:t>
            </w:r>
            <w:r w:rsidRPr="00054DD7">
              <w:rPr>
                <w:szCs w:val="22"/>
              </w:rPr>
              <w:t xml:space="preserve">: PRISMA-ScR; </w:t>
            </w:r>
            <w:r w:rsidRPr="00054DD7">
              <w:rPr>
                <w:b/>
                <w:bCs/>
                <w:szCs w:val="22"/>
              </w:rPr>
              <w:t>A</w:t>
            </w:r>
            <w:r w:rsidRPr="00054DD7">
              <w:rPr>
                <w:szCs w:val="22"/>
              </w:rPr>
              <w:t xml:space="preserve">: Comprehensive; </w:t>
            </w:r>
            <w:r w:rsidRPr="00054DD7">
              <w:rPr>
                <w:b/>
                <w:bCs/>
                <w:szCs w:val="22"/>
              </w:rPr>
              <w:t>P</w:t>
            </w:r>
            <w:r w:rsidRPr="00054DD7">
              <w:rPr>
                <w:szCs w:val="22"/>
              </w:rPr>
              <w:t>: System design</w:t>
            </w:r>
          </w:p>
        </w:tc>
        <w:tc>
          <w:tcPr>
            <w:tcW w:w="834" w:type="pct"/>
            <w:hideMark/>
          </w:tcPr>
          <w:p w14:paraId="6D4A3CA9" w14:textId="77777777" w:rsidR="00B61374" w:rsidRPr="00054DD7" w:rsidRDefault="00B61374" w:rsidP="00D84639">
            <w:pPr>
              <w:jc w:val="both"/>
              <w:rPr>
                <w:szCs w:val="22"/>
              </w:rPr>
            </w:pPr>
            <w:r w:rsidRPr="00054DD7">
              <w:rPr>
                <w:szCs w:val="22"/>
              </w:rPr>
              <w:t>Bammert_2024_Mesolevel_Access.pdf</w:t>
            </w:r>
          </w:p>
        </w:tc>
      </w:tr>
      <w:tr w:rsidR="00B61374" w:rsidRPr="00D84639" w14:paraId="7A365075" w14:textId="77777777" w:rsidTr="00A42EC0">
        <w:tc>
          <w:tcPr>
            <w:tcW w:w="390" w:type="pct"/>
            <w:hideMark/>
          </w:tcPr>
          <w:p w14:paraId="07703F5B"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783B3F9A" w14:textId="77777777" w:rsidR="00B61374" w:rsidRPr="00054DD7" w:rsidRDefault="00B61374" w:rsidP="00D84639">
            <w:pPr>
              <w:jc w:val="both"/>
              <w:rPr>
                <w:szCs w:val="22"/>
              </w:rPr>
            </w:pPr>
            <w:r w:rsidRPr="00054DD7">
              <w:rPr>
                <w:szCs w:val="22"/>
              </w:rPr>
              <w:t>Cabañero-Garcia et al. (2025)</w:t>
            </w:r>
          </w:p>
        </w:tc>
        <w:tc>
          <w:tcPr>
            <w:tcW w:w="943" w:type="pct"/>
            <w:hideMark/>
          </w:tcPr>
          <w:p w14:paraId="1403E3F8" w14:textId="77777777" w:rsidR="00B61374" w:rsidRPr="00054DD7" w:rsidRDefault="00B61374" w:rsidP="00D84639">
            <w:pPr>
              <w:jc w:val="both"/>
              <w:rPr>
                <w:szCs w:val="22"/>
              </w:rPr>
            </w:pPr>
            <w:r w:rsidRPr="00054DD7">
              <w:rPr>
                <w:szCs w:val="22"/>
              </w:rPr>
              <w:t>Barriers to health, social &amp; long-term care</w:t>
            </w:r>
          </w:p>
        </w:tc>
        <w:tc>
          <w:tcPr>
            <w:tcW w:w="1100" w:type="pct"/>
            <w:hideMark/>
          </w:tcPr>
          <w:p w14:paraId="744D5FA8" w14:textId="77777777" w:rsidR="00B61374" w:rsidRPr="00054DD7" w:rsidRDefault="00B61374" w:rsidP="00D84639">
            <w:pPr>
              <w:jc w:val="both"/>
              <w:rPr>
                <w:szCs w:val="22"/>
              </w:rPr>
            </w:pPr>
            <w:r w:rsidRPr="00054DD7">
              <w:rPr>
                <w:szCs w:val="22"/>
              </w:rPr>
              <w:t>Review of reviews identifying demand-, supply-, and community-level barriers for older adults.</w:t>
            </w:r>
          </w:p>
        </w:tc>
        <w:tc>
          <w:tcPr>
            <w:tcW w:w="946" w:type="pct"/>
            <w:hideMark/>
          </w:tcPr>
          <w:p w14:paraId="575BA392" w14:textId="77777777" w:rsidR="00B61374" w:rsidRPr="00054DD7" w:rsidRDefault="00B61374" w:rsidP="00D84639">
            <w:pPr>
              <w:jc w:val="both"/>
              <w:rPr>
                <w:szCs w:val="22"/>
              </w:rPr>
            </w:pPr>
            <w:r w:rsidRPr="00054DD7">
              <w:rPr>
                <w:b/>
                <w:bCs/>
                <w:szCs w:val="22"/>
              </w:rPr>
              <w:t>C</w:t>
            </w:r>
            <w:r w:rsidRPr="00054DD7">
              <w:rPr>
                <w:szCs w:val="22"/>
              </w:rPr>
              <w:t xml:space="preserve">: IJ Equity Health; </w:t>
            </w:r>
            <w:r w:rsidRPr="00054DD7">
              <w:rPr>
                <w:b/>
                <w:bCs/>
                <w:szCs w:val="22"/>
              </w:rPr>
              <w:t>R</w:t>
            </w:r>
            <w:r w:rsidRPr="00054DD7">
              <w:rPr>
                <w:szCs w:val="22"/>
              </w:rPr>
              <w:t xml:space="preserve">: 2025; </w:t>
            </w:r>
            <w:r w:rsidRPr="00054DD7">
              <w:rPr>
                <w:b/>
                <w:bCs/>
                <w:szCs w:val="22"/>
              </w:rPr>
              <w:t>A</w:t>
            </w:r>
            <w:r w:rsidRPr="00054DD7">
              <w:rPr>
                <w:szCs w:val="22"/>
              </w:rPr>
              <w:t xml:space="preserve">: High-level synthesis; </w:t>
            </w:r>
            <w:r w:rsidRPr="00054DD7">
              <w:rPr>
                <w:b/>
                <w:bCs/>
                <w:szCs w:val="22"/>
              </w:rPr>
              <w:t>A</w:t>
            </w:r>
            <w:r w:rsidRPr="00054DD7">
              <w:rPr>
                <w:szCs w:val="22"/>
              </w:rPr>
              <w:t xml:space="preserve">: Strong; </w:t>
            </w:r>
            <w:r w:rsidRPr="00054DD7">
              <w:rPr>
                <w:b/>
                <w:bCs/>
                <w:szCs w:val="22"/>
              </w:rPr>
              <w:t>P</w:t>
            </w:r>
            <w:r w:rsidRPr="00054DD7">
              <w:rPr>
                <w:szCs w:val="22"/>
              </w:rPr>
              <w:t>: Integration</w:t>
            </w:r>
          </w:p>
        </w:tc>
        <w:tc>
          <w:tcPr>
            <w:tcW w:w="834" w:type="pct"/>
            <w:hideMark/>
          </w:tcPr>
          <w:p w14:paraId="719EF552" w14:textId="77777777" w:rsidR="00B61374" w:rsidRPr="00054DD7" w:rsidRDefault="00B61374" w:rsidP="00D84639">
            <w:pPr>
              <w:jc w:val="both"/>
              <w:rPr>
                <w:szCs w:val="22"/>
              </w:rPr>
            </w:pPr>
            <w:r w:rsidRPr="00054DD7">
              <w:rPr>
                <w:szCs w:val="22"/>
              </w:rPr>
              <w:t>CabaneroGarcia_2025_Barriers_Review.pdf</w:t>
            </w:r>
          </w:p>
        </w:tc>
      </w:tr>
      <w:tr w:rsidR="00B61374" w:rsidRPr="00D84639" w14:paraId="7E67489B" w14:textId="77777777" w:rsidTr="00A42EC0">
        <w:tc>
          <w:tcPr>
            <w:tcW w:w="390" w:type="pct"/>
            <w:hideMark/>
          </w:tcPr>
          <w:p w14:paraId="10B99A82" w14:textId="77777777" w:rsidR="00B61374" w:rsidRPr="00054DD7" w:rsidRDefault="00B61374" w:rsidP="00D84639">
            <w:pPr>
              <w:jc w:val="both"/>
              <w:rPr>
                <w:szCs w:val="22"/>
              </w:rPr>
            </w:pPr>
            <w:r w:rsidRPr="00054DD7">
              <w:rPr>
                <w:rFonts w:ascii="Apple Color Emoji" w:hAnsi="Apple Color Emoji" w:cs="Apple Color Emoji"/>
                <w:szCs w:val="22"/>
              </w:rPr>
              <w:lastRenderedPageBreak/>
              <w:t>✔</w:t>
            </w:r>
          </w:p>
        </w:tc>
        <w:tc>
          <w:tcPr>
            <w:tcW w:w="786" w:type="pct"/>
            <w:hideMark/>
          </w:tcPr>
          <w:p w14:paraId="3B692666" w14:textId="77777777" w:rsidR="00B61374" w:rsidRPr="00054DD7" w:rsidRDefault="00B61374" w:rsidP="00D84639">
            <w:pPr>
              <w:jc w:val="both"/>
              <w:rPr>
                <w:szCs w:val="22"/>
              </w:rPr>
            </w:pPr>
            <w:r w:rsidRPr="00054DD7">
              <w:rPr>
                <w:szCs w:val="22"/>
              </w:rPr>
              <w:t>Ford et al. (2016)</w:t>
            </w:r>
          </w:p>
        </w:tc>
        <w:tc>
          <w:tcPr>
            <w:tcW w:w="943" w:type="pct"/>
            <w:hideMark/>
          </w:tcPr>
          <w:p w14:paraId="4BF2E13C" w14:textId="77777777" w:rsidR="00B61374" w:rsidRPr="00054DD7" w:rsidRDefault="00B61374" w:rsidP="00D84639">
            <w:pPr>
              <w:jc w:val="both"/>
              <w:rPr>
                <w:szCs w:val="22"/>
              </w:rPr>
            </w:pPr>
            <w:r w:rsidRPr="00054DD7">
              <w:rPr>
                <w:szCs w:val="22"/>
              </w:rPr>
              <w:t>Access to primary care in rural older adults</w:t>
            </w:r>
          </w:p>
        </w:tc>
        <w:tc>
          <w:tcPr>
            <w:tcW w:w="1100" w:type="pct"/>
            <w:hideMark/>
          </w:tcPr>
          <w:p w14:paraId="3FB78DE5" w14:textId="77777777" w:rsidR="00B61374" w:rsidRPr="00054DD7" w:rsidRDefault="00B61374" w:rsidP="00D84639">
            <w:pPr>
              <w:jc w:val="both"/>
              <w:rPr>
                <w:szCs w:val="22"/>
              </w:rPr>
            </w:pPr>
            <w:r w:rsidRPr="00054DD7">
              <w:rPr>
                <w:szCs w:val="22"/>
              </w:rPr>
              <w:t>Realist review mapping contextual mechanisms affecting rural primary care access.</w:t>
            </w:r>
          </w:p>
        </w:tc>
        <w:tc>
          <w:tcPr>
            <w:tcW w:w="946" w:type="pct"/>
            <w:hideMark/>
          </w:tcPr>
          <w:p w14:paraId="7FCB4E86" w14:textId="77777777" w:rsidR="00B61374" w:rsidRPr="00054DD7" w:rsidRDefault="00B61374" w:rsidP="00D84639">
            <w:pPr>
              <w:jc w:val="both"/>
              <w:rPr>
                <w:szCs w:val="22"/>
              </w:rPr>
            </w:pPr>
            <w:r w:rsidRPr="00054DD7">
              <w:rPr>
                <w:b/>
                <w:bCs/>
                <w:szCs w:val="22"/>
              </w:rPr>
              <w:t>C</w:t>
            </w:r>
            <w:r w:rsidRPr="00054DD7">
              <w:rPr>
                <w:szCs w:val="22"/>
              </w:rPr>
              <w:t xml:space="preserve">: BMJ Open; </w:t>
            </w:r>
            <w:r w:rsidRPr="00054DD7">
              <w:rPr>
                <w:b/>
                <w:bCs/>
                <w:szCs w:val="22"/>
              </w:rPr>
              <w:t>R</w:t>
            </w:r>
            <w:r w:rsidRPr="00054DD7">
              <w:rPr>
                <w:szCs w:val="22"/>
              </w:rPr>
              <w:t xml:space="preserve">: 2016; </w:t>
            </w:r>
            <w:r w:rsidRPr="00054DD7">
              <w:rPr>
                <w:b/>
                <w:bCs/>
                <w:szCs w:val="22"/>
              </w:rPr>
              <w:t>A</w:t>
            </w:r>
            <w:r w:rsidRPr="00054DD7">
              <w:rPr>
                <w:szCs w:val="22"/>
              </w:rPr>
              <w:t xml:space="preserve">: Theory-driven; </w:t>
            </w:r>
            <w:r w:rsidRPr="00054DD7">
              <w:rPr>
                <w:b/>
                <w:bCs/>
                <w:szCs w:val="22"/>
              </w:rPr>
              <w:t>A</w:t>
            </w:r>
            <w:r w:rsidRPr="00054DD7">
              <w:rPr>
                <w:szCs w:val="22"/>
              </w:rPr>
              <w:t xml:space="preserve">: Deep insight; </w:t>
            </w:r>
            <w:r w:rsidRPr="00054DD7">
              <w:rPr>
                <w:b/>
                <w:bCs/>
                <w:szCs w:val="22"/>
              </w:rPr>
              <w:t>P</w:t>
            </w:r>
            <w:r w:rsidRPr="00054DD7">
              <w:rPr>
                <w:szCs w:val="22"/>
              </w:rPr>
              <w:t>: Service design</w:t>
            </w:r>
          </w:p>
        </w:tc>
        <w:tc>
          <w:tcPr>
            <w:tcW w:w="834" w:type="pct"/>
            <w:hideMark/>
          </w:tcPr>
          <w:p w14:paraId="35905DB2" w14:textId="77777777" w:rsidR="00B61374" w:rsidRPr="00054DD7" w:rsidRDefault="00B61374" w:rsidP="00D84639">
            <w:pPr>
              <w:jc w:val="both"/>
              <w:rPr>
                <w:szCs w:val="22"/>
              </w:rPr>
            </w:pPr>
            <w:r w:rsidRPr="00054DD7">
              <w:rPr>
                <w:szCs w:val="22"/>
              </w:rPr>
              <w:t>Ford_2016_Rural_PrimaryCare_Access.pdf</w:t>
            </w:r>
          </w:p>
        </w:tc>
      </w:tr>
      <w:tr w:rsidR="00B61374" w:rsidRPr="00D84639" w14:paraId="09D05D11" w14:textId="77777777" w:rsidTr="00A42EC0">
        <w:tc>
          <w:tcPr>
            <w:tcW w:w="390" w:type="pct"/>
            <w:hideMark/>
          </w:tcPr>
          <w:p w14:paraId="5B59656F" w14:textId="77777777" w:rsidR="00B61374" w:rsidRPr="00054DD7" w:rsidRDefault="00B61374" w:rsidP="00D84639">
            <w:pPr>
              <w:jc w:val="both"/>
              <w:rPr>
                <w:szCs w:val="22"/>
              </w:rPr>
            </w:pPr>
            <w:r w:rsidRPr="00054DD7">
              <w:rPr>
                <w:rFonts w:ascii="Apple Color Emoji" w:hAnsi="Apple Color Emoji" w:cs="Apple Color Emoji"/>
                <w:szCs w:val="22"/>
              </w:rPr>
              <w:t>✔</w:t>
            </w:r>
          </w:p>
        </w:tc>
        <w:tc>
          <w:tcPr>
            <w:tcW w:w="786" w:type="pct"/>
            <w:hideMark/>
          </w:tcPr>
          <w:p w14:paraId="0F952839" w14:textId="77777777" w:rsidR="00B61374" w:rsidRPr="00054DD7" w:rsidRDefault="00B61374" w:rsidP="00D84639">
            <w:pPr>
              <w:jc w:val="both"/>
              <w:rPr>
                <w:szCs w:val="22"/>
              </w:rPr>
            </w:pPr>
            <w:r w:rsidRPr="00054DD7">
              <w:rPr>
                <w:szCs w:val="22"/>
              </w:rPr>
              <w:t>French et al. (2021)</w:t>
            </w:r>
          </w:p>
        </w:tc>
        <w:tc>
          <w:tcPr>
            <w:tcW w:w="943" w:type="pct"/>
            <w:hideMark/>
          </w:tcPr>
          <w:p w14:paraId="6834BE77" w14:textId="77777777" w:rsidR="00B61374" w:rsidRPr="00054DD7" w:rsidRDefault="00B61374" w:rsidP="00D84639">
            <w:pPr>
              <w:jc w:val="both"/>
              <w:rPr>
                <w:szCs w:val="22"/>
              </w:rPr>
            </w:pPr>
            <w:r w:rsidRPr="00054DD7">
              <w:rPr>
                <w:szCs w:val="22"/>
              </w:rPr>
              <w:t>Socioeconomic inequities in palliative care</w:t>
            </w:r>
          </w:p>
        </w:tc>
        <w:tc>
          <w:tcPr>
            <w:tcW w:w="1100" w:type="pct"/>
            <w:hideMark/>
          </w:tcPr>
          <w:p w14:paraId="4A7BB811" w14:textId="77777777" w:rsidR="00B61374" w:rsidRPr="00054DD7" w:rsidRDefault="00B61374" w:rsidP="00D84639">
            <w:pPr>
              <w:jc w:val="both"/>
              <w:rPr>
                <w:szCs w:val="22"/>
              </w:rPr>
            </w:pPr>
            <w:r w:rsidRPr="00054DD7">
              <w:rPr>
                <w:szCs w:val="22"/>
              </w:rPr>
              <w:t>Narrative synthesis using candidacy theory to explain inequities in end-of-life care.</w:t>
            </w:r>
          </w:p>
        </w:tc>
        <w:tc>
          <w:tcPr>
            <w:tcW w:w="946" w:type="pct"/>
            <w:hideMark/>
          </w:tcPr>
          <w:p w14:paraId="0751400B" w14:textId="77777777" w:rsidR="00B61374" w:rsidRPr="00054DD7" w:rsidRDefault="00B61374" w:rsidP="00D84639">
            <w:pPr>
              <w:jc w:val="both"/>
              <w:rPr>
                <w:szCs w:val="22"/>
              </w:rPr>
            </w:pPr>
            <w:r w:rsidRPr="00054DD7">
              <w:rPr>
                <w:b/>
                <w:bCs/>
                <w:szCs w:val="22"/>
              </w:rPr>
              <w:t>C</w:t>
            </w:r>
            <w:r w:rsidRPr="00054DD7">
              <w:rPr>
                <w:szCs w:val="22"/>
              </w:rPr>
              <w:t xml:space="preserve">: BMC Palliative Care; </w:t>
            </w:r>
            <w:r w:rsidRPr="00054DD7">
              <w:rPr>
                <w:b/>
                <w:bCs/>
                <w:szCs w:val="22"/>
              </w:rPr>
              <w:t>R</w:t>
            </w:r>
            <w:r w:rsidRPr="00054DD7">
              <w:rPr>
                <w:szCs w:val="22"/>
              </w:rPr>
              <w:t xml:space="preserve">: 2021; </w:t>
            </w:r>
            <w:r w:rsidRPr="00054DD7">
              <w:rPr>
                <w:b/>
                <w:bCs/>
                <w:szCs w:val="22"/>
              </w:rPr>
              <w:t>A</w:t>
            </w:r>
            <w:r w:rsidRPr="00054DD7">
              <w:rPr>
                <w:szCs w:val="22"/>
              </w:rPr>
              <w:t xml:space="preserve">: UK focus; </w:t>
            </w:r>
            <w:r w:rsidRPr="00054DD7">
              <w:rPr>
                <w:b/>
                <w:bCs/>
                <w:szCs w:val="22"/>
              </w:rPr>
              <w:t>A</w:t>
            </w:r>
            <w:r w:rsidRPr="00054DD7">
              <w:rPr>
                <w:szCs w:val="22"/>
              </w:rPr>
              <w:t xml:space="preserve">: Theoretical; </w:t>
            </w:r>
            <w:r w:rsidRPr="00054DD7">
              <w:rPr>
                <w:b/>
                <w:bCs/>
                <w:szCs w:val="22"/>
              </w:rPr>
              <w:t>P</w:t>
            </w:r>
            <w:r w:rsidRPr="00054DD7">
              <w:rPr>
                <w:szCs w:val="22"/>
              </w:rPr>
              <w:t>: Equity</w:t>
            </w:r>
          </w:p>
        </w:tc>
        <w:tc>
          <w:tcPr>
            <w:tcW w:w="834" w:type="pct"/>
            <w:hideMark/>
          </w:tcPr>
          <w:p w14:paraId="53128DA2" w14:textId="77777777" w:rsidR="00B61374" w:rsidRPr="00054DD7" w:rsidRDefault="00B61374" w:rsidP="00D84639">
            <w:pPr>
              <w:jc w:val="both"/>
              <w:rPr>
                <w:szCs w:val="22"/>
              </w:rPr>
            </w:pPr>
            <w:r w:rsidRPr="00054DD7">
              <w:rPr>
                <w:szCs w:val="22"/>
              </w:rPr>
              <w:t>French_2021_PalliativeCare_Inequity.pdf</w:t>
            </w:r>
          </w:p>
        </w:tc>
      </w:tr>
    </w:tbl>
    <w:p w14:paraId="198F0728" w14:textId="062FD0AF" w:rsidR="00B61374" w:rsidRPr="00054DD7" w:rsidRDefault="00B61374" w:rsidP="00D84639">
      <w:pPr>
        <w:jc w:val="both"/>
        <w:rPr>
          <w:szCs w:val="22"/>
        </w:rPr>
      </w:pPr>
    </w:p>
    <w:p w14:paraId="1F1242EE" w14:textId="4D317E3A" w:rsidR="00B61374" w:rsidRPr="00054DD7" w:rsidRDefault="00F152DB" w:rsidP="008444BD">
      <w:pPr>
        <w:pStyle w:val="Heading2"/>
        <w:rPr>
          <w:rFonts w:eastAsia="Times New Roman"/>
        </w:rPr>
      </w:pPr>
      <w:bookmarkStart w:id="49" w:name="_Toc220447475"/>
      <w:r w:rsidRPr="00D84639">
        <w:t>Appendix 2</w:t>
      </w:r>
      <w:r w:rsidR="00B61374" w:rsidRPr="00054DD7">
        <w:rPr>
          <w:rFonts w:eastAsia="Times New Roman"/>
        </w:rPr>
        <w:t>: Methodological Summary</w:t>
      </w:r>
      <w:bookmarkEnd w:id="49"/>
    </w:p>
    <w:tbl>
      <w:tblPr>
        <w:tblStyle w:val="TableGrid"/>
        <w:tblW w:w="0" w:type="auto"/>
        <w:tblLook w:val="04A0" w:firstRow="1" w:lastRow="0" w:firstColumn="1" w:lastColumn="0" w:noHBand="0" w:noVBand="1"/>
      </w:tblPr>
      <w:tblGrid>
        <w:gridCol w:w="1518"/>
        <w:gridCol w:w="1546"/>
        <w:gridCol w:w="1594"/>
        <w:gridCol w:w="1933"/>
        <w:gridCol w:w="2042"/>
        <w:gridCol w:w="2089"/>
        <w:gridCol w:w="1701"/>
        <w:gridCol w:w="1525"/>
      </w:tblGrid>
      <w:tr w:rsidR="00B61374" w:rsidRPr="00054DD7" w14:paraId="11A96837" w14:textId="77777777" w:rsidTr="00FC490E">
        <w:tc>
          <w:tcPr>
            <w:tcW w:w="0" w:type="auto"/>
            <w:hideMark/>
          </w:tcPr>
          <w:p w14:paraId="1A9E5D2F" w14:textId="77777777" w:rsidR="00B61374" w:rsidRPr="00054DD7" w:rsidRDefault="00B61374" w:rsidP="00D84639">
            <w:pPr>
              <w:jc w:val="both"/>
              <w:rPr>
                <w:b/>
                <w:bCs/>
                <w:szCs w:val="22"/>
              </w:rPr>
            </w:pPr>
            <w:r w:rsidRPr="00054DD7">
              <w:rPr>
                <w:b/>
                <w:bCs/>
                <w:szCs w:val="22"/>
              </w:rPr>
              <w:t>Author &amp; Year</w:t>
            </w:r>
          </w:p>
        </w:tc>
        <w:tc>
          <w:tcPr>
            <w:tcW w:w="0" w:type="auto"/>
            <w:hideMark/>
          </w:tcPr>
          <w:p w14:paraId="48699ACE" w14:textId="77777777" w:rsidR="00B61374" w:rsidRPr="00054DD7" w:rsidRDefault="00B61374" w:rsidP="00D84639">
            <w:pPr>
              <w:jc w:val="both"/>
              <w:rPr>
                <w:b/>
                <w:bCs/>
                <w:szCs w:val="22"/>
              </w:rPr>
            </w:pPr>
            <w:r w:rsidRPr="00054DD7">
              <w:rPr>
                <w:b/>
                <w:bCs/>
                <w:szCs w:val="22"/>
              </w:rPr>
              <w:t>Article Title</w:t>
            </w:r>
          </w:p>
        </w:tc>
        <w:tc>
          <w:tcPr>
            <w:tcW w:w="0" w:type="auto"/>
            <w:hideMark/>
          </w:tcPr>
          <w:p w14:paraId="1664BCA9" w14:textId="77777777" w:rsidR="00B61374" w:rsidRPr="00054DD7" w:rsidRDefault="00B61374" w:rsidP="00D84639">
            <w:pPr>
              <w:jc w:val="both"/>
              <w:rPr>
                <w:b/>
                <w:bCs/>
                <w:szCs w:val="22"/>
              </w:rPr>
            </w:pPr>
            <w:r w:rsidRPr="00054DD7">
              <w:rPr>
                <w:b/>
                <w:bCs/>
                <w:szCs w:val="22"/>
              </w:rPr>
              <w:t>Type of Study</w:t>
            </w:r>
          </w:p>
        </w:tc>
        <w:tc>
          <w:tcPr>
            <w:tcW w:w="0" w:type="auto"/>
            <w:hideMark/>
          </w:tcPr>
          <w:p w14:paraId="31A6617C" w14:textId="77777777" w:rsidR="00B61374" w:rsidRPr="00054DD7" w:rsidRDefault="00B61374" w:rsidP="00D84639">
            <w:pPr>
              <w:jc w:val="both"/>
              <w:rPr>
                <w:b/>
                <w:bCs/>
                <w:szCs w:val="22"/>
              </w:rPr>
            </w:pPr>
            <w:r w:rsidRPr="00054DD7">
              <w:rPr>
                <w:b/>
                <w:bCs/>
                <w:szCs w:val="22"/>
              </w:rPr>
              <w:t>Research Method &amp; Sample Size</w:t>
            </w:r>
          </w:p>
        </w:tc>
        <w:tc>
          <w:tcPr>
            <w:tcW w:w="0" w:type="auto"/>
            <w:hideMark/>
          </w:tcPr>
          <w:p w14:paraId="56F68D77" w14:textId="77777777" w:rsidR="00B61374" w:rsidRPr="00054DD7" w:rsidRDefault="00B61374" w:rsidP="00D84639">
            <w:pPr>
              <w:jc w:val="both"/>
              <w:rPr>
                <w:b/>
                <w:bCs/>
                <w:szCs w:val="22"/>
              </w:rPr>
            </w:pPr>
            <w:r w:rsidRPr="00054DD7">
              <w:rPr>
                <w:b/>
                <w:bCs/>
                <w:szCs w:val="22"/>
              </w:rPr>
              <w:t>Strengths &amp; Limitations</w:t>
            </w:r>
          </w:p>
        </w:tc>
        <w:tc>
          <w:tcPr>
            <w:tcW w:w="0" w:type="auto"/>
            <w:hideMark/>
          </w:tcPr>
          <w:p w14:paraId="4B9DE9A5" w14:textId="77777777" w:rsidR="00B61374" w:rsidRPr="00054DD7" w:rsidRDefault="00B61374" w:rsidP="00D84639">
            <w:pPr>
              <w:jc w:val="both"/>
              <w:rPr>
                <w:b/>
                <w:bCs/>
                <w:szCs w:val="22"/>
              </w:rPr>
            </w:pPr>
            <w:r w:rsidRPr="00054DD7">
              <w:rPr>
                <w:b/>
                <w:bCs/>
                <w:szCs w:val="22"/>
              </w:rPr>
              <w:t>Main Findings</w:t>
            </w:r>
          </w:p>
        </w:tc>
        <w:tc>
          <w:tcPr>
            <w:tcW w:w="0" w:type="auto"/>
            <w:hideMark/>
          </w:tcPr>
          <w:p w14:paraId="04192980" w14:textId="77777777" w:rsidR="00B61374" w:rsidRPr="00054DD7" w:rsidRDefault="00B61374" w:rsidP="00D84639">
            <w:pPr>
              <w:jc w:val="both"/>
              <w:rPr>
                <w:b/>
                <w:bCs/>
                <w:szCs w:val="22"/>
              </w:rPr>
            </w:pPr>
            <w:r w:rsidRPr="00054DD7">
              <w:rPr>
                <w:b/>
                <w:bCs/>
                <w:szCs w:val="22"/>
              </w:rPr>
              <w:t>Keywords &amp; Codes</w:t>
            </w:r>
          </w:p>
        </w:tc>
        <w:tc>
          <w:tcPr>
            <w:tcW w:w="0" w:type="auto"/>
            <w:hideMark/>
          </w:tcPr>
          <w:p w14:paraId="5459BCB6" w14:textId="77777777" w:rsidR="00B61374" w:rsidRPr="00054DD7" w:rsidRDefault="00B61374" w:rsidP="00D84639">
            <w:pPr>
              <w:jc w:val="both"/>
              <w:rPr>
                <w:b/>
                <w:bCs/>
                <w:szCs w:val="22"/>
              </w:rPr>
            </w:pPr>
            <w:r w:rsidRPr="00054DD7">
              <w:rPr>
                <w:b/>
                <w:bCs/>
                <w:szCs w:val="22"/>
              </w:rPr>
              <w:t>Notes &amp; Comments</w:t>
            </w:r>
          </w:p>
        </w:tc>
      </w:tr>
      <w:tr w:rsidR="00B61374" w:rsidRPr="00054DD7" w14:paraId="0D4A938A" w14:textId="77777777" w:rsidTr="00FC490E">
        <w:tc>
          <w:tcPr>
            <w:tcW w:w="0" w:type="auto"/>
            <w:hideMark/>
          </w:tcPr>
          <w:p w14:paraId="2B0FAE25" w14:textId="77777777" w:rsidR="00B61374" w:rsidRPr="00054DD7" w:rsidRDefault="00B61374" w:rsidP="00D84639">
            <w:pPr>
              <w:jc w:val="both"/>
              <w:rPr>
                <w:szCs w:val="22"/>
              </w:rPr>
            </w:pPr>
            <w:r w:rsidRPr="00054DD7">
              <w:rPr>
                <w:szCs w:val="22"/>
              </w:rPr>
              <w:t>McMaughan et al. (2020)</w:t>
            </w:r>
          </w:p>
        </w:tc>
        <w:tc>
          <w:tcPr>
            <w:tcW w:w="0" w:type="auto"/>
            <w:hideMark/>
          </w:tcPr>
          <w:p w14:paraId="139882B5" w14:textId="77777777" w:rsidR="00B61374" w:rsidRPr="00054DD7" w:rsidRDefault="00B61374" w:rsidP="00D84639">
            <w:pPr>
              <w:jc w:val="both"/>
              <w:rPr>
                <w:szCs w:val="22"/>
              </w:rPr>
            </w:pPr>
            <w:r w:rsidRPr="00054DD7">
              <w:rPr>
                <w:szCs w:val="22"/>
              </w:rPr>
              <w:t>SES &amp; Healthy Aging</w:t>
            </w:r>
          </w:p>
        </w:tc>
        <w:tc>
          <w:tcPr>
            <w:tcW w:w="0" w:type="auto"/>
            <w:hideMark/>
          </w:tcPr>
          <w:p w14:paraId="5CDB153F" w14:textId="77777777" w:rsidR="00B61374" w:rsidRPr="00054DD7" w:rsidRDefault="00B61374" w:rsidP="00D84639">
            <w:pPr>
              <w:jc w:val="both"/>
              <w:rPr>
                <w:szCs w:val="22"/>
              </w:rPr>
            </w:pPr>
            <w:r w:rsidRPr="00054DD7">
              <w:rPr>
                <w:szCs w:val="22"/>
              </w:rPr>
              <w:t>Mini-review</w:t>
            </w:r>
          </w:p>
        </w:tc>
        <w:tc>
          <w:tcPr>
            <w:tcW w:w="0" w:type="auto"/>
            <w:hideMark/>
          </w:tcPr>
          <w:p w14:paraId="5BCAF444" w14:textId="77777777" w:rsidR="00B61374" w:rsidRPr="00054DD7" w:rsidRDefault="00B61374" w:rsidP="00D84639">
            <w:pPr>
              <w:jc w:val="both"/>
              <w:rPr>
                <w:szCs w:val="22"/>
              </w:rPr>
            </w:pPr>
            <w:r w:rsidRPr="00054DD7">
              <w:rPr>
                <w:szCs w:val="22"/>
              </w:rPr>
              <w:t>Narrative synthesis</w:t>
            </w:r>
          </w:p>
        </w:tc>
        <w:tc>
          <w:tcPr>
            <w:tcW w:w="0" w:type="auto"/>
            <w:hideMark/>
          </w:tcPr>
          <w:p w14:paraId="1409C181" w14:textId="77777777" w:rsidR="00B61374" w:rsidRPr="00054DD7" w:rsidRDefault="00B61374" w:rsidP="00D84639">
            <w:pPr>
              <w:jc w:val="both"/>
              <w:rPr>
                <w:szCs w:val="22"/>
              </w:rPr>
            </w:pPr>
            <w:r w:rsidRPr="00054DD7">
              <w:rPr>
                <w:szCs w:val="22"/>
              </w:rPr>
              <w:t>Strong conceptual framing; limited empirical data</w:t>
            </w:r>
          </w:p>
        </w:tc>
        <w:tc>
          <w:tcPr>
            <w:tcW w:w="0" w:type="auto"/>
            <w:hideMark/>
          </w:tcPr>
          <w:p w14:paraId="55511B73" w14:textId="77777777" w:rsidR="00B61374" w:rsidRPr="00054DD7" w:rsidRDefault="00B61374" w:rsidP="00D84639">
            <w:pPr>
              <w:jc w:val="both"/>
              <w:rPr>
                <w:szCs w:val="22"/>
              </w:rPr>
            </w:pPr>
            <w:r w:rsidRPr="00054DD7">
              <w:rPr>
                <w:szCs w:val="22"/>
              </w:rPr>
              <w:t>SES strongly linked to access and outcomes</w:t>
            </w:r>
          </w:p>
        </w:tc>
        <w:tc>
          <w:tcPr>
            <w:tcW w:w="0" w:type="auto"/>
            <w:hideMark/>
          </w:tcPr>
          <w:p w14:paraId="2396DD5A" w14:textId="77777777" w:rsidR="00B61374" w:rsidRPr="00054DD7" w:rsidRDefault="00B61374" w:rsidP="00D84639">
            <w:pPr>
              <w:jc w:val="both"/>
              <w:rPr>
                <w:szCs w:val="22"/>
              </w:rPr>
            </w:pPr>
            <w:r w:rsidRPr="00054DD7">
              <w:rPr>
                <w:szCs w:val="22"/>
              </w:rPr>
              <w:t>SES; access; ageing</w:t>
            </w:r>
          </w:p>
        </w:tc>
        <w:tc>
          <w:tcPr>
            <w:tcW w:w="0" w:type="auto"/>
            <w:hideMark/>
          </w:tcPr>
          <w:p w14:paraId="6DB67F9D" w14:textId="77777777" w:rsidR="00B61374" w:rsidRPr="00054DD7" w:rsidRDefault="00B61374" w:rsidP="00D84639">
            <w:pPr>
              <w:jc w:val="both"/>
              <w:rPr>
                <w:szCs w:val="22"/>
              </w:rPr>
            </w:pPr>
            <w:r w:rsidRPr="00054DD7">
              <w:rPr>
                <w:szCs w:val="22"/>
              </w:rPr>
              <w:t>Useful background framework</w:t>
            </w:r>
          </w:p>
        </w:tc>
      </w:tr>
      <w:tr w:rsidR="00B61374" w:rsidRPr="00054DD7" w14:paraId="4DD6EEA7" w14:textId="77777777" w:rsidTr="00FC490E">
        <w:tc>
          <w:tcPr>
            <w:tcW w:w="0" w:type="auto"/>
            <w:hideMark/>
          </w:tcPr>
          <w:p w14:paraId="010ABF06" w14:textId="77777777" w:rsidR="00B61374" w:rsidRPr="00054DD7" w:rsidRDefault="00B61374" w:rsidP="00D84639">
            <w:pPr>
              <w:jc w:val="both"/>
              <w:rPr>
                <w:szCs w:val="22"/>
              </w:rPr>
            </w:pPr>
            <w:r w:rsidRPr="00054DD7">
              <w:rPr>
                <w:szCs w:val="22"/>
              </w:rPr>
              <w:t>Oliveira et al. (2025)</w:t>
            </w:r>
          </w:p>
        </w:tc>
        <w:tc>
          <w:tcPr>
            <w:tcW w:w="0" w:type="auto"/>
            <w:hideMark/>
          </w:tcPr>
          <w:p w14:paraId="144EEAE7" w14:textId="77777777" w:rsidR="00B61374" w:rsidRPr="00054DD7" w:rsidRDefault="00B61374" w:rsidP="00D84639">
            <w:pPr>
              <w:jc w:val="both"/>
              <w:rPr>
                <w:szCs w:val="22"/>
              </w:rPr>
            </w:pPr>
            <w:r w:rsidRPr="00054DD7">
              <w:rPr>
                <w:szCs w:val="22"/>
              </w:rPr>
              <w:t>SES inequalities in access</w:t>
            </w:r>
          </w:p>
        </w:tc>
        <w:tc>
          <w:tcPr>
            <w:tcW w:w="0" w:type="auto"/>
            <w:hideMark/>
          </w:tcPr>
          <w:p w14:paraId="3296495B" w14:textId="77777777" w:rsidR="00B61374" w:rsidRPr="00054DD7" w:rsidRDefault="00B61374" w:rsidP="00D84639">
            <w:pPr>
              <w:jc w:val="both"/>
              <w:rPr>
                <w:szCs w:val="22"/>
              </w:rPr>
            </w:pPr>
            <w:r w:rsidRPr="00054DD7">
              <w:rPr>
                <w:szCs w:val="22"/>
              </w:rPr>
              <w:t>Cross-sectional</w:t>
            </w:r>
          </w:p>
        </w:tc>
        <w:tc>
          <w:tcPr>
            <w:tcW w:w="0" w:type="auto"/>
            <w:hideMark/>
          </w:tcPr>
          <w:p w14:paraId="4A88F832" w14:textId="77777777" w:rsidR="00B61374" w:rsidRPr="00054DD7" w:rsidRDefault="00B61374" w:rsidP="00D84639">
            <w:pPr>
              <w:jc w:val="both"/>
              <w:rPr>
                <w:szCs w:val="22"/>
              </w:rPr>
            </w:pPr>
            <w:r w:rsidRPr="00054DD7">
              <w:rPr>
                <w:szCs w:val="22"/>
              </w:rPr>
              <w:t>SABE surveys (n≈3,900 across waves)</w:t>
            </w:r>
          </w:p>
        </w:tc>
        <w:tc>
          <w:tcPr>
            <w:tcW w:w="0" w:type="auto"/>
            <w:hideMark/>
          </w:tcPr>
          <w:p w14:paraId="03A666FA" w14:textId="77777777" w:rsidR="00B61374" w:rsidRPr="00054DD7" w:rsidRDefault="00B61374" w:rsidP="00D84639">
            <w:pPr>
              <w:jc w:val="both"/>
              <w:rPr>
                <w:szCs w:val="22"/>
              </w:rPr>
            </w:pPr>
            <w:r w:rsidRPr="00054DD7">
              <w:rPr>
                <w:szCs w:val="22"/>
              </w:rPr>
              <w:t>Large sample; perception-based outcome</w:t>
            </w:r>
          </w:p>
        </w:tc>
        <w:tc>
          <w:tcPr>
            <w:tcW w:w="0" w:type="auto"/>
            <w:hideMark/>
          </w:tcPr>
          <w:p w14:paraId="21C947A9" w14:textId="77777777" w:rsidR="00B61374" w:rsidRPr="00054DD7" w:rsidRDefault="00B61374" w:rsidP="00D84639">
            <w:pPr>
              <w:jc w:val="both"/>
              <w:rPr>
                <w:szCs w:val="22"/>
              </w:rPr>
            </w:pPr>
            <w:r w:rsidRPr="00054DD7">
              <w:rPr>
                <w:szCs w:val="22"/>
              </w:rPr>
              <w:t>Lower SES = higher access difficulty</w:t>
            </w:r>
          </w:p>
        </w:tc>
        <w:tc>
          <w:tcPr>
            <w:tcW w:w="0" w:type="auto"/>
            <w:hideMark/>
          </w:tcPr>
          <w:p w14:paraId="41CED2C5" w14:textId="77777777" w:rsidR="00B61374" w:rsidRPr="00054DD7" w:rsidRDefault="00B61374" w:rsidP="00D84639">
            <w:pPr>
              <w:jc w:val="both"/>
              <w:rPr>
                <w:szCs w:val="22"/>
              </w:rPr>
            </w:pPr>
            <w:r w:rsidRPr="00054DD7">
              <w:rPr>
                <w:szCs w:val="22"/>
              </w:rPr>
              <w:t>Income; education; inequality</w:t>
            </w:r>
          </w:p>
        </w:tc>
        <w:tc>
          <w:tcPr>
            <w:tcW w:w="0" w:type="auto"/>
            <w:hideMark/>
          </w:tcPr>
          <w:p w14:paraId="3678A822" w14:textId="77777777" w:rsidR="00B61374" w:rsidRPr="00054DD7" w:rsidRDefault="00B61374" w:rsidP="00D84639">
            <w:pPr>
              <w:jc w:val="both"/>
              <w:rPr>
                <w:szCs w:val="22"/>
              </w:rPr>
            </w:pPr>
            <w:r w:rsidRPr="00054DD7">
              <w:rPr>
                <w:szCs w:val="22"/>
              </w:rPr>
              <w:t>Strong quantitative evidence</w:t>
            </w:r>
          </w:p>
        </w:tc>
      </w:tr>
      <w:tr w:rsidR="00B61374" w:rsidRPr="00054DD7" w14:paraId="10459564" w14:textId="77777777" w:rsidTr="00FC490E">
        <w:tc>
          <w:tcPr>
            <w:tcW w:w="0" w:type="auto"/>
            <w:hideMark/>
          </w:tcPr>
          <w:p w14:paraId="498E4F63" w14:textId="77777777" w:rsidR="00B61374" w:rsidRPr="00054DD7" w:rsidRDefault="00B61374" w:rsidP="00D84639">
            <w:pPr>
              <w:jc w:val="both"/>
              <w:rPr>
                <w:szCs w:val="22"/>
              </w:rPr>
            </w:pPr>
            <w:r w:rsidRPr="00054DD7">
              <w:rPr>
                <w:szCs w:val="22"/>
              </w:rPr>
              <w:lastRenderedPageBreak/>
              <w:t>Meulman et al. (2024)</w:t>
            </w:r>
          </w:p>
        </w:tc>
        <w:tc>
          <w:tcPr>
            <w:tcW w:w="0" w:type="auto"/>
            <w:hideMark/>
          </w:tcPr>
          <w:p w14:paraId="7388772E" w14:textId="77777777" w:rsidR="00B61374" w:rsidRPr="00054DD7" w:rsidRDefault="00B61374" w:rsidP="00D84639">
            <w:pPr>
              <w:jc w:val="both"/>
              <w:rPr>
                <w:szCs w:val="22"/>
              </w:rPr>
            </w:pPr>
            <w:r w:rsidRPr="00054DD7">
              <w:rPr>
                <w:szCs w:val="22"/>
              </w:rPr>
              <w:t>SES &amp; healthcare utilisation</w:t>
            </w:r>
          </w:p>
        </w:tc>
        <w:tc>
          <w:tcPr>
            <w:tcW w:w="0" w:type="auto"/>
            <w:hideMark/>
          </w:tcPr>
          <w:p w14:paraId="55512755" w14:textId="77777777" w:rsidR="00B61374" w:rsidRPr="00054DD7" w:rsidRDefault="00B61374" w:rsidP="00D84639">
            <w:pPr>
              <w:jc w:val="both"/>
              <w:rPr>
                <w:szCs w:val="22"/>
              </w:rPr>
            </w:pPr>
            <w:r w:rsidRPr="00054DD7">
              <w:rPr>
                <w:szCs w:val="22"/>
              </w:rPr>
              <w:t>Systematic review</w:t>
            </w:r>
          </w:p>
        </w:tc>
        <w:tc>
          <w:tcPr>
            <w:tcW w:w="0" w:type="auto"/>
            <w:hideMark/>
          </w:tcPr>
          <w:p w14:paraId="255EB8E1" w14:textId="77777777" w:rsidR="00B61374" w:rsidRPr="00054DD7" w:rsidRDefault="00B61374" w:rsidP="00D84639">
            <w:pPr>
              <w:jc w:val="both"/>
              <w:rPr>
                <w:szCs w:val="22"/>
              </w:rPr>
            </w:pPr>
            <w:r w:rsidRPr="00054DD7">
              <w:rPr>
                <w:szCs w:val="22"/>
              </w:rPr>
              <w:t>314 studies, OECD countries</w:t>
            </w:r>
          </w:p>
        </w:tc>
        <w:tc>
          <w:tcPr>
            <w:tcW w:w="0" w:type="auto"/>
            <w:hideMark/>
          </w:tcPr>
          <w:p w14:paraId="3DE750C7" w14:textId="77777777" w:rsidR="00B61374" w:rsidRPr="00054DD7" w:rsidRDefault="00B61374" w:rsidP="00D84639">
            <w:pPr>
              <w:jc w:val="both"/>
              <w:rPr>
                <w:szCs w:val="22"/>
              </w:rPr>
            </w:pPr>
            <w:r w:rsidRPr="00054DD7">
              <w:rPr>
                <w:szCs w:val="22"/>
              </w:rPr>
              <w:t>Extensive scope; heterogeneity</w:t>
            </w:r>
          </w:p>
        </w:tc>
        <w:tc>
          <w:tcPr>
            <w:tcW w:w="0" w:type="auto"/>
            <w:hideMark/>
          </w:tcPr>
          <w:p w14:paraId="6E12AF3E" w14:textId="77777777" w:rsidR="00B61374" w:rsidRPr="00054DD7" w:rsidRDefault="00B61374" w:rsidP="00D84639">
            <w:pPr>
              <w:jc w:val="both"/>
              <w:rPr>
                <w:szCs w:val="22"/>
              </w:rPr>
            </w:pPr>
            <w:r w:rsidRPr="00054DD7">
              <w:rPr>
                <w:szCs w:val="22"/>
              </w:rPr>
              <w:t>SES differences persist despite UHC</w:t>
            </w:r>
          </w:p>
        </w:tc>
        <w:tc>
          <w:tcPr>
            <w:tcW w:w="0" w:type="auto"/>
            <w:hideMark/>
          </w:tcPr>
          <w:p w14:paraId="5DD9CC44" w14:textId="77777777" w:rsidR="00B61374" w:rsidRPr="00054DD7" w:rsidRDefault="00B61374" w:rsidP="00D84639">
            <w:pPr>
              <w:jc w:val="both"/>
              <w:rPr>
                <w:szCs w:val="22"/>
              </w:rPr>
            </w:pPr>
            <w:r w:rsidRPr="00054DD7">
              <w:rPr>
                <w:szCs w:val="22"/>
              </w:rPr>
              <w:t>Utilisation; SES; system-level</w:t>
            </w:r>
          </w:p>
        </w:tc>
        <w:tc>
          <w:tcPr>
            <w:tcW w:w="0" w:type="auto"/>
            <w:hideMark/>
          </w:tcPr>
          <w:p w14:paraId="077E3861" w14:textId="77777777" w:rsidR="00B61374" w:rsidRPr="00054DD7" w:rsidRDefault="00B61374" w:rsidP="00D84639">
            <w:pPr>
              <w:jc w:val="both"/>
              <w:rPr>
                <w:szCs w:val="22"/>
              </w:rPr>
            </w:pPr>
            <w:r w:rsidRPr="00054DD7">
              <w:rPr>
                <w:szCs w:val="22"/>
              </w:rPr>
              <w:t>Identifies research gaps</w:t>
            </w:r>
          </w:p>
        </w:tc>
      </w:tr>
      <w:tr w:rsidR="00B61374" w:rsidRPr="00054DD7" w14:paraId="5F3BCA4F" w14:textId="77777777" w:rsidTr="00FC490E">
        <w:tc>
          <w:tcPr>
            <w:tcW w:w="0" w:type="auto"/>
            <w:hideMark/>
          </w:tcPr>
          <w:p w14:paraId="5880E0FD" w14:textId="77777777" w:rsidR="00B61374" w:rsidRPr="00054DD7" w:rsidRDefault="00B61374" w:rsidP="00D84639">
            <w:pPr>
              <w:jc w:val="both"/>
              <w:rPr>
                <w:szCs w:val="22"/>
              </w:rPr>
            </w:pPr>
            <w:r w:rsidRPr="00054DD7">
              <w:rPr>
                <w:szCs w:val="22"/>
              </w:rPr>
              <w:t>Raine et al. (2016)</w:t>
            </w:r>
          </w:p>
        </w:tc>
        <w:tc>
          <w:tcPr>
            <w:tcW w:w="0" w:type="auto"/>
            <w:hideMark/>
          </w:tcPr>
          <w:p w14:paraId="63442492" w14:textId="77777777" w:rsidR="00B61374" w:rsidRPr="00054DD7" w:rsidRDefault="00B61374" w:rsidP="00D84639">
            <w:pPr>
              <w:jc w:val="both"/>
              <w:rPr>
                <w:szCs w:val="22"/>
              </w:rPr>
            </w:pPr>
            <w:r w:rsidRPr="00054DD7">
              <w:rPr>
                <w:szCs w:val="22"/>
              </w:rPr>
              <w:t>Inequalities in England</w:t>
            </w:r>
          </w:p>
        </w:tc>
        <w:tc>
          <w:tcPr>
            <w:tcW w:w="0" w:type="auto"/>
            <w:hideMark/>
          </w:tcPr>
          <w:p w14:paraId="483BED00" w14:textId="77777777" w:rsidR="00B61374" w:rsidRPr="00054DD7" w:rsidRDefault="00B61374" w:rsidP="00D84639">
            <w:pPr>
              <w:jc w:val="both"/>
              <w:rPr>
                <w:szCs w:val="22"/>
              </w:rPr>
            </w:pPr>
            <w:r w:rsidRPr="00054DD7">
              <w:rPr>
                <w:szCs w:val="22"/>
              </w:rPr>
              <w:t>Review</w:t>
            </w:r>
          </w:p>
        </w:tc>
        <w:tc>
          <w:tcPr>
            <w:tcW w:w="0" w:type="auto"/>
            <w:hideMark/>
          </w:tcPr>
          <w:p w14:paraId="3DFFEB6C" w14:textId="77777777" w:rsidR="00B61374" w:rsidRPr="00054DD7" w:rsidRDefault="00B61374" w:rsidP="00D84639">
            <w:pPr>
              <w:jc w:val="both"/>
              <w:rPr>
                <w:szCs w:val="22"/>
              </w:rPr>
            </w:pPr>
            <w:r w:rsidRPr="00054DD7">
              <w:rPr>
                <w:szCs w:val="22"/>
              </w:rPr>
              <w:t>Secondary analysis</w:t>
            </w:r>
          </w:p>
        </w:tc>
        <w:tc>
          <w:tcPr>
            <w:tcW w:w="0" w:type="auto"/>
            <w:hideMark/>
          </w:tcPr>
          <w:p w14:paraId="1DF76095" w14:textId="77777777" w:rsidR="00B61374" w:rsidRPr="00054DD7" w:rsidRDefault="00B61374" w:rsidP="00D84639">
            <w:pPr>
              <w:jc w:val="both"/>
              <w:rPr>
                <w:szCs w:val="22"/>
              </w:rPr>
            </w:pPr>
            <w:r w:rsidRPr="00054DD7">
              <w:rPr>
                <w:szCs w:val="22"/>
              </w:rPr>
              <w:t>Comprehensive; older data</w:t>
            </w:r>
          </w:p>
        </w:tc>
        <w:tc>
          <w:tcPr>
            <w:tcW w:w="0" w:type="auto"/>
            <w:hideMark/>
          </w:tcPr>
          <w:p w14:paraId="3640FF82" w14:textId="77777777" w:rsidR="00B61374" w:rsidRPr="00054DD7" w:rsidRDefault="00B61374" w:rsidP="00D84639">
            <w:pPr>
              <w:jc w:val="both"/>
              <w:rPr>
                <w:szCs w:val="22"/>
              </w:rPr>
            </w:pPr>
            <w:r w:rsidRPr="00054DD7">
              <w:rPr>
                <w:szCs w:val="22"/>
              </w:rPr>
              <w:t>Pro-poor quantity, pro-rich quality</w:t>
            </w:r>
          </w:p>
        </w:tc>
        <w:tc>
          <w:tcPr>
            <w:tcW w:w="0" w:type="auto"/>
            <w:hideMark/>
          </w:tcPr>
          <w:p w14:paraId="7696EDB9" w14:textId="77777777" w:rsidR="00B61374" w:rsidRPr="00054DD7" w:rsidRDefault="00B61374" w:rsidP="00D84639">
            <w:pPr>
              <w:jc w:val="both"/>
              <w:rPr>
                <w:szCs w:val="22"/>
              </w:rPr>
            </w:pPr>
            <w:r w:rsidRPr="00054DD7">
              <w:rPr>
                <w:szCs w:val="22"/>
              </w:rPr>
              <w:t>Equity; NHS; access</w:t>
            </w:r>
          </w:p>
        </w:tc>
        <w:tc>
          <w:tcPr>
            <w:tcW w:w="0" w:type="auto"/>
            <w:hideMark/>
          </w:tcPr>
          <w:p w14:paraId="172AC7B3" w14:textId="77777777" w:rsidR="00B61374" w:rsidRPr="00054DD7" w:rsidRDefault="00B61374" w:rsidP="00D84639">
            <w:pPr>
              <w:jc w:val="both"/>
              <w:rPr>
                <w:szCs w:val="22"/>
              </w:rPr>
            </w:pPr>
            <w:r w:rsidRPr="00054DD7">
              <w:rPr>
                <w:szCs w:val="22"/>
              </w:rPr>
              <w:t>Core UK reference</w:t>
            </w:r>
          </w:p>
        </w:tc>
      </w:tr>
      <w:tr w:rsidR="00B61374" w:rsidRPr="00054DD7" w14:paraId="08DCF4EB" w14:textId="77777777" w:rsidTr="00FC490E">
        <w:tc>
          <w:tcPr>
            <w:tcW w:w="0" w:type="auto"/>
            <w:hideMark/>
          </w:tcPr>
          <w:p w14:paraId="13CD1FF4" w14:textId="77777777" w:rsidR="00B61374" w:rsidRPr="00054DD7" w:rsidRDefault="00B61374" w:rsidP="00D84639">
            <w:pPr>
              <w:jc w:val="both"/>
              <w:rPr>
                <w:szCs w:val="22"/>
              </w:rPr>
            </w:pPr>
            <w:r w:rsidRPr="00054DD7">
              <w:rPr>
                <w:szCs w:val="22"/>
              </w:rPr>
              <w:t>Propper (2024)</w:t>
            </w:r>
          </w:p>
        </w:tc>
        <w:tc>
          <w:tcPr>
            <w:tcW w:w="0" w:type="auto"/>
            <w:hideMark/>
          </w:tcPr>
          <w:p w14:paraId="3F4F92A8" w14:textId="77777777" w:rsidR="00B61374" w:rsidRPr="00054DD7" w:rsidRDefault="00B61374" w:rsidP="00D84639">
            <w:pPr>
              <w:jc w:val="both"/>
              <w:rPr>
                <w:szCs w:val="22"/>
              </w:rPr>
            </w:pPr>
            <w:r w:rsidRPr="00054DD7">
              <w:rPr>
                <w:szCs w:val="22"/>
              </w:rPr>
              <w:t>Distribution of healthcare</w:t>
            </w:r>
          </w:p>
        </w:tc>
        <w:tc>
          <w:tcPr>
            <w:tcW w:w="0" w:type="auto"/>
            <w:hideMark/>
          </w:tcPr>
          <w:p w14:paraId="6ABA07A7" w14:textId="77777777" w:rsidR="00B61374" w:rsidRPr="00054DD7" w:rsidRDefault="00B61374" w:rsidP="00D84639">
            <w:pPr>
              <w:jc w:val="both"/>
              <w:rPr>
                <w:szCs w:val="22"/>
              </w:rPr>
            </w:pPr>
            <w:r w:rsidRPr="00054DD7">
              <w:rPr>
                <w:szCs w:val="22"/>
              </w:rPr>
              <w:t>Commentary</w:t>
            </w:r>
          </w:p>
        </w:tc>
        <w:tc>
          <w:tcPr>
            <w:tcW w:w="0" w:type="auto"/>
            <w:hideMark/>
          </w:tcPr>
          <w:p w14:paraId="7DC47C96" w14:textId="77777777" w:rsidR="00B61374" w:rsidRPr="00054DD7" w:rsidRDefault="00B61374" w:rsidP="00D84639">
            <w:pPr>
              <w:jc w:val="both"/>
              <w:rPr>
                <w:szCs w:val="22"/>
              </w:rPr>
            </w:pPr>
            <w:r w:rsidRPr="00054DD7">
              <w:rPr>
                <w:szCs w:val="22"/>
              </w:rPr>
              <w:t>Economic theory &amp; literature</w:t>
            </w:r>
          </w:p>
        </w:tc>
        <w:tc>
          <w:tcPr>
            <w:tcW w:w="0" w:type="auto"/>
            <w:hideMark/>
          </w:tcPr>
          <w:p w14:paraId="75EC8E69" w14:textId="77777777" w:rsidR="00B61374" w:rsidRPr="00054DD7" w:rsidRDefault="00B61374" w:rsidP="00D84639">
            <w:pPr>
              <w:jc w:val="both"/>
              <w:rPr>
                <w:szCs w:val="22"/>
              </w:rPr>
            </w:pPr>
            <w:r w:rsidRPr="00054DD7">
              <w:rPr>
                <w:szCs w:val="22"/>
              </w:rPr>
              <w:t>Deep theory; not empirical</w:t>
            </w:r>
          </w:p>
        </w:tc>
        <w:tc>
          <w:tcPr>
            <w:tcW w:w="0" w:type="auto"/>
            <w:hideMark/>
          </w:tcPr>
          <w:p w14:paraId="0F203F05" w14:textId="77777777" w:rsidR="00B61374" w:rsidRPr="00054DD7" w:rsidRDefault="00B61374" w:rsidP="00D84639">
            <w:pPr>
              <w:jc w:val="both"/>
              <w:rPr>
                <w:szCs w:val="22"/>
              </w:rPr>
            </w:pPr>
            <w:r w:rsidRPr="00054DD7">
              <w:rPr>
                <w:szCs w:val="22"/>
              </w:rPr>
              <w:t>Healthcare inequality is structural</w:t>
            </w:r>
          </w:p>
        </w:tc>
        <w:tc>
          <w:tcPr>
            <w:tcW w:w="0" w:type="auto"/>
            <w:hideMark/>
          </w:tcPr>
          <w:p w14:paraId="631E5371" w14:textId="77777777" w:rsidR="00B61374" w:rsidRPr="00054DD7" w:rsidRDefault="00B61374" w:rsidP="00D84639">
            <w:pPr>
              <w:jc w:val="both"/>
              <w:rPr>
                <w:szCs w:val="22"/>
              </w:rPr>
            </w:pPr>
            <w:r w:rsidRPr="00054DD7">
              <w:rPr>
                <w:szCs w:val="22"/>
              </w:rPr>
              <w:t>Health production; equity</w:t>
            </w:r>
          </w:p>
        </w:tc>
        <w:tc>
          <w:tcPr>
            <w:tcW w:w="0" w:type="auto"/>
            <w:hideMark/>
          </w:tcPr>
          <w:p w14:paraId="1D7411D6" w14:textId="77777777" w:rsidR="00B61374" w:rsidRPr="00054DD7" w:rsidRDefault="00B61374" w:rsidP="00D84639">
            <w:pPr>
              <w:jc w:val="both"/>
              <w:rPr>
                <w:szCs w:val="22"/>
              </w:rPr>
            </w:pPr>
            <w:r w:rsidRPr="00054DD7">
              <w:rPr>
                <w:szCs w:val="22"/>
              </w:rPr>
              <w:t>Excellent theory citation</w:t>
            </w:r>
          </w:p>
        </w:tc>
      </w:tr>
      <w:tr w:rsidR="00B61374" w:rsidRPr="00054DD7" w14:paraId="47229B22" w14:textId="77777777" w:rsidTr="00FC490E">
        <w:tc>
          <w:tcPr>
            <w:tcW w:w="0" w:type="auto"/>
            <w:hideMark/>
          </w:tcPr>
          <w:p w14:paraId="1FAC9B5D" w14:textId="77777777" w:rsidR="00B61374" w:rsidRPr="00054DD7" w:rsidRDefault="00B61374" w:rsidP="00D84639">
            <w:pPr>
              <w:jc w:val="both"/>
              <w:rPr>
                <w:szCs w:val="22"/>
              </w:rPr>
            </w:pPr>
            <w:r w:rsidRPr="00054DD7">
              <w:rPr>
                <w:szCs w:val="22"/>
              </w:rPr>
              <w:t>Ryan-Ndegwa et al. (2021)</w:t>
            </w:r>
          </w:p>
        </w:tc>
        <w:tc>
          <w:tcPr>
            <w:tcW w:w="0" w:type="auto"/>
            <w:hideMark/>
          </w:tcPr>
          <w:p w14:paraId="3BD0F6E8" w14:textId="77777777" w:rsidR="00B61374" w:rsidRPr="00054DD7" w:rsidRDefault="00B61374" w:rsidP="00D84639">
            <w:pPr>
              <w:jc w:val="both"/>
              <w:rPr>
                <w:szCs w:val="22"/>
              </w:rPr>
            </w:pPr>
            <w:r w:rsidRPr="00054DD7">
              <w:rPr>
                <w:szCs w:val="22"/>
              </w:rPr>
              <w:t>Hip replacement access</w:t>
            </w:r>
          </w:p>
        </w:tc>
        <w:tc>
          <w:tcPr>
            <w:tcW w:w="0" w:type="auto"/>
            <w:hideMark/>
          </w:tcPr>
          <w:p w14:paraId="5A9CFDFE" w14:textId="77777777" w:rsidR="00B61374" w:rsidRPr="00054DD7" w:rsidRDefault="00B61374" w:rsidP="00D84639">
            <w:pPr>
              <w:jc w:val="both"/>
              <w:rPr>
                <w:szCs w:val="22"/>
              </w:rPr>
            </w:pPr>
            <w:r w:rsidRPr="00054DD7">
              <w:rPr>
                <w:szCs w:val="22"/>
              </w:rPr>
              <w:t>Systematic review</w:t>
            </w:r>
          </w:p>
        </w:tc>
        <w:tc>
          <w:tcPr>
            <w:tcW w:w="0" w:type="auto"/>
            <w:hideMark/>
          </w:tcPr>
          <w:p w14:paraId="53C8DFB3" w14:textId="77777777" w:rsidR="00B61374" w:rsidRPr="00054DD7" w:rsidRDefault="00B61374" w:rsidP="00D84639">
            <w:pPr>
              <w:jc w:val="both"/>
              <w:rPr>
                <w:szCs w:val="22"/>
              </w:rPr>
            </w:pPr>
            <w:r w:rsidRPr="00054DD7">
              <w:rPr>
                <w:szCs w:val="22"/>
              </w:rPr>
              <w:t>16 UK studies</w:t>
            </w:r>
          </w:p>
        </w:tc>
        <w:tc>
          <w:tcPr>
            <w:tcW w:w="0" w:type="auto"/>
            <w:hideMark/>
          </w:tcPr>
          <w:p w14:paraId="5C3ABB7B" w14:textId="77777777" w:rsidR="00B61374" w:rsidRPr="00054DD7" w:rsidRDefault="00B61374" w:rsidP="00D84639">
            <w:pPr>
              <w:jc w:val="both"/>
              <w:rPr>
                <w:szCs w:val="22"/>
              </w:rPr>
            </w:pPr>
            <w:r w:rsidRPr="00054DD7">
              <w:rPr>
                <w:szCs w:val="22"/>
              </w:rPr>
              <w:t>Clear clinical focus; limited scope</w:t>
            </w:r>
          </w:p>
        </w:tc>
        <w:tc>
          <w:tcPr>
            <w:tcW w:w="0" w:type="auto"/>
            <w:hideMark/>
          </w:tcPr>
          <w:p w14:paraId="54373546" w14:textId="77777777" w:rsidR="00B61374" w:rsidRPr="00054DD7" w:rsidRDefault="00B61374" w:rsidP="00D84639">
            <w:pPr>
              <w:jc w:val="both"/>
              <w:rPr>
                <w:szCs w:val="22"/>
              </w:rPr>
            </w:pPr>
            <w:r w:rsidRPr="00054DD7">
              <w:rPr>
                <w:szCs w:val="22"/>
              </w:rPr>
              <w:t>SES &amp; ethnicity affect surgery access</w:t>
            </w:r>
          </w:p>
        </w:tc>
        <w:tc>
          <w:tcPr>
            <w:tcW w:w="0" w:type="auto"/>
            <w:hideMark/>
          </w:tcPr>
          <w:p w14:paraId="6503A53B" w14:textId="77777777" w:rsidR="00B61374" w:rsidRPr="00054DD7" w:rsidRDefault="00B61374" w:rsidP="00D84639">
            <w:pPr>
              <w:jc w:val="both"/>
              <w:rPr>
                <w:szCs w:val="22"/>
              </w:rPr>
            </w:pPr>
            <w:r w:rsidRPr="00054DD7">
              <w:rPr>
                <w:szCs w:val="22"/>
              </w:rPr>
              <w:t>Orthopaedics; access</w:t>
            </w:r>
          </w:p>
        </w:tc>
        <w:tc>
          <w:tcPr>
            <w:tcW w:w="0" w:type="auto"/>
            <w:hideMark/>
          </w:tcPr>
          <w:p w14:paraId="57E6AA5D" w14:textId="77777777" w:rsidR="00B61374" w:rsidRPr="00054DD7" w:rsidRDefault="00B61374" w:rsidP="00D84639">
            <w:pPr>
              <w:jc w:val="both"/>
              <w:rPr>
                <w:szCs w:val="22"/>
              </w:rPr>
            </w:pPr>
            <w:r w:rsidRPr="00054DD7">
              <w:rPr>
                <w:szCs w:val="22"/>
              </w:rPr>
              <w:t>Condition-specific</w:t>
            </w:r>
          </w:p>
        </w:tc>
      </w:tr>
      <w:tr w:rsidR="00B61374" w:rsidRPr="00054DD7" w14:paraId="437DD836" w14:textId="77777777" w:rsidTr="00FC490E">
        <w:tc>
          <w:tcPr>
            <w:tcW w:w="0" w:type="auto"/>
            <w:hideMark/>
          </w:tcPr>
          <w:p w14:paraId="15A65007" w14:textId="77777777" w:rsidR="00B61374" w:rsidRPr="00054DD7" w:rsidRDefault="00B61374" w:rsidP="00D84639">
            <w:pPr>
              <w:jc w:val="both"/>
              <w:rPr>
                <w:szCs w:val="22"/>
              </w:rPr>
            </w:pPr>
            <w:r w:rsidRPr="00054DD7">
              <w:rPr>
                <w:szCs w:val="22"/>
              </w:rPr>
              <w:t>Asaria et al. (2016)</w:t>
            </w:r>
          </w:p>
        </w:tc>
        <w:tc>
          <w:tcPr>
            <w:tcW w:w="0" w:type="auto"/>
            <w:hideMark/>
          </w:tcPr>
          <w:p w14:paraId="2858ECDE" w14:textId="77777777" w:rsidR="00B61374" w:rsidRPr="00054DD7" w:rsidRDefault="00B61374" w:rsidP="00D84639">
            <w:pPr>
              <w:jc w:val="both"/>
              <w:rPr>
                <w:szCs w:val="22"/>
              </w:rPr>
            </w:pPr>
            <w:r w:rsidRPr="00054DD7">
              <w:rPr>
                <w:szCs w:val="22"/>
              </w:rPr>
              <w:t>Universal system effects</w:t>
            </w:r>
          </w:p>
        </w:tc>
        <w:tc>
          <w:tcPr>
            <w:tcW w:w="0" w:type="auto"/>
            <w:hideMark/>
          </w:tcPr>
          <w:p w14:paraId="7683CFB2" w14:textId="77777777" w:rsidR="00B61374" w:rsidRPr="00054DD7" w:rsidRDefault="00B61374" w:rsidP="00D84639">
            <w:pPr>
              <w:jc w:val="both"/>
              <w:rPr>
                <w:szCs w:val="22"/>
              </w:rPr>
            </w:pPr>
            <w:r w:rsidRPr="00054DD7">
              <w:rPr>
                <w:szCs w:val="22"/>
              </w:rPr>
              <w:t>Longitudinal</w:t>
            </w:r>
          </w:p>
        </w:tc>
        <w:tc>
          <w:tcPr>
            <w:tcW w:w="0" w:type="auto"/>
            <w:hideMark/>
          </w:tcPr>
          <w:p w14:paraId="39C3D1B5" w14:textId="77777777" w:rsidR="00B61374" w:rsidRPr="00054DD7" w:rsidRDefault="00B61374" w:rsidP="00D84639">
            <w:pPr>
              <w:jc w:val="both"/>
              <w:rPr>
                <w:szCs w:val="22"/>
              </w:rPr>
            </w:pPr>
            <w:r w:rsidRPr="00054DD7">
              <w:rPr>
                <w:szCs w:val="22"/>
              </w:rPr>
              <w:t>32,482 neighbourhoods</w:t>
            </w:r>
          </w:p>
        </w:tc>
        <w:tc>
          <w:tcPr>
            <w:tcW w:w="0" w:type="auto"/>
            <w:hideMark/>
          </w:tcPr>
          <w:p w14:paraId="2850D1C4" w14:textId="77777777" w:rsidR="00B61374" w:rsidRPr="00054DD7" w:rsidRDefault="00B61374" w:rsidP="00D84639">
            <w:pPr>
              <w:jc w:val="both"/>
              <w:rPr>
                <w:szCs w:val="22"/>
              </w:rPr>
            </w:pPr>
            <w:r w:rsidRPr="00054DD7">
              <w:rPr>
                <w:szCs w:val="22"/>
              </w:rPr>
              <w:t>Strong causal inference</w:t>
            </w:r>
          </w:p>
        </w:tc>
        <w:tc>
          <w:tcPr>
            <w:tcW w:w="0" w:type="auto"/>
            <w:hideMark/>
          </w:tcPr>
          <w:p w14:paraId="3F8C0AD8" w14:textId="77777777" w:rsidR="00B61374" w:rsidRPr="00054DD7" w:rsidRDefault="00B61374" w:rsidP="00D84639">
            <w:pPr>
              <w:jc w:val="both"/>
              <w:rPr>
                <w:szCs w:val="22"/>
              </w:rPr>
            </w:pPr>
            <w:r w:rsidRPr="00054DD7">
              <w:rPr>
                <w:szCs w:val="22"/>
              </w:rPr>
              <w:t>Primary care inequalities reduced</w:t>
            </w:r>
          </w:p>
        </w:tc>
        <w:tc>
          <w:tcPr>
            <w:tcW w:w="0" w:type="auto"/>
            <w:hideMark/>
          </w:tcPr>
          <w:p w14:paraId="7A88D49C" w14:textId="77777777" w:rsidR="00B61374" w:rsidRPr="00054DD7" w:rsidRDefault="00B61374" w:rsidP="00D84639">
            <w:pPr>
              <w:jc w:val="both"/>
              <w:rPr>
                <w:szCs w:val="22"/>
              </w:rPr>
            </w:pPr>
            <w:r w:rsidRPr="00054DD7">
              <w:rPr>
                <w:szCs w:val="22"/>
              </w:rPr>
              <w:t>NHS; primary care</w:t>
            </w:r>
          </w:p>
        </w:tc>
        <w:tc>
          <w:tcPr>
            <w:tcW w:w="0" w:type="auto"/>
            <w:hideMark/>
          </w:tcPr>
          <w:p w14:paraId="6E516433" w14:textId="77777777" w:rsidR="00B61374" w:rsidRPr="00054DD7" w:rsidRDefault="00B61374" w:rsidP="00D84639">
            <w:pPr>
              <w:jc w:val="both"/>
              <w:rPr>
                <w:szCs w:val="22"/>
              </w:rPr>
            </w:pPr>
            <w:r w:rsidRPr="00054DD7">
              <w:rPr>
                <w:szCs w:val="22"/>
              </w:rPr>
              <w:t>Policy success example</w:t>
            </w:r>
          </w:p>
        </w:tc>
      </w:tr>
      <w:tr w:rsidR="00B61374" w:rsidRPr="00054DD7" w14:paraId="1B57EF54" w14:textId="77777777" w:rsidTr="00FC490E">
        <w:tc>
          <w:tcPr>
            <w:tcW w:w="0" w:type="auto"/>
            <w:hideMark/>
          </w:tcPr>
          <w:p w14:paraId="4DDC67CF" w14:textId="77777777" w:rsidR="00B61374" w:rsidRPr="00054DD7" w:rsidRDefault="00B61374" w:rsidP="00D84639">
            <w:pPr>
              <w:jc w:val="both"/>
              <w:rPr>
                <w:szCs w:val="22"/>
              </w:rPr>
            </w:pPr>
            <w:r w:rsidRPr="00054DD7">
              <w:rPr>
                <w:szCs w:val="22"/>
              </w:rPr>
              <w:t>Allan et al. (2017)</w:t>
            </w:r>
          </w:p>
        </w:tc>
        <w:tc>
          <w:tcPr>
            <w:tcW w:w="0" w:type="auto"/>
            <w:hideMark/>
          </w:tcPr>
          <w:p w14:paraId="1B874206" w14:textId="77777777" w:rsidR="00B61374" w:rsidRPr="00054DD7" w:rsidRDefault="00B61374" w:rsidP="00D84639">
            <w:pPr>
              <w:jc w:val="both"/>
              <w:rPr>
                <w:szCs w:val="22"/>
              </w:rPr>
            </w:pPr>
            <w:r w:rsidRPr="00054DD7">
              <w:rPr>
                <w:szCs w:val="22"/>
              </w:rPr>
              <w:t>Urban–rural disparities</w:t>
            </w:r>
          </w:p>
        </w:tc>
        <w:tc>
          <w:tcPr>
            <w:tcW w:w="0" w:type="auto"/>
            <w:hideMark/>
          </w:tcPr>
          <w:p w14:paraId="2EFCA125" w14:textId="77777777" w:rsidR="00B61374" w:rsidRPr="00054DD7" w:rsidRDefault="00B61374" w:rsidP="00D84639">
            <w:pPr>
              <w:jc w:val="both"/>
              <w:rPr>
                <w:szCs w:val="22"/>
              </w:rPr>
            </w:pPr>
            <w:r w:rsidRPr="00054DD7">
              <w:rPr>
                <w:szCs w:val="22"/>
              </w:rPr>
              <w:t>Observational</w:t>
            </w:r>
          </w:p>
        </w:tc>
        <w:tc>
          <w:tcPr>
            <w:tcW w:w="0" w:type="auto"/>
            <w:hideMark/>
          </w:tcPr>
          <w:p w14:paraId="2CBECE6D" w14:textId="77777777" w:rsidR="00B61374" w:rsidRPr="00054DD7" w:rsidRDefault="00B61374" w:rsidP="00D84639">
            <w:pPr>
              <w:jc w:val="both"/>
              <w:rPr>
                <w:szCs w:val="22"/>
              </w:rPr>
            </w:pPr>
            <w:r w:rsidRPr="00054DD7">
              <w:rPr>
                <w:szCs w:val="22"/>
              </w:rPr>
              <w:t>Census 2001 data</w:t>
            </w:r>
          </w:p>
        </w:tc>
        <w:tc>
          <w:tcPr>
            <w:tcW w:w="0" w:type="auto"/>
            <w:hideMark/>
          </w:tcPr>
          <w:p w14:paraId="2F01F81A" w14:textId="77777777" w:rsidR="00B61374" w:rsidRPr="00054DD7" w:rsidRDefault="00B61374" w:rsidP="00D84639">
            <w:pPr>
              <w:jc w:val="both"/>
              <w:rPr>
                <w:szCs w:val="22"/>
              </w:rPr>
            </w:pPr>
            <w:r w:rsidRPr="00054DD7">
              <w:rPr>
                <w:szCs w:val="22"/>
              </w:rPr>
              <w:t>Strong spatial analysis; dated</w:t>
            </w:r>
          </w:p>
        </w:tc>
        <w:tc>
          <w:tcPr>
            <w:tcW w:w="0" w:type="auto"/>
            <w:hideMark/>
          </w:tcPr>
          <w:p w14:paraId="7997C260" w14:textId="77777777" w:rsidR="00B61374" w:rsidRPr="00054DD7" w:rsidRDefault="00B61374" w:rsidP="00D84639">
            <w:pPr>
              <w:jc w:val="both"/>
              <w:rPr>
                <w:szCs w:val="22"/>
              </w:rPr>
            </w:pPr>
            <w:r w:rsidRPr="00054DD7">
              <w:rPr>
                <w:szCs w:val="22"/>
              </w:rPr>
              <w:t>Rural better health; London exception</w:t>
            </w:r>
          </w:p>
        </w:tc>
        <w:tc>
          <w:tcPr>
            <w:tcW w:w="0" w:type="auto"/>
            <w:hideMark/>
          </w:tcPr>
          <w:p w14:paraId="4E08E146" w14:textId="77777777" w:rsidR="00B61374" w:rsidRPr="00054DD7" w:rsidRDefault="00B61374" w:rsidP="00D84639">
            <w:pPr>
              <w:jc w:val="both"/>
              <w:rPr>
                <w:szCs w:val="22"/>
              </w:rPr>
            </w:pPr>
            <w:r w:rsidRPr="00054DD7">
              <w:rPr>
                <w:szCs w:val="22"/>
              </w:rPr>
              <w:t>Geography; health</w:t>
            </w:r>
          </w:p>
        </w:tc>
        <w:tc>
          <w:tcPr>
            <w:tcW w:w="0" w:type="auto"/>
            <w:hideMark/>
          </w:tcPr>
          <w:p w14:paraId="45B712C5" w14:textId="77777777" w:rsidR="00B61374" w:rsidRPr="00054DD7" w:rsidRDefault="00B61374" w:rsidP="00D84639">
            <w:pPr>
              <w:jc w:val="both"/>
              <w:rPr>
                <w:szCs w:val="22"/>
              </w:rPr>
            </w:pPr>
            <w:r w:rsidRPr="00054DD7">
              <w:rPr>
                <w:szCs w:val="22"/>
              </w:rPr>
              <w:t>Contextual determinant</w:t>
            </w:r>
          </w:p>
        </w:tc>
      </w:tr>
      <w:tr w:rsidR="00B61374" w:rsidRPr="00054DD7" w14:paraId="0C397639" w14:textId="77777777" w:rsidTr="00FC490E">
        <w:tc>
          <w:tcPr>
            <w:tcW w:w="0" w:type="auto"/>
            <w:hideMark/>
          </w:tcPr>
          <w:p w14:paraId="1785223D" w14:textId="77777777" w:rsidR="00B61374" w:rsidRPr="00054DD7" w:rsidRDefault="00B61374" w:rsidP="00D84639">
            <w:pPr>
              <w:jc w:val="both"/>
              <w:rPr>
                <w:szCs w:val="22"/>
              </w:rPr>
            </w:pPr>
            <w:r w:rsidRPr="00054DD7">
              <w:rPr>
                <w:szCs w:val="22"/>
              </w:rPr>
              <w:t>Almeida et al. (2017)</w:t>
            </w:r>
          </w:p>
        </w:tc>
        <w:tc>
          <w:tcPr>
            <w:tcW w:w="0" w:type="auto"/>
            <w:hideMark/>
          </w:tcPr>
          <w:p w14:paraId="697F44E4" w14:textId="77777777" w:rsidR="00B61374" w:rsidRPr="00054DD7" w:rsidRDefault="00B61374" w:rsidP="00D84639">
            <w:pPr>
              <w:jc w:val="both"/>
              <w:rPr>
                <w:szCs w:val="22"/>
              </w:rPr>
            </w:pPr>
            <w:r w:rsidRPr="00054DD7">
              <w:rPr>
                <w:szCs w:val="22"/>
              </w:rPr>
              <w:t>SES &amp; access older adults</w:t>
            </w:r>
          </w:p>
        </w:tc>
        <w:tc>
          <w:tcPr>
            <w:tcW w:w="0" w:type="auto"/>
            <w:hideMark/>
          </w:tcPr>
          <w:p w14:paraId="5282CAA6" w14:textId="77777777" w:rsidR="00B61374" w:rsidRPr="00054DD7" w:rsidRDefault="00B61374" w:rsidP="00D84639">
            <w:pPr>
              <w:jc w:val="both"/>
              <w:rPr>
                <w:szCs w:val="22"/>
              </w:rPr>
            </w:pPr>
            <w:r w:rsidRPr="00054DD7">
              <w:rPr>
                <w:szCs w:val="22"/>
              </w:rPr>
              <w:t>Systematic review</w:t>
            </w:r>
          </w:p>
        </w:tc>
        <w:tc>
          <w:tcPr>
            <w:tcW w:w="0" w:type="auto"/>
            <w:hideMark/>
          </w:tcPr>
          <w:p w14:paraId="7EA52AC0" w14:textId="77777777" w:rsidR="00B61374" w:rsidRPr="00054DD7" w:rsidRDefault="00B61374" w:rsidP="00D84639">
            <w:pPr>
              <w:jc w:val="both"/>
              <w:rPr>
                <w:szCs w:val="22"/>
              </w:rPr>
            </w:pPr>
            <w:r w:rsidRPr="00054DD7">
              <w:rPr>
                <w:szCs w:val="22"/>
              </w:rPr>
              <w:t>36 studies</w:t>
            </w:r>
          </w:p>
        </w:tc>
        <w:tc>
          <w:tcPr>
            <w:tcW w:w="0" w:type="auto"/>
            <w:hideMark/>
          </w:tcPr>
          <w:p w14:paraId="21660FE6" w14:textId="77777777" w:rsidR="00B61374" w:rsidRPr="00054DD7" w:rsidRDefault="00B61374" w:rsidP="00D84639">
            <w:pPr>
              <w:jc w:val="both"/>
              <w:rPr>
                <w:szCs w:val="22"/>
              </w:rPr>
            </w:pPr>
            <w:r w:rsidRPr="00054DD7">
              <w:rPr>
                <w:szCs w:val="22"/>
              </w:rPr>
              <w:t>Global scope; service variation</w:t>
            </w:r>
          </w:p>
        </w:tc>
        <w:tc>
          <w:tcPr>
            <w:tcW w:w="0" w:type="auto"/>
            <w:hideMark/>
          </w:tcPr>
          <w:p w14:paraId="637C9FAD" w14:textId="77777777" w:rsidR="00B61374" w:rsidRPr="00054DD7" w:rsidRDefault="00B61374" w:rsidP="00D84639">
            <w:pPr>
              <w:jc w:val="both"/>
              <w:rPr>
                <w:szCs w:val="22"/>
              </w:rPr>
            </w:pPr>
            <w:r w:rsidRPr="00054DD7">
              <w:rPr>
                <w:szCs w:val="22"/>
              </w:rPr>
              <w:t>SES affects outpatient care</w:t>
            </w:r>
          </w:p>
        </w:tc>
        <w:tc>
          <w:tcPr>
            <w:tcW w:w="0" w:type="auto"/>
            <w:hideMark/>
          </w:tcPr>
          <w:p w14:paraId="3F06A7BC" w14:textId="77777777" w:rsidR="00B61374" w:rsidRPr="00054DD7" w:rsidRDefault="00B61374" w:rsidP="00D84639">
            <w:pPr>
              <w:jc w:val="both"/>
              <w:rPr>
                <w:szCs w:val="22"/>
              </w:rPr>
            </w:pPr>
            <w:r w:rsidRPr="00054DD7">
              <w:rPr>
                <w:szCs w:val="22"/>
              </w:rPr>
              <w:t>Older adults; access</w:t>
            </w:r>
          </w:p>
        </w:tc>
        <w:tc>
          <w:tcPr>
            <w:tcW w:w="0" w:type="auto"/>
            <w:hideMark/>
          </w:tcPr>
          <w:p w14:paraId="7D5DA2BF" w14:textId="77777777" w:rsidR="00B61374" w:rsidRPr="00054DD7" w:rsidRDefault="00B61374" w:rsidP="00D84639">
            <w:pPr>
              <w:jc w:val="both"/>
              <w:rPr>
                <w:szCs w:val="22"/>
              </w:rPr>
            </w:pPr>
            <w:r w:rsidRPr="00054DD7">
              <w:rPr>
                <w:szCs w:val="22"/>
              </w:rPr>
              <w:t>Good for ageing focus</w:t>
            </w:r>
          </w:p>
        </w:tc>
      </w:tr>
      <w:tr w:rsidR="00B61374" w:rsidRPr="00054DD7" w14:paraId="027D49E3" w14:textId="77777777" w:rsidTr="00FC490E">
        <w:tc>
          <w:tcPr>
            <w:tcW w:w="0" w:type="auto"/>
            <w:hideMark/>
          </w:tcPr>
          <w:p w14:paraId="13790D5A" w14:textId="77777777" w:rsidR="00B61374" w:rsidRPr="00054DD7" w:rsidRDefault="00B61374" w:rsidP="00D84639">
            <w:pPr>
              <w:jc w:val="both"/>
              <w:rPr>
                <w:szCs w:val="22"/>
              </w:rPr>
            </w:pPr>
            <w:r w:rsidRPr="00054DD7">
              <w:rPr>
                <w:szCs w:val="22"/>
              </w:rPr>
              <w:t>Bammert et al. (2024)</w:t>
            </w:r>
          </w:p>
        </w:tc>
        <w:tc>
          <w:tcPr>
            <w:tcW w:w="0" w:type="auto"/>
            <w:hideMark/>
          </w:tcPr>
          <w:p w14:paraId="2601E25B" w14:textId="77777777" w:rsidR="00B61374" w:rsidRPr="00054DD7" w:rsidRDefault="00B61374" w:rsidP="00D84639">
            <w:pPr>
              <w:jc w:val="both"/>
              <w:rPr>
                <w:szCs w:val="22"/>
              </w:rPr>
            </w:pPr>
            <w:r w:rsidRPr="00054DD7">
              <w:rPr>
                <w:szCs w:val="22"/>
              </w:rPr>
              <w:t>Mesolevel access</w:t>
            </w:r>
          </w:p>
        </w:tc>
        <w:tc>
          <w:tcPr>
            <w:tcW w:w="0" w:type="auto"/>
            <w:hideMark/>
          </w:tcPr>
          <w:p w14:paraId="31557A6D" w14:textId="77777777" w:rsidR="00B61374" w:rsidRPr="00054DD7" w:rsidRDefault="00B61374" w:rsidP="00D84639">
            <w:pPr>
              <w:jc w:val="both"/>
              <w:rPr>
                <w:szCs w:val="22"/>
              </w:rPr>
            </w:pPr>
            <w:r w:rsidRPr="00054DD7">
              <w:rPr>
                <w:szCs w:val="22"/>
              </w:rPr>
              <w:t>Scoping review</w:t>
            </w:r>
          </w:p>
        </w:tc>
        <w:tc>
          <w:tcPr>
            <w:tcW w:w="0" w:type="auto"/>
            <w:hideMark/>
          </w:tcPr>
          <w:p w14:paraId="3746785F" w14:textId="77777777" w:rsidR="00B61374" w:rsidRPr="00054DD7" w:rsidRDefault="00B61374" w:rsidP="00D84639">
            <w:pPr>
              <w:jc w:val="both"/>
              <w:rPr>
                <w:szCs w:val="22"/>
              </w:rPr>
            </w:pPr>
            <w:r w:rsidRPr="00054DD7">
              <w:rPr>
                <w:szCs w:val="22"/>
              </w:rPr>
              <w:t>158 studies</w:t>
            </w:r>
          </w:p>
        </w:tc>
        <w:tc>
          <w:tcPr>
            <w:tcW w:w="0" w:type="auto"/>
            <w:hideMark/>
          </w:tcPr>
          <w:p w14:paraId="2584A702" w14:textId="77777777" w:rsidR="00B61374" w:rsidRPr="00054DD7" w:rsidRDefault="00B61374" w:rsidP="00D84639">
            <w:pPr>
              <w:jc w:val="both"/>
              <w:rPr>
                <w:szCs w:val="22"/>
              </w:rPr>
            </w:pPr>
            <w:r w:rsidRPr="00054DD7">
              <w:rPr>
                <w:szCs w:val="22"/>
              </w:rPr>
              <w:t>Broad; limited interaction analysis</w:t>
            </w:r>
          </w:p>
        </w:tc>
        <w:tc>
          <w:tcPr>
            <w:tcW w:w="0" w:type="auto"/>
            <w:hideMark/>
          </w:tcPr>
          <w:p w14:paraId="6D07D10A" w14:textId="77777777" w:rsidR="00B61374" w:rsidRPr="00054DD7" w:rsidRDefault="00B61374" w:rsidP="00D84639">
            <w:pPr>
              <w:jc w:val="both"/>
              <w:rPr>
                <w:szCs w:val="22"/>
              </w:rPr>
            </w:pPr>
            <w:r w:rsidRPr="00054DD7">
              <w:rPr>
                <w:szCs w:val="22"/>
              </w:rPr>
              <w:t>Mesolevel factors matter</w:t>
            </w:r>
          </w:p>
        </w:tc>
        <w:tc>
          <w:tcPr>
            <w:tcW w:w="0" w:type="auto"/>
            <w:hideMark/>
          </w:tcPr>
          <w:p w14:paraId="5FEB5A40" w14:textId="77777777" w:rsidR="00B61374" w:rsidRPr="00054DD7" w:rsidRDefault="00B61374" w:rsidP="00D84639">
            <w:pPr>
              <w:jc w:val="both"/>
              <w:rPr>
                <w:szCs w:val="22"/>
              </w:rPr>
            </w:pPr>
            <w:r w:rsidRPr="00054DD7">
              <w:rPr>
                <w:szCs w:val="22"/>
              </w:rPr>
              <w:t>Access; mesolevel</w:t>
            </w:r>
          </w:p>
        </w:tc>
        <w:tc>
          <w:tcPr>
            <w:tcW w:w="0" w:type="auto"/>
            <w:hideMark/>
          </w:tcPr>
          <w:p w14:paraId="62F23F8F" w14:textId="77777777" w:rsidR="00B61374" w:rsidRPr="00054DD7" w:rsidRDefault="00B61374" w:rsidP="00D84639">
            <w:pPr>
              <w:jc w:val="both"/>
              <w:rPr>
                <w:szCs w:val="22"/>
              </w:rPr>
            </w:pPr>
            <w:r w:rsidRPr="00054DD7">
              <w:rPr>
                <w:szCs w:val="22"/>
              </w:rPr>
              <w:t>Systems-level lens</w:t>
            </w:r>
          </w:p>
        </w:tc>
      </w:tr>
      <w:tr w:rsidR="00B61374" w:rsidRPr="00054DD7" w14:paraId="5A051205" w14:textId="77777777" w:rsidTr="00FC490E">
        <w:tc>
          <w:tcPr>
            <w:tcW w:w="0" w:type="auto"/>
            <w:hideMark/>
          </w:tcPr>
          <w:p w14:paraId="1B884363" w14:textId="77777777" w:rsidR="00B61374" w:rsidRPr="00054DD7" w:rsidRDefault="00B61374" w:rsidP="00D84639">
            <w:pPr>
              <w:jc w:val="both"/>
              <w:rPr>
                <w:szCs w:val="22"/>
              </w:rPr>
            </w:pPr>
            <w:r w:rsidRPr="00054DD7">
              <w:rPr>
                <w:szCs w:val="22"/>
              </w:rPr>
              <w:lastRenderedPageBreak/>
              <w:t>Cabañero-Garcia et al. (2025)</w:t>
            </w:r>
          </w:p>
        </w:tc>
        <w:tc>
          <w:tcPr>
            <w:tcW w:w="0" w:type="auto"/>
            <w:hideMark/>
          </w:tcPr>
          <w:p w14:paraId="558DF01A" w14:textId="77777777" w:rsidR="00B61374" w:rsidRPr="00054DD7" w:rsidRDefault="00B61374" w:rsidP="00D84639">
            <w:pPr>
              <w:jc w:val="both"/>
              <w:rPr>
                <w:szCs w:val="22"/>
              </w:rPr>
            </w:pPr>
            <w:r w:rsidRPr="00054DD7">
              <w:rPr>
                <w:szCs w:val="22"/>
              </w:rPr>
              <w:t>Barriers to access</w:t>
            </w:r>
          </w:p>
        </w:tc>
        <w:tc>
          <w:tcPr>
            <w:tcW w:w="0" w:type="auto"/>
            <w:hideMark/>
          </w:tcPr>
          <w:p w14:paraId="4140FCB2" w14:textId="77777777" w:rsidR="00B61374" w:rsidRPr="00054DD7" w:rsidRDefault="00B61374" w:rsidP="00D84639">
            <w:pPr>
              <w:jc w:val="both"/>
              <w:rPr>
                <w:szCs w:val="22"/>
              </w:rPr>
            </w:pPr>
            <w:r w:rsidRPr="00054DD7">
              <w:rPr>
                <w:szCs w:val="22"/>
              </w:rPr>
              <w:t>Review of reviews</w:t>
            </w:r>
          </w:p>
        </w:tc>
        <w:tc>
          <w:tcPr>
            <w:tcW w:w="0" w:type="auto"/>
            <w:hideMark/>
          </w:tcPr>
          <w:p w14:paraId="752B1E0A" w14:textId="77777777" w:rsidR="00B61374" w:rsidRPr="00054DD7" w:rsidRDefault="00B61374" w:rsidP="00D84639">
            <w:pPr>
              <w:jc w:val="both"/>
              <w:rPr>
                <w:szCs w:val="22"/>
              </w:rPr>
            </w:pPr>
            <w:r w:rsidRPr="00054DD7">
              <w:rPr>
                <w:szCs w:val="22"/>
              </w:rPr>
              <w:t>17 reviews</w:t>
            </w:r>
          </w:p>
        </w:tc>
        <w:tc>
          <w:tcPr>
            <w:tcW w:w="0" w:type="auto"/>
            <w:hideMark/>
          </w:tcPr>
          <w:p w14:paraId="122C5C9F" w14:textId="77777777" w:rsidR="00B61374" w:rsidRPr="00054DD7" w:rsidRDefault="00B61374" w:rsidP="00D84639">
            <w:pPr>
              <w:jc w:val="both"/>
              <w:rPr>
                <w:szCs w:val="22"/>
              </w:rPr>
            </w:pPr>
            <w:r w:rsidRPr="00054DD7">
              <w:rPr>
                <w:szCs w:val="22"/>
              </w:rPr>
              <w:t>High-level synthesis</w:t>
            </w:r>
          </w:p>
        </w:tc>
        <w:tc>
          <w:tcPr>
            <w:tcW w:w="0" w:type="auto"/>
            <w:hideMark/>
          </w:tcPr>
          <w:p w14:paraId="4AEA0452" w14:textId="77777777" w:rsidR="00B61374" w:rsidRPr="00054DD7" w:rsidRDefault="00B61374" w:rsidP="00D84639">
            <w:pPr>
              <w:jc w:val="both"/>
              <w:rPr>
                <w:szCs w:val="22"/>
              </w:rPr>
            </w:pPr>
            <w:r w:rsidRPr="00054DD7">
              <w:rPr>
                <w:szCs w:val="22"/>
              </w:rPr>
              <w:t>Barriers are multidimensional</w:t>
            </w:r>
          </w:p>
        </w:tc>
        <w:tc>
          <w:tcPr>
            <w:tcW w:w="0" w:type="auto"/>
            <w:hideMark/>
          </w:tcPr>
          <w:p w14:paraId="0EB49F59" w14:textId="77777777" w:rsidR="00B61374" w:rsidRPr="00054DD7" w:rsidRDefault="00B61374" w:rsidP="00D84639">
            <w:pPr>
              <w:jc w:val="both"/>
              <w:rPr>
                <w:szCs w:val="22"/>
              </w:rPr>
            </w:pPr>
            <w:r w:rsidRPr="00054DD7">
              <w:rPr>
                <w:szCs w:val="22"/>
              </w:rPr>
              <w:t>Barriers; equity</w:t>
            </w:r>
          </w:p>
        </w:tc>
        <w:tc>
          <w:tcPr>
            <w:tcW w:w="0" w:type="auto"/>
            <w:hideMark/>
          </w:tcPr>
          <w:p w14:paraId="4251DFD7" w14:textId="77777777" w:rsidR="00B61374" w:rsidRPr="00054DD7" w:rsidRDefault="00B61374" w:rsidP="00D84639">
            <w:pPr>
              <w:jc w:val="both"/>
              <w:rPr>
                <w:szCs w:val="22"/>
              </w:rPr>
            </w:pPr>
            <w:r w:rsidRPr="00054DD7">
              <w:rPr>
                <w:szCs w:val="22"/>
              </w:rPr>
              <w:t>Strong integrative study</w:t>
            </w:r>
          </w:p>
        </w:tc>
      </w:tr>
      <w:tr w:rsidR="00B61374" w:rsidRPr="00054DD7" w14:paraId="31BF6881" w14:textId="77777777" w:rsidTr="00FC490E">
        <w:tc>
          <w:tcPr>
            <w:tcW w:w="0" w:type="auto"/>
            <w:hideMark/>
          </w:tcPr>
          <w:p w14:paraId="0F913EA2" w14:textId="77777777" w:rsidR="00B61374" w:rsidRPr="00054DD7" w:rsidRDefault="00B61374" w:rsidP="00D84639">
            <w:pPr>
              <w:jc w:val="both"/>
              <w:rPr>
                <w:szCs w:val="22"/>
              </w:rPr>
            </w:pPr>
            <w:r w:rsidRPr="00054DD7">
              <w:rPr>
                <w:szCs w:val="22"/>
              </w:rPr>
              <w:t>Ford et al. (2016)</w:t>
            </w:r>
          </w:p>
        </w:tc>
        <w:tc>
          <w:tcPr>
            <w:tcW w:w="0" w:type="auto"/>
            <w:hideMark/>
          </w:tcPr>
          <w:p w14:paraId="521C8725" w14:textId="77777777" w:rsidR="00B61374" w:rsidRPr="00054DD7" w:rsidRDefault="00B61374" w:rsidP="00D84639">
            <w:pPr>
              <w:jc w:val="both"/>
              <w:rPr>
                <w:szCs w:val="22"/>
              </w:rPr>
            </w:pPr>
            <w:r w:rsidRPr="00054DD7">
              <w:rPr>
                <w:szCs w:val="22"/>
              </w:rPr>
              <w:t>Rural primary care</w:t>
            </w:r>
          </w:p>
        </w:tc>
        <w:tc>
          <w:tcPr>
            <w:tcW w:w="0" w:type="auto"/>
            <w:hideMark/>
          </w:tcPr>
          <w:p w14:paraId="2B797C6C" w14:textId="77777777" w:rsidR="00B61374" w:rsidRPr="00054DD7" w:rsidRDefault="00B61374" w:rsidP="00D84639">
            <w:pPr>
              <w:jc w:val="both"/>
              <w:rPr>
                <w:szCs w:val="22"/>
              </w:rPr>
            </w:pPr>
            <w:r w:rsidRPr="00054DD7">
              <w:rPr>
                <w:szCs w:val="22"/>
              </w:rPr>
              <w:t>Realist review</w:t>
            </w:r>
          </w:p>
        </w:tc>
        <w:tc>
          <w:tcPr>
            <w:tcW w:w="0" w:type="auto"/>
            <w:hideMark/>
          </w:tcPr>
          <w:p w14:paraId="6EA6F6E0" w14:textId="77777777" w:rsidR="00B61374" w:rsidRPr="00054DD7" w:rsidRDefault="00B61374" w:rsidP="00D84639">
            <w:pPr>
              <w:jc w:val="both"/>
              <w:rPr>
                <w:szCs w:val="22"/>
              </w:rPr>
            </w:pPr>
            <w:r w:rsidRPr="00054DD7">
              <w:rPr>
                <w:szCs w:val="22"/>
              </w:rPr>
              <w:t>162 studies</w:t>
            </w:r>
          </w:p>
        </w:tc>
        <w:tc>
          <w:tcPr>
            <w:tcW w:w="0" w:type="auto"/>
            <w:hideMark/>
          </w:tcPr>
          <w:p w14:paraId="1659DFB2" w14:textId="77777777" w:rsidR="00B61374" w:rsidRPr="00054DD7" w:rsidRDefault="00B61374" w:rsidP="00D84639">
            <w:pPr>
              <w:jc w:val="both"/>
              <w:rPr>
                <w:szCs w:val="22"/>
              </w:rPr>
            </w:pPr>
            <w:r w:rsidRPr="00054DD7">
              <w:rPr>
                <w:szCs w:val="22"/>
              </w:rPr>
              <w:t>Theory-rich; complex</w:t>
            </w:r>
          </w:p>
        </w:tc>
        <w:tc>
          <w:tcPr>
            <w:tcW w:w="0" w:type="auto"/>
            <w:hideMark/>
          </w:tcPr>
          <w:p w14:paraId="10E76DEF" w14:textId="77777777" w:rsidR="00B61374" w:rsidRPr="00054DD7" w:rsidRDefault="00B61374" w:rsidP="00D84639">
            <w:pPr>
              <w:jc w:val="both"/>
              <w:rPr>
                <w:szCs w:val="22"/>
              </w:rPr>
            </w:pPr>
            <w:r w:rsidRPr="00054DD7">
              <w:rPr>
                <w:szCs w:val="22"/>
              </w:rPr>
              <w:t>Access shaped by context &amp; literacy</w:t>
            </w:r>
          </w:p>
        </w:tc>
        <w:tc>
          <w:tcPr>
            <w:tcW w:w="0" w:type="auto"/>
            <w:hideMark/>
          </w:tcPr>
          <w:p w14:paraId="19711B21" w14:textId="77777777" w:rsidR="00B61374" w:rsidRPr="00054DD7" w:rsidRDefault="00B61374" w:rsidP="00D84639">
            <w:pPr>
              <w:jc w:val="both"/>
              <w:rPr>
                <w:szCs w:val="22"/>
              </w:rPr>
            </w:pPr>
            <w:r w:rsidRPr="00054DD7">
              <w:rPr>
                <w:szCs w:val="22"/>
              </w:rPr>
              <w:t>Rural; deprivation</w:t>
            </w:r>
          </w:p>
        </w:tc>
        <w:tc>
          <w:tcPr>
            <w:tcW w:w="0" w:type="auto"/>
            <w:hideMark/>
          </w:tcPr>
          <w:p w14:paraId="232A8866" w14:textId="77777777" w:rsidR="00B61374" w:rsidRPr="00054DD7" w:rsidRDefault="00B61374" w:rsidP="00D84639">
            <w:pPr>
              <w:jc w:val="both"/>
              <w:rPr>
                <w:szCs w:val="22"/>
              </w:rPr>
            </w:pPr>
            <w:r w:rsidRPr="00054DD7">
              <w:rPr>
                <w:szCs w:val="22"/>
              </w:rPr>
              <w:t>Excellent mechanism analysis</w:t>
            </w:r>
          </w:p>
        </w:tc>
      </w:tr>
      <w:tr w:rsidR="00B61374" w:rsidRPr="00054DD7" w14:paraId="089C8048" w14:textId="77777777" w:rsidTr="00FC490E">
        <w:tc>
          <w:tcPr>
            <w:tcW w:w="0" w:type="auto"/>
            <w:hideMark/>
          </w:tcPr>
          <w:p w14:paraId="1718E03A" w14:textId="77777777" w:rsidR="00B61374" w:rsidRPr="00054DD7" w:rsidRDefault="00B61374" w:rsidP="00D84639">
            <w:pPr>
              <w:jc w:val="both"/>
              <w:rPr>
                <w:szCs w:val="22"/>
              </w:rPr>
            </w:pPr>
            <w:r w:rsidRPr="00054DD7">
              <w:rPr>
                <w:szCs w:val="22"/>
              </w:rPr>
              <w:t>French et al. (2021)</w:t>
            </w:r>
          </w:p>
        </w:tc>
        <w:tc>
          <w:tcPr>
            <w:tcW w:w="0" w:type="auto"/>
            <w:hideMark/>
          </w:tcPr>
          <w:p w14:paraId="305ECFDD" w14:textId="77777777" w:rsidR="00B61374" w:rsidRPr="00054DD7" w:rsidRDefault="00B61374" w:rsidP="00D84639">
            <w:pPr>
              <w:jc w:val="both"/>
              <w:rPr>
                <w:szCs w:val="22"/>
              </w:rPr>
            </w:pPr>
            <w:r w:rsidRPr="00054DD7">
              <w:rPr>
                <w:szCs w:val="22"/>
              </w:rPr>
              <w:t>Palliative care inequity</w:t>
            </w:r>
          </w:p>
        </w:tc>
        <w:tc>
          <w:tcPr>
            <w:tcW w:w="0" w:type="auto"/>
            <w:hideMark/>
          </w:tcPr>
          <w:p w14:paraId="40590D01" w14:textId="77777777" w:rsidR="00B61374" w:rsidRPr="00054DD7" w:rsidRDefault="00B61374" w:rsidP="00D84639">
            <w:pPr>
              <w:jc w:val="both"/>
              <w:rPr>
                <w:szCs w:val="22"/>
              </w:rPr>
            </w:pPr>
            <w:r w:rsidRPr="00054DD7">
              <w:rPr>
                <w:szCs w:val="22"/>
              </w:rPr>
              <w:t>Narrative synthesis</w:t>
            </w:r>
          </w:p>
        </w:tc>
        <w:tc>
          <w:tcPr>
            <w:tcW w:w="0" w:type="auto"/>
            <w:hideMark/>
          </w:tcPr>
          <w:p w14:paraId="3354B049" w14:textId="77777777" w:rsidR="00B61374" w:rsidRPr="00054DD7" w:rsidRDefault="00B61374" w:rsidP="00D84639">
            <w:pPr>
              <w:jc w:val="both"/>
              <w:rPr>
                <w:szCs w:val="22"/>
              </w:rPr>
            </w:pPr>
            <w:r w:rsidRPr="00054DD7">
              <w:rPr>
                <w:szCs w:val="22"/>
              </w:rPr>
              <w:t>Mixed studies</w:t>
            </w:r>
          </w:p>
        </w:tc>
        <w:tc>
          <w:tcPr>
            <w:tcW w:w="0" w:type="auto"/>
            <w:hideMark/>
          </w:tcPr>
          <w:p w14:paraId="52FBC0F4" w14:textId="77777777" w:rsidR="00B61374" w:rsidRPr="00054DD7" w:rsidRDefault="00B61374" w:rsidP="00D84639">
            <w:pPr>
              <w:jc w:val="both"/>
              <w:rPr>
                <w:szCs w:val="22"/>
              </w:rPr>
            </w:pPr>
            <w:r w:rsidRPr="00054DD7">
              <w:rPr>
                <w:szCs w:val="22"/>
              </w:rPr>
              <w:t>Theoretical depth; UK focus</w:t>
            </w:r>
          </w:p>
        </w:tc>
        <w:tc>
          <w:tcPr>
            <w:tcW w:w="0" w:type="auto"/>
            <w:hideMark/>
          </w:tcPr>
          <w:p w14:paraId="1F2621B7" w14:textId="77777777" w:rsidR="00B61374" w:rsidRPr="00054DD7" w:rsidRDefault="00B61374" w:rsidP="00D84639">
            <w:pPr>
              <w:jc w:val="both"/>
              <w:rPr>
                <w:szCs w:val="22"/>
              </w:rPr>
            </w:pPr>
            <w:r w:rsidRPr="00054DD7">
              <w:rPr>
                <w:szCs w:val="22"/>
              </w:rPr>
              <w:t>SES affects candidacy for care</w:t>
            </w:r>
          </w:p>
        </w:tc>
        <w:tc>
          <w:tcPr>
            <w:tcW w:w="0" w:type="auto"/>
            <w:hideMark/>
          </w:tcPr>
          <w:p w14:paraId="14E8317D" w14:textId="77777777" w:rsidR="00B61374" w:rsidRPr="00054DD7" w:rsidRDefault="00B61374" w:rsidP="00D84639">
            <w:pPr>
              <w:jc w:val="both"/>
              <w:rPr>
                <w:szCs w:val="22"/>
              </w:rPr>
            </w:pPr>
            <w:r w:rsidRPr="00054DD7">
              <w:rPr>
                <w:szCs w:val="22"/>
              </w:rPr>
              <w:t>End-of-life; inequity</w:t>
            </w:r>
          </w:p>
        </w:tc>
        <w:tc>
          <w:tcPr>
            <w:tcW w:w="0" w:type="auto"/>
            <w:hideMark/>
          </w:tcPr>
          <w:p w14:paraId="2ABF513E" w14:textId="77777777" w:rsidR="00B61374" w:rsidRPr="00054DD7" w:rsidRDefault="00B61374" w:rsidP="00D84639">
            <w:pPr>
              <w:jc w:val="both"/>
              <w:rPr>
                <w:szCs w:val="22"/>
              </w:rPr>
            </w:pPr>
            <w:r w:rsidRPr="00054DD7">
              <w:rPr>
                <w:szCs w:val="22"/>
              </w:rPr>
              <w:t>Strong conceptual model</w:t>
            </w:r>
          </w:p>
        </w:tc>
      </w:tr>
    </w:tbl>
    <w:p w14:paraId="76F20BF1" w14:textId="77777777" w:rsidR="00B61374" w:rsidRPr="00D84639" w:rsidRDefault="00B61374" w:rsidP="00D84639">
      <w:pPr>
        <w:jc w:val="both"/>
        <w:rPr>
          <w:szCs w:val="22"/>
          <w:lang w:val="en-GB"/>
        </w:rPr>
      </w:pPr>
    </w:p>
    <w:p w14:paraId="3EC108D3" w14:textId="77777777" w:rsidR="00B61374" w:rsidRPr="00D84639" w:rsidRDefault="00B61374" w:rsidP="00D84639">
      <w:pPr>
        <w:jc w:val="both"/>
        <w:rPr>
          <w:szCs w:val="22"/>
          <w:lang w:val="en-GB"/>
        </w:rPr>
      </w:pPr>
    </w:p>
    <w:p w14:paraId="71F8E150" w14:textId="77777777" w:rsidR="00EB4790" w:rsidRPr="00D84639" w:rsidRDefault="00EB4790" w:rsidP="00D84639">
      <w:pPr>
        <w:jc w:val="both"/>
        <w:rPr>
          <w:szCs w:val="22"/>
          <w:lang w:val="en-GB" w:eastAsia="en-US"/>
        </w:rPr>
      </w:pPr>
    </w:p>
    <w:sectPr w:rsidR="00EB4790" w:rsidRPr="00D84639" w:rsidSect="006A2AD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48C533" w14:textId="77777777" w:rsidR="00D0600D" w:rsidRDefault="00D0600D" w:rsidP="00D57ADB">
      <w:pPr>
        <w:spacing w:line="240" w:lineRule="auto"/>
      </w:pPr>
      <w:r>
        <w:separator/>
      </w:r>
    </w:p>
  </w:endnote>
  <w:endnote w:type="continuationSeparator" w:id="0">
    <w:p w14:paraId="4C3BD62A" w14:textId="77777777" w:rsidR="00D0600D" w:rsidRDefault="00D0600D" w:rsidP="00D57A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 Color Emoji">
    <w:altName w:val="Calibr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921554"/>
      <w:docPartObj>
        <w:docPartGallery w:val="Page Numbers (Bottom of Page)"/>
        <w:docPartUnique/>
      </w:docPartObj>
    </w:sdtPr>
    <w:sdtContent>
      <w:p w14:paraId="36E628E9" w14:textId="6E95DC53" w:rsidR="00632E99" w:rsidRDefault="00632E99" w:rsidP="00A359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0BA233" w14:textId="77777777" w:rsidR="00632E99" w:rsidRDefault="00632E99" w:rsidP="00632E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257871"/>
      <w:docPartObj>
        <w:docPartGallery w:val="Page Numbers (Bottom of Page)"/>
        <w:docPartUnique/>
      </w:docPartObj>
    </w:sdtPr>
    <w:sdtContent>
      <w:p w14:paraId="5FF0F0BD" w14:textId="36E1E73F" w:rsidR="00632E99" w:rsidRDefault="00632E99" w:rsidP="00A359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noProof/>
          </w:rPr>
          <w:t>4</w:t>
        </w:r>
        <w:r>
          <w:rPr>
            <w:rStyle w:val="PageNumber"/>
          </w:rPr>
          <w:fldChar w:fldCharType="end"/>
        </w:r>
      </w:p>
    </w:sdtContent>
  </w:sdt>
  <w:p w14:paraId="6F4DB337" w14:textId="77777777" w:rsidR="00632E99" w:rsidRDefault="00632E99" w:rsidP="00632E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819BB" w14:textId="77777777" w:rsidR="00D0600D" w:rsidRDefault="00D0600D" w:rsidP="00D57ADB">
      <w:pPr>
        <w:spacing w:line="240" w:lineRule="auto"/>
      </w:pPr>
      <w:r>
        <w:separator/>
      </w:r>
    </w:p>
  </w:footnote>
  <w:footnote w:type="continuationSeparator" w:id="0">
    <w:p w14:paraId="35C89386" w14:textId="77777777" w:rsidR="00D0600D" w:rsidRDefault="00D0600D" w:rsidP="00D57A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D40AC5"/>
    <w:multiLevelType w:val="hybridMultilevel"/>
    <w:tmpl w:val="94562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F61894"/>
    <w:multiLevelType w:val="hybridMultilevel"/>
    <w:tmpl w:val="E070E5CE"/>
    <w:lvl w:ilvl="0" w:tplc="4B02DD14">
      <w:numFmt w:val="bullet"/>
      <w:lvlText w:val="•"/>
      <w:lvlJc w:val="left"/>
      <w:pPr>
        <w:ind w:left="720" w:hanging="360"/>
      </w:pPr>
      <w:rPr>
        <w:rFonts w:ascii="Aptos" w:eastAsia="Times New Roman"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A35A17"/>
    <w:multiLevelType w:val="multilevel"/>
    <w:tmpl w:val="CF80DB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AC549A"/>
    <w:multiLevelType w:val="hybridMultilevel"/>
    <w:tmpl w:val="A41E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F20C59"/>
    <w:multiLevelType w:val="hybridMultilevel"/>
    <w:tmpl w:val="EB06C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5045396">
    <w:abstractNumId w:val="0"/>
  </w:num>
  <w:num w:numId="2" w16cid:durableId="591015307">
    <w:abstractNumId w:val="4"/>
  </w:num>
  <w:num w:numId="3" w16cid:durableId="1842545245">
    <w:abstractNumId w:val="2"/>
  </w:num>
  <w:num w:numId="4" w16cid:durableId="1328168562">
    <w:abstractNumId w:val="3"/>
  </w:num>
  <w:num w:numId="5" w16cid:durableId="453139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3C9"/>
    <w:rsid w:val="000043A6"/>
    <w:rsid w:val="00011858"/>
    <w:rsid w:val="00014420"/>
    <w:rsid w:val="00017295"/>
    <w:rsid w:val="00021252"/>
    <w:rsid w:val="00021B5A"/>
    <w:rsid w:val="00022617"/>
    <w:rsid w:val="0002519B"/>
    <w:rsid w:val="000328DE"/>
    <w:rsid w:val="000353DF"/>
    <w:rsid w:val="000363C5"/>
    <w:rsid w:val="00040B80"/>
    <w:rsid w:val="00044B81"/>
    <w:rsid w:val="00055738"/>
    <w:rsid w:val="00076D56"/>
    <w:rsid w:val="00080D64"/>
    <w:rsid w:val="000A3A9A"/>
    <w:rsid w:val="000A64B4"/>
    <w:rsid w:val="000B5AB8"/>
    <w:rsid w:val="000B743B"/>
    <w:rsid w:val="000C14EF"/>
    <w:rsid w:val="000C4D4D"/>
    <w:rsid w:val="000F1AB1"/>
    <w:rsid w:val="000F2C78"/>
    <w:rsid w:val="000F655B"/>
    <w:rsid w:val="0012271B"/>
    <w:rsid w:val="00167554"/>
    <w:rsid w:val="00190A4E"/>
    <w:rsid w:val="00194704"/>
    <w:rsid w:val="001949DE"/>
    <w:rsid w:val="00194B67"/>
    <w:rsid w:val="00195567"/>
    <w:rsid w:val="001A5ACA"/>
    <w:rsid w:val="001B01EF"/>
    <w:rsid w:val="001B2BD0"/>
    <w:rsid w:val="001C104C"/>
    <w:rsid w:val="001E203E"/>
    <w:rsid w:val="00206176"/>
    <w:rsid w:val="00225424"/>
    <w:rsid w:val="00227FAA"/>
    <w:rsid w:val="00231CF0"/>
    <w:rsid w:val="00244897"/>
    <w:rsid w:val="00250040"/>
    <w:rsid w:val="00250824"/>
    <w:rsid w:val="0025181E"/>
    <w:rsid w:val="002631A1"/>
    <w:rsid w:val="002648B2"/>
    <w:rsid w:val="002756CB"/>
    <w:rsid w:val="00280D4C"/>
    <w:rsid w:val="002A1A09"/>
    <w:rsid w:val="002A5235"/>
    <w:rsid w:val="002B1CFE"/>
    <w:rsid w:val="002B71E7"/>
    <w:rsid w:val="002C37CB"/>
    <w:rsid w:val="002C5973"/>
    <w:rsid w:val="002D655D"/>
    <w:rsid w:val="002E1D59"/>
    <w:rsid w:val="00301918"/>
    <w:rsid w:val="00303121"/>
    <w:rsid w:val="00311BC4"/>
    <w:rsid w:val="003371B0"/>
    <w:rsid w:val="00340028"/>
    <w:rsid w:val="00342BFC"/>
    <w:rsid w:val="00342F42"/>
    <w:rsid w:val="00355AF8"/>
    <w:rsid w:val="00365C0B"/>
    <w:rsid w:val="00385AE2"/>
    <w:rsid w:val="00386104"/>
    <w:rsid w:val="00391AA8"/>
    <w:rsid w:val="0039329B"/>
    <w:rsid w:val="00394CCE"/>
    <w:rsid w:val="003A3DC7"/>
    <w:rsid w:val="003A6AF1"/>
    <w:rsid w:val="003B2466"/>
    <w:rsid w:val="003B3CF8"/>
    <w:rsid w:val="004016F9"/>
    <w:rsid w:val="004139FC"/>
    <w:rsid w:val="00414C6C"/>
    <w:rsid w:val="00423E36"/>
    <w:rsid w:val="0043224A"/>
    <w:rsid w:val="004344C3"/>
    <w:rsid w:val="00434C24"/>
    <w:rsid w:val="004357CE"/>
    <w:rsid w:val="004363E4"/>
    <w:rsid w:val="00437888"/>
    <w:rsid w:val="00446607"/>
    <w:rsid w:val="004565B1"/>
    <w:rsid w:val="00456D04"/>
    <w:rsid w:val="00461624"/>
    <w:rsid w:val="00465366"/>
    <w:rsid w:val="004679E4"/>
    <w:rsid w:val="00485DEE"/>
    <w:rsid w:val="004A4FB3"/>
    <w:rsid w:val="004B0E90"/>
    <w:rsid w:val="004B39BB"/>
    <w:rsid w:val="004B5EA3"/>
    <w:rsid w:val="004C26CD"/>
    <w:rsid w:val="004D2057"/>
    <w:rsid w:val="004E11E6"/>
    <w:rsid w:val="004E2FE0"/>
    <w:rsid w:val="004E4B6F"/>
    <w:rsid w:val="004F41E5"/>
    <w:rsid w:val="0052625A"/>
    <w:rsid w:val="00527ED8"/>
    <w:rsid w:val="00542993"/>
    <w:rsid w:val="00546B0F"/>
    <w:rsid w:val="00552A1E"/>
    <w:rsid w:val="00555BF3"/>
    <w:rsid w:val="00556ED1"/>
    <w:rsid w:val="00563501"/>
    <w:rsid w:val="005747B3"/>
    <w:rsid w:val="0057613A"/>
    <w:rsid w:val="005A1468"/>
    <w:rsid w:val="005A148C"/>
    <w:rsid w:val="005A2985"/>
    <w:rsid w:val="005B4C93"/>
    <w:rsid w:val="005B6376"/>
    <w:rsid w:val="005C0723"/>
    <w:rsid w:val="005C1756"/>
    <w:rsid w:val="005D49E2"/>
    <w:rsid w:val="005F5A2D"/>
    <w:rsid w:val="005F67C7"/>
    <w:rsid w:val="00613D8B"/>
    <w:rsid w:val="00616202"/>
    <w:rsid w:val="0062209A"/>
    <w:rsid w:val="00625C9E"/>
    <w:rsid w:val="00626927"/>
    <w:rsid w:val="00632E99"/>
    <w:rsid w:val="00660F8C"/>
    <w:rsid w:val="00696F20"/>
    <w:rsid w:val="006A2AD5"/>
    <w:rsid w:val="006A7836"/>
    <w:rsid w:val="006A79DD"/>
    <w:rsid w:val="006B22E4"/>
    <w:rsid w:val="006F1E41"/>
    <w:rsid w:val="006F6772"/>
    <w:rsid w:val="00704535"/>
    <w:rsid w:val="007207B9"/>
    <w:rsid w:val="00740977"/>
    <w:rsid w:val="00743AB4"/>
    <w:rsid w:val="00750B12"/>
    <w:rsid w:val="00791563"/>
    <w:rsid w:val="0079288B"/>
    <w:rsid w:val="007B7396"/>
    <w:rsid w:val="007C19FE"/>
    <w:rsid w:val="007E41B8"/>
    <w:rsid w:val="007E4F32"/>
    <w:rsid w:val="007F070B"/>
    <w:rsid w:val="007F3DAD"/>
    <w:rsid w:val="007F6AC1"/>
    <w:rsid w:val="00802B52"/>
    <w:rsid w:val="00804503"/>
    <w:rsid w:val="00815F00"/>
    <w:rsid w:val="00841016"/>
    <w:rsid w:val="008444BD"/>
    <w:rsid w:val="00850CA1"/>
    <w:rsid w:val="0086218D"/>
    <w:rsid w:val="008666F3"/>
    <w:rsid w:val="00872179"/>
    <w:rsid w:val="008B3E89"/>
    <w:rsid w:val="008B5202"/>
    <w:rsid w:val="008E107F"/>
    <w:rsid w:val="00905522"/>
    <w:rsid w:val="00910464"/>
    <w:rsid w:val="0091058B"/>
    <w:rsid w:val="00914068"/>
    <w:rsid w:val="00922C0D"/>
    <w:rsid w:val="00945C63"/>
    <w:rsid w:val="00951DBA"/>
    <w:rsid w:val="00955332"/>
    <w:rsid w:val="00957DF5"/>
    <w:rsid w:val="00961E24"/>
    <w:rsid w:val="00982BDE"/>
    <w:rsid w:val="009951A5"/>
    <w:rsid w:val="0099681F"/>
    <w:rsid w:val="0099767E"/>
    <w:rsid w:val="009A23B6"/>
    <w:rsid w:val="009B14D7"/>
    <w:rsid w:val="009B33D2"/>
    <w:rsid w:val="009C3D75"/>
    <w:rsid w:val="009F7FAC"/>
    <w:rsid w:val="00A01A46"/>
    <w:rsid w:val="00A01CA4"/>
    <w:rsid w:val="00A053C9"/>
    <w:rsid w:val="00A12359"/>
    <w:rsid w:val="00A42EC0"/>
    <w:rsid w:val="00A471BD"/>
    <w:rsid w:val="00A47D28"/>
    <w:rsid w:val="00A71742"/>
    <w:rsid w:val="00A7253B"/>
    <w:rsid w:val="00A86EE6"/>
    <w:rsid w:val="00A90E6D"/>
    <w:rsid w:val="00AA657B"/>
    <w:rsid w:val="00AD5823"/>
    <w:rsid w:val="00AD6401"/>
    <w:rsid w:val="00AE36E4"/>
    <w:rsid w:val="00AF3554"/>
    <w:rsid w:val="00B17542"/>
    <w:rsid w:val="00B263B0"/>
    <w:rsid w:val="00B57694"/>
    <w:rsid w:val="00B61374"/>
    <w:rsid w:val="00B76567"/>
    <w:rsid w:val="00B90758"/>
    <w:rsid w:val="00BA1BCB"/>
    <w:rsid w:val="00BA55DE"/>
    <w:rsid w:val="00BB4912"/>
    <w:rsid w:val="00BD767F"/>
    <w:rsid w:val="00BE034A"/>
    <w:rsid w:val="00BE4882"/>
    <w:rsid w:val="00C02C09"/>
    <w:rsid w:val="00C02CD7"/>
    <w:rsid w:val="00C0734E"/>
    <w:rsid w:val="00C12ABF"/>
    <w:rsid w:val="00C1463C"/>
    <w:rsid w:val="00C248B7"/>
    <w:rsid w:val="00C361F0"/>
    <w:rsid w:val="00C362EB"/>
    <w:rsid w:val="00C50A4E"/>
    <w:rsid w:val="00C516B1"/>
    <w:rsid w:val="00C66E2B"/>
    <w:rsid w:val="00C85793"/>
    <w:rsid w:val="00C9109C"/>
    <w:rsid w:val="00CA2D9C"/>
    <w:rsid w:val="00CA36FC"/>
    <w:rsid w:val="00CA7D25"/>
    <w:rsid w:val="00CB369F"/>
    <w:rsid w:val="00CE1B0F"/>
    <w:rsid w:val="00CE1CE8"/>
    <w:rsid w:val="00CE68F1"/>
    <w:rsid w:val="00CF567E"/>
    <w:rsid w:val="00CF7824"/>
    <w:rsid w:val="00D0600D"/>
    <w:rsid w:val="00D21C4C"/>
    <w:rsid w:val="00D3257E"/>
    <w:rsid w:val="00D33517"/>
    <w:rsid w:val="00D36866"/>
    <w:rsid w:val="00D40093"/>
    <w:rsid w:val="00D45543"/>
    <w:rsid w:val="00D479CC"/>
    <w:rsid w:val="00D54E70"/>
    <w:rsid w:val="00D57ADB"/>
    <w:rsid w:val="00D64CC6"/>
    <w:rsid w:val="00D77241"/>
    <w:rsid w:val="00D810D8"/>
    <w:rsid w:val="00D84639"/>
    <w:rsid w:val="00D84D4D"/>
    <w:rsid w:val="00D92D04"/>
    <w:rsid w:val="00D95A10"/>
    <w:rsid w:val="00D95FFE"/>
    <w:rsid w:val="00DA7C6A"/>
    <w:rsid w:val="00DB7B35"/>
    <w:rsid w:val="00DC5362"/>
    <w:rsid w:val="00DC59DC"/>
    <w:rsid w:val="00DD62AA"/>
    <w:rsid w:val="00DE4D9F"/>
    <w:rsid w:val="00DF046A"/>
    <w:rsid w:val="00DF6A2B"/>
    <w:rsid w:val="00E0268B"/>
    <w:rsid w:val="00E15750"/>
    <w:rsid w:val="00E2051B"/>
    <w:rsid w:val="00E268A8"/>
    <w:rsid w:val="00E40CB8"/>
    <w:rsid w:val="00E54111"/>
    <w:rsid w:val="00E545E9"/>
    <w:rsid w:val="00E55442"/>
    <w:rsid w:val="00E64B70"/>
    <w:rsid w:val="00E665C8"/>
    <w:rsid w:val="00E75023"/>
    <w:rsid w:val="00E80757"/>
    <w:rsid w:val="00E91906"/>
    <w:rsid w:val="00E947F1"/>
    <w:rsid w:val="00E9712C"/>
    <w:rsid w:val="00EB4790"/>
    <w:rsid w:val="00ED1169"/>
    <w:rsid w:val="00ED2AAD"/>
    <w:rsid w:val="00EE4744"/>
    <w:rsid w:val="00EF003F"/>
    <w:rsid w:val="00EF2C01"/>
    <w:rsid w:val="00F0784F"/>
    <w:rsid w:val="00F113AB"/>
    <w:rsid w:val="00F152DB"/>
    <w:rsid w:val="00F34B26"/>
    <w:rsid w:val="00F47302"/>
    <w:rsid w:val="00F503B9"/>
    <w:rsid w:val="00F63C26"/>
    <w:rsid w:val="00F71A9E"/>
    <w:rsid w:val="00F76120"/>
    <w:rsid w:val="00FB2455"/>
    <w:rsid w:val="00FB5345"/>
    <w:rsid w:val="00FB6C67"/>
    <w:rsid w:val="00FC490E"/>
    <w:rsid w:val="00FC77EC"/>
    <w:rsid w:val="00FD6B6A"/>
    <w:rsid w:val="00FF1539"/>
    <w:rsid w:val="00FF2124"/>
    <w:rsid w:val="00FF33B9"/>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7B2B7"/>
  <w15:chartTrackingRefBased/>
  <w15:docId w15:val="{12BCC216-D0DB-E34B-8660-A2655948C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639"/>
    <w:pPr>
      <w:spacing w:after="0" w:line="36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unhideWhenUsed/>
    <w:qFormat/>
    <w:rsid w:val="00A053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53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53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3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3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3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rsid w:val="00A053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3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3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3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3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3C9"/>
    <w:rPr>
      <w:rFonts w:eastAsiaTheme="majorEastAsia" w:cstheme="majorBidi"/>
      <w:color w:val="272727" w:themeColor="text1" w:themeTint="D8"/>
    </w:rPr>
  </w:style>
  <w:style w:type="paragraph" w:styleId="Title">
    <w:name w:val="Title"/>
    <w:basedOn w:val="Normal"/>
    <w:next w:val="Normal"/>
    <w:link w:val="TitleChar"/>
    <w:uiPriority w:val="10"/>
    <w:qFormat/>
    <w:rsid w:val="00A053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3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3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3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3C9"/>
    <w:pPr>
      <w:spacing w:before="160"/>
      <w:jc w:val="center"/>
    </w:pPr>
    <w:rPr>
      <w:i/>
      <w:iCs/>
      <w:color w:val="404040" w:themeColor="text1" w:themeTint="BF"/>
    </w:rPr>
  </w:style>
  <w:style w:type="character" w:customStyle="1" w:styleId="QuoteChar">
    <w:name w:val="Quote Char"/>
    <w:basedOn w:val="DefaultParagraphFont"/>
    <w:link w:val="Quote"/>
    <w:uiPriority w:val="29"/>
    <w:rsid w:val="00A053C9"/>
    <w:rPr>
      <w:rFonts w:asciiTheme="majorBidi" w:hAnsiTheme="majorBidi"/>
      <w:i/>
      <w:iCs/>
      <w:color w:val="404040" w:themeColor="text1" w:themeTint="BF"/>
    </w:rPr>
  </w:style>
  <w:style w:type="paragraph" w:styleId="ListParagraph">
    <w:name w:val="List Paragraph"/>
    <w:basedOn w:val="Normal"/>
    <w:uiPriority w:val="34"/>
    <w:qFormat/>
    <w:rsid w:val="00A053C9"/>
    <w:pPr>
      <w:ind w:left="720"/>
      <w:contextualSpacing/>
    </w:pPr>
  </w:style>
  <w:style w:type="character" w:styleId="IntenseEmphasis">
    <w:name w:val="Intense Emphasis"/>
    <w:basedOn w:val="DefaultParagraphFont"/>
    <w:uiPriority w:val="21"/>
    <w:qFormat/>
    <w:rsid w:val="00A053C9"/>
    <w:rPr>
      <w:i/>
      <w:iCs/>
      <w:color w:val="0F4761" w:themeColor="accent1" w:themeShade="BF"/>
    </w:rPr>
  </w:style>
  <w:style w:type="paragraph" w:styleId="IntenseQuote">
    <w:name w:val="Intense Quote"/>
    <w:basedOn w:val="Normal"/>
    <w:next w:val="Normal"/>
    <w:link w:val="IntenseQuoteChar"/>
    <w:uiPriority w:val="30"/>
    <w:qFormat/>
    <w:rsid w:val="00A053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3C9"/>
    <w:rPr>
      <w:rFonts w:asciiTheme="majorBidi" w:hAnsiTheme="majorBidi"/>
      <w:i/>
      <w:iCs/>
      <w:color w:val="0F4761" w:themeColor="accent1" w:themeShade="BF"/>
    </w:rPr>
  </w:style>
  <w:style w:type="character" w:styleId="IntenseReference">
    <w:name w:val="Intense Reference"/>
    <w:basedOn w:val="DefaultParagraphFont"/>
    <w:uiPriority w:val="32"/>
    <w:qFormat/>
    <w:rsid w:val="00A053C9"/>
    <w:rPr>
      <w:b/>
      <w:bCs/>
      <w:smallCaps/>
      <w:color w:val="0F4761" w:themeColor="accent1" w:themeShade="BF"/>
      <w:spacing w:val="5"/>
    </w:rPr>
  </w:style>
  <w:style w:type="paragraph" w:styleId="NormalWeb">
    <w:name w:val="Normal (Web)"/>
    <w:basedOn w:val="Normal"/>
    <w:uiPriority w:val="99"/>
    <w:unhideWhenUsed/>
    <w:rsid w:val="00FF33B9"/>
    <w:pPr>
      <w:spacing w:before="100" w:beforeAutospacing="1" w:after="100" w:afterAutospacing="1" w:line="240" w:lineRule="auto"/>
    </w:pPr>
    <w:rPr>
      <w:rFonts w:ascii="Times New Roman" w:hAnsi="Times New Roman"/>
      <w:sz w:val="24"/>
    </w:rPr>
  </w:style>
  <w:style w:type="character" w:styleId="Strong">
    <w:name w:val="Strong"/>
    <w:basedOn w:val="DefaultParagraphFont"/>
    <w:uiPriority w:val="22"/>
    <w:qFormat/>
    <w:rsid w:val="00FF33B9"/>
    <w:rPr>
      <w:b/>
      <w:bCs/>
    </w:rPr>
  </w:style>
  <w:style w:type="character" w:customStyle="1" w:styleId="ms-1">
    <w:name w:val="ms-1"/>
    <w:basedOn w:val="DefaultParagraphFont"/>
    <w:rsid w:val="006A7836"/>
  </w:style>
  <w:style w:type="character" w:customStyle="1" w:styleId="max-w-15ch">
    <w:name w:val="max-w-[15ch]"/>
    <w:basedOn w:val="DefaultParagraphFont"/>
    <w:rsid w:val="006A7836"/>
  </w:style>
  <w:style w:type="character" w:customStyle="1" w:styleId="-me-1">
    <w:name w:val="-me-1"/>
    <w:basedOn w:val="DefaultParagraphFont"/>
    <w:rsid w:val="006A7836"/>
  </w:style>
  <w:style w:type="paragraph" w:styleId="Caption">
    <w:name w:val="caption"/>
    <w:basedOn w:val="Normal"/>
    <w:next w:val="Normal"/>
    <w:uiPriority w:val="35"/>
    <w:unhideWhenUsed/>
    <w:qFormat/>
    <w:rsid w:val="000C14EF"/>
    <w:pPr>
      <w:spacing w:after="200" w:line="240" w:lineRule="auto"/>
    </w:pPr>
    <w:rPr>
      <w:i/>
      <w:iCs/>
      <w:color w:val="0E2841" w:themeColor="text2"/>
      <w:sz w:val="18"/>
      <w:szCs w:val="18"/>
    </w:rPr>
  </w:style>
  <w:style w:type="table" w:styleId="TableGrid">
    <w:name w:val="Table Grid"/>
    <w:basedOn w:val="TableNormal"/>
    <w:uiPriority w:val="39"/>
    <w:rsid w:val="002C37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06176"/>
    <w:rPr>
      <w:i/>
      <w:iCs/>
    </w:rPr>
  </w:style>
  <w:style w:type="paragraph" w:styleId="Header">
    <w:name w:val="header"/>
    <w:basedOn w:val="Normal"/>
    <w:link w:val="HeaderChar"/>
    <w:uiPriority w:val="99"/>
    <w:unhideWhenUsed/>
    <w:rsid w:val="00D57ADB"/>
    <w:pPr>
      <w:tabs>
        <w:tab w:val="center" w:pos="4513"/>
        <w:tab w:val="right" w:pos="9026"/>
      </w:tabs>
      <w:spacing w:line="240" w:lineRule="auto"/>
    </w:pPr>
  </w:style>
  <w:style w:type="character" w:customStyle="1" w:styleId="HeaderChar">
    <w:name w:val="Header Char"/>
    <w:basedOn w:val="DefaultParagraphFont"/>
    <w:link w:val="Header"/>
    <w:uiPriority w:val="99"/>
    <w:rsid w:val="00D57ADB"/>
    <w:rPr>
      <w:rFonts w:eastAsia="Times New Roman" w:cs="Times New Roman"/>
      <w:kern w:val="0"/>
      <w:sz w:val="22"/>
      <w:lang w:eastAsia="en-GB"/>
      <w14:ligatures w14:val="none"/>
    </w:rPr>
  </w:style>
  <w:style w:type="paragraph" w:styleId="Footer">
    <w:name w:val="footer"/>
    <w:basedOn w:val="Normal"/>
    <w:link w:val="FooterChar"/>
    <w:uiPriority w:val="99"/>
    <w:unhideWhenUsed/>
    <w:rsid w:val="00D57ADB"/>
    <w:pPr>
      <w:tabs>
        <w:tab w:val="center" w:pos="4513"/>
        <w:tab w:val="right" w:pos="9026"/>
      </w:tabs>
      <w:spacing w:line="240" w:lineRule="auto"/>
    </w:pPr>
  </w:style>
  <w:style w:type="character" w:customStyle="1" w:styleId="FooterChar">
    <w:name w:val="Footer Char"/>
    <w:basedOn w:val="DefaultParagraphFont"/>
    <w:link w:val="Footer"/>
    <w:uiPriority w:val="99"/>
    <w:rsid w:val="00D57ADB"/>
    <w:rPr>
      <w:rFonts w:eastAsia="Times New Roman" w:cs="Times New Roman"/>
      <w:kern w:val="0"/>
      <w:sz w:val="22"/>
      <w:lang w:eastAsia="en-GB"/>
      <w14:ligatures w14:val="none"/>
    </w:rPr>
  </w:style>
  <w:style w:type="character" w:styleId="PageNumber">
    <w:name w:val="page number"/>
    <w:basedOn w:val="DefaultParagraphFont"/>
    <w:uiPriority w:val="99"/>
    <w:semiHidden/>
    <w:unhideWhenUsed/>
    <w:rsid w:val="00632E99"/>
  </w:style>
  <w:style w:type="paragraph" w:styleId="TOCHeading">
    <w:name w:val="TOC Heading"/>
    <w:basedOn w:val="Heading1"/>
    <w:next w:val="Normal"/>
    <w:uiPriority w:val="39"/>
    <w:unhideWhenUsed/>
    <w:qFormat/>
    <w:rsid w:val="006F1E41"/>
    <w:pPr>
      <w:spacing w:before="480" w:after="0" w:line="276" w:lineRule="auto"/>
      <w:outlineLvl w:val="9"/>
    </w:pPr>
    <w:rPr>
      <w:rFonts w:asciiTheme="majorHAnsi" w:hAnsiTheme="majorHAnsi"/>
      <w:bCs/>
      <w:szCs w:val="28"/>
      <w:lang w:val="en-US" w:eastAsia="en-US"/>
    </w:rPr>
  </w:style>
  <w:style w:type="paragraph" w:styleId="TOC1">
    <w:name w:val="toc 1"/>
    <w:basedOn w:val="Normal"/>
    <w:next w:val="Normal"/>
    <w:autoRedefine/>
    <w:uiPriority w:val="39"/>
    <w:unhideWhenUsed/>
    <w:rsid w:val="006F1E41"/>
    <w:pPr>
      <w:spacing w:before="240" w:after="120"/>
    </w:pPr>
    <w:rPr>
      <w:b/>
      <w:bCs/>
      <w:sz w:val="20"/>
    </w:rPr>
  </w:style>
  <w:style w:type="paragraph" w:styleId="TOC2">
    <w:name w:val="toc 2"/>
    <w:basedOn w:val="Normal"/>
    <w:next w:val="Normal"/>
    <w:autoRedefine/>
    <w:uiPriority w:val="39"/>
    <w:unhideWhenUsed/>
    <w:rsid w:val="006F1E41"/>
    <w:pPr>
      <w:spacing w:before="120"/>
      <w:ind w:left="220"/>
    </w:pPr>
    <w:rPr>
      <w:i/>
      <w:iCs/>
      <w:sz w:val="20"/>
    </w:rPr>
  </w:style>
  <w:style w:type="paragraph" w:styleId="TOC3">
    <w:name w:val="toc 3"/>
    <w:basedOn w:val="Normal"/>
    <w:next w:val="Normal"/>
    <w:autoRedefine/>
    <w:uiPriority w:val="39"/>
    <w:unhideWhenUsed/>
    <w:rsid w:val="006F1E41"/>
    <w:pPr>
      <w:ind w:left="440"/>
    </w:pPr>
    <w:rPr>
      <w:sz w:val="20"/>
    </w:rPr>
  </w:style>
  <w:style w:type="character" w:styleId="Hyperlink">
    <w:name w:val="Hyperlink"/>
    <w:basedOn w:val="DefaultParagraphFont"/>
    <w:uiPriority w:val="99"/>
    <w:unhideWhenUsed/>
    <w:rsid w:val="006F1E41"/>
    <w:rPr>
      <w:color w:val="467886" w:themeColor="hyperlink"/>
      <w:u w:val="single"/>
    </w:rPr>
  </w:style>
  <w:style w:type="paragraph" w:styleId="TOC4">
    <w:name w:val="toc 4"/>
    <w:basedOn w:val="Normal"/>
    <w:next w:val="Normal"/>
    <w:autoRedefine/>
    <w:uiPriority w:val="39"/>
    <w:semiHidden/>
    <w:unhideWhenUsed/>
    <w:rsid w:val="006F1E41"/>
    <w:pPr>
      <w:ind w:left="660"/>
    </w:pPr>
    <w:rPr>
      <w:sz w:val="20"/>
    </w:rPr>
  </w:style>
  <w:style w:type="paragraph" w:styleId="TOC5">
    <w:name w:val="toc 5"/>
    <w:basedOn w:val="Normal"/>
    <w:next w:val="Normal"/>
    <w:autoRedefine/>
    <w:uiPriority w:val="39"/>
    <w:semiHidden/>
    <w:unhideWhenUsed/>
    <w:rsid w:val="006F1E41"/>
    <w:pPr>
      <w:ind w:left="880"/>
    </w:pPr>
    <w:rPr>
      <w:sz w:val="20"/>
    </w:rPr>
  </w:style>
  <w:style w:type="paragraph" w:styleId="TOC6">
    <w:name w:val="toc 6"/>
    <w:basedOn w:val="Normal"/>
    <w:next w:val="Normal"/>
    <w:autoRedefine/>
    <w:uiPriority w:val="39"/>
    <w:semiHidden/>
    <w:unhideWhenUsed/>
    <w:rsid w:val="006F1E41"/>
    <w:pPr>
      <w:ind w:left="1100"/>
    </w:pPr>
    <w:rPr>
      <w:sz w:val="20"/>
    </w:rPr>
  </w:style>
  <w:style w:type="paragraph" w:styleId="TOC7">
    <w:name w:val="toc 7"/>
    <w:basedOn w:val="Normal"/>
    <w:next w:val="Normal"/>
    <w:autoRedefine/>
    <w:uiPriority w:val="39"/>
    <w:semiHidden/>
    <w:unhideWhenUsed/>
    <w:rsid w:val="006F1E41"/>
    <w:pPr>
      <w:ind w:left="1320"/>
    </w:pPr>
    <w:rPr>
      <w:sz w:val="20"/>
    </w:rPr>
  </w:style>
  <w:style w:type="paragraph" w:styleId="TOC8">
    <w:name w:val="toc 8"/>
    <w:basedOn w:val="Normal"/>
    <w:next w:val="Normal"/>
    <w:autoRedefine/>
    <w:uiPriority w:val="39"/>
    <w:semiHidden/>
    <w:unhideWhenUsed/>
    <w:rsid w:val="006F1E41"/>
    <w:pPr>
      <w:ind w:left="1540"/>
    </w:pPr>
    <w:rPr>
      <w:sz w:val="20"/>
    </w:rPr>
  </w:style>
  <w:style w:type="paragraph" w:styleId="TOC9">
    <w:name w:val="toc 9"/>
    <w:basedOn w:val="Normal"/>
    <w:next w:val="Normal"/>
    <w:autoRedefine/>
    <w:uiPriority w:val="39"/>
    <w:semiHidden/>
    <w:unhideWhenUsed/>
    <w:rsid w:val="006F1E41"/>
    <w:pPr>
      <w:ind w:left="1760"/>
    </w:pPr>
    <w:rPr>
      <w:sz w:val="20"/>
    </w:rPr>
  </w:style>
  <w:style w:type="paragraph" w:styleId="TableofFigures">
    <w:name w:val="table of figures"/>
    <w:basedOn w:val="Normal"/>
    <w:next w:val="Normal"/>
    <w:uiPriority w:val="99"/>
    <w:unhideWhenUsed/>
    <w:rsid w:val="00FB24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32E07B-AF7D-B34C-9E6A-75698053E113}" type="doc">
      <dgm:prSet loTypeId="urn:microsoft.com/office/officeart/2005/8/layout/equation2" loCatId="" qsTypeId="urn:microsoft.com/office/officeart/2005/8/quickstyle/simple1" qsCatId="simple" csTypeId="urn:microsoft.com/office/officeart/2005/8/colors/accent1_2" csCatId="accent1" phldr="1"/>
      <dgm:spPr/>
    </dgm:pt>
    <dgm:pt modelId="{605E7BA5-C733-6643-ABDD-E7331AE155BD}">
      <dgm:prSet phldrT="[Text]" custT="1"/>
      <dgm:spPr/>
      <dgm:t>
        <a:bodyPr/>
        <a:lstStyle/>
        <a:p>
          <a:pPr>
            <a:buSzPts val="1000"/>
            <a:buFont typeface="Courier New" panose="02070309020205020404" pitchFamily="49" charset="0"/>
            <a:buChar char="o"/>
          </a:pPr>
          <a:r>
            <a:rPr lang="en-PK" sz="700" b="1"/>
            <a:t>Urban settings:</a:t>
          </a:r>
          <a:r>
            <a:rPr lang="en-PK" sz="700"/>
            <a:t> long waiting times, administrative complexity, fragmented care pathways, and hidden/indirect costs (e.g., transport, childcare, lost wages).</a:t>
          </a:r>
          <a:endParaRPr lang="en-GB" sz="700"/>
        </a:p>
      </dgm:t>
    </dgm:pt>
    <dgm:pt modelId="{087E16EF-ECE4-004C-AD0A-DA6F59464518}" type="parTrans" cxnId="{08B585B9-4F9F-4548-87A4-631785B5F1A8}">
      <dgm:prSet/>
      <dgm:spPr/>
    </dgm:pt>
    <dgm:pt modelId="{E3F6E92C-5038-5F40-AAEF-21F5BF6B33B1}" type="sibTrans" cxnId="{08B585B9-4F9F-4548-87A4-631785B5F1A8}">
      <dgm:prSet/>
      <dgm:spPr/>
      <dgm:t>
        <a:bodyPr/>
        <a:lstStyle/>
        <a:p>
          <a:endParaRPr lang="en-GB"/>
        </a:p>
      </dgm:t>
    </dgm:pt>
    <dgm:pt modelId="{EA7BD032-8DF7-FD47-B34D-3DAD101B09D4}">
      <dgm:prSet phldrT="[Text]"/>
      <dgm:spPr/>
      <dgm:t>
        <a:bodyPr/>
        <a:lstStyle/>
        <a:p>
          <a:pPr>
            <a:buSzPts val="1000"/>
            <a:buFont typeface="Courier New" panose="02070309020205020404" pitchFamily="49" charset="0"/>
            <a:buChar char="o"/>
          </a:pPr>
          <a:r>
            <a:rPr lang="en-PK" b="1"/>
            <a:t>Rural settings:</a:t>
          </a:r>
          <a:r>
            <a:rPr lang="en-PK"/>
            <a:t> long travel distance, workforce shortages, limited specialist services, and digital exclusion.</a:t>
          </a:r>
          <a:endParaRPr lang="en-GB"/>
        </a:p>
      </dgm:t>
    </dgm:pt>
    <dgm:pt modelId="{E0272258-8D41-A248-804A-B502567FF43C}" type="parTrans" cxnId="{4A9F6202-8241-AE4F-89D0-AD93FE8D68B7}">
      <dgm:prSet/>
      <dgm:spPr/>
    </dgm:pt>
    <dgm:pt modelId="{555DF1D1-F684-ED4A-B8C6-1B5983A0D2B7}" type="sibTrans" cxnId="{4A9F6202-8241-AE4F-89D0-AD93FE8D68B7}">
      <dgm:prSet/>
      <dgm:spPr/>
      <dgm:t>
        <a:bodyPr/>
        <a:lstStyle/>
        <a:p>
          <a:endParaRPr lang="en-GB"/>
        </a:p>
      </dgm:t>
    </dgm:pt>
    <dgm:pt modelId="{2735AA4C-4419-1F44-AE1C-DDE5A8512474}">
      <dgm:prSet phldrT="[Text]"/>
      <dgm:spPr/>
      <dgm:t>
        <a:bodyPr/>
        <a:lstStyle/>
        <a:p>
          <a:pPr>
            <a:buNone/>
          </a:pPr>
          <a:r>
            <a:rPr lang="en-PK" b="1"/>
            <a:t>These barriers interact with SES</a:t>
          </a:r>
          <a:r>
            <a:rPr lang="en-PK"/>
            <a:t> (income, education, occupation, deprivation) to produce </a:t>
          </a:r>
          <a:r>
            <a:rPr lang="en-PK" b="1"/>
            <a:t>inequalities in access and utilisation</a:t>
          </a:r>
          <a:endParaRPr lang="en-GB"/>
        </a:p>
      </dgm:t>
    </dgm:pt>
    <dgm:pt modelId="{ED48A4BF-582F-E841-83ED-BFA14C76C37D}" type="parTrans" cxnId="{26D91E29-8148-F141-8BAD-E46876DD27EA}">
      <dgm:prSet/>
      <dgm:spPr/>
    </dgm:pt>
    <dgm:pt modelId="{009955BB-107B-8A40-8CD4-D11C0F8EC1E7}" type="sibTrans" cxnId="{26D91E29-8148-F141-8BAD-E46876DD27EA}">
      <dgm:prSet/>
      <dgm:spPr/>
    </dgm:pt>
    <dgm:pt modelId="{678A6AE4-68D3-954A-9B89-52208FD3E23D}" type="pres">
      <dgm:prSet presAssocID="{B832E07B-AF7D-B34C-9E6A-75698053E113}" presName="Name0" presStyleCnt="0">
        <dgm:presLayoutVars>
          <dgm:dir/>
          <dgm:resizeHandles val="exact"/>
        </dgm:presLayoutVars>
      </dgm:prSet>
      <dgm:spPr/>
    </dgm:pt>
    <dgm:pt modelId="{E585A235-4E36-5941-9315-EB866E859469}" type="pres">
      <dgm:prSet presAssocID="{B832E07B-AF7D-B34C-9E6A-75698053E113}" presName="vNodes" presStyleCnt="0"/>
      <dgm:spPr/>
    </dgm:pt>
    <dgm:pt modelId="{C1E8E31C-ACB5-3B49-B1AD-F1B116BA44C9}" type="pres">
      <dgm:prSet presAssocID="{605E7BA5-C733-6643-ABDD-E7331AE155BD}" presName="node" presStyleLbl="node1" presStyleIdx="0" presStyleCnt="3" custScaleX="176303" custScaleY="180703">
        <dgm:presLayoutVars>
          <dgm:bulletEnabled val="1"/>
        </dgm:presLayoutVars>
      </dgm:prSet>
      <dgm:spPr/>
    </dgm:pt>
    <dgm:pt modelId="{87B13317-5F67-7940-BAF1-74A1D09C79B2}" type="pres">
      <dgm:prSet presAssocID="{E3F6E92C-5038-5F40-AAEF-21F5BF6B33B1}" presName="spacerT" presStyleCnt="0"/>
      <dgm:spPr/>
    </dgm:pt>
    <dgm:pt modelId="{E4728DE1-1DB5-6247-88EC-B004F1E3EF88}" type="pres">
      <dgm:prSet presAssocID="{E3F6E92C-5038-5F40-AAEF-21F5BF6B33B1}" presName="sibTrans" presStyleLbl="sibTrans2D1" presStyleIdx="0" presStyleCnt="2"/>
      <dgm:spPr/>
    </dgm:pt>
    <dgm:pt modelId="{6B5B4DE1-64F3-164A-834F-2FE2C5DFCC9A}" type="pres">
      <dgm:prSet presAssocID="{E3F6E92C-5038-5F40-AAEF-21F5BF6B33B1}" presName="spacerB" presStyleCnt="0"/>
      <dgm:spPr/>
    </dgm:pt>
    <dgm:pt modelId="{4FB713C7-8B85-A145-B67B-4EDE39811E9E}" type="pres">
      <dgm:prSet presAssocID="{EA7BD032-8DF7-FD47-B34D-3DAD101B09D4}" presName="node" presStyleLbl="node1" presStyleIdx="1" presStyleCnt="3" custScaleX="180242" custScaleY="173058">
        <dgm:presLayoutVars>
          <dgm:bulletEnabled val="1"/>
        </dgm:presLayoutVars>
      </dgm:prSet>
      <dgm:spPr/>
    </dgm:pt>
    <dgm:pt modelId="{BD8FB81C-7926-F34E-8DE1-C3389A610F37}" type="pres">
      <dgm:prSet presAssocID="{B832E07B-AF7D-B34C-9E6A-75698053E113}" presName="sibTransLast" presStyleLbl="sibTrans2D1" presStyleIdx="1" presStyleCnt="2"/>
      <dgm:spPr/>
    </dgm:pt>
    <dgm:pt modelId="{37CDB164-AC83-9B49-84AB-F27B265D4262}" type="pres">
      <dgm:prSet presAssocID="{B832E07B-AF7D-B34C-9E6A-75698053E113}" presName="connectorText" presStyleLbl="sibTrans2D1" presStyleIdx="1" presStyleCnt="2"/>
      <dgm:spPr/>
    </dgm:pt>
    <dgm:pt modelId="{432213F2-902A-6945-8AE2-93BB95D4E56D}" type="pres">
      <dgm:prSet presAssocID="{B832E07B-AF7D-B34C-9E6A-75698053E113}" presName="lastNode" presStyleLbl="node1" presStyleIdx="2" presStyleCnt="3">
        <dgm:presLayoutVars>
          <dgm:bulletEnabled val="1"/>
        </dgm:presLayoutVars>
      </dgm:prSet>
      <dgm:spPr/>
    </dgm:pt>
  </dgm:ptLst>
  <dgm:cxnLst>
    <dgm:cxn modelId="{4A9F6202-8241-AE4F-89D0-AD93FE8D68B7}" srcId="{B832E07B-AF7D-B34C-9E6A-75698053E113}" destId="{EA7BD032-8DF7-FD47-B34D-3DAD101B09D4}" srcOrd="1" destOrd="0" parTransId="{E0272258-8D41-A248-804A-B502567FF43C}" sibTransId="{555DF1D1-F684-ED4A-B8C6-1B5983A0D2B7}"/>
    <dgm:cxn modelId="{DA8F3F25-C6A0-4749-81AB-E77013D3331E}" type="presOf" srcId="{E3F6E92C-5038-5F40-AAEF-21F5BF6B33B1}" destId="{E4728DE1-1DB5-6247-88EC-B004F1E3EF88}" srcOrd="0" destOrd="0" presId="urn:microsoft.com/office/officeart/2005/8/layout/equation2"/>
    <dgm:cxn modelId="{26D91E29-8148-F141-8BAD-E46876DD27EA}" srcId="{B832E07B-AF7D-B34C-9E6A-75698053E113}" destId="{2735AA4C-4419-1F44-AE1C-DDE5A8512474}" srcOrd="2" destOrd="0" parTransId="{ED48A4BF-582F-E841-83ED-BFA14C76C37D}" sibTransId="{009955BB-107B-8A40-8CD4-D11C0F8EC1E7}"/>
    <dgm:cxn modelId="{D0C96540-6D5E-144F-AF3B-6312E0595476}" type="presOf" srcId="{2735AA4C-4419-1F44-AE1C-DDE5A8512474}" destId="{432213F2-902A-6945-8AE2-93BB95D4E56D}" srcOrd="0" destOrd="0" presId="urn:microsoft.com/office/officeart/2005/8/layout/equation2"/>
    <dgm:cxn modelId="{098B4D5D-FCF9-814A-B979-E230FC1B3105}" type="presOf" srcId="{555DF1D1-F684-ED4A-B8C6-1B5983A0D2B7}" destId="{37CDB164-AC83-9B49-84AB-F27B265D4262}" srcOrd="1" destOrd="0" presId="urn:microsoft.com/office/officeart/2005/8/layout/equation2"/>
    <dgm:cxn modelId="{82ED1B5F-F3DB-6A47-84CA-EA86C7743D76}" type="presOf" srcId="{B832E07B-AF7D-B34C-9E6A-75698053E113}" destId="{678A6AE4-68D3-954A-9B89-52208FD3E23D}" srcOrd="0" destOrd="0" presId="urn:microsoft.com/office/officeart/2005/8/layout/equation2"/>
    <dgm:cxn modelId="{18CE2250-8419-0841-AF85-579563511755}" type="presOf" srcId="{605E7BA5-C733-6643-ABDD-E7331AE155BD}" destId="{C1E8E31C-ACB5-3B49-B1AD-F1B116BA44C9}" srcOrd="0" destOrd="0" presId="urn:microsoft.com/office/officeart/2005/8/layout/equation2"/>
    <dgm:cxn modelId="{90542278-9487-4643-92B4-B0284E9CE94A}" type="presOf" srcId="{EA7BD032-8DF7-FD47-B34D-3DAD101B09D4}" destId="{4FB713C7-8B85-A145-B67B-4EDE39811E9E}" srcOrd="0" destOrd="0" presId="urn:microsoft.com/office/officeart/2005/8/layout/equation2"/>
    <dgm:cxn modelId="{D677A9A1-BA60-A24C-9490-3DD4A13F5B00}" type="presOf" srcId="{555DF1D1-F684-ED4A-B8C6-1B5983A0D2B7}" destId="{BD8FB81C-7926-F34E-8DE1-C3389A610F37}" srcOrd="0" destOrd="0" presId="urn:microsoft.com/office/officeart/2005/8/layout/equation2"/>
    <dgm:cxn modelId="{08B585B9-4F9F-4548-87A4-631785B5F1A8}" srcId="{B832E07B-AF7D-B34C-9E6A-75698053E113}" destId="{605E7BA5-C733-6643-ABDD-E7331AE155BD}" srcOrd="0" destOrd="0" parTransId="{087E16EF-ECE4-004C-AD0A-DA6F59464518}" sibTransId="{E3F6E92C-5038-5F40-AAEF-21F5BF6B33B1}"/>
    <dgm:cxn modelId="{DD9B660A-3617-6448-8358-DF6FBA1DAFF2}" type="presParOf" srcId="{678A6AE4-68D3-954A-9B89-52208FD3E23D}" destId="{E585A235-4E36-5941-9315-EB866E859469}" srcOrd="0" destOrd="0" presId="urn:microsoft.com/office/officeart/2005/8/layout/equation2"/>
    <dgm:cxn modelId="{9837A3DA-4F2F-B546-A0F4-06A326E92376}" type="presParOf" srcId="{E585A235-4E36-5941-9315-EB866E859469}" destId="{C1E8E31C-ACB5-3B49-B1AD-F1B116BA44C9}" srcOrd="0" destOrd="0" presId="urn:microsoft.com/office/officeart/2005/8/layout/equation2"/>
    <dgm:cxn modelId="{35112557-0A3D-F148-86F1-674F839AD77F}" type="presParOf" srcId="{E585A235-4E36-5941-9315-EB866E859469}" destId="{87B13317-5F67-7940-BAF1-74A1D09C79B2}" srcOrd="1" destOrd="0" presId="urn:microsoft.com/office/officeart/2005/8/layout/equation2"/>
    <dgm:cxn modelId="{22589EB9-C524-BF4A-8FE7-A3AD4E87DC70}" type="presParOf" srcId="{E585A235-4E36-5941-9315-EB866E859469}" destId="{E4728DE1-1DB5-6247-88EC-B004F1E3EF88}" srcOrd="2" destOrd="0" presId="urn:microsoft.com/office/officeart/2005/8/layout/equation2"/>
    <dgm:cxn modelId="{7813298E-2C11-1441-BED5-5359AD3CAEBE}" type="presParOf" srcId="{E585A235-4E36-5941-9315-EB866E859469}" destId="{6B5B4DE1-64F3-164A-834F-2FE2C5DFCC9A}" srcOrd="3" destOrd="0" presId="urn:microsoft.com/office/officeart/2005/8/layout/equation2"/>
    <dgm:cxn modelId="{BC04A816-B442-4B44-8E47-FFCEE0E959D3}" type="presParOf" srcId="{E585A235-4E36-5941-9315-EB866E859469}" destId="{4FB713C7-8B85-A145-B67B-4EDE39811E9E}" srcOrd="4" destOrd="0" presId="urn:microsoft.com/office/officeart/2005/8/layout/equation2"/>
    <dgm:cxn modelId="{D871DAB8-3785-3D4A-8897-21AF1EB4B503}" type="presParOf" srcId="{678A6AE4-68D3-954A-9B89-52208FD3E23D}" destId="{BD8FB81C-7926-F34E-8DE1-C3389A610F37}" srcOrd="1" destOrd="0" presId="urn:microsoft.com/office/officeart/2005/8/layout/equation2"/>
    <dgm:cxn modelId="{05FDC53B-1538-244E-BC65-21E25F3CAABF}" type="presParOf" srcId="{BD8FB81C-7926-F34E-8DE1-C3389A610F37}" destId="{37CDB164-AC83-9B49-84AB-F27B265D4262}" srcOrd="0" destOrd="0" presId="urn:microsoft.com/office/officeart/2005/8/layout/equation2"/>
    <dgm:cxn modelId="{32C63B95-441A-7041-8D1D-7B3863BADBB7}" type="presParOf" srcId="{678A6AE4-68D3-954A-9B89-52208FD3E23D}" destId="{432213F2-902A-6945-8AE2-93BB95D4E56D}" srcOrd="2" destOrd="0" presId="urn:microsoft.com/office/officeart/2005/8/layout/equatio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E8E31C-ACB5-3B49-B1AD-F1B116BA44C9}">
      <dsp:nvSpPr>
        <dsp:cNvPr id="0" name=""/>
        <dsp:cNvSpPr/>
      </dsp:nvSpPr>
      <dsp:spPr>
        <a:xfrm>
          <a:off x="1112703" y="728"/>
          <a:ext cx="1317714" cy="135060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SzPts val="1000"/>
            <a:buFont typeface="Courier New" panose="02070309020205020404" pitchFamily="49" charset="0"/>
            <a:buNone/>
          </a:pPr>
          <a:r>
            <a:rPr lang="en-PK" sz="700" b="1" kern="1200"/>
            <a:t>Urban settings:</a:t>
          </a:r>
          <a:r>
            <a:rPr lang="en-PK" sz="700" kern="1200"/>
            <a:t> long waiting times, administrative complexity, fragmented care pathways, and hidden/indirect costs (e.g., transport, childcare, lost wages).</a:t>
          </a:r>
          <a:endParaRPr lang="en-GB" sz="700" kern="1200"/>
        </a:p>
      </dsp:txBody>
      <dsp:txXfrm>
        <a:off x="1305678" y="198519"/>
        <a:ext cx="931764" cy="955019"/>
      </dsp:txXfrm>
    </dsp:sp>
    <dsp:sp modelId="{E4728DE1-1DB5-6247-88EC-B004F1E3EF88}">
      <dsp:nvSpPr>
        <dsp:cNvPr id="0" name=""/>
        <dsp:cNvSpPr/>
      </dsp:nvSpPr>
      <dsp:spPr>
        <a:xfrm>
          <a:off x="1554810" y="1412019"/>
          <a:ext cx="433500" cy="433500"/>
        </a:xfrm>
        <a:prstGeom prst="mathPlus">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612270" y="1577789"/>
        <a:ext cx="318580" cy="101960"/>
      </dsp:txXfrm>
    </dsp:sp>
    <dsp:sp modelId="{4FB713C7-8B85-A145-B67B-4EDE39811E9E}">
      <dsp:nvSpPr>
        <dsp:cNvPr id="0" name=""/>
        <dsp:cNvSpPr/>
      </dsp:nvSpPr>
      <dsp:spPr>
        <a:xfrm>
          <a:off x="1097982" y="1906210"/>
          <a:ext cx="1347155" cy="12934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SzPts val="1000"/>
            <a:buFont typeface="Courier New" panose="02070309020205020404" pitchFamily="49" charset="0"/>
            <a:buNone/>
          </a:pPr>
          <a:r>
            <a:rPr lang="en-PK" sz="800" b="1" kern="1200"/>
            <a:t>Rural settings:</a:t>
          </a:r>
          <a:r>
            <a:rPr lang="en-PK" sz="800" kern="1200"/>
            <a:t> long travel distance, workforce shortages, limited specialist services, and digital exclusion.</a:t>
          </a:r>
          <a:endParaRPr lang="en-GB" sz="800" kern="1200"/>
        </a:p>
      </dsp:txBody>
      <dsp:txXfrm>
        <a:off x="1295268" y="2095633"/>
        <a:ext cx="952583" cy="914615"/>
      </dsp:txXfrm>
    </dsp:sp>
    <dsp:sp modelId="{BD8FB81C-7926-F34E-8DE1-C3389A610F37}">
      <dsp:nvSpPr>
        <dsp:cNvPr id="0" name=""/>
        <dsp:cNvSpPr/>
      </dsp:nvSpPr>
      <dsp:spPr>
        <a:xfrm>
          <a:off x="2557250" y="1461180"/>
          <a:ext cx="237677" cy="2780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557250" y="1516788"/>
        <a:ext cx="166374" cy="166822"/>
      </dsp:txXfrm>
    </dsp:sp>
    <dsp:sp modelId="{432213F2-902A-6945-8AE2-93BB95D4E56D}">
      <dsp:nvSpPr>
        <dsp:cNvPr id="0" name=""/>
        <dsp:cNvSpPr/>
      </dsp:nvSpPr>
      <dsp:spPr>
        <a:xfrm>
          <a:off x="2893587" y="852785"/>
          <a:ext cx="1494829" cy="149482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PK" sz="800" b="1" kern="1200"/>
            <a:t>These barriers interact with SES</a:t>
          </a:r>
          <a:r>
            <a:rPr lang="en-PK" sz="800" kern="1200"/>
            <a:t> (income, education, occupation, deprivation) to produce </a:t>
          </a:r>
          <a:r>
            <a:rPr lang="en-PK" sz="800" b="1" kern="1200"/>
            <a:t>inequalities in access and utilisation</a:t>
          </a:r>
          <a:endParaRPr lang="en-GB" sz="800" kern="1200"/>
        </a:p>
      </dsp:txBody>
      <dsp:txXfrm>
        <a:off x="3112500" y="1071698"/>
        <a:ext cx="1057003" cy="1057003"/>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2">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linDir" val="fromL"/>
          <dgm:param type="fallback" val="2D"/>
        </dgm:alg>
      </dgm:if>
      <dgm:else name="Name3">
        <dgm:alg type="lin">
          <dgm:param type="linDir" val="fromR"/>
          <dgm:param type="fallback" val="2D"/>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linDir" val="fromT"/>
            <dgm:param type="fallback" val="2D"/>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endPts" val="auto"/>
                <dgm:param type="srcNode" val="vNodes"/>
                <dgm:param type="dstNode" val="lastNode"/>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1515F-3892-AC41-9C8F-15AD52C8C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49</Pages>
  <Words>14616</Words>
  <Characters>83314</Characters>
  <Application>Microsoft Office Word</Application>
  <DocSecurity>0</DocSecurity>
  <Lines>694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Saireen Mahmood (2238897)</cp:lastModifiedBy>
  <cp:revision>2</cp:revision>
  <dcterms:created xsi:type="dcterms:W3CDTF">2026-04-05T14:05:00Z</dcterms:created>
  <dcterms:modified xsi:type="dcterms:W3CDTF">2026-04-05T14:05:00Z</dcterms:modified>
</cp:coreProperties>
</file>