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04E415AD" w:rsidR="000E64D0" w:rsidRDefault="00022410" w:rsidP="00F0603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Principles of Human Resource Management</w:t>
      </w:r>
    </w:p>
    <w:p w14:paraId="00000003" w14:textId="6B76424E" w:rsidR="000E64D0" w:rsidRDefault="00022410" w:rsidP="00F0603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LCBB5012</w:t>
      </w:r>
      <w:r w:rsidR="00F06031">
        <w:rPr>
          <w:rFonts w:ascii="Times New Roman" w:eastAsia="Times New Roman" w:hAnsi="Times New Roman" w:cs="Times New Roman"/>
          <w:b/>
          <w:bCs/>
          <w:sz w:val="32"/>
          <w:szCs w:val="32"/>
        </w:rPr>
        <w:t xml:space="preserve"> </w:t>
      </w:r>
      <w:r>
        <w:rPr>
          <w:rFonts w:ascii="Times New Roman" w:eastAsia="Times New Roman" w:hAnsi="Times New Roman" w:cs="Times New Roman"/>
          <w:b/>
          <w:bCs/>
          <w:sz w:val="32"/>
          <w:szCs w:val="32"/>
        </w:rPr>
        <w:t xml:space="preserve"> Individual Report </w:t>
      </w:r>
    </w:p>
    <w:p w14:paraId="00000004" w14:textId="77777777" w:rsidR="000E64D0" w:rsidRDefault="00022410">
      <w:pPr>
        <w:spacing w:line="360" w:lineRule="auto"/>
        <w:jc w:val="center"/>
        <w:rPr>
          <w:rFonts w:ascii="Times New Roman" w:eastAsia="Times New Roman" w:hAnsi="Times New Roman" w:cs="Times New Roman"/>
          <w:b/>
          <w:bCs/>
          <w:sz w:val="32"/>
          <w:szCs w:val="32"/>
          <w:highlight w:val="white"/>
        </w:rPr>
      </w:pPr>
      <w:r>
        <w:rPr>
          <w:rFonts w:ascii="Times New Roman" w:eastAsia="Times New Roman" w:hAnsi="Times New Roman" w:cs="Times New Roman"/>
          <w:b/>
          <w:bCs/>
          <w:sz w:val="32"/>
          <w:szCs w:val="32"/>
        </w:rPr>
        <w:t>Student Name:</w:t>
      </w:r>
      <w:r>
        <w:rPr>
          <w:rFonts w:ascii="Times New Roman" w:eastAsia="Times New Roman" w:hAnsi="Times New Roman" w:cs="Times New Roman"/>
          <w:b/>
          <w:bCs/>
          <w:sz w:val="32"/>
          <w:szCs w:val="32"/>
          <w:highlight w:val="white"/>
        </w:rPr>
        <w:t xml:space="preserve"> </w:t>
      </w:r>
      <w:proofErr w:type="spellStart"/>
      <w:r>
        <w:rPr>
          <w:rFonts w:ascii="Times New Roman" w:eastAsia="Times New Roman" w:hAnsi="Times New Roman" w:cs="Times New Roman"/>
          <w:b/>
          <w:bCs/>
          <w:sz w:val="32"/>
          <w:szCs w:val="32"/>
          <w:highlight w:val="white"/>
        </w:rPr>
        <w:t>Florentina</w:t>
      </w:r>
      <w:proofErr w:type="spellEnd"/>
      <w:r>
        <w:rPr>
          <w:rFonts w:ascii="Times New Roman" w:eastAsia="Times New Roman" w:hAnsi="Times New Roman" w:cs="Times New Roman"/>
          <w:b/>
          <w:bCs/>
          <w:sz w:val="32"/>
          <w:szCs w:val="32"/>
          <w:highlight w:val="white"/>
        </w:rPr>
        <w:t xml:space="preserve"> </w:t>
      </w:r>
      <w:proofErr w:type="spellStart"/>
      <w:r>
        <w:rPr>
          <w:rFonts w:ascii="Times New Roman" w:eastAsia="Times New Roman" w:hAnsi="Times New Roman" w:cs="Times New Roman"/>
          <w:b/>
          <w:bCs/>
          <w:sz w:val="32"/>
          <w:szCs w:val="32"/>
          <w:highlight w:val="white"/>
        </w:rPr>
        <w:t>Cosma</w:t>
      </w:r>
      <w:proofErr w:type="spellEnd"/>
      <w:r>
        <w:rPr>
          <w:rFonts w:ascii="Times New Roman" w:eastAsia="Times New Roman" w:hAnsi="Times New Roman" w:cs="Times New Roman"/>
          <w:b/>
          <w:bCs/>
          <w:sz w:val="32"/>
          <w:szCs w:val="32"/>
          <w:highlight w:val="white"/>
        </w:rPr>
        <w:t xml:space="preserve"> </w:t>
      </w:r>
    </w:p>
    <w:p w14:paraId="00000005" w14:textId="0A185219" w:rsidR="000E64D0" w:rsidRDefault="00022410">
      <w:pPr>
        <w:spacing w:line="360" w:lineRule="auto"/>
        <w:jc w:val="center"/>
        <w:rPr>
          <w:rFonts w:ascii="Times New Roman" w:eastAsia="Times New Roman" w:hAnsi="Times New Roman" w:cs="Times New Roman"/>
          <w:b/>
          <w:bCs/>
          <w:sz w:val="32"/>
          <w:szCs w:val="32"/>
          <w:highlight w:val="white"/>
        </w:rPr>
      </w:pPr>
      <w:r>
        <w:rPr>
          <w:rFonts w:ascii="Times New Roman" w:eastAsia="Times New Roman" w:hAnsi="Times New Roman" w:cs="Times New Roman"/>
          <w:b/>
          <w:bCs/>
          <w:sz w:val="32"/>
          <w:szCs w:val="32"/>
          <w:highlight w:val="white"/>
        </w:rPr>
        <w:t>Student Id Number:</w:t>
      </w:r>
      <w:r w:rsidR="004C4413">
        <w:rPr>
          <w:rFonts w:ascii="Times New Roman" w:eastAsia="Times New Roman" w:hAnsi="Times New Roman" w:cs="Times New Roman"/>
          <w:b/>
          <w:bCs/>
          <w:sz w:val="32"/>
          <w:szCs w:val="32"/>
          <w:highlight w:val="white"/>
        </w:rPr>
        <w:t>2213581</w:t>
      </w:r>
    </w:p>
    <w:p w14:paraId="70A44BE1" w14:textId="45883E74" w:rsidR="004C4413" w:rsidRDefault="004C4413">
      <w:pPr>
        <w:spacing w:line="360" w:lineRule="auto"/>
        <w:jc w:val="center"/>
        <w:rPr>
          <w:rFonts w:ascii="Times New Roman" w:eastAsia="Times New Roman" w:hAnsi="Times New Roman" w:cs="Times New Roman"/>
          <w:b/>
          <w:bCs/>
          <w:sz w:val="32"/>
          <w:szCs w:val="32"/>
          <w:highlight w:val="white"/>
        </w:rPr>
      </w:pPr>
      <w:r>
        <w:rPr>
          <w:rFonts w:ascii="Times New Roman" w:eastAsia="Times New Roman" w:hAnsi="Times New Roman" w:cs="Times New Roman"/>
          <w:b/>
          <w:bCs/>
          <w:sz w:val="32"/>
          <w:szCs w:val="32"/>
          <w:highlight w:val="white"/>
        </w:rPr>
        <w:t xml:space="preserve">Lecturer: </w:t>
      </w:r>
      <w:proofErr w:type="spellStart"/>
      <w:r w:rsidR="002D74AA">
        <w:rPr>
          <w:rFonts w:ascii="Times New Roman" w:eastAsia="Times New Roman" w:hAnsi="Times New Roman" w:cs="Times New Roman"/>
          <w:b/>
          <w:bCs/>
          <w:sz w:val="32"/>
          <w:szCs w:val="32"/>
          <w:highlight w:val="white"/>
        </w:rPr>
        <w:t>L</w:t>
      </w:r>
      <w:r w:rsidR="00721694">
        <w:rPr>
          <w:rFonts w:ascii="Times New Roman" w:eastAsia="Times New Roman" w:hAnsi="Times New Roman" w:cs="Times New Roman"/>
          <w:b/>
          <w:bCs/>
          <w:sz w:val="32"/>
          <w:szCs w:val="32"/>
          <w:highlight w:val="white"/>
        </w:rPr>
        <w:t>iyanage</w:t>
      </w:r>
      <w:proofErr w:type="spellEnd"/>
      <w:r w:rsidR="00721694">
        <w:rPr>
          <w:rFonts w:ascii="Times New Roman" w:eastAsia="Times New Roman" w:hAnsi="Times New Roman" w:cs="Times New Roman"/>
          <w:b/>
          <w:bCs/>
          <w:sz w:val="32"/>
          <w:szCs w:val="32"/>
          <w:highlight w:val="white"/>
        </w:rPr>
        <w:t xml:space="preserve"> </w:t>
      </w:r>
      <w:r w:rsidR="002D74AA">
        <w:rPr>
          <w:rFonts w:ascii="Times New Roman" w:eastAsia="Times New Roman" w:hAnsi="Times New Roman" w:cs="Times New Roman"/>
          <w:b/>
          <w:bCs/>
          <w:sz w:val="32"/>
          <w:szCs w:val="32"/>
          <w:highlight w:val="white"/>
        </w:rPr>
        <w:t>Rodrigo</w:t>
      </w:r>
    </w:p>
    <w:p w14:paraId="00000006" w14:textId="77777777" w:rsidR="000E64D0" w:rsidRDefault="000E64D0">
      <w:pPr>
        <w:spacing w:line="360" w:lineRule="auto"/>
        <w:jc w:val="center"/>
        <w:rPr>
          <w:rFonts w:ascii="Times New Roman" w:eastAsia="Times New Roman" w:hAnsi="Times New Roman" w:cs="Times New Roman"/>
          <w:b/>
          <w:bCs/>
          <w:sz w:val="32"/>
          <w:szCs w:val="32"/>
          <w:highlight w:val="white"/>
        </w:rPr>
      </w:pPr>
    </w:p>
    <w:p w14:paraId="00000007" w14:textId="77777777" w:rsidR="000E64D0" w:rsidRDefault="000E64D0">
      <w:pPr>
        <w:spacing w:line="360" w:lineRule="auto"/>
        <w:jc w:val="center"/>
        <w:rPr>
          <w:rFonts w:ascii="Times New Roman" w:eastAsia="Times New Roman" w:hAnsi="Times New Roman" w:cs="Times New Roman"/>
          <w:b/>
          <w:bCs/>
          <w:sz w:val="32"/>
          <w:szCs w:val="32"/>
          <w:highlight w:val="white"/>
        </w:rPr>
      </w:pPr>
    </w:p>
    <w:p w14:paraId="00000008" w14:textId="77777777" w:rsidR="000E64D0" w:rsidRDefault="000E64D0">
      <w:pPr>
        <w:pStyle w:val="Heading1"/>
        <w:spacing w:before="0" w:after="0" w:line="360" w:lineRule="auto"/>
        <w:jc w:val="both"/>
        <w:rPr>
          <w:rFonts w:ascii="Times New Roman" w:eastAsia="Times New Roman" w:hAnsi="Times New Roman" w:cs="Times New Roman"/>
          <w:b/>
          <w:bCs/>
          <w:sz w:val="24"/>
          <w:szCs w:val="24"/>
        </w:rPr>
      </w:pPr>
      <w:bookmarkStart w:id="0" w:name="_heading=h.okynxpjdg8zy" w:colFirst="0" w:colLast="0"/>
      <w:bookmarkEnd w:id="0"/>
    </w:p>
    <w:p w14:paraId="00000009"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1" w:name="_heading=h.gd03h9a3w2o" w:colFirst="0" w:colLast="0"/>
      <w:bookmarkEnd w:id="1"/>
      <w:r>
        <w:br w:type="page"/>
      </w:r>
    </w:p>
    <w:p w14:paraId="0000000A" w14:textId="77777777" w:rsidR="000E64D0" w:rsidRDefault="00022410">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sz w:val="24"/>
          <w:szCs w:val="24"/>
        </w:rPr>
      </w:pPr>
      <w:bookmarkStart w:id="2" w:name="_heading=h.51x13c4in5zr" w:colFirst="0" w:colLast="0"/>
      <w:bookmarkEnd w:id="2"/>
      <w:r>
        <w:rPr>
          <w:rFonts w:ascii="Times New Roman" w:eastAsia="Times New Roman" w:hAnsi="Times New Roman" w:cs="Times New Roman"/>
          <w:b/>
          <w:bCs/>
          <w:sz w:val="24"/>
          <w:szCs w:val="24"/>
        </w:rPr>
        <w:lastRenderedPageBreak/>
        <w:t>Table of Contents</w:t>
      </w:r>
    </w:p>
    <w:sdt>
      <w:sdtPr>
        <w:id w:val="-664045927"/>
        <w:docPartObj>
          <w:docPartGallery w:val="Table of Contents"/>
          <w:docPartUnique/>
        </w:docPartObj>
      </w:sdtPr>
      <w:sdtEndPr/>
      <w:sdtContent>
        <w:p w14:paraId="0000000B"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r>
            <w:fldChar w:fldCharType="begin"/>
          </w:r>
          <w:r>
            <w:instrText xml:space="preserve"> TOC \h \u \z \t "Heading 1,1,Heading 2,2,Heading 3,3,"</w:instrText>
          </w:r>
          <w:r>
            <w:fldChar w:fldCharType="separate"/>
          </w:r>
          <w:hyperlink w:anchor="_heading=h.a7fat6we4pft">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3</w:t>
            </w:r>
          </w:hyperlink>
        </w:p>
        <w:p w14:paraId="0000000C"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ipdv38mnt0zg">
            <w:r>
              <w:rPr>
                <w:rFonts w:ascii="Times New Roman" w:eastAsia="Times New Roman" w:hAnsi="Times New Roman" w:cs="Times New Roman"/>
                <w:sz w:val="24"/>
                <w:szCs w:val="24"/>
              </w:rPr>
              <w:t>Importance of Learning and Development in HRM</w:t>
            </w:r>
            <w:r>
              <w:rPr>
                <w:rFonts w:ascii="Times New Roman" w:eastAsia="Times New Roman" w:hAnsi="Times New Roman" w:cs="Times New Roman"/>
                <w:sz w:val="24"/>
                <w:szCs w:val="24"/>
              </w:rPr>
              <w:tab/>
              <w:t>4</w:t>
            </w:r>
          </w:hyperlink>
        </w:p>
        <w:p w14:paraId="0000000D"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robpgwnt62xu">
            <w:r>
              <w:rPr>
                <w:rFonts w:ascii="Times New Roman" w:eastAsia="Times New Roman" w:hAnsi="Times New Roman" w:cs="Times New Roman"/>
                <w:sz w:val="24"/>
                <w:szCs w:val="24"/>
              </w:rPr>
              <w:t>International and External Forces Influencing Learning and development design</w:t>
            </w:r>
            <w:r>
              <w:rPr>
                <w:rFonts w:ascii="Times New Roman" w:eastAsia="Times New Roman" w:hAnsi="Times New Roman" w:cs="Times New Roman"/>
                <w:sz w:val="24"/>
                <w:szCs w:val="24"/>
              </w:rPr>
              <w:tab/>
              <w:t>4</w:t>
            </w:r>
          </w:hyperlink>
        </w:p>
        <w:p w14:paraId="0000000E"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o44b4os2v66q">
            <w:r>
              <w:rPr>
                <w:rFonts w:ascii="Times New Roman" w:eastAsia="Times New Roman" w:hAnsi="Times New Roman" w:cs="Times New Roman"/>
                <w:sz w:val="24"/>
                <w:szCs w:val="24"/>
              </w:rPr>
              <w:t>Learning and Development Supporting Adaptation to Environmental Changes</w:t>
            </w:r>
            <w:r>
              <w:rPr>
                <w:rFonts w:ascii="Times New Roman" w:eastAsia="Times New Roman" w:hAnsi="Times New Roman" w:cs="Times New Roman"/>
                <w:sz w:val="24"/>
                <w:szCs w:val="24"/>
              </w:rPr>
              <w:tab/>
              <w:t>5</w:t>
            </w:r>
          </w:hyperlink>
        </w:p>
        <w:p w14:paraId="0000000F"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v572vv60b3sq">
            <w:r>
              <w:rPr>
                <w:rFonts w:ascii="Times New Roman" w:eastAsia="Times New Roman" w:hAnsi="Times New Roman" w:cs="Times New Roman"/>
                <w:sz w:val="24"/>
                <w:szCs w:val="24"/>
              </w:rPr>
              <w:t>Learning and Development as a Tool for Competitive Advantage</w:t>
            </w:r>
            <w:r>
              <w:rPr>
                <w:rFonts w:ascii="Times New Roman" w:eastAsia="Times New Roman" w:hAnsi="Times New Roman" w:cs="Times New Roman"/>
                <w:sz w:val="24"/>
                <w:szCs w:val="24"/>
              </w:rPr>
              <w:tab/>
              <w:t>6</w:t>
            </w:r>
          </w:hyperlink>
        </w:p>
        <w:p w14:paraId="00000010"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3ryhsf7eiloz">
            <w:r>
              <w:rPr>
                <w:rFonts w:ascii="Times New Roman" w:eastAsia="Times New Roman" w:hAnsi="Times New Roman" w:cs="Times New Roman"/>
                <w:sz w:val="24"/>
                <w:szCs w:val="24"/>
              </w:rPr>
              <w:t>Supporting employees from diverse backgrounds</w:t>
            </w:r>
            <w:r>
              <w:rPr>
                <w:rFonts w:ascii="Times New Roman" w:eastAsia="Times New Roman" w:hAnsi="Times New Roman" w:cs="Times New Roman"/>
                <w:sz w:val="24"/>
                <w:szCs w:val="24"/>
              </w:rPr>
              <w:tab/>
              <w:t>7</w:t>
            </w:r>
          </w:hyperlink>
        </w:p>
        <w:p w14:paraId="00000011"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aiqeawxd6esi">
            <w:r>
              <w:rPr>
                <w:rFonts w:ascii="Times New Roman" w:eastAsia="Times New Roman" w:hAnsi="Times New Roman" w:cs="Times New Roman"/>
                <w:sz w:val="24"/>
                <w:szCs w:val="24"/>
              </w:rPr>
              <w:t>Implementation of a Relevant Learning and Development Model</w:t>
            </w:r>
            <w:r>
              <w:rPr>
                <w:rFonts w:ascii="Times New Roman" w:eastAsia="Times New Roman" w:hAnsi="Times New Roman" w:cs="Times New Roman"/>
                <w:sz w:val="24"/>
                <w:szCs w:val="24"/>
              </w:rPr>
              <w:tab/>
              <w:t>7</w:t>
            </w:r>
          </w:hyperlink>
        </w:p>
        <w:p w14:paraId="00000012"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xx7msp2wir">
            <w:r>
              <w:rPr>
                <w:rFonts w:ascii="Times New Roman" w:eastAsia="Times New Roman" w:hAnsi="Times New Roman" w:cs="Times New Roman"/>
                <w:sz w:val="24"/>
                <w:szCs w:val="24"/>
              </w:rPr>
              <w:t>Challenges and recommendations</w:t>
            </w:r>
            <w:r>
              <w:rPr>
                <w:rFonts w:ascii="Times New Roman" w:eastAsia="Times New Roman" w:hAnsi="Times New Roman" w:cs="Times New Roman"/>
                <w:sz w:val="24"/>
                <w:szCs w:val="24"/>
              </w:rPr>
              <w:tab/>
              <w:t>8</w:t>
            </w:r>
          </w:hyperlink>
        </w:p>
        <w:p w14:paraId="00000013"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cj6oja8go0mv">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t>9</w:t>
            </w:r>
          </w:hyperlink>
        </w:p>
        <w:p w14:paraId="00000014" w14:textId="77777777" w:rsidR="000E64D0" w:rsidRDefault="00022410">
          <w:pPr>
            <w:pBdr>
              <w:top w:val="nil"/>
              <w:left w:val="nil"/>
              <w:bottom w:val="nil"/>
              <w:right w:val="nil"/>
              <w:between w:val="nil"/>
            </w:pBdr>
            <w:tabs>
              <w:tab w:val="right" w:pos="9350"/>
            </w:tabs>
            <w:spacing w:after="100"/>
            <w:jc w:val="both"/>
            <w:rPr>
              <w:rFonts w:ascii="Times New Roman" w:eastAsia="Times New Roman" w:hAnsi="Times New Roman" w:cs="Times New Roman"/>
              <w:sz w:val="24"/>
              <w:szCs w:val="24"/>
            </w:rPr>
          </w:pPr>
          <w:hyperlink w:anchor="_heading=h.o79ilisxe7dt">
            <w:r>
              <w:rPr>
                <w:rFonts w:ascii="Times New Roman" w:eastAsia="Times New Roman" w:hAnsi="Times New Roman" w:cs="Times New Roman"/>
                <w:sz w:val="24"/>
                <w:szCs w:val="24"/>
              </w:rPr>
              <w:t>References</w:t>
            </w:r>
            <w:r>
              <w:rPr>
                <w:rFonts w:ascii="Times New Roman" w:eastAsia="Times New Roman" w:hAnsi="Times New Roman" w:cs="Times New Roman"/>
                <w:sz w:val="24"/>
                <w:szCs w:val="24"/>
              </w:rPr>
              <w:tab/>
              <w:t>10</w:t>
            </w:r>
          </w:hyperlink>
        </w:p>
        <w:p w14:paraId="00000015" w14:textId="77777777" w:rsidR="000E64D0" w:rsidRDefault="00022410">
          <w:pPr>
            <w:jc w:val="both"/>
          </w:pPr>
          <w:r>
            <w:fldChar w:fldCharType="end"/>
          </w:r>
        </w:p>
      </w:sdtContent>
    </w:sdt>
    <w:p w14:paraId="00000016" w14:textId="77777777" w:rsidR="000E64D0" w:rsidRDefault="00022410">
      <w:pPr>
        <w:rPr>
          <w:rFonts w:ascii="Times New Roman" w:eastAsia="Times New Roman" w:hAnsi="Times New Roman" w:cs="Times New Roman"/>
          <w:b/>
          <w:bCs/>
          <w:sz w:val="24"/>
          <w:szCs w:val="24"/>
        </w:rPr>
      </w:pPr>
      <w:r>
        <w:br w:type="page"/>
      </w:r>
    </w:p>
    <w:p w14:paraId="00000017"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3" w:name="_heading=h.a7fat6we4pft" w:colFirst="0" w:colLast="0"/>
      <w:bookmarkEnd w:id="3"/>
      <w:r>
        <w:rPr>
          <w:rFonts w:ascii="Times New Roman" w:eastAsia="Times New Roman" w:hAnsi="Times New Roman" w:cs="Times New Roman"/>
          <w:b/>
          <w:bCs/>
          <w:sz w:val="24"/>
          <w:szCs w:val="24"/>
        </w:rPr>
        <w:lastRenderedPageBreak/>
        <w:t>Introduction</w:t>
      </w:r>
    </w:p>
    <w:p w14:paraId="00000018"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and Development is one of the main elements of Human Resource Management that mainly focus on implying the knowledge, skills and abilities of the employees to accomplish organisational goals. This learning and development allow organisations to remain competitive, innovative and adjustable in an environment which is described through technological disturbances and international transformation (</w:t>
      </w:r>
      <w:proofErr w:type="spellStart"/>
      <w:r>
        <w:rPr>
          <w:rFonts w:ascii="Times New Roman" w:eastAsia="Times New Roman" w:hAnsi="Times New Roman" w:cs="Times New Roman"/>
          <w:sz w:val="24"/>
          <w:szCs w:val="24"/>
          <w:highlight w:val="white"/>
        </w:rPr>
        <w:t>Bratton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It also supports inclusion by assuring that all the employees nevertheless of background have equitable opportunities for growth and advancement. This report is usually given as an example of Google which is an international leader in technology, identified for its dynamic learning culture and dedication to consistent employee development. This report also implements the Kirkpatrick Evaluation Model which evaluates the efficiency of learning and development over the four levels like reaction, learning, be</w:t>
      </w:r>
      <w:r>
        <w:rPr>
          <w:rFonts w:ascii="Times New Roman" w:eastAsia="Times New Roman" w:hAnsi="Times New Roman" w:cs="Times New Roman"/>
          <w:sz w:val="24"/>
          <w:szCs w:val="24"/>
        </w:rPr>
        <w:t>haviour and results to illustrate how structured assessment improves the strategic outcomes. This report also analyses critically the importance of learning and development as a strategic HR practice, assesses the internal and external factors that help to shape its application and evaluates how inclusive learning and development initiatives foster workforce diversity.</w:t>
      </w:r>
    </w:p>
    <w:p w14:paraId="00000019"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4" w:name="_heading=h.updfj0l8rf1n" w:colFirst="0" w:colLast="0"/>
      <w:bookmarkEnd w:id="4"/>
      <w:r>
        <w:br w:type="page"/>
      </w:r>
    </w:p>
    <w:p w14:paraId="0000001A"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5" w:name="_heading=h.ipdv38mnt0zg" w:colFirst="0" w:colLast="0"/>
      <w:bookmarkEnd w:id="5"/>
      <w:r>
        <w:rPr>
          <w:rFonts w:ascii="Times New Roman" w:eastAsia="Times New Roman" w:hAnsi="Times New Roman" w:cs="Times New Roman"/>
          <w:b/>
          <w:bCs/>
          <w:sz w:val="24"/>
          <w:szCs w:val="24"/>
        </w:rPr>
        <w:lastRenderedPageBreak/>
        <w:t>Importance of Learning and Development in HRM</w:t>
      </w:r>
    </w:p>
    <w:p w14:paraId="0000001B"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and development is one a strategic pillar of Human Resource Management That leads towards organisational success by aligning employee skills and behaviours with its business objectives. The culture of consistent enhancement needs to be fostered where Learning and Development ensure that employees stay adjustable, innovative and able to meet developing organisational requirements. It mainly focuses on enhancing the engagement along with retention which empower individuals by giving opportunities for</w:t>
      </w:r>
      <w:r>
        <w:rPr>
          <w:rFonts w:ascii="Times New Roman" w:eastAsia="Times New Roman" w:hAnsi="Times New Roman" w:cs="Times New Roman"/>
          <w:sz w:val="24"/>
          <w:szCs w:val="24"/>
        </w:rPr>
        <w:t xml:space="preserve"> growth and sense of purpose in order to boost productivity and overall performance (</w:t>
      </w:r>
      <w:proofErr w:type="spellStart"/>
      <w:r>
        <w:rPr>
          <w:rFonts w:ascii="Times New Roman" w:eastAsia="Times New Roman" w:hAnsi="Times New Roman" w:cs="Times New Roman"/>
          <w:sz w:val="24"/>
          <w:szCs w:val="24"/>
          <w:highlight w:val="white"/>
        </w:rPr>
        <w:t>Pucik</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The learning and development has initiatives that usually strengthen the agility of the companies which enable them to respond effectively to advancement of the technologies, global change and competitive strains. For example, Google mainly uses the learning and development strategy along with its corporate goals through initiatives such as Google Career Certificate that helps to promote peer learning, </w:t>
      </w:r>
      <w:r>
        <w:rPr>
          <w:rFonts w:ascii="Times New Roman" w:eastAsia="Times New Roman" w:hAnsi="Times New Roman" w:cs="Times New Roman"/>
          <w:sz w:val="24"/>
          <w:szCs w:val="24"/>
        </w:rPr>
        <w:t xml:space="preserve">innovation and fluency of digital across the </w:t>
      </w:r>
      <w:proofErr w:type="spellStart"/>
      <w:r>
        <w:rPr>
          <w:rFonts w:ascii="Times New Roman" w:eastAsia="Times New Roman" w:hAnsi="Times New Roman" w:cs="Times New Roman"/>
          <w:sz w:val="24"/>
          <w:szCs w:val="24"/>
        </w:rPr>
        <w:t>g;obal</w:t>
      </w:r>
      <w:proofErr w:type="spellEnd"/>
      <w:r>
        <w:rPr>
          <w:rFonts w:ascii="Times New Roman" w:eastAsia="Times New Roman" w:hAnsi="Times New Roman" w:cs="Times New Roman"/>
          <w:sz w:val="24"/>
          <w:szCs w:val="24"/>
        </w:rPr>
        <w:t xml:space="preserve"> teams. These programmes have been focused more on developing the leadership and technical competencies as well as to </w:t>
      </w:r>
      <w:proofErr w:type="spellStart"/>
      <w:r>
        <w:rPr>
          <w:rFonts w:ascii="Times New Roman" w:eastAsia="Times New Roman" w:hAnsi="Times New Roman" w:cs="Times New Roman"/>
          <w:sz w:val="24"/>
          <w:szCs w:val="24"/>
        </w:rPr>
        <w:t>austin</w:t>
      </w:r>
      <w:proofErr w:type="spellEnd"/>
      <w:r>
        <w:rPr>
          <w:rFonts w:ascii="Times New Roman" w:eastAsia="Times New Roman" w:hAnsi="Times New Roman" w:cs="Times New Roman"/>
          <w:sz w:val="24"/>
          <w:szCs w:val="24"/>
        </w:rPr>
        <w:t xml:space="preserve"> competitive advantages of google in a rapidly transforming environment. Hence, this learning and development act as a robust enabler for transformation that ensures where the companies  need to be resilient, resilient, forward thinking and must be equipped to thrive in dynamic global markets.</w:t>
      </w:r>
    </w:p>
    <w:p w14:paraId="0000001C"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6" w:name="_heading=h.robpgwnt62xu" w:colFirst="0" w:colLast="0"/>
      <w:bookmarkEnd w:id="6"/>
      <w:r>
        <w:rPr>
          <w:rFonts w:ascii="Times New Roman" w:eastAsia="Times New Roman" w:hAnsi="Times New Roman" w:cs="Times New Roman"/>
          <w:b/>
          <w:bCs/>
          <w:sz w:val="24"/>
          <w:szCs w:val="24"/>
        </w:rPr>
        <w:t>Internal and External factors affecting design of learning and development</w:t>
      </w:r>
    </w:p>
    <w:p w14:paraId="0000001D"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internal and external factors put effects on design and adoption of learning and development programmes and also determines how organisations effectively can build capabilities of workforce and sustain organisational performance. Literally it has been found that the organised culture is very significant in shaping the learning priorities and employee engagement. A culture that basically focuses on giving value to knowledge sharing, collaboration and innovation that foster continuous learning and agility</w:t>
      </w:r>
      <w:r>
        <w:rPr>
          <w:rFonts w:ascii="Times New Roman" w:eastAsia="Times New Roman" w:hAnsi="Times New Roman" w:cs="Times New Roman"/>
          <w:sz w:val="24"/>
          <w:szCs w:val="24"/>
        </w:rPr>
        <w:t xml:space="preserve"> of strategies (</w:t>
      </w:r>
      <w:proofErr w:type="spellStart"/>
      <w:r>
        <w:rPr>
          <w:rFonts w:ascii="Times New Roman" w:eastAsia="Times New Roman" w:hAnsi="Times New Roman" w:cs="Times New Roman"/>
          <w:sz w:val="24"/>
          <w:szCs w:val="24"/>
          <w:highlight w:val="white"/>
        </w:rPr>
        <w:t>Crawshaw</w:t>
      </w:r>
      <w:proofErr w:type="spellEnd"/>
      <w:r>
        <w:rPr>
          <w:rFonts w:ascii="Times New Roman" w:eastAsia="Times New Roman" w:hAnsi="Times New Roman" w:cs="Times New Roman"/>
          <w:sz w:val="24"/>
          <w:szCs w:val="24"/>
          <w:highlight w:val="white"/>
        </w:rPr>
        <w:t xml:space="preserve">, Davis and </w:t>
      </w:r>
      <w:proofErr w:type="spellStart"/>
      <w:r>
        <w:rPr>
          <w:rFonts w:ascii="Times New Roman" w:eastAsia="Times New Roman" w:hAnsi="Times New Roman" w:cs="Times New Roman"/>
          <w:sz w:val="24"/>
          <w:szCs w:val="24"/>
          <w:highlight w:val="white"/>
        </w:rPr>
        <w:t>Budhwar</w:t>
      </w:r>
      <w:proofErr w:type="spellEnd"/>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.The commitment of learning further reinforces this through assuring that learning and development is aligned with the objectives of the business, has ample of sourcing and incorporated into talent management. When leaders focus on actively champion development which means organisational spending in employee growth which also improves encouragement and retention. Mitigating skill gaps and performance required which is one of the crucial internal drivers. Fro</w:t>
      </w:r>
      <w:r>
        <w:rPr>
          <w:rFonts w:ascii="Times New Roman" w:eastAsia="Times New Roman" w:hAnsi="Times New Roman" w:cs="Times New Roman"/>
          <w:sz w:val="24"/>
          <w:szCs w:val="24"/>
        </w:rPr>
        <w:t xml:space="preserve">m evaluating performance and competence where organisation plays an important role in determining skill gaps and designing </w:t>
      </w:r>
      <w:proofErr w:type="spellStart"/>
      <w:r>
        <w:rPr>
          <w:rFonts w:ascii="Times New Roman" w:eastAsia="Times New Roman" w:hAnsi="Times New Roman" w:cs="Times New Roman"/>
          <w:sz w:val="24"/>
          <w:szCs w:val="24"/>
        </w:rPr>
        <w:t>customized</w:t>
      </w:r>
      <w:proofErr w:type="spellEnd"/>
      <w:r>
        <w:rPr>
          <w:rFonts w:ascii="Times New Roman" w:eastAsia="Times New Roman" w:hAnsi="Times New Roman" w:cs="Times New Roman"/>
          <w:sz w:val="24"/>
          <w:szCs w:val="24"/>
        </w:rPr>
        <w:t xml:space="preserve"> training interventions to improve creativity and innovation. </w:t>
      </w:r>
      <w:r>
        <w:rPr>
          <w:rFonts w:ascii="Times New Roman" w:eastAsia="Times New Roman" w:hAnsi="Times New Roman" w:cs="Times New Roman"/>
          <w:sz w:val="24"/>
          <w:szCs w:val="24"/>
        </w:rPr>
        <w:lastRenderedPageBreak/>
        <w:t xml:space="preserve">Additionally, the </w:t>
      </w:r>
      <w:proofErr w:type="spellStart"/>
      <w:r>
        <w:rPr>
          <w:rFonts w:ascii="Times New Roman" w:eastAsia="Times New Roman" w:hAnsi="Times New Roman" w:cs="Times New Roman"/>
          <w:sz w:val="24"/>
          <w:szCs w:val="24"/>
        </w:rPr>
        <w:t>utilization</w:t>
      </w:r>
      <w:proofErr w:type="spellEnd"/>
      <w:r>
        <w:rPr>
          <w:rFonts w:ascii="Times New Roman" w:eastAsia="Times New Roman" w:hAnsi="Times New Roman" w:cs="Times New Roman"/>
          <w:sz w:val="24"/>
          <w:szCs w:val="24"/>
        </w:rPr>
        <w:t xml:space="preserve"> of technology and digital learning platforms has transformed learning and development delivery. There are tools like virtual classrooms, learning, management systems and e-learning modules that enable employees to learn agility and at scale promotes accessibility over the international </w:t>
      </w:r>
      <w:r>
        <w:rPr>
          <w:rFonts w:ascii="Times New Roman" w:eastAsia="Times New Roman" w:hAnsi="Times New Roman" w:cs="Times New Roman"/>
          <w:sz w:val="24"/>
          <w:szCs w:val="24"/>
        </w:rPr>
        <w:t>operations.</w:t>
      </w:r>
    </w:p>
    <w:p w14:paraId="0000001E"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Externally, globalisation and diversity of workforce necessitate cross-cultural learning initiatives that improve intercultural competence and communication as well. The organisations mostly focus on operating internationally to adjust learning and development programmes to accommodate varied learning references and cultural contexts (</w:t>
      </w:r>
      <w:proofErr w:type="spellStart"/>
      <w:r>
        <w:rPr>
          <w:rFonts w:ascii="Times New Roman" w:eastAsia="Times New Roman" w:hAnsi="Times New Roman" w:cs="Times New Roman"/>
          <w:sz w:val="24"/>
          <w:szCs w:val="24"/>
          <w:highlight w:val="white"/>
        </w:rPr>
        <w:t>Colakoglu</w:t>
      </w:r>
      <w:proofErr w:type="spellEnd"/>
      <w:r>
        <w:rPr>
          <w:rFonts w:ascii="Times New Roman" w:eastAsia="Times New Roman" w:hAnsi="Times New Roman" w:cs="Times New Roman"/>
          <w:sz w:val="24"/>
          <w:szCs w:val="24"/>
          <w:highlight w:val="white"/>
        </w:rPr>
        <w:t>, Chung and Hong, 2023)</w:t>
      </w:r>
      <w:r>
        <w:rPr>
          <w:rFonts w:ascii="Times New Roman" w:eastAsia="Times New Roman" w:hAnsi="Times New Roman" w:cs="Times New Roman"/>
          <w:sz w:val="24"/>
          <w:szCs w:val="24"/>
        </w:rPr>
        <w:t xml:space="preserve">. The technological disturbances, especially artificial intelligence and automation, lead to the requirements for digital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and long-term learning to maintain employability and innovation. The labour market trends also focus on influencing learning and development primacy as demand for digital literacy, leadership abilities and critical thinking has been increased. However, the compliance with developing labour and regulatory norms needs consistent employee education</w:t>
      </w:r>
      <w:r>
        <w:rPr>
          <w:rFonts w:ascii="Times New Roman" w:eastAsia="Times New Roman" w:hAnsi="Times New Roman" w:cs="Times New Roman"/>
          <w:sz w:val="24"/>
          <w:szCs w:val="24"/>
        </w:rPr>
        <w:t xml:space="preserve"> in areas like data protection, workplace ethics and equality. These internal and external forces mainly focus on shaping learning and development started collectively by pushing organisations to implement a proactive, inclusive learning approach and technology -driven. For example, Unilever illustrates this incorporation from its Future Fit initiative which uses AI-driven platforms and leadership commitment to </w:t>
      </w:r>
      <w:proofErr w:type="spellStart"/>
      <w:r>
        <w:rPr>
          <w:rFonts w:ascii="Times New Roman" w:eastAsia="Times New Roman" w:hAnsi="Times New Roman" w:cs="Times New Roman"/>
          <w:sz w:val="24"/>
          <w:szCs w:val="24"/>
        </w:rPr>
        <w:t>reskill</w:t>
      </w:r>
      <w:proofErr w:type="spellEnd"/>
      <w:r>
        <w:rPr>
          <w:rFonts w:ascii="Times New Roman" w:eastAsia="Times New Roman" w:hAnsi="Times New Roman" w:cs="Times New Roman"/>
          <w:sz w:val="24"/>
          <w:szCs w:val="24"/>
        </w:rPr>
        <w:t xml:space="preserve"> employees for future roles as well (</w:t>
      </w:r>
      <w:r>
        <w:rPr>
          <w:rFonts w:ascii="Times New Roman" w:eastAsia="Times New Roman" w:hAnsi="Times New Roman" w:cs="Times New Roman"/>
          <w:sz w:val="24"/>
          <w:szCs w:val="24"/>
          <w:highlight w:val="white"/>
        </w:rPr>
        <w:t xml:space="preserve">Tej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This approach mainly focuses on al</w:t>
      </w:r>
      <w:r>
        <w:rPr>
          <w:rFonts w:ascii="Times New Roman" w:eastAsia="Times New Roman" w:hAnsi="Times New Roman" w:cs="Times New Roman"/>
          <w:sz w:val="24"/>
          <w:szCs w:val="24"/>
        </w:rPr>
        <w:t>igning with its cultural emphasis on sustainability, innovation and inclusion. The ability of organisations to align internal abilities with external strain identifies the success of its learning and development strategy as well as its long-term competitive advantages in a fastest developing business environment.</w:t>
      </w:r>
    </w:p>
    <w:p w14:paraId="0000001F"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7" w:name="_heading=h.o44b4os2v66q" w:colFirst="0" w:colLast="0"/>
      <w:bookmarkEnd w:id="7"/>
      <w:r>
        <w:rPr>
          <w:rFonts w:ascii="Times New Roman" w:eastAsia="Times New Roman" w:hAnsi="Times New Roman" w:cs="Times New Roman"/>
          <w:b/>
          <w:bCs/>
          <w:sz w:val="24"/>
          <w:szCs w:val="24"/>
        </w:rPr>
        <w:t>Learning and Development Supporting Adaptation to Environmental Changes</w:t>
      </w:r>
    </w:p>
    <w:p w14:paraId="00000020"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and development also play a vital role in allowing organisational flexibility and resilience in response to quick environmental transformation like digital change, remote working and ideas for sustainability (</w:t>
      </w:r>
      <w:proofErr w:type="spellStart"/>
      <w:r>
        <w:rPr>
          <w:rFonts w:ascii="Times New Roman" w:eastAsia="Times New Roman" w:hAnsi="Times New Roman" w:cs="Times New Roman"/>
          <w:sz w:val="24"/>
          <w:szCs w:val="24"/>
          <w:highlight w:val="white"/>
        </w:rPr>
        <w:t>Cahapay</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Through supporting consistent learning and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where learning and development assure that employees must possess the adaptable abilities which are required to direct technological advancements and developing market conditions. In the digital era where the organisation must devolve a workforce proficient in new tools and procedures while managing collaboration and innovation over the virtual environments. The content learning programmes like e-learning, mentoring and </w:t>
      </w:r>
      <w:proofErr w:type="spellStart"/>
      <w:r>
        <w:rPr>
          <w:rFonts w:ascii="Times New Roman" w:eastAsia="Times New Roman" w:hAnsi="Times New Roman" w:cs="Times New Roman"/>
          <w:sz w:val="24"/>
          <w:szCs w:val="24"/>
        </w:rPr>
        <w:t>microlearning</w:t>
      </w:r>
      <w:proofErr w:type="spellEnd"/>
      <w:r>
        <w:rPr>
          <w:rFonts w:ascii="Times New Roman" w:eastAsia="Times New Roman" w:hAnsi="Times New Roman" w:cs="Times New Roman"/>
          <w:sz w:val="24"/>
          <w:szCs w:val="24"/>
        </w:rPr>
        <w:t xml:space="preserve"> enab</w:t>
      </w:r>
      <w:r>
        <w:rPr>
          <w:rFonts w:ascii="Times New Roman" w:eastAsia="Times New Roman" w:hAnsi="Times New Roman" w:cs="Times New Roman"/>
          <w:sz w:val="24"/>
          <w:szCs w:val="24"/>
        </w:rPr>
        <w:t xml:space="preserve">le employees to attain new </w:t>
      </w:r>
      <w:r>
        <w:rPr>
          <w:rFonts w:ascii="Times New Roman" w:eastAsia="Times New Roman" w:hAnsi="Times New Roman" w:cs="Times New Roman"/>
          <w:sz w:val="24"/>
          <w:szCs w:val="24"/>
        </w:rPr>
        <w:lastRenderedPageBreak/>
        <w:t>competencies agility and effectively focus on remote sustained performance during transformation.</w:t>
      </w:r>
    </w:p>
    <w:p w14:paraId="00000021"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example, Google has immersed flexibility into its culture from online learning platforms such as Google Classroom and peer-led initiatives like </w:t>
      </w:r>
      <w:proofErr w:type="spellStart"/>
      <w:r>
        <w:rPr>
          <w:rFonts w:ascii="Times New Roman" w:eastAsia="Times New Roman" w:hAnsi="Times New Roman" w:cs="Times New Roman"/>
          <w:sz w:val="24"/>
          <w:szCs w:val="24"/>
        </w:rPr>
        <w:t>Googler</w:t>
      </w:r>
      <w:proofErr w:type="spellEnd"/>
      <w:r>
        <w:rPr>
          <w:rFonts w:ascii="Times New Roman" w:eastAsia="Times New Roman" w:hAnsi="Times New Roman" w:cs="Times New Roman"/>
          <w:sz w:val="24"/>
          <w:szCs w:val="24"/>
        </w:rPr>
        <w:t xml:space="preserve"> to </w:t>
      </w:r>
      <w:proofErr w:type="spellStart"/>
      <w:r>
        <w:rPr>
          <w:rFonts w:ascii="Times New Roman" w:eastAsia="Times New Roman" w:hAnsi="Times New Roman" w:cs="Times New Roman"/>
          <w:sz w:val="24"/>
          <w:szCs w:val="24"/>
        </w:rPr>
        <w:t>Googler</w:t>
      </w:r>
      <w:proofErr w:type="spellEnd"/>
      <w:r>
        <w:rPr>
          <w:rFonts w:ascii="Times New Roman" w:eastAsia="Times New Roman" w:hAnsi="Times New Roman" w:cs="Times New Roman"/>
          <w:sz w:val="24"/>
          <w:szCs w:val="24"/>
        </w:rPr>
        <w:t xml:space="preserve"> where employees have been empowered to share expertise and coach one another (</w:t>
      </w:r>
      <w:proofErr w:type="spellStart"/>
      <w:r>
        <w:rPr>
          <w:rFonts w:ascii="Times New Roman" w:eastAsia="Times New Roman" w:hAnsi="Times New Roman" w:cs="Times New Roman"/>
          <w:sz w:val="24"/>
          <w:szCs w:val="24"/>
          <w:highlight w:val="white"/>
        </w:rPr>
        <w:t>Bratton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These initiatives mainly focus on facilitating quick knowledge transfer, </w:t>
      </w:r>
      <w:proofErr w:type="spellStart"/>
      <w:r>
        <w:rPr>
          <w:rFonts w:ascii="Times New Roman" w:eastAsia="Times New Roman" w:hAnsi="Times New Roman" w:cs="Times New Roman"/>
          <w:sz w:val="24"/>
          <w:szCs w:val="24"/>
        </w:rPr>
        <w:t>upskilling</w:t>
      </w:r>
      <w:proofErr w:type="spellEnd"/>
      <w:r>
        <w:rPr>
          <w:rFonts w:ascii="Times New Roman" w:eastAsia="Times New Roman" w:hAnsi="Times New Roman" w:cs="Times New Roman"/>
          <w:sz w:val="24"/>
          <w:szCs w:val="24"/>
        </w:rPr>
        <w:t xml:space="preserve"> and innovation over the international teams especially during technological shifts and remote work transitions. These sustainability-focused learning modules give more power to the employees to make responsible business decisions that must align with corporate social goals. </w:t>
      </w:r>
    </w:p>
    <w:p w14:paraId="00000022"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8" w:name="_heading=h.v572vv60b3sq" w:colFirst="0" w:colLast="0"/>
      <w:bookmarkEnd w:id="8"/>
      <w:r>
        <w:rPr>
          <w:rFonts w:ascii="Times New Roman" w:eastAsia="Times New Roman" w:hAnsi="Times New Roman" w:cs="Times New Roman"/>
          <w:b/>
          <w:bCs/>
          <w:sz w:val="24"/>
          <w:szCs w:val="24"/>
        </w:rPr>
        <w:t>Learning and Development Become tool for competitive benefits</w:t>
      </w:r>
    </w:p>
    <w:p w14:paraId="00000023"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learning and development is one of the effective tools that focuses on serving as robust strategic tools for achieving and sustaining competitive advantages from enhancing the capabilities of employees, their arrangement and innovation. Resource based news has revealed that the employees present a distinctive and unique resource whose knowledge and skills drive lifelong success of the companies (</w:t>
      </w:r>
      <w:r>
        <w:rPr>
          <w:rFonts w:ascii="Times New Roman" w:eastAsia="Times New Roman" w:hAnsi="Times New Roman" w:cs="Times New Roman"/>
          <w:sz w:val="24"/>
          <w:szCs w:val="24"/>
          <w:highlight w:val="white"/>
        </w:rPr>
        <w:t>Saks, 2022)</w:t>
      </w:r>
      <w:r>
        <w:rPr>
          <w:rFonts w:ascii="Times New Roman" w:eastAsia="Times New Roman" w:hAnsi="Times New Roman" w:cs="Times New Roman"/>
          <w:sz w:val="24"/>
          <w:szCs w:val="24"/>
        </w:rPr>
        <w:t>. Human Capital Theory has been reviewed on emphasising that spacing in employee evolution has been increased through both the productivity and performance of the organisations. There should be effective learning and development progress that helps to improve retention from fostering as a sense of value and growth of career. This will help it reduce the turnover costs and strengthen the dedication. Google illustrates this strategic innovation from initiatives like Google EDU and Leadership Develo</w:t>
      </w:r>
      <w:r>
        <w:rPr>
          <w:rFonts w:ascii="Times New Roman" w:eastAsia="Times New Roman" w:hAnsi="Times New Roman" w:cs="Times New Roman"/>
          <w:sz w:val="24"/>
          <w:szCs w:val="24"/>
        </w:rPr>
        <w:t>pment Programs which gives employees technical, soft and managerial skills   that need to be required for developing business challenges. These programmes mainly focus on supporting future leaders and promoting a culture of consistent learning and innovation directly align with organisational goals. The formal training with coaching, mentorship and experiential learning has been unified where Google assures that its talent pipeline remains robust and can stand in a competitive market.</w:t>
      </w:r>
    </w:p>
    <w:p w14:paraId="00000024"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9" w:name="_heading=h.3ryhsf7eiloz" w:colFirst="0" w:colLast="0"/>
      <w:bookmarkEnd w:id="9"/>
      <w:r>
        <w:rPr>
          <w:rFonts w:ascii="Times New Roman" w:eastAsia="Times New Roman" w:hAnsi="Times New Roman" w:cs="Times New Roman"/>
          <w:b/>
          <w:bCs/>
          <w:sz w:val="24"/>
          <w:szCs w:val="24"/>
        </w:rPr>
        <w:t>Supporting employees from diverse backgrounds</w:t>
      </w:r>
    </w:p>
    <w:p w14:paraId="00000025"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inclusive learning and development have been found useful for supporting equality, high performance and belonging within diverse organisations. Through identifying cultural, linguistic diversity and gender where inclusive learning and development promotes that all the employees have equitable accessibility to growth opportunities and also feel valued for their exceptional viewpoints. Such kinds of programmes go beyond compliance, support fairness and resent over all </w:t>
      </w:r>
      <w:r>
        <w:rPr>
          <w:rFonts w:ascii="Times New Roman" w:eastAsia="Times New Roman" w:hAnsi="Times New Roman" w:cs="Times New Roman"/>
          <w:sz w:val="24"/>
          <w:szCs w:val="24"/>
        </w:rPr>
        <w:lastRenderedPageBreak/>
        <w:t>the levels of the organisation (</w:t>
      </w:r>
      <w:proofErr w:type="spellStart"/>
      <w:r>
        <w:rPr>
          <w:rFonts w:ascii="Times New Roman" w:eastAsia="Times New Roman" w:hAnsi="Times New Roman" w:cs="Times New Roman"/>
          <w:sz w:val="24"/>
          <w:szCs w:val="24"/>
          <w:highlight w:val="white"/>
        </w:rPr>
        <w:t>Pucik</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 vulnerability of the culture training improves cross-cultural communication and collaboration while mentorship programmes for underrepresented groups foster career progression and build confidence. The agile learning styles like multilingual content. Mixed learning and accessible digital platforms focus more on accommodating varying the requirements of learning and eliminate hurdles of participation.Placing with the CIPD Diversity and Inclusion princi</w:t>
      </w:r>
      <w:r>
        <w:rPr>
          <w:rFonts w:ascii="Times New Roman" w:eastAsia="Times New Roman" w:hAnsi="Times New Roman" w:cs="Times New Roman"/>
          <w:sz w:val="24"/>
          <w:szCs w:val="24"/>
        </w:rPr>
        <w:t xml:space="preserve">ples where inclusive learning and development incorporates unbiasedness, respect and representation throughout the learning procedures. For example, Google promotes inclusion from its unconscious unfairness and diversity core training which helps in cultivating knowledge and empathy between employees internationally. Such types of initiatives not only improve collaboration but also reinforce innovation through using bigger concepts and experiences. </w:t>
      </w:r>
    </w:p>
    <w:p w14:paraId="00000026"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10" w:name="_heading=h.aiqeawxd6esi" w:colFirst="0" w:colLast="0"/>
      <w:bookmarkEnd w:id="10"/>
      <w:r>
        <w:rPr>
          <w:rFonts w:ascii="Times New Roman" w:eastAsia="Times New Roman" w:hAnsi="Times New Roman" w:cs="Times New Roman"/>
          <w:b/>
          <w:bCs/>
          <w:sz w:val="24"/>
          <w:szCs w:val="24"/>
        </w:rPr>
        <w:t>Implementation of a Relevant Learning and Development Model</w:t>
      </w:r>
    </w:p>
    <w:p w14:paraId="00000027"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Kirkpatrick Evaluation Model gives a complete structure for evaluating how productive Learning and Development have been. This is done in four stages of reaction, learning, behaviour and result. It helps companies to gauge satisfaction level and amount of knowledge accumulated. It also gauges change in behaviour and effect on performance of organisation. This model has been highly effective for international organisations like Google which implement it to assess the progress of its leadership and techni</w:t>
      </w:r>
      <w:r>
        <w:rPr>
          <w:rFonts w:ascii="Times New Roman" w:eastAsia="Times New Roman" w:hAnsi="Times New Roman" w:cs="Times New Roman"/>
          <w:sz w:val="24"/>
          <w:szCs w:val="24"/>
        </w:rPr>
        <w:t>cal training programmes (</w:t>
      </w:r>
      <w:r>
        <w:rPr>
          <w:rFonts w:ascii="Times New Roman" w:eastAsia="Times New Roman" w:hAnsi="Times New Roman" w:cs="Times New Roman"/>
          <w:sz w:val="24"/>
          <w:szCs w:val="24"/>
          <w:highlight w:val="white"/>
        </w:rPr>
        <w:t xml:space="preserve">Stone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w:t>
      </w:r>
      <w:r>
        <w:rPr>
          <w:rFonts w:ascii="Times New Roman" w:eastAsia="Times New Roman" w:hAnsi="Times New Roman" w:cs="Times New Roman"/>
          <w:b/>
          <w:bCs/>
          <w:i/>
          <w:iCs/>
          <w:sz w:val="24"/>
          <w:szCs w:val="24"/>
        </w:rPr>
        <w:t>For example</w:t>
      </w:r>
      <w:r>
        <w:rPr>
          <w:rFonts w:ascii="Times New Roman" w:eastAsia="Times New Roman" w:hAnsi="Times New Roman" w:cs="Times New Roman"/>
          <w:sz w:val="24"/>
          <w:szCs w:val="24"/>
        </w:rPr>
        <w:t>, feedback surveys mainly focus on gauge learner engagement while pre and post evaluations quantify the skill acquisition. The performance and observation data evaluates on how new behaviour improves innovation, productivity and collaboration over teams.</w:t>
      </w:r>
    </w:p>
    <w:p w14:paraId="00000028"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strength of this model lies in its evidence-based and structured approach that gives clear metrics to align learning and development outcomes with strategic goals. It also fosters consistent enhancement through determining areas of refinement and illustrating the tangible return on investment of training efforts. In the international workforce this model implementation might face restrictions like contextual and cultural unfairness since the reaction and behavioural transformation can vary across region</w:t>
      </w:r>
      <w:r>
        <w:rPr>
          <w:rFonts w:ascii="Times New Roman" w:eastAsia="Times New Roman" w:hAnsi="Times New Roman" w:cs="Times New Roman"/>
          <w:sz w:val="24"/>
          <w:szCs w:val="24"/>
        </w:rPr>
        <w:t>s and learning cultures as well.</w:t>
      </w:r>
    </w:p>
    <w:p w14:paraId="00000029"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11" w:name="_heading=h.xx7msp2wir" w:colFirst="0" w:colLast="0"/>
      <w:bookmarkEnd w:id="11"/>
      <w:r>
        <w:rPr>
          <w:rFonts w:ascii="Times New Roman" w:eastAsia="Times New Roman" w:hAnsi="Times New Roman" w:cs="Times New Roman"/>
          <w:b/>
          <w:bCs/>
          <w:sz w:val="24"/>
          <w:szCs w:val="24"/>
        </w:rPr>
        <w:t xml:space="preserve">Challenges and recommendations </w:t>
      </w:r>
    </w:p>
    <w:p w14:paraId="0000002A"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a good Learning and Development strategy poses multiple hurdles on the advancement of an organisation. Employees usually do not want change. They do not want to use new technologies and are apprehensive of the training they would have to take. Budget is another issue which can </w:t>
      </w:r>
      <w:r>
        <w:rPr>
          <w:rFonts w:ascii="Times New Roman" w:eastAsia="Times New Roman" w:hAnsi="Times New Roman" w:cs="Times New Roman"/>
          <w:sz w:val="24"/>
          <w:szCs w:val="24"/>
        </w:rPr>
        <w:lastRenderedPageBreak/>
        <w:t>prevent the application of learning material of good quality, especially in a company that is not doing well financially. Technology gap is also a problem like varying levels of access to technology (</w:t>
      </w:r>
      <w:proofErr w:type="spellStart"/>
      <w:r>
        <w:rPr>
          <w:rFonts w:ascii="Times New Roman" w:eastAsia="Times New Roman" w:hAnsi="Times New Roman" w:cs="Times New Roman"/>
          <w:sz w:val="24"/>
          <w:szCs w:val="24"/>
          <w:highlight w:val="white"/>
        </w:rPr>
        <w:t>Mukhuty</w:t>
      </w:r>
      <w:proofErr w:type="spellEnd"/>
      <w:r>
        <w:rPr>
          <w:rFonts w:ascii="Times New Roman" w:eastAsia="Times New Roman" w:hAnsi="Times New Roman" w:cs="Times New Roman"/>
          <w:sz w:val="24"/>
          <w:szCs w:val="24"/>
          <w:highlight w:val="white"/>
        </w:rPr>
        <w:t>, Upadhyay and Rothwell, 2022)</w:t>
      </w:r>
      <w:r>
        <w:rPr>
          <w:rFonts w:ascii="Times New Roman" w:eastAsia="Times New Roman" w:hAnsi="Times New Roman" w:cs="Times New Roman"/>
          <w:sz w:val="24"/>
          <w:szCs w:val="24"/>
        </w:rPr>
        <w:t>. This leads to inequality in involvement and result, especially in international or remote workforces. Learning and Development is often considered a compliance need instead of a learning chance which leads to low participation. To solve these problems, organisations should</w:t>
      </w:r>
      <w:r>
        <w:rPr>
          <w:rFonts w:ascii="Times New Roman" w:eastAsia="Times New Roman" w:hAnsi="Times New Roman" w:cs="Times New Roman"/>
          <w:sz w:val="24"/>
          <w:szCs w:val="24"/>
        </w:rPr>
        <w:t xml:space="preserve"> use data driven, customised learning methods using AI and analytics. These methods should be customised for individuals according to their special styles and needs. Leaders need to get involved as well because its strategic importance is clear when learning and communication is modelled by them. Equality, belonging and collaboration can be improved by making training methods diverse and inclusive. Promoting a culture of constant learning fosters constant growth and flexibility. These strategies help organi</w:t>
      </w:r>
      <w:r>
        <w:rPr>
          <w:rFonts w:ascii="Times New Roman" w:eastAsia="Times New Roman" w:hAnsi="Times New Roman" w:cs="Times New Roman"/>
          <w:sz w:val="24"/>
          <w:szCs w:val="24"/>
        </w:rPr>
        <w:t>sations to make strong, trained workers ready for the future.</w:t>
      </w:r>
    </w:p>
    <w:p w14:paraId="0000002B" w14:textId="77777777" w:rsidR="000E64D0" w:rsidRDefault="000E64D0">
      <w:pPr>
        <w:spacing w:line="360" w:lineRule="auto"/>
      </w:pPr>
    </w:p>
    <w:p w14:paraId="0000002C"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12" w:name="_heading=h.1jicesunnkjf" w:colFirst="0" w:colLast="0"/>
      <w:bookmarkEnd w:id="12"/>
      <w:r>
        <w:br w:type="page"/>
      </w:r>
    </w:p>
    <w:p w14:paraId="0000002D"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13" w:name="_heading=h.cj6oja8go0mv" w:colFirst="0" w:colLast="0"/>
      <w:bookmarkEnd w:id="13"/>
      <w:r>
        <w:rPr>
          <w:rFonts w:ascii="Times New Roman" w:eastAsia="Times New Roman" w:hAnsi="Times New Roman" w:cs="Times New Roman"/>
          <w:b/>
          <w:bCs/>
          <w:sz w:val="24"/>
          <w:szCs w:val="24"/>
        </w:rPr>
        <w:lastRenderedPageBreak/>
        <w:t>Conclusion</w:t>
      </w:r>
    </w:p>
    <w:p w14:paraId="0000002E" w14:textId="77777777" w:rsidR="000E64D0" w:rsidRDefault="000224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mainly focuses on exploring how leadership and development play a strategic role in leading organisational success though improving the engagement, ability and adjustability. It also outlines that both the internal and external factors help to shape the design and application of efficient learning and development strategies. This report also explored how the learning practices further helps in strengthening diversity, equity and belonging which enables organisations to thrive with the full poten</w:t>
      </w:r>
      <w:r>
        <w:rPr>
          <w:rFonts w:ascii="Times New Roman" w:eastAsia="Times New Roman" w:hAnsi="Times New Roman" w:cs="Times New Roman"/>
          <w:sz w:val="24"/>
          <w:szCs w:val="24"/>
        </w:rPr>
        <w:t>tial for their global workforce. It explains that learning and development must align with the goals of the company to ensure their initiatives that contribute directly towards productivity, innovation and long-term strategic growth. It also examines how companies provide priorities to continuous learning, integrated innovation and inclusivity that has been useful in helping them to stay competitive and resilient in an evolving global business environment. This report aimed to analyse critically on the incl</w:t>
      </w:r>
      <w:r>
        <w:rPr>
          <w:rFonts w:ascii="Times New Roman" w:eastAsia="Times New Roman" w:hAnsi="Times New Roman" w:cs="Times New Roman"/>
          <w:sz w:val="24"/>
          <w:szCs w:val="24"/>
        </w:rPr>
        <w:t>usive initiatives of learning and development that fosters  adjustability of the workforce, competitiveness and diversity of the companies in an international context.</w:t>
      </w:r>
    </w:p>
    <w:p w14:paraId="0000002F" w14:textId="77777777" w:rsidR="000E64D0" w:rsidRDefault="000E64D0">
      <w:pPr>
        <w:spacing w:line="360" w:lineRule="auto"/>
        <w:jc w:val="both"/>
        <w:rPr>
          <w:rFonts w:ascii="Times New Roman" w:eastAsia="Times New Roman" w:hAnsi="Times New Roman" w:cs="Times New Roman"/>
          <w:sz w:val="24"/>
          <w:szCs w:val="24"/>
        </w:rPr>
      </w:pPr>
    </w:p>
    <w:p w14:paraId="00000030"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14" w:name="_heading=h.76tx5c667yfi" w:colFirst="0" w:colLast="0"/>
      <w:bookmarkEnd w:id="14"/>
      <w:r>
        <w:br w:type="page"/>
      </w:r>
    </w:p>
    <w:p w14:paraId="00000031" w14:textId="77777777" w:rsidR="000E64D0" w:rsidRDefault="00022410">
      <w:pPr>
        <w:pStyle w:val="Heading1"/>
        <w:spacing w:before="0" w:after="0" w:line="360" w:lineRule="auto"/>
        <w:jc w:val="both"/>
        <w:rPr>
          <w:rFonts w:ascii="Times New Roman" w:eastAsia="Times New Roman" w:hAnsi="Times New Roman" w:cs="Times New Roman"/>
          <w:b/>
          <w:bCs/>
          <w:sz w:val="24"/>
          <w:szCs w:val="24"/>
        </w:rPr>
      </w:pPr>
      <w:bookmarkStart w:id="15" w:name="_heading=h.o79ilisxe7dt" w:colFirst="0" w:colLast="0"/>
      <w:bookmarkEnd w:id="15"/>
      <w:r>
        <w:rPr>
          <w:rFonts w:ascii="Times New Roman" w:eastAsia="Times New Roman" w:hAnsi="Times New Roman" w:cs="Times New Roman"/>
          <w:b/>
          <w:bCs/>
          <w:sz w:val="24"/>
          <w:szCs w:val="24"/>
        </w:rPr>
        <w:lastRenderedPageBreak/>
        <w:t>References</w:t>
      </w:r>
    </w:p>
    <w:p w14:paraId="00000032" w14:textId="77777777" w:rsidR="000E64D0" w:rsidRDefault="0002241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Bratton</w:t>
      </w:r>
      <w:proofErr w:type="spellEnd"/>
      <w:r>
        <w:rPr>
          <w:rFonts w:ascii="Times New Roman" w:eastAsia="Times New Roman" w:hAnsi="Times New Roman" w:cs="Times New Roman"/>
          <w:sz w:val="24"/>
          <w:szCs w:val="24"/>
          <w:highlight w:val="white"/>
        </w:rPr>
        <w:t xml:space="preserve">, J., Gold, J., </w:t>
      </w:r>
      <w:proofErr w:type="spellStart"/>
      <w:r>
        <w:rPr>
          <w:rFonts w:ascii="Times New Roman" w:eastAsia="Times New Roman" w:hAnsi="Times New Roman" w:cs="Times New Roman"/>
          <w:sz w:val="24"/>
          <w:szCs w:val="24"/>
          <w:highlight w:val="white"/>
        </w:rPr>
        <w:t>Bratton</w:t>
      </w:r>
      <w:proofErr w:type="spellEnd"/>
      <w:r>
        <w:rPr>
          <w:rFonts w:ascii="Times New Roman" w:eastAsia="Times New Roman" w:hAnsi="Times New Roman" w:cs="Times New Roman"/>
          <w:sz w:val="24"/>
          <w:szCs w:val="24"/>
          <w:highlight w:val="white"/>
        </w:rPr>
        <w:t xml:space="preserve">, A. and Steele, L., (2021). </w:t>
      </w:r>
      <w:r>
        <w:rPr>
          <w:rFonts w:ascii="Times New Roman" w:eastAsia="Times New Roman" w:hAnsi="Times New Roman" w:cs="Times New Roman"/>
          <w:i/>
          <w:iCs/>
          <w:sz w:val="24"/>
          <w:szCs w:val="24"/>
          <w:highlight w:val="white"/>
        </w:rPr>
        <w:t>Human resource management</w:t>
      </w:r>
      <w:r>
        <w:rPr>
          <w:rFonts w:ascii="Times New Roman" w:eastAsia="Times New Roman" w:hAnsi="Times New Roman" w:cs="Times New Roman"/>
          <w:sz w:val="24"/>
          <w:szCs w:val="24"/>
          <w:highlight w:val="white"/>
        </w:rPr>
        <w:t>. Bloomsbury Publishing.</w:t>
      </w:r>
    </w:p>
    <w:p w14:paraId="00000033" w14:textId="77777777" w:rsidR="000E64D0" w:rsidRDefault="0002241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Bratton</w:t>
      </w:r>
      <w:proofErr w:type="spellEnd"/>
      <w:r>
        <w:rPr>
          <w:rFonts w:ascii="Times New Roman" w:eastAsia="Times New Roman" w:hAnsi="Times New Roman" w:cs="Times New Roman"/>
          <w:sz w:val="24"/>
          <w:szCs w:val="24"/>
          <w:highlight w:val="white"/>
        </w:rPr>
        <w:t xml:space="preserve">, J., Gold, J., </w:t>
      </w:r>
      <w:proofErr w:type="spellStart"/>
      <w:r>
        <w:rPr>
          <w:rFonts w:ascii="Times New Roman" w:eastAsia="Times New Roman" w:hAnsi="Times New Roman" w:cs="Times New Roman"/>
          <w:sz w:val="24"/>
          <w:szCs w:val="24"/>
          <w:highlight w:val="white"/>
        </w:rPr>
        <w:t>Bratton</w:t>
      </w:r>
      <w:proofErr w:type="spellEnd"/>
      <w:r>
        <w:rPr>
          <w:rFonts w:ascii="Times New Roman" w:eastAsia="Times New Roman" w:hAnsi="Times New Roman" w:cs="Times New Roman"/>
          <w:sz w:val="24"/>
          <w:szCs w:val="24"/>
          <w:highlight w:val="white"/>
        </w:rPr>
        <w:t xml:space="preserve">, A. and Steele, L., (2021). </w:t>
      </w:r>
      <w:r>
        <w:rPr>
          <w:rFonts w:ascii="Times New Roman" w:eastAsia="Times New Roman" w:hAnsi="Times New Roman" w:cs="Times New Roman"/>
          <w:i/>
          <w:iCs/>
          <w:sz w:val="24"/>
          <w:szCs w:val="24"/>
          <w:highlight w:val="white"/>
        </w:rPr>
        <w:t>Human resource management</w:t>
      </w:r>
      <w:r>
        <w:rPr>
          <w:rFonts w:ascii="Times New Roman" w:eastAsia="Times New Roman" w:hAnsi="Times New Roman" w:cs="Times New Roman"/>
          <w:sz w:val="24"/>
          <w:szCs w:val="24"/>
          <w:highlight w:val="white"/>
        </w:rPr>
        <w:t>. Bloomsbury Publishing.</w:t>
      </w:r>
    </w:p>
    <w:p w14:paraId="00000034" w14:textId="77777777" w:rsidR="000E64D0" w:rsidRDefault="0002241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Cahapay</w:t>
      </w:r>
      <w:proofErr w:type="spellEnd"/>
      <w:r>
        <w:rPr>
          <w:rFonts w:ascii="Times New Roman" w:eastAsia="Times New Roman" w:hAnsi="Times New Roman" w:cs="Times New Roman"/>
          <w:sz w:val="24"/>
          <w:szCs w:val="24"/>
          <w:highlight w:val="white"/>
        </w:rPr>
        <w:t xml:space="preserve">, M., (2021). Kirkpatrick model: Its limitations as used in higher education evaluation. </w:t>
      </w:r>
      <w:r>
        <w:rPr>
          <w:rFonts w:ascii="Times New Roman" w:eastAsia="Times New Roman" w:hAnsi="Times New Roman" w:cs="Times New Roman"/>
          <w:i/>
          <w:iCs/>
          <w:sz w:val="24"/>
          <w:szCs w:val="24"/>
          <w:highlight w:val="white"/>
        </w:rPr>
        <w:t>International Journal of Assessment Tools in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(1), pp.135-144.</w:t>
      </w:r>
    </w:p>
    <w:p w14:paraId="00000035" w14:textId="77777777" w:rsidR="000E64D0" w:rsidRDefault="0002241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Colakoglu</w:t>
      </w:r>
      <w:proofErr w:type="spellEnd"/>
      <w:r>
        <w:rPr>
          <w:rFonts w:ascii="Times New Roman" w:eastAsia="Times New Roman" w:hAnsi="Times New Roman" w:cs="Times New Roman"/>
          <w:sz w:val="24"/>
          <w:szCs w:val="24"/>
          <w:highlight w:val="white"/>
        </w:rPr>
        <w:t xml:space="preserve">, S., Chung, Y. and Hong, Y., (2023). Employee learning and development from the perspective of strategic HRM. In </w:t>
      </w:r>
      <w:r>
        <w:rPr>
          <w:rFonts w:ascii="Times New Roman" w:eastAsia="Times New Roman" w:hAnsi="Times New Roman" w:cs="Times New Roman"/>
          <w:i/>
          <w:iCs/>
          <w:sz w:val="24"/>
          <w:szCs w:val="24"/>
          <w:highlight w:val="white"/>
        </w:rPr>
        <w:t>Smart talent management</w:t>
      </w:r>
      <w:r>
        <w:rPr>
          <w:rFonts w:ascii="Times New Roman" w:eastAsia="Times New Roman" w:hAnsi="Times New Roman" w:cs="Times New Roman"/>
          <w:sz w:val="24"/>
          <w:szCs w:val="24"/>
          <w:highlight w:val="white"/>
        </w:rPr>
        <w:t xml:space="preserve"> (pp. 84-106). Edward Elgar Publishing.</w:t>
      </w:r>
    </w:p>
    <w:p w14:paraId="00000036" w14:textId="77777777" w:rsidR="000E64D0" w:rsidRDefault="0002241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Crawshaw</w:t>
      </w:r>
      <w:proofErr w:type="spellEnd"/>
      <w:r>
        <w:rPr>
          <w:rFonts w:ascii="Times New Roman" w:eastAsia="Times New Roman" w:hAnsi="Times New Roman" w:cs="Times New Roman"/>
          <w:sz w:val="24"/>
          <w:szCs w:val="24"/>
          <w:highlight w:val="white"/>
        </w:rPr>
        <w:t xml:space="preserve">, J., Davis, A. and </w:t>
      </w:r>
      <w:proofErr w:type="spellStart"/>
      <w:r>
        <w:rPr>
          <w:rFonts w:ascii="Times New Roman" w:eastAsia="Times New Roman" w:hAnsi="Times New Roman" w:cs="Times New Roman"/>
          <w:sz w:val="24"/>
          <w:szCs w:val="24"/>
          <w:highlight w:val="white"/>
        </w:rPr>
        <w:t>Budhwar</w:t>
      </w:r>
      <w:proofErr w:type="spellEnd"/>
      <w:r>
        <w:rPr>
          <w:rFonts w:ascii="Times New Roman" w:eastAsia="Times New Roman" w:hAnsi="Times New Roman" w:cs="Times New Roman"/>
          <w:sz w:val="24"/>
          <w:szCs w:val="24"/>
          <w:highlight w:val="white"/>
        </w:rPr>
        <w:t>, P., (2023). Human resource management: Strategic and international perspectives.</w:t>
      </w:r>
    </w:p>
    <w:p w14:paraId="00000037" w14:textId="77777777" w:rsidR="000E64D0" w:rsidRDefault="0002241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Mukhuty</w:t>
      </w:r>
      <w:proofErr w:type="spellEnd"/>
      <w:r>
        <w:rPr>
          <w:rFonts w:ascii="Times New Roman" w:eastAsia="Times New Roman" w:hAnsi="Times New Roman" w:cs="Times New Roman"/>
          <w:sz w:val="24"/>
          <w:szCs w:val="24"/>
          <w:highlight w:val="white"/>
        </w:rPr>
        <w:t xml:space="preserve">, S., Upadhyay, A. and Rothwell, H., (2022). Strategic sustainable development of Industry 4.0 through the lens of social responsibility: The role of human resource practices. </w:t>
      </w:r>
      <w:r>
        <w:rPr>
          <w:rFonts w:ascii="Times New Roman" w:eastAsia="Times New Roman" w:hAnsi="Times New Roman" w:cs="Times New Roman"/>
          <w:i/>
          <w:iCs/>
          <w:sz w:val="24"/>
          <w:szCs w:val="24"/>
          <w:highlight w:val="white"/>
        </w:rPr>
        <w:t>Business Strategy and the Environment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31</w:t>
      </w:r>
      <w:r>
        <w:rPr>
          <w:rFonts w:ascii="Times New Roman" w:eastAsia="Times New Roman" w:hAnsi="Times New Roman" w:cs="Times New Roman"/>
          <w:sz w:val="24"/>
          <w:szCs w:val="24"/>
          <w:highlight w:val="white"/>
        </w:rPr>
        <w:t>(5), pp.2068-2081.</w:t>
      </w:r>
    </w:p>
    <w:p w14:paraId="00000038" w14:textId="77777777" w:rsidR="000E64D0" w:rsidRDefault="0002241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Pucik</w:t>
      </w:r>
      <w:proofErr w:type="spellEnd"/>
      <w:r>
        <w:rPr>
          <w:rFonts w:ascii="Times New Roman" w:eastAsia="Times New Roman" w:hAnsi="Times New Roman" w:cs="Times New Roman"/>
          <w:sz w:val="24"/>
          <w:szCs w:val="24"/>
          <w:highlight w:val="white"/>
        </w:rPr>
        <w:t xml:space="preserve">, V., Evans, P., </w:t>
      </w:r>
      <w:proofErr w:type="spellStart"/>
      <w:r>
        <w:rPr>
          <w:rFonts w:ascii="Times New Roman" w:eastAsia="Times New Roman" w:hAnsi="Times New Roman" w:cs="Times New Roman"/>
          <w:sz w:val="24"/>
          <w:szCs w:val="24"/>
          <w:highlight w:val="white"/>
        </w:rPr>
        <w:t>Bjorkman</w:t>
      </w:r>
      <w:proofErr w:type="spellEnd"/>
      <w:r>
        <w:rPr>
          <w:rFonts w:ascii="Times New Roman" w:eastAsia="Times New Roman" w:hAnsi="Times New Roman" w:cs="Times New Roman"/>
          <w:sz w:val="24"/>
          <w:szCs w:val="24"/>
          <w:highlight w:val="white"/>
        </w:rPr>
        <w:t xml:space="preserve">, I. and Morris, S., (2024). </w:t>
      </w:r>
      <w:r>
        <w:rPr>
          <w:rFonts w:ascii="Times New Roman" w:eastAsia="Times New Roman" w:hAnsi="Times New Roman" w:cs="Times New Roman"/>
          <w:i/>
          <w:iCs/>
          <w:sz w:val="24"/>
          <w:szCs w:val="24"/>
          <w:highlight w:val="white"/>
        </w:rPr>
        <w:t>The global challenge: International human resource management</w:t>
      </w:r>
      <w:r>
        <w:rPr>
          <w:rFonts w:ascii="Times New Roman" w:eastAsia="Times New Roman" w:hAnsi="Times New Roman" w:cs="Times New Roman"/>
          <w:sz w:val="24"/>
          <w:szCs w:val="24"/>
          <w:highlight w:val="white"/>
        </w:rPr>
        <w:t>. Sage Publications.</w:t>
      </w:r>
    </w:p>
    <w:p w14:paraId="00000039" w14:textId="77777777" w:rsidR="000E64D0" w:rsidRDefault="0002241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Saks, A.M., (2022). Caring human resources management and employee engagement. </w:t>
      </w:r>
      <w:r>
        <w:rPr>
          <w:rFonts w:ascii="Times New Roman" w:eastAsia="Times New Roman" w:hAnsi="Times New Roman" w:cs="Times New Roman"/>
          <w:i/>
          <w:iCs/>
          <w:sz w:val="24"/>
          <w:szCs w:val="24"/>
          <w:highlight w:val="white"/>
        </w:rPr>
        <w:t>Human resource management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32</w:t>
      </w:r>
      <w:r>
        <w:rPr>
          <w:rFonts w:ascii="Times New Roman" w:eastAsia="Times New Roman" w:hAnsi="Times New Roman" w:cs="Times New Roman"/>
          <w:sz w:val="24"/>
          <w:szCs w:val="24"/>
          <w:highlight w:val="white"/>
        </w:rPr>
        <w:t>(3), p.100835.</w:t>
      </w:r>
    </w:p>
    <w:p w14:paraId="0000003A" w14:textId="77777777" w:rsidR="000E64D0" w:rsidRDefault="0002241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Stone, R.J., Cox, A., Gavin, M. and </w:t>
      </w:r>
      <w:proofErr w:type="spellStart"/>
      <w:r>
        <w:rPr>
          <w:rFonts w:ascii="Times New Roman" w:eastAsia="Times New Roman" w:hAnsi="Times New Roman" w:cs="Times New Roman"/>
          <w:sz w:val="24"/>
          <w:szCs w:val="24"/>
          <w:highlight w:val="white"/>
        </w:rPr>
        <w:t>Carpini</w:t>
      </w:r>
      <w:proofErr w:type="spellEnd"/>
      <w:r>
        <w:rPr>
          <w:rFonts w:ascii="Times New Roman" w:eastAsia="Times New Roman" w:hAnsi="Times New Roman" w:cs="Times New Roman"/>
          <w:sz w:val="24"/>
          <w:szCs w:val="24"/>
          <w:highlight w:val="white"/>
        </w:rPr>
        <w:t xml:space="preserve">, J., (2024). </w:t>
      </w:r>
      <w:r>
        <w:rPr>
          <w:rFonts w:ascii="Times New Roman" w:eastAsia="Times New Roman" w:hAnsi="Times New Roman" w:cs="Times New Roman"/>
          <w:i/>
          <w:iCs/>
          <w:sz w:val="24"/>
          <w:szCs w:val="24"/>
          <w:highlight w:val="white"/>
        </w:rPr>
        <w:t>Human resource management</w:t>
      </w:r>
      <w:r>
        <w:rPr>
          <w:rFonts w:ascii="Times New Roman" w:eastAsia="Times New Roman" w:hAnsi="Times New Roman" w:cs="Times New Roman"/>
          <w:sz w:val="24"/>
          <w:szCs w:val="24"/>
          <w:highlight w:val="white"/>
        </w:rPr>
        <w:t>. John Wiley &amp; Sons.</w:t>
      </w:r>
    </w:p>
    <w:p w14:paraId="0000003B" w14:textId="77777777" w:rsidR="000E64D0" w:rsidRDefault="0002241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Tej, J., </w:t>
      </w:r>
      <w:proofErr w:type="spellStart"/>
      <w:r>
        <w:rPr>
          <w:rFonts w:ascii="Times New Roman" w:eastAsia="Times New Roman" w:hAnsi="Times New Roman" w:cs="Times New Roman"/>
          <w:sz w:val="24"/>
          <w:szCs w:val="24"/>
          <w:highlight w:val="white"/>
        </w:rPr>
        <w:t>Vagaš</w:t>
      </w:r>
      <w:proofErr w:type="spellEnd"/>
      <w:r>
        <w:rPr>
          <w:rFonts w:ascii="Times New Roman" w:eastAsia="Times New Roman" w:hAnsi="Times New Roman" w:cs="Times New Roman"/>
          <w:sz w:val="24"/>
          <w:szCs w:val="24"/>
          <w:highlight w:val="white"/>
        </w:rPr>
        <w:t xml:space="preserve">, M., Ali </w:t>
      </w:r>
      <w:proofErr w:type="spellStart"/>
      <w:r>
        <w:rPr>
          <w:rFonts w:ascii="Times New Roman" w:eastAsia="Times New Roman" w:hAnsi="Times New Roman" w:cs="Times New Roman"/>
          <w:sz w:val="24"/>
          <w:szCs w:val="24"/>
          <w:highlight w:val="white"/>
        </w:rPr>
        <w:t>Taha</w:t>
      </w:r>
      <w:proofErr w:type="spellEnd"/>
      <w:r>
        <w:rPr>
          <w:rFonts w:ascii="Times New Roman" w:eastAsia="Times New Roman" w:hAnsi="Times New Roman" w:cs="Times New Roman"/>
          <w:sz w:val="24"/>
          <w:szCs w:val="24"/>
          <w:highlight w:val="white"/>
        </w:rPr>
        <w:t xml:space="preserve">, V., </w:t>
      </w:r>
      <w:proofErr w:type="spellStart"/>
      <w:r>
        <w:rPr>
          <w:rFonts w:ascii="Times New Roman" w:eastAsia="Times New Roman" w:hAnsi="Times New Roman" w:cs="Times New Roman"/>
          <w:sz w:val="24"/>
          <w:szCs w:val="24"/>
          <w:highlight w:val="white"/>
        </w:rPr>
        <w:t>Škerháková</w:t>
      </w:r>
      <w:proofErr w:type="spellEnd"/>
      <w:r>
        <w:rPr>
          <w:rFonts w:ascii="Times New Roman" w:eastAsia="Times New Roman" w:hAnsi="Times New Roman" w:cs="Times New Roman"/>
          <w:sz w:val="24"/>
          <w:szCs w:val="24"/>
          <w:highlight w:val="white"/>
        </w:rPr>
        <w:t xml:space="preserve">, V. and </w:t>
      </w:r>
      <w:proofErr w:type="spellStart"/>
      <w:r>
        <w:rPr>
          <w:rFonts w:ascii="Times New Roman" w:eastAsia="Times New Roman" w:hAnsi="Times New Roman" w:cs="Times New Roman"/>
          <w:sz w:val="24"/>
          <w:szCs w:val="24"/>
          <w:highlight w:val="white"/>
        </w:rPr>
        <w:t>Harničárová</w:t>
      </w:r>
      <w:proofErr w:type="spellEnd"/>
      <w:r>
        <w:rPr>
          <w:rFonts w:ascii="Times New Roman" w:eastAsia="Times New Roman" w:hAnsi="Times New Roman" w:cs="Times New Roman"/>
          <w:sz w:val="24"/>
          <w:szCs w:val="24"/>
          <w:highlight w:val="white"/>
        </w:rPr>
        <w:t xml:space="preserve">, M., (2021). Examining HRM practices in relation to the retention and commitment of talented employees. </w:t>
      </w:r>
      <w:r>
        <w:rPr>
          <w:rFonts w:ascii="Times New Roman" w:eastAsia="Times New Roman" w:hAnsi="Times New Roman" w:cs="Times New Roman"/>
          <w:i/>
          <w:iCs/>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w:t>
      </w:r>
      <w:r>
        <w:rPr>
          <w:rFonts w:ascii="Times New Roman" w:eastAsia="Times New Roman" w:hAnsi="Times New Roman" w:cs="Times New Roman"/>
          <w:sz w:val="24"/>
          <w:szCs w:val="24"/>
          <w:highlight w:val="white"/>
        </w:rPr>
        <w:t>(24), p.13923.</w:t>
      </w:r>
    </w:p>
    <w:p w14:paraId="0000003C" w14:textId="77777777" w:rsidR="000E64D0" w:rsidRDefault="000E64D0">
      <w:pPr>
        <w:spacing w:line="360" w:lineRule="auto"/>
        <w:jc w:val="both"/>
        <w:rPr>
          <w:rFonts w:ascii="Times New Roman" w:eastAsia="Times New Roman" w:hAnsi="Times New Roman" w:cs="Times New Roman"/>
          <w:b/>
          <w:bCs/>
          <w:sz w:val="24"/>
          <w:szCs w:val="24"/>
        </w:rPr>
      </w:pPr>
    </w:p>
    <w:p w14:paraId="0000003D" w14:textId="77777777" w:rsidR="000E64D0" w:rsidRDefault="000E64D0">
      <w:pPr>
        <w:spacing w:line="360" w:lineRule="auto"/>
        <w:jc w:val="both"/>
        <w:rPr>
          <w:rFonts w:ascii="Times New Roman" w:eastAsia="Times New Roman" w:hAnsi="Times New Roman" w:cs="Times New Roman"/>
          <w:b/>
          <w:bCs/>
          <w:sz w:val="24"/>
          <w:szCs w:val="24"/>
        </w:rPr>
      </w:pPr>
    </w:p>
    <w:sectPr w:rsidR="000E64D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2CE90D" w14:textId="77777777" w:rsidR="00022410" w:rsidRDefault="00022410">
      <w:pPr>
        <w:spacing w:line="240" w:lineRule="auto"/>
      </w:pPr>
      <w:r>
        <w:separator/>
      </w:r>
    </w:p>
  </w:endnote>
  <w:endnote w:type="continuationSeparator" w:id="0">
    <w:p w14:paraId="2FC5997A" w14:textId="77777777" w:rsidR="00022410" w:rsidRDefault="000224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E" w14:textId="421DD4FD" w:rsidR="000E64D0" w:rsidRDefault="0002241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82CE6">
      <w:rPr>
        <w:noProof/>
        <w:color w:val="000000"/>
      </w:rPr>
      <w:t>1</w:t>
    </w:r>
    <w:r>
      <w:rPr>
        <w:color w:val="000000"/>
      </w:rPr>
      <w:fldChar w:fldCharType="end"/>
    </w:r>
  </w:p>
  <w:p w14:paraId="0000003F" w14:textId="77777777" w:rsidR="000E64D0" w:rsidRDefault="000E64D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F9EA6" w14:textId="77777777" w:rsidR="00022410" w:rsidRDefault="00022410">
      <w:pPr>
        <w:spacing w:line="240" w:lineRule="auto"/>
      </w:pPr>
      <w:r>
        <w:separator/>
      </w:r>
    </w:p>
  </w:footnote>
  <w:footnote w:type="continuationSeparator" w:id="0">
    <w:p w14:paraId="03B0C5E9" w14:textId="77777777" w:rsidR="00022410" w:rsidRDefault="000224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9"/>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4D0"/>
    <w:rsid w:val="00022410"/>
    <w:rsid w:val="000E64D0"/>
    <w:rsid w:val="002D74AA"/>
    <w:rsid w:val="00482CE6"/>
    <w:rsid w:val="004C4413"/>
    <w:rsid w:val="00510533"/>
    <w:rsid w:val="00721694"/>
    <w:rsid w:val="008B02A8"/>
    <w:rsid w:val="00F06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56B1A9"/>
  <w15:docId w15:val="{AAF1C708-F8CD-7C44-A574-0046EF63A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D278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D278A"/>
    <w:pPr>
      <w:spacing w:after="100"/>
    </w:pPr>
  </w:style>
  <w:style w:type="character" w:styleId="Hyperlink">
    <w:name w:val="Hyperlink"/>
    <w:basedOn w:val="DefaultParagraphFont"/>
    <w:uiPriority w:val="99"/>
    <w:unhideWhenUsed/>
    <w:rsid w:val="004D278A"/>
    <w:rPr>
      <w:color w:val="0000FF" w:themeColor="hyperlink"/>
      <w:u w:val="single"/>
    </w:rPr>
  </w:style>
  <w:style w:type="paragraph" w:styleId="Header">
    <w:name w:val="header"/>
    <w:basedOn w:val="Normal"/>
    <w:link w:val="HeaderChar"/>
    <w:uiPriority w:val="99"/>
    <w:unhideWhenUsed/>
    <w:rsid w:val="004D278A"/>
    <w:pPr>
      <w:tabs>
        <w:tab w:val="center" w:pos="4513"/>
        <w:tab w:val="right" w:pos="9026"/>
      </w:tabs>
      <w:spacing w:line="240" w:lineRule="auto"/>
    </w:pPr>
  </w:style>
  <w:style w:type="character" w:customStyle="1" w:styleId="HeaderChar">
    <w:name w:val="Header Char"/>
    <w:basedOn w:val="DefaultParagraphFont"/>
    <w:link w:val="Header"/>
    <w:uiPriority w:val="99"/>
    <w:rsid w:val="004D278A"/>
  </w:style>
  <w:style w:type="paragraph" w:styleId="Footer">
    <w:name w:val="footer"/>
    <w:basedOn w:val="Normal"/>
    <w:link w:val="FooterChar"/>
    <w:uiPriority w:val="99"/>
    <w:unhideWhenUsed/>
    <w:rsid w:val="004D278A"/>
    <w:pPr>
      <w:tabs>
        <w:tab w:val="center" w:pos="4513"/>
        <w:tab w:val="right" w:pos="9026"/>
      </w:tabs>
      <w:spacing w:line="240" w:lineRule="auto"/>
    </w:pPr>
  </w:style>
  <w:style w:type="character" w:customStyle="1" w:styleId="FooterChar">
    <w:name w:val="Footer Char"/>
    <w:basedOn w:val="DefaultParagraphFont"/>
    <w:link w:val="Footer"/>
    <w:uiPriority w:val="99"/>
    <w:rsid w:val="004D278A"/>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ol9fDaO4nhmIRY2Y88mu0c67rA==">CgMxLjAyDmgub2t5bnhwamRnOHp5Mg1oLmdkMDNoOWEzdzJvMg5oLjUxeDEzYzRpbjV6cjIOaC5hN2ZhdDZ3ZTRwZnQyDmgudXBkZmowbDhyZjFuMg5oLmlwZHYzOG1udDB6ZzIOaC5yb2JwZ3dudDYyeHUyDmgubzQ0YjRvczJ2NjZxMg5oLnY1NzJ2djYwYjNzcTIOaC4zcnloc2Y3ZWlsb3oyDmguYWlxZWF3eGQ2ZXNpMgxoLnh4N21zcDJ3aXIyDmguMWppY2VzdW5ua2pmMg5oLmNqNm9qYThnbzBtdjIOaC43NnR4NWM2Njd5ZmkyDmgubzc5aWxpc3hlN2R0OAByITFQdDVSd1RvUXNMNVF6Ym5odUJPS2ZmZFU4Q2NJeG53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2593</Words>
  <Characters>14783</Characters>
  <Application>Microsoft Office Word</Application>
  <DocSecurity>0</DocSecurity>
  <Lines>123</Lines>
  <Paragraphs>34</Paragraphs>
  <ScaleCrop>false</ScaleCrop>
  <Company/>
  <LinksUpToDate>false</LinksUpToDate>
  <CharactersWithSpaces>17342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Cosma (2213581)</cp:lastModifiedBy>
  <cp:revision>2</cp:revision>
  <dcterms:created xsi:type="dcterms:W3CDTF">2025-11-17T19:37:00Z</dcterms:created>
  <dcterms:modified xsi:type="dcterms:W3CDTF">2025-11-17T19:37:00Z</dcterms:modified>
</cp:coreProperties>
</file>