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9622D" w14:textId="77777777" w:rsidR="00F67E1C" w:rsidRDefault="00F67E1C" w:rsidP="00F67E1C">
      <w:pPr>
        <w:pStyle w:val="NormalWeb"/>
        <w:spacing w:before="0" w:beforeAutospacing="0" w:after="0" w:afterAutospacing="0"/>
        <w:ind w:left="-180" w:right="-334"/>
      </w:pPr>
      <w:r>
        <w:rPr>
          <w:noProof/>
        </w:rPr>
        <w:drawing>
          <wp:inline distT="0" distB="0" distL="0" distR="0" wp14:anchorId="14743EDD" wp14:editId="4A9C53B7">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4484BF7" w14:textId="77777777" w:rsidR="00F67E1C" w:rsidRDefault="00F67E1C" w:rsidP="00F67E1C">
      <w:pPr>
        <w:pStyle w:val="NormalWeb"/>
        <w:spacing w:before="0" w:beforeAutospacing="0" w:after="0" w:afterAutospacing="0"/>
        <w:ind w:left="-180" w:right="-334"/>
      </w:pPr>
    </w:p>
    <w:p w14:paraId="649700B2" w14:textId="77777777" w:rsidR="00F67E1C" w:rsidRDefault="00F67E1C" w:rsidP="00F67E1C">
      <w:pPr>
        <w:pStyle w:val="NormalWeb"/>
        <w:spacing w:before="0" w:beforeAutospacing="0" w:after="0" w:afterAutospacing="0"/>
        <w:ind w:left="-180" w:right="-334"/>
      </w:pPr>
    </w:p>
    <w:p w14:paraId="10028ED3" w14:textId="77777777" w:rsidR="00F67E1C" w:rsidRDefault="00F67E1C" w:rsidP="00F67E1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2DE62E" w14:textId="77777777" w:rsidR="00F67E1C" w:rsidRPr="00230F35" w:rsidRDefault="00F67E1C" w:rsidP="00F67E1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4E44F05" w14:textId="77777777" w:rsidR="00F67E1C" w:rsidRPr="00230F35" w:rsidRDefault="00F67E1C" w:rsidP="00F67E1C">
      <w:pPr>
        <w:rPr>
          <w:sz w:val="28"/>
          <w:szCs w:val="28"/>
          <w:lang w:val="cy-GB"/>
        </w:rPr>
      </w:pPr>
    </w:p>
    <w:p w14:paraId="75B86AA0" w14:textId="77777777" w:rsidR="00F67E1C" w:rsidRPr="00A13783" w:rsidRDefault="00F67E1C" w:rsidP="00F67E1C">
      <w:pPr>
        <w:pStyle w:val="Heading3"/>
        <w:jc w:val="center"/>
        <w:rPr>
          <w:lang w:val="cy-GB"/>
        </w:rPr>
      </w:pPr>
      <w:r>
        <w:rPr>
          <w:noProof/>
          <w:lang w:val="cy-GB"/>
        </w:rPr>
        <mc:AlternateContent>
          <mc:Choice Requires="wpi">
            <w:drawing>
              <wp:anchor distT="0" distB="0" distL="114300" distR="114300" simplePos="0" relativeHeight="251663360" behindDoc="0" locked="0" layoutInCell="1" allowOverlap="1" wp14:anchorId="6A446C7E" wp14:editId="5E0315E2">
                <wp:simplePos x="0" y="0"/>
                <wp:positionH relativeFrom="column">
                  <wp:posOffset>634670</wp:posOffset>
                </wp:positionH>
                <wp:positionV relativeFrom="paragraph">
                  <wp:posOffset>386325</wp:posOffset>
                </wp:positionV>
                <wp:extent cx="360" cy="360"/>
                <wp:effectExtent l="0" t="0" r="0" b="0"/>
                <wp:wrapNone/>
                <wp:docPr id="8"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0AF500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9.25pt;margin-top:29.7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">
                <v:imagedata r:id="rId8" o:title=""/>
              </v:shape>
            </w:pict>
          </mc:Fallback>
        </mc:AlternateContent>
      </w: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505"/>
        <w:gridCol w:w="1706"/>
        <w:gridCol w:w="814"/>
        <w:gridCol w:w="743"/>
        <w:gridCol w:w="2088"/>
      </w:tblGrid>
      <w:tr w:rsidR="00F67E1C" w:rsidRPr="00230F35" w14:paraId="1B8118FE" w14:textId="77777777" w:rsidTr="00A02BF2">
        <w:trPr>
          <w:trHeight w:val="197"/>
        </w:trPr>
        <w:tc>
          <w:tcPr>
            <w:tcW w:w="8856" w:type="dxa"/>
            <w:gridSpan w:val="5"/>
          </w:tcPr>
          <w:p w14:paraId="3EDF670C"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67E1C" w:rsidRPr="00230F35" w14:paraId="5885B98B" w14:textId="77777777" w:rsidTr="00A02BF2">
        <w:trPr>
          <w:trHeight w:val="278"/>
        </w:trPr>
        <w:tc>
          <w:tcPr>
            <w:tcW w:w="8856" w:type="dxa"/>
            <w:gridSpan w:val="5"/>
          </w:tcPr>
          <w:p w14:paraId="42A895C0"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Margaret Lovitt</w:t>
            </w:r>
          </w:p>
        </w:tc>
      </w:tr>
      <w:tr w:rsidR="00F67E1C" w:rsidRPr="00230F35" w14:paraId="32B39398" w14:textId="77777777" w:rsidTr="00A02BF2">
        <w:trPr>
          <w:trHeight w:val="890"/>
        </w:trPr>
        <w:tc>
          <w:tcPr>
            <w:tcW w:w="3505" w:type="dxa"/>
          </w:tcPr>
          <w:p w14:paraId="1D2BFEB0" w14:textId="77777777" w:rsidR="00F67E1C" w:rsidRPr="00230F35" w:rsidRDefault="00F67E1C" w:rsidP="00A02BF2">
            <w:pPr>
              <w:pStyle w:val="NormalWeb"/>
              <w:spacing w:before="0" w:beforeAutospacing="0" w:after="0" w:afterAutospacing="0"/>
              <w:ind w:right="34"/>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64384" behindDoc="0" locked="0" layoutInCell="1" allowOverlap="1" wp14:anchorId="376B5F76" wp14:editId="2D39FBF9">
                      <wp:simplePos x="0" y="0"/>
                      <wp:positionH relativeFrom="column">
                        <wp:posOffset>1966555</wp:posOffset>
                      </wp:positionH>
                      <wp:positionV relativeFrom="paragraph">
                        <wp:posOffset>54715</wp:posOffset>
                      </wp:positionV>
                      <wp:extent cx="360" cy="360"/>
                      <wp:effectExtent l="0" t="0" r="0" b="0"/>
                      <wp:wrapNone/>
                      <wp:docPr id="9"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12486ED7" id="Ink 9" o:spid="_x0000_s1026" type="#_x0000_t75" style="position:absolute;margin-left:154.15pt;margin-top:3.6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">
                      <v:imagedata r:id="rId8" o:title=""/>
                    </v:shape>
                  </w:pict>
                </mc:Fallback>
              </mc:AlternateContent>
            </w:r>
            <w:r w:rsidRPr="00A13783">
              <w:rPr>
                <w:rFonts w:ascii="Arial" w:hAnsi="Arial" w:cs="Arial"/>
                <w:b/>
                <w:bCs/>
                <w:sz w:val="22"/>
                <w:szCs w:val="22"/>
              </w:rPr>
              <w:t>Module code:</w:t>
            </w:r>
            <w:r>
              <w:rPr>
                <w:rFonts w:ascii="Arial" w:hAnsi="Arial" w:cs="Arial"/>
                <w:sz w:val="22"/>
                <w:szCs w:val="22"/>
              </w:rPr>
              <w:t xml:space="preserve"> HPCA7005</w:t>
            </w:r>
          </w:p>
          <w:p w14:paraId="3BD65CB6"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A13783">
              <w:rPr>
                <w:rFonts w:ascii="Arial" w:hAnsi="Arial" w:cs="Arial"/>
                <w:b/>
                <w:bCs/>
                <w:sz w:val="22"/>
                <w:szCs w:val="22"/>
              </w:rPr>
              <w:t>Module title:</w:t>
            </w:r>
            <w:r>
              <w:rPr>
                <w:rFonts w:ascii="Arial" w:hAnsi="Arial" w:cs="Arial"/>
                <w:sz w:val="22"/>
                <w:szCs w:val="22"/>
              </w:rPr>
              <w:t xml:space="preserve"> </w:t>
            </w:r>
            <w:r w:rsidRPr="00A13783">
              <w:rPr>
                <w:rFonts w:ascii="Arial" w:hAnsi="Arial" w:cs="Arial"/>
                <w:sz w:val="22"/>
                <w:szCs w:val="22"/>
              </w:rPr>
              <w:t>Cosmology, Magic and Divination</w:t>
            </w:r>
          </w:p>
        </w:tc>
        <w:tc>
          <w:tcPr>
            <w:tcW w:w="2520" w:type="dxa"/>
            <w:gridSpan w:val="2"/>
          </w:tcPr>
          <w:p w14:paraId="29AF837E"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A13783">
              <w:rPr>
                <w:rFonts w:ascii="Arial" w:hAnsi="Arial" w:cs="Arial"/>
                <w:b/>
                <w:bCs/>
                <w:sz w:val="22"/>
                <w:szCs w:val="22"/>
              </w:rPr>
              <w:t xml:space="preserve">Student ID number: </w:t>
            </w:r>
            <w:r>
              <w:rPr>
                <w:rFonts w:ascii="Arial" w:hAnsi="Arial" w:cs="Arial"/>
                <w:sz w:val="22"/>
                <w:szCs w:val="22"/>
              </w:rPr>
              <w:t>1707042</w:t>
            </w:r>
          </w:p>
        </w:tc>
        <w:tc>
          <w:tcPr>
            <w:tcW w:w="2831" w:type="dxa"/>
            <w:gridSpan w:val="2"/>
          </w:tcPr>
          <w:p w14:paraId="4D54364A"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r>
              <w:rPr>
                <w:rFonts w:ascii="Arial" w:hAnsi="Arial" w:cs="Arial"/>
                <w:sz w:val="22"/>
                <w:szCs w:val="22"/>
              </w:rPr>
              <w:t xml:space="preserve"> </w:t>
            </w:r>
            <w:r w:rsidRPr="00230F35">
              <w:rPr>
                <w:rFonts w:ascii="Arial" w:hAnsi="Arial" w:cs="Arial"/>
                <w:sz w:val="22"/>
                <w:szCs w:val="22"/>
              </w:rPr>
              <w:t>No</w:t>
            </w:r>
          </w:p>
        </w:tc>
      </w:tr>
      <w:tr w:rsidR="00F67E1C" w:rsidRPr="00230F35" w14:paraId="400AEA65" w14:textId="77777777" w:rsidTr="00A02BF2">
        <w:trPr>
          <w:trHeight w:val="620"/>
        </w:trPr>
        <w:tc>
          <w:tcPr>
            <w:tcW w:w="8856" w:type="dxa"/>
            <w:gridSpan w:val="5"/>
          </w:tcPr>
          <w:p w14:paraId="2E31F879" w14:textId="77777777" w:rsidR="00F67E1C" w:rsidRPr="00230F35" w:rsidRDefault="00F67E1C" w:rsidP="00A02BF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A13783">
              <w:rPr>
                <w:rFonts w:ascii="Arial" w:hAnsi="Arial" w:cs="Arial"/>
                <w:sz w:val="22"/>
                <w:szCs w:val="22"/>
              </w:rPr>
              <w:t>Dorian Greenbaum</w:t>
            </w:r>
          </w:p>
          <w:p w14:paraId="4E161405" w14:textId="136C967E"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July 7</w:t>
            </w:r>
            <w:r w:rsidRPr="00A13783">
              <w:rPr>
                <w:rFonts w:ascii="Arial" w:hAnsi="Arial" w:cs="Arial"/>
                <w:sz w:val="22"/>
                <w:szCs w:val="22"/>
                <w:vertAlign w:val="superscript"/>
              </w:rPr>
              <w:t>th</w:t>
            </w:r>
            <w:r>
              <w:rPr>
                <w:rFonts w:ascii="Arial" w:hAnsi="Arial" w:cs="Arial"/>
                <w:sz w:val="22"/>
                <w:szCs w:val="22"/>
              </w:rPr>
              <w:t xml:space="preserve"> 2020</w:t>
            </w:r>
          </w:p>
        </w:tc>
      </w:tr>
      <w:tr w:rsidR="00F67E1C" w:rsidRPr="00230F35" w14:paraId="55B4126D" w14:textId="77777777" w:rsidTr="00A02BF2">
        <w:trPr>
          <w:trHeight w:val="710"/>
        </w:trPr>
        <w:tc>
          <w:tcPr>
            <w:tcW w:w="8856" w:type="dxa"/>
            <w:gridSpan w:val="5"/>
            <w:tcBorders>
              <w:bottom w:val="single" w:sz="4" w:space="0" w:color="000000"/>
            </w:tcBorders>
          </w:tcPr>
          <w:p w14:paraId="7DCEF1B7" w14:textId="77777777" w:rsidR="00F67E1C" w:rsidRDefault="00F67E1C" w:rsidP="00A02BF2">
            <w:r>
              <w:rPr>
                <w:noProof/>
              </w:rPr>
              <mc:AlternateContent>
                <mc:Choice Requires="wpi">
                  <w:drawing>
                    <wp:anchor distT="0" distB="0" distL="114300" distR="114300" simplePos="0" relativeHeight="251662336" behindDoc="0" locked="0" layoutInCell="1" allowOverlap="1" wp14:anchorId="24844B96" wp14:editId="025481F4">
                      <wp:simplePos x="0" y="0"/>
                      <wp:positionH relativeFrom="column">
                        <wp:posOffset>2042515</wp:posOffset>
                      </wp:positionH>
                      <wp:positionV relativeFrom="paragraph">
                        <wp:posOffset>67405</wp:posOffset>
                      </wp:positionV>
                      <wp:extent cx="360" cy="360"/>
                      <wp:effectExtent l="0" t="0" r="0" b="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50AB800C" id="Ink 7" o:spid="_x0000_s1026" type="#_x0000_t75" style="position:absolute;margin-left:160.15pt;margin-top:4.6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">
                      <v:imagedata r:id="rId8" o:title=""/>
                    </v:shape>
                  </w:pict>
                </mc:Fallback>
              </mc:AlternateContent>
            </w:r>
            <w:r>
              <w:rPr>
                <w:noProof/>
              </w:rPr>
              <mc:AlternateContent>
                <mc:Choice Requires="wpi">
                  <w:drawing>
                    <wp:anchor distT="0" distB="0" distL="114300" distR="114300" simplePos="0" relativeHeight="251661312" behindDoc="0" locked="0" layoutInCell="1" allowOverlap="1" wp14:anchorId="7F0A138D" wp14:editId="409D04FB">
                      <wp:simplePos x="0" y="0"/>
                      <wp:positionH relativeFrom="column">
                        <wp:posOffset>2150515</wp:posOffset>
                      </wp:positionH>
                      <wp:positionV relativeFrom="paragraph">
                        <wp:posOffset>16645</wp:posOffset>
                      </wp:positionV>
                      <wp:extent cx="360" cy="360"/>
                      <wp:effectExtent l="0" t="0" r="0" b="0"/>
                      <wp:wrapNone/>
                      <wp:docPr id="6"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0B6DF16D" id="Ink 6" o:spid="_x0000_s1026" type="#_x0000_t75" style="position:absolute;margin-left:168.65pt;margin-top:.6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">
                      <v:imagedata r:id="rId8" o:title=""/>
                    </v:shape>
                  </w:pict>
                </mc:Fallback>
              </mc:AlternateContent>
            </w:r>
            <w:r>
              <w:rPr>
                <w:noProof/>
              </w:rPr>
              <mc:AlternateContent>
                <mc:Choice Requires="wpi">
                  <w:drawing>
                    <wp:anchor distT="0" distB="0" distL="114300" distR="114300" simplePos="0" relativeHeight="251660288" behindDoc="0" locked="0" layoutInCell="1" allowOverlap="1" wp14:anchorId="62D4EC38" wp14:editId="1D7714C9">
                      <wp:simplePos x="0" y="0"/>
                      <wp:positionH relativeFrom="column">
                        <wp:posOffset>2284075</wp:posOffset>
                      </wp:positionH>
                      <wp:positionV relativeFrom="paragraph">
                        <wp:posOffset>131125</wp:posOffset>
                      </wp:positionV>
                      <wp:extent cx="360" cy="360"/>
                      <wp:effectExtent l="0" t="0" r="0" b="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33BC3D1A" id="Ink 5" o:spid="_x0000_s1026" type="#_x0000_t75" style="position:absolute;margin-left:179.15pt;margin-top:9.6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">
                      <v:imagedata r:id="rId8" o:title=""/>
                    </v:shape>
                  </w:pict>
                </mc:Fallback>
              </mc:AlternateContent>
            </w:r>
            <w:r>
              <w:t>If your module has multiple submissions please indicate which piece of work this is.</w:t>
            </w:r>
          </w:p>
          <w:p w14:paraId="071BEF32" w14:textId="77777777" w:rsidR="00F67E1C" w:rsidRPr="00230F35" w:rsidRDefault="00F67E1C" w:rsidP="00A02BF2">
            <w:r>
              <w:rPr>
                <w:noProof/>
              </w:rPr>
              <mc:AlternateContent>
                <mc:Choice Requires="wpi">
                  <w:drawing>
                    <wp:anchor distT="0" distB="0" distL="114300" distR="114300" simplePos="0" relativeHeight="251659264" behindDoc="0" locked="0" layoutInCell="1" allowOverlap="1" wp14:anchorId="7C6520D5" wp14:editId="532775B0">
                      <wp:simplePos x="0" y="0"/>
                      <wp:positionH relativeFrom="column">
                        <wp:posOffset>795486</wp:posOffset>
                      </wp:positionH>
                      <wp:positionV relativeFrom="paragraph">
                        <wp:posOffset>42237</wp:posOffset>
                      </wp:positionV>
                      <wp:extent cx="80010" cy="99000"/>
                      <wp:effectExtent l="57150" t="38100" r="53340" b="53975"/>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80010" cy="98425"/>
                            </w14:xfrm>
                          </w14:contentPart>
                        </a:graphicData>
                      </a:graphic>
                    </wp:anchor>
                  </w:drawing>
                </mc:Choice>
                <mc:Fallback>
                  <w:pict>
                    <v:shape w14:anchorId="319306AC" id="Ink 4" o:spid="_x0000_s1026" type="#_x0000_t75" style="position:absolute;margin-left:61.95pt;margin-top:2.65pt;width:7.7pt;height:9.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">
                      <v:imagedata r:id="rId14" o:title=""/>
                    </v:shape>
                  </w:pict>
                </mc:Fallback>
              </mc:AlternateContent>
            </w:r>
            <w:r w:rsidRPr="00230F35">
              <w:t>1</w:t>
            </w:r>
            <w:r w:rsidRPr="00230F35">
              <w:rPr>
                <w:vertAlign w:val="superscript"/>
              </w:rPr>
              <w:t xml:space="preserve">st </w:t>
            </w:r>
            <w:r w:rsidRPr="00A13783">
              <w:fldChar w:fldCharType="begin">
                <w:ffData>
                  <w:name w:val="Check13"/>
                  <w:enabled/>
                  <w:calcOnExit w:val="0"/>
                  <w:checkBox>
                    <w:sizeAuto/>
                    <w:default w:val="0"/>
                  </w:checkBox>
                </w:ffData>
              </w:fldChar>
            </w:r>
            <w:bookmarkStart w:id="0" w:name="Check13"/>
            <w:r w:rsidRPr="00A13783">
              <w:instrText xml:space="preserve"> FORMCHECKBOX </w:instrText>
            </w:r>
            <w:r w:rsidR="005332F8">
              <w:fldChar w:fldCharType="separate"/>
            </w:r>
            <w:r w:rsidRPr="00A13783">
              <w:fldChar w:fldCharType="end"/>
            </w:r>
            <w:bookmarkEnd w:id="0"/>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1" w:name="Check14"/>
            <w:r w:rsidRPr="00230F35">
              <w:instrText xml:space="preserve"> FORMCHECKBOX </w:instrText>
            </w:r>
            <w:r w:rsidR="005332F8">
              <w:fldChar w:fldCharType="separate"/>
            </w:r>
            <w:r w:rsidRPr="00230F35">
              <w:fldChar w:fldCharType="end"/>
            </w:r>
            <w:bookmarkEnd w:id="1"/>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2" w:name="Check15"/>
            <w:r w:rsidRPr="00230F35">
              <w:instrText xml:space="preserve"> FORMCHECKBOX </w:instrText>
            </w:r>
            <w:r w:rsidR="005332F8">
              <w:fldChar w:fldCharType="separate"/>
            </w:r>
            <w:r w:rsidRPr="00230F35">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rsidR="005332F8">
              <w:fldChar w:fldCharType="separate"/>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rsidR="005332F8">
              <w:fldChar w:fldCharType="separate"/>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rsidR="005332F8">
              <w:fldChar w:fldCharType="separate"/>
            </w:r>
            <w:r w:rsidRPr="00230F35">
              <w:fldChar w:fldCharType="end"/>
            </w:r>
            <w:bookmarkEnd w:id="5"/>
          </w:p>
        </w:tc>
      </w:tr>
      <w:tr w:rsidR="00F67E1C" w:rsidRPr="00230F35" w14:paraId="2BAE1161" w14:textId="77777777" w:rsidTr="00A02BF2">
        <w:trPr>
          <w:trHeight w:val="978"/>
        </w:trPr>
        <w:tc>
          <w:tcPr>
            <w:tcW w:w="8856" w:type="dxa"/>
            <w:gridSpan w:val="5"/>
            <w:shd w:val="clear" w:color="auto" w:fill="D9D9D9"/>
          </w:tcPr>
          <w:p w14:paraId="7833C173"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4916185" w14:textId="77777777" w:rsidR="00F67E1C" w:rsidRDefault="00F67E1C" w:rsidP="00A02BF2">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58850E80" wp14:editId="038A2011">
                      <wp:simplePos x="0" y="0"/>
                      <wp:positionH relativeFrom="column">
                        <wp:posOffset>593090</wp:posOffset>
                      </wp:positionH>
                      <wp:positionV relativeFrom="paragraph">
                        <wp:posOffset>-172085</wp:posOffset>
                      </wp:positionV>
                      <wp:extent cx="2036445" cy="396240"/>
                      <wp:effectExtent l="38100" t="38100" r="1905" b="41910"/>
                      <wp:wrapNone/>
                      <wp:docPr id="17" name="Ink 17"/>
                      <wp:cNvGraphicFramePr/>
                      <a:graphic xmlns:a="http://schemas.openxmlformats.org/drawingml/2006/main">
                        <a:graphicData uri="http://schemas.microsoft.com/office/word/2010/wordprocessingInk">
                          <w14:contentPart bwMode="auto" r:id="rId15">
                            <w14:nvContentPartPr>
                              <w14:cNvContentPartPr/>
                            </w14:nvContentPartPr>
                            <w14:xfrm>
                              <a:off x="0" y="0"/>
                              <a:ext cx="2036445" cy="396240"/>
                            </w14:xfrm>
                          </w14:contentPart>
                        </a:graphicData>
                      </a:graphic>
                    </wp:anchor>
                  </w:drawing>
                </mc:Choice>
                <mc:Fallback>
                  <w:pict>
                    <v:shape w14:anchorId="2F78322A" id="Ink 17" o:spid="_x0000_s1026" type="#_x0000_t75" style="position:absolute;margin-left:46.35pt;margin-top:-13.9pt;width:161.05pt;height:3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">
                      <v:imagedata r:id="rId16" o:title=""/>
                    </v:shape>
                  </w:pict>
                </mc:Fallback>
              </mc:AlternateContent>
            </w:r>
            <w:r w:rsidRPr="00230F35">
              <w:rPr>
                <w:rFonts w:ascii="Arial" w:hAnsi="Arial" w:cs="Arial"/>
                <w:sz w:val="22"/>
                <w:szCs w:val="22"/>
              </w:rPr>
              <w:t>Signed ……………………………………………………………</w:t>
            </w:r>
          </w:p>
          <w:p w14:paraId="08571831" w14:textId="77777777" w:rsidR="00F67E1C" w:rsidRDefault="00F67E1C" w:rsidP="00A02BF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1047C06F" w14:textId="77777777" w:rsidR="00F67E1C" w:rsidRPr="00230F35" w:rsidRDefault="00F67E1C" w:rsidP="00A02BF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67E1C" w:rsidRPr="00230F35" w14:paraId="1580FADF" w14:textId="77777777" w:rsidTr="00A02BF2">
        <w:trPr>
          <w:trHeight w:val="2330"/>
        </w:trPr>
        <w:tc>
          <w:tcPr>
            <w:tcW w:w="8856" w:type="dxa"/>
            <w:gridSpan w:val="5"/>
          </w:tcPr>
          <w:p w14:paraId="4FDD92C6" w14:textId="77777777" w:rsidR="00F67E1C" w:rsidRDefault="00F67E1C" w:rsidP="00A02BF2">
            <w:pPr>
              <w:rPr>
                <w:b/>
              </w:rPr>
            </w:pPr>
          </w:p>
          <w:p w14:paraId="02549C49" w14:textId="77777777" w:rsidR="00F67E1C" w:rsidRPr="00116CE6" w:rsidRDefault="00F67E1C" w:rsidP="00A02BF2">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67E1C" w:rsidRPr="00116CE6" w14:paraId="36B4BA72" w14:textId="77777777" w:rsidTr="00A02BF2">
              <w:tc>
                <w:tcPr>
                  <w:tcW w:w="6970" w:type="dxa"/>
                </w:tcPr>
                <w:p w14:paraId="02FC54A5" w14:textId="77777777" w:rsidR="00F67E1C" w:rsidRPr="00116CE6" w:rsidRDefault="00F67E1C" w:rsidP="00A02BF2">
                  <w:pPr>
                    <w:rPr>
                      <w:sz w:val="20"/>
                      <w:szCs w:val="20"/>
                    </w:rPr>
                  </w:pPr>
                </w:p>
                <w:p w14:paraId="2547F34B" w14:textId="77777777" w:rsidR="00F67E1C" w:rsidRPr="00116CE6" w:rsidRDefault="00F67E1C" w:rsidP="00A02BF2">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544D5B4F" w14:textId="77777777" w:rsidR="00F67E1C" w:rsidRPr="00116CE6" w:rsidRDefault="00F67E1C" w:rsidP="00A02BF2">
                  <w:pPr>
                    <w:rPr>
                      <w:sz w:val="20"/>
                      <w:szCs w:val="20"/>
                    </w:rPr>
                  </w:pPr>
                </w:p>
              </w:tc>
            </w:tr>
            <w:tr w:rsidR="00F67E1C" w:rsidRPr="00116CE6" w14:paraId="667BFF45" w14:textId="77777777" w:rsidTr="00A02BF2">
              <w:tc>
                <w:tcPr>
                  <w:tcW w:w="6970" w:type="dxa"/>
                </w:tcPr>
                <w:p w14:paraId="4E616B99" w14:textId="77777777" w:rsidR="00F67E1C" w:rsidRPr="00116CE6" w:rsidRDefault="00F67E1C" w:rsidP="00A02BF2">
                  <w:pPr>
                    <w:rPr>
                      <w:sz w:val="20"/>
                      <w:szCs w:val="20"/>
                    </w:rPr>
                  </w:pPr>
                </w:p>
                <w:p w14:paraId="0A69B1AA" w14:textId="77777777" w:rsidR="00F67E1C" w:rsidRPr="00116CE6" w:rsidRDefault="00F67E1C" w:rsidP="00A02BF2">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13D17B83" w14:textId="77777777" w:rsidR="00F67E1C" w:rsidRPr="00116CE6" w:rsidRDefault="00F67E1C" w:rsidP="00A02BF2">
                  <w:pPr>
                    <w:rPr>
                      <w:sz w:val="20"/>
                      <w:szCs w:val="20"/>
                    </w:rPr>
                  </w:pPr>
                </w:p>
              </w:tc>
            </w:tr>
            <w:tr w:rsidR="00F67E1C" w:rsidRPr="00116CE6" w14:paraId="2BA09FF6" w14:textId="77777777" w:rsidTr="00A02BF2">
              <w:tc>
                <w:tcPr>
                  <w:tcW w:w="6970" w:type="dxa"/>
                </w:tcPr>
                <w:p w14:paraId="3DFCDA20" w14:textId="77777777" w:rsidR="00F67E1C" w:rsidRPr="006367FD" w:rsidRDefault="00F67E1C" w:rsidP="00A02BF2">
                  <w:pPr>
                    <w:rPr>
                      <w:color w:val="000000"/>
                      <w:sz w:val="20"/>
                      <w:szCs w:val="20"/>
                    </w:rPr>
                  </w:pPr>
                  <w:r w:rsidRPr="006367FD">
                    <w:rPr>
                      <w:color w:val="000000"/>
                      <w:sz w:val="20"/>
                      <w:szCs w:val="20"/>
                    </w:rPr>
                    <w:t xml:space="preserve">Agreed Internal Mark: </w:t>
                  </w:r>
                </w:p>
                <w:p w14:paraId="2848D239" w14:textId="77777777" w:rsidR="00F67E1C" w:rsidRPr="00E14D2E" w:rsidRDefault="00F67E1C" w:rsidP="00A02BF2">
                  <w:pPr>
                    <w:rPr>
                      <w:sz w:val="20"/>
                      <w:szCs w:val="20"/>
                      <w:highlight w:val="yellow"/>
                    </w:rPr>
                  </w:pPr>
                </w:p>
              </w:tc>
              <w:tc>
                <w:tcPr>
                  <w:tcW w:w="1660" w:type="dxa"/>
                </w:tcPr>
                <w:p w14:paraId="0CB58AF5" w14:textId="77777777" w:rsidR="00F67E1C" w:rsidRPr="00E14D2E" w:rsidRDefault="00F67E1C" w:rsidP="00A02BF2">
                  <w:pPr>
                    <w:rPr>
                      <w:sz w:val="20"/>
                      <w:szCs w:val="20"/>
                      <w:highlight w:val="yellow"/>
                    </w:rPr>
                  </w:pPr>
                </w:p>
              </w:tc>
            </w:tr>
            <w:tr w:rsidR="00F67E1C" w:rsidRPr="00116CE6" w14:paraId="6727380D" w14:textId="77777777" w:rsidTr="00A02BF2">
              <w:tc>
                <w:tcPr>
                  <w:tcW w:w="6970" w:type="dxa"/>
                </w:tcPr>
                <w:p w14:paraId="4C257ABB" w14:textId="77777777" w:rsidR="00F67E1C" w:rsidRPr="00116CE6" w:rsidRDefault="00F67E1C" w:rsidP="00A02BF2">
                  <w:pPr>
                    <w:rPr>
                      <w:sz w:val="20"/>
                      <w:szCs w:val="20"/>
                    </w:rPr>
                  </w:pPr>
                </w:p>
                <w:p w14:paraId="54E23405" w14:textId="77777777" w:rsidR="00F67E1C" w:rsidRPr="00116CE6" w:rsidRDefault="00F67E1C" w:rsidP="00A02BF2">
                  <w:pPr>
                    <w:rPr>
                      <w:sz w:val="20"/>
                      <w:szCs w:val="20"/>
                    </w:rPr>
                  </w:pPr>
                  <w:r w:rsidRPr="00116CE6">
                    <w:rPr>
                      <w:sz w:val="20"/>
                      <w:szCs w:val="20"/>
                    </w:rPr>
                    <w:t>External Examiner’s mark</w:t>
                  </w:r>
                  <w:r>
                    <w:rPr>
                      <w:sz w:val="20"/>
                      <w:szCs w:val="20"/>
                    </w:rPr>
                    <w:t xml:space="preserve"> (if relevant)</w:t>
                  </w:r>
                </w:p>
              </w:tc>
              <w:tc>
                <w:tcPr>
                  <w:tcW w:w="1660" w:type="dxa"/>
                </w:tcPr>
                <w:p w14:paraId="04F286BA" w14:textId="77777777" w:rsidR="00F67E1C" w:rsidRPr="00116CE6" w:rsidRDefault="00F67E1C" w:rsidP="00A02BF2">
                  <w:pPr>
                    <w:rPr>
                      <w:sz w:val="20"/>
                      <w:szCs w:val="20"/>
                    </w:rPr>
                  </w:pPr>
                </w:p>
              </w:tc>
            </w:tr>
            <w:tr w:rsidR="00F67E1C" w:rsidRPr="00116CE6" w14:paraId="02B0A058" w14:textId="77777777" w:rsidTr="00A02BF2">
              <w:tc>
                <w:tcPr>
                  <w:tcW w:w="6970" w:type="dxa"/>
                </w:tcPr>
                <w:p w14:paraId="669E4A8C" w14:textId="77777777" w:rsidR="00F67E1C" w:rsidRDefault="00F67E1C" w:rsidP="00A02BF2">
                  <w:pPr>
                    <w:rPr>
                      <w:sz w:val="20"/>
                      <w:szCs w:val="20"/>
                    </w:rPr>
                  </w:pPr>
                </w:p>
                <w:p w14:paraId="619ED86A" w14:textId="77777777" w:rsidR="00F67E1C" w:rsidRPr="00022345" w:rsidRDefault="00F67E1C" w:rsidP="00A02BF2">
                  <w:pPr>
                    <w:rPr>
                      <w:b/>
                      <w:sz w:val="20"/>
                      <w:szCs w:val="20"/>
                    </w:rPr>
                  </w:pPr>
                  <w:r w:rsidRPr="00022345">
                    <w:rPr>
                      <w:b/>
                      <w:sz w:val="20"/>
                      <w:szCs w:val="20"/>
                    </w:rPr>
                    <w:t>Final Mark</w:t>
                  </w:r>
                </w:p>
                <w:p w14:paraId="25E14881" w14:textId="77777777" w:rsidR="00F67E1C" w:rsidRPr="00116CE6" w:rsidRDefault="00F67E1C" w:rsidP="00A02BF2">
                  <w:pPr>
                    <w:rPr>
                      <w:sz w:val="20"/>
                      <w:szCs w:val="20"/>
                    </w:rPr>
                  </w:pPr>
                </w:p>
              </w:tc>
              <w:tc>
                <w:tcPr>
                  <w:tcW w:w="1660" w:type="dxa"/>
                </w:tcPr>
                <w:p w14:paraId="4EA74937" w14:textId="77777777" w:rsidR="00F67E1C" w:rsidRPr="00116CE6" w:rsidRDefault="00F67E1C" w:rsidP="00A02BF2">
                  <w:pPr>
                    <w:rPr>
                      <w:sz w:val="20"/>
                      <w:szCs w:val="20"/>
                    </w:rPr>
                  </w:pPr>
                </w:p>
              </w:tc>
            </w:tr>
          </w:tbl>
          <w:p w14:paraId="4D040FE2" w14:textId="77777777" w:rsidR="00F67E1C" w:rsidRDefault="00F67E1C" w:rsidP="00A02BF2">
            <w:pPr>
              <w:pStyle w:val="NormalWeb"/>
              <w:spacing w:before="0" w:beforeAutospacing="0" w:after="0" w:afterAutospacing="0"/>
              <w:ind w:left="142" w:right="34"/>
              <w:rPr>
                <w:rFonts w:ascii="Arial" w:hAnsi="Arial" w:cs="Arial"/>
                <w:b/>
                <w:sz w:val="22"/>
                <w:szCs w:val="22"/>
              </w:rPr>
            </w:pPr>
          </w:p>
          <w:p w14:paraId="2FE2289F" w14:textId="77777777" w:rsidR="00F67E1C" w:rsidRPr="00230F35" w:rsidRDefault="00F67E1C" w:rsidP="00A02BF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23D2C3D" w14:textId="77777777" w:rsidR="00F67E1C" w:rsidRDefault="00F67E1C" w:rsidP="00A02BF2">
            <w:pPr>
              <w:pStyle w:val="NormalWeb"/>
              <w:spacing w:before="0" w:beforeAutospacing="0" w:after="0" w:afterAutospacing="0"/>
              <w:rPr>
                <w:rFonts w:ascii="Arial" w:hAnsi="Arial" w:cs="Arial"/>
                <w:b/>
                <w:sz w:val="22"/>
                <w:szCs w:val="22"/>
              </w:rPr>
            </w:pPr>
          </w:p>
          <w:p w14:paraId="4FD6D6C8" w14:textId="77777777" w:rsidR="00F67E1C" w:rsidRDefault="00F67E1C" w:rsidP="00A02BF2">
            <w:pPr>
              <w:pStyle w:val="NormalWeb"/>
              <w:spacing w:before="0" w:beforeAutospacing="0" w:after="0" w:afterAutospacing="0"/>
              <w:rPr>
                <w:rFonts w:ascii="Arial" w:hAnsi="Arial" w:cs="Arial"/>
                <w:b/>
                <w:sz w:val="22"/>
                <w:szCs w:val="22"/>
              </w:rPr>
            </w:pPr>
          </w:p>
          <w:p w14:paraId="7FFAA074" w14:textId="77777777" w:rsidR="00F67E1C" w:rsidRDefault="00F67E1C" w:rsidP="00A02BF2">
            <w:pPr>
              <w:pStyle w:val="NormalWeb"/>
              <w:spacing w:before="0" w:beforeAutospacing="0" w:after="0" w:afterAutospacing="0"/>
              <w:rPr>
                <w:rFonts w:ascii="Arial" w:hAnsi="Arial" w:cs="Arial"/>
                <w:b/>
                <w:sz w:val="22"/>
                <w:szCs w:val="22"/>
              </w:rPr>
            </w:pPr>
          </w:p>
          <w:p w14:paraId="4CEA6E43" w14:textId="77777777" w:rsidR="00F67E1C" w:rsidRPr="00230F35" w:rsidRDefault="00F67E1C" w:rsidP="00A02BF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894DE60" w14:textId="77777777" w:rsidR="00F67E1C" w:rsidRDefault="00F67E1C" w:rsidP="00A02BF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223E124" w14:textId="77777777" w:rsidR="00F67E1C" w:rsidRPr="00001C3B" w:rsidRDefault="00F67E1C" w:rsidP="00A02BF2">
            <w:pPr>
              <w:pStyle w:val="NormalWeb"/>
              <w:rPr>
                <w:rFonts w:ascii="Arial" w:hAnsi="Arial" w:cs="Arial"/>
                <w:sz w:val="22"/>
                <w:szCs w:val="22"/>
              </w:rPr>
            </w:pPr>
          </w:p>
        </w:tc>
      </w:tr>
      <w:tr w:rsidR="00F67E1C" w:rsidRPr="00230F35" w14:paraId="7F065C59" w14:textId="77777777" w:rsidTr="00A02BF2">
        <w:trPr>
          <w:trHeight w:val="492"/>
        </w:trPr>
        <w:tc>
          <w:tcPr>
            <w:tcW w:w="6768" w:type="dxa"/>
            <w:gridSpan w:val="4"/>
          </w:tcPr>
          <w:p w14:paraId="1024F9DB" w14:textId="77777777" w:rsidR="00F67E1C" w:rsidRPr="00230F35" w:rsidRDefault="00F67E1C" w:rsidP="00A02BF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tcPr>
          <w:p w14:paraId="75920CEA" w14:textId="77777777" w:rsidR="00F67E1C" w:rsidRPr="00230F35" w:rsidRDefault="00F67E1C" w:rsidP="00A02BF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67E1C" w:rsidRPr="002F467C" w14:paraId="73D0D39C" w14:textId="77777777" w:rsidTr="00A02BF2">
        <w:tc>
          <w:tcPr>
            <w:tcW w:w="8856" w:type="dxa"/>
            <w:gridSpan w:val="5"/>
          </w:tcPr>
          <w:p w14:paraId="3211BF8A" w14:textId="77777777" w:rsidR="00F67E1C" w:rsidRPr="00230F35" w:rsidRDefault="00F67E1C" w:rsidP="00A02BF2">
            <w:pPr>
              <w:pStyle w:val="NormalWeb"/>
              <w:spacing w:before="0" w:beforeAutospacing="0" w:after="0" w:afterAutospacing="0"/>
              <w:ind w:right="-334"/>
              <w:rPr>
                <w:rFonts w:ascii="Arial" w:hAnsi="Arial" w:cs="Arial"/>
                <w:bCs/>
                <w:i/>
                <w:sz w:val="22"/>
                <w:szCs w:val="22"/>
              </w:rPr>
            </w:pPr>
          </w:p>
          <w:p w14:paraId="6DEDD8B0" w14:textId="77777777" w:rsidR="00F67E1C" w:rsidRPr="00230F35" w:rsidRDefault="00F67E1C" w:rsidP="00A02BF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89EC3AF" w14:textId="77777777" w:rsidR="00F67E1C" w:rsidRPr="00230F35" w:rsidRDefault="00F67E1C" w:rsidP="00A02BF2">
            <w:pPr>
              <w:pStyle w:val="NormalWeb"/>
              <w:spacing w:before="0" w:beforeAutospacing="0" w:after="0" w:afterAutospacing="0"/>
              <w:ind w:right="-334"/>
              <w:rPr>
                <w:rFonts w:ascii="Arial" w:hAnsi="Arial" w:cs="Arial"/>
                <w:b/>
                <w:bCs/>
                <w:sz w:val="22"/>
                <w:szCs w:val="22"/>
              </w:rPr>
            </w:pPr>
          </w:p>
          <w:p w14:paraId="5DC5F234"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DE9A8BC"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57FAE0BA"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4E8C34C2"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tc>
      </w:tr>
      <w:tr w:rsidR="00F67E1C" w:rsidRPr="002F467C" w14:paraId="4BE71DD8" w14:textId="77777777" w:rsidTr="00A02BF2">
        <w:trPr>
          <w:trHeight w:val="720"/>
        </w:trPr>
        <w:tc>
          <w:tcPr>
            <w:tcW w:w="5211" w:type="dxa"/>
            <w:gridSpan w:val="2"/>
          </w:tcPr>
          <w:p w14:paraId="2D52FF69"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41D1CCF"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67E1C" w:rsidRPr="002F467C" w14:paraId="17AAB6EE" w14:textId="77777777" w:rsidTr="00A02BF2">
        <w:trPr>
          <w:trHeight w:val="2105"/>
        </w:trPr>
        <w:tc>
          <w:tcPr>
            <w:tcW w:w="8856" w:type="dxa"/>
            <w:gridSpan w:val="5"/>
          </w:tcPr>
          <w:p w14:paraId="7C70CFD7" w14:textId="77777777" w:rsidR="00F67E1C" w:rsidRPr="006367FD" w:rsidRDefault="00F67E1C" w:rsidP="00A02BF2">
            <w:pPr>
              <w:rPr>
                <w:b/>
              </w:rPr>
            </w:pPr>
            <w:r w:rsidRPr="006367FD">
              <w:rPr>
                <w:b/>
              </w:rPr>
              <w:t>AGREED INTERNAL MARK (where necessary):</w:t>
            </w:r>
          </w:p>
          <w:p w14:paraId="0EE26C49" w14:textId="77777777" w:rsidR="00F67E1C" w:rsidRPr="006367FD" w:rsidRDefault="00F67E1C" w:rsidP="00A02BF2">
            <w:pPr>
              <w:rPr>
                <w:b/>
              </w:rPr>
            </w:pPr>
          </w:p>
          <w:p w14:paraId="1F60E5B1" w14:textId="77777777" w:rsidR="00F67E1C" w:rsidRDefault="00F67E1C" w:rsidP="00A02BF2">
            <w:pPr>
              <w:rPr>
                <w:b/>
              </w:rPr>
            </w:pPr>
            <w:r w:rsidRPr="006367FD">
              <w:rPr>
                <w:b/>
              </w:rPr>
              <w:t>Comment on process of arriving at agreed mark:</w:t>
            </w:r>
          </w:p>
          <w:p w14:paraId="6358817A" w14:textId="77777777" w:rsidR="00F67E1C" w:rsidRDefault="00F67E1C" w:rsidP="00A02BF2">
            <w:pPr>
              <w:rPr>
                <w:b/>
              </w:rPr>
            </w:pPr>
          </w:p>
          <w:p w14:paraId="556C1EC7" w14:textId="77777777" w:rsidR="00F67E1C" w:rsidRDefault="00F67E1C" w:rsidP="00A02BF2">
            <w:pPr>
              <w:rPr>
                <w:b/>
              </w:rPr>
            </w:pPr>
          </w:p>
          <w:p w14:paraId="2FE5A2FE" w14:textId="77777777" w:rsidR="00F67E1C" w:rsidRPr="00B34964" w:rsidRDefault="00F67E1C" w:rsidP="00A02BF2">
            <w:pPr>
              <w:rPr>
                <w:b/>
              </w:rPr>
            </w:pPr>
          </w:p>
        </w:tc>
      </w:tr>
      <w:tr w:rsidR="00F67E1C" w:rsidRPr="002F467C" w14:paraId="78749288" w14:textId="77777777" w:rsidTr="00A02BF2">
        <w:trPr>
          <w:trHeight w:val="720"/>
        </w:trPr>
        <w:tc>
          <w:tcPr>
            <w:tcW w:w="8856" w:type="dxa"/>
            <w:gridSpan w:val="5"/>
          </w:tcPr>
          <w:p w14:paraId="0B3874F9" w14:textId="77777777" w:rsidR="00F67E1C" w:rsidRPr="00B34964" w:rsidRDefault="00F67E1C" w:rsidP="00A02BF2">
            <w:pPr>
              <w:rPr>
                <w:b/>
              </w:rPr>
            </w:pPr>
            <w:r w:rsidRPr="00B34964">
              <w:rPr>
                <w:b/>
              </w:rPr>
              <w:t>External Examiner’s comments (if relevant)</w:t>
            </w:r>
          </w:p>
          <w:p w14:paraId="0FEC23E4" w14:textId="77777777" w:rsidR="00F67E1C" w:rsidRDefault="00F67E1C" w:rsidP="00A02BF2">
            <w:pPr>
              <w:pStyle w:val="NormalWeb"/>
              <w:spacing w:before="0" w:beforeAutospacing="0" w:after="0" w:afterAutospacing="0"/>
              <w:ind w:right="-334"/>
              <w:rPr>
                <w:rFonts w:ascii="Arial" w:hAnsi="Arial" w:cs="Arial"/>
                <w:bCs/>
                <w:sz w:val="22"/>
                <w:szCs w:val="22"/>
              </w:rPr>
            </w:pPr>
          </w:p>
          <w:p w14:paraId="7129947A" w14:textId="77777777" w:rsidR="00F67E1C" w:rsidRDefault="00F67E1C" w:rsidP="00A02BF2">
            <w:pPr>
              <w:pStyle w:val="NormalWeb"/>
              <w:spacing w:before="0" w:beforeAutospacing="0" w:after="0" w:afterAutospacing="0"/>
              <w:ind w:right="-334"/>
              <w:rPr>
                <w:rFonts w:ascii="Arial" w:hAnsi="Arial" w:cs="Arial"/>
                <w:bCs/>
                <w:sz w:val="22"/>
                <w:szCs w:val="22"/>
              </w:rPr>
            </w:pPr>
          </w:p>
          <w:p w14:paraId="6332046E" w14:textId="77777777" w:rsidR="00F67E1C" w:rsidRDefault="00F67E1C" w:rsidP="00A02BF2">
            <w:pPr>
              <w:pStyle w:val="NormalWeb"/>
              <w:spacing w:before="0" w:beforeAutospacing="0" w:after="0" w:afterAutospacing="0"/>
              <w:ind w:right="-334"/>
              <w:rPr>
                <w:rFonts w:ascii="Arial" w:hAnsi="Arial" w:cs="Arial"/>
                <w:bCs/>
                <w:sz w:val="22"/>
                <w:szCs w:val="22"/>
              </w:rPr>
            </w:pPr>
          </w:p>
          <w:p w14:paraId="10E0D066" w14:textId="77777777" w:rsidR="00F67E1C" w:rsidRDefault="00F67E1C" w:rsidP="00A02BF2">
            <w:pPr>
              <w:pStyle w:val="NormalWeb"/>
              <w:spacing w:before="0" w:beforeAutospacing="0" w:after="0" w:afterAutospacing="0"/>
              <w:ind w:right="-334"/>
              <w:rPr>
                <w:rFonts w:ascii="Arial" w:hAnsi="Arial" w:cs="Arial"/>
                <w:bCs/>
                <w:sz w:val="22"/>
                <w:szCs w:val="22"/>
              </w:rPr>
            </w:pPr>
          </w:p>
          <w:p w14:paraId="1BA783C4"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0476BE37"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5A6BE672"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tc>
      </w:tr>
      <w:tr w:rsidR="00F67E1C" w:rsidRPr="002F467C" w14:paraId="23902F33" w14:textId="77777777" w:rsidTr="00A02BF2">
        <w:trPr>
          <w:trHeight w:val="720"/>
        </w:trPr>
        <w:tc>
          <w:tcPr>
            <w:tcW w:w="5211" w:type="dxa"/>
            <w:gridSpan w:val="2"/>
          </w:tcPr>
          <w:p w14:paraId="2B26538F" w14:textId="77777777" w:rsidR="00F67E1C" w:rsidRPr="00230F35" w:rsidRDefault="00F67E1C" w:rsidP="00A02BF2">
            <w:r w:rsidRPr="00230F35">
              <w:t>External Examiner’s Signature:</w:t>
            </w:r>
          </w:p>
        </w:tc>
        <w:tc>
          <w:tcPr>
            <w:tcW w:w="3645" w:type="dxa"/>
            <w:gridSpan w:val="3"/>
          </w:tcPr>
          <w:p w14:paraId="78605B01" w14:textId="77777777" w:rsidR="00F67E1C" w:rsidRPr="00230F35" w:rsidRDefault="00F67E1C" w:rsidP="00A02BF2">
            <w:r w:rsidRPr="00230F35">
              <w:t>Date:</w:t>
            </w:r>
          </w:p>
        </w:tc>
      </w:tr>
    </w:tbl>
    <w:p w14:paraId="6D6F787D" w14:textId="77777777" w:rsidR="00F67E1C" w:rsidRPr="00D67BF8" w:rsidRDefault="00F67E1C" w:rsidP="00F67E1C">
      <w:pPr>
        <w:pStyle w:val="NormalWeb"/>
        <w:spacing w:before="0" w:beforeAutospacing="0" w:after="0" w:afterAutospacing="0"/>
        <w:ind w:right="-334"/>
        <w:rPr>
          <w:rFonts w:ascii="Trebuchet MS" w:hAnsi="Trebuchet MS" w:cs="Tahoma"/>
          <w:bCs/>
          <w:sz w:val="24"/>
          <w:szCs w:val="24"/>
        </w:rPr>
      </w:pPr>
    </w:p>
    <w:p w14:paraId="686E3FC1" w14:textId="77777777" w:rsidR="00F67E1C" w:rsidRDefault="00F67E1C" w:rsidP="00F67E1C">
      <w:pPr>
        <w:jc w:val="center"/>
      </w:pPr>
    </w:p>
    <w:p w14:paraId="6890C220" w14:textId="77777777" w:rsidR="00F67E1C" w:rsidRDefault="00F67E1C" w:rsidP="00F67E1C">
      <w:r>
        <w:br w:type="page"/>
      </w:r>
    </w:p>
    <w:p w14:paraId="00000001" w14:textId="77777777" w:rsidR="001233B2" w:rsidRPr="006B3113" w:rsidRDefault="00413322">
      <w:pPr>
        <w:jc w:val="center"/>
        <w:rPr>
          <w:rFonts w:ascii="Times New Roman" w:hAnsi="Times New Roman" w:cs="Times New Roman"/>
          <w:bCs/>
          <w:sz w:val="24"/>
          <w:szCs w:val="24"/>
        </w:rPr>
      </w:pPr>
      <w:r w:rsidRPr="006B3113">
        <w:rPr>
          <w:rFonts w:ascii="Times New Roman" w:hAnsi="Times New Roman" w:cs="Times New Roman"/>
          <w:bCs/>
          <w:sz w:val="24"/>
          <w:szCs w:val="24"/>
        </w:rPr>
        <w:lastRenderedPageBreak/>
        <w:t xml:space="preserve">Can the Theory and Practice of Divination </w:t>
      </w:r>
    </w:p>
    <w:p w14:paraId="00000002" w14:textId="77777777" w:rsidR="001233B2" w:rsidRPr="006B3113" w:rsidRDefault="00413322">
      <w:pPr>
        <w:jc w:val="center"/>
        <w:rPr>
          <w:rFonts w:ascii="Times New Roman" w:hAnsi="Times New Roman" w:cs="Times New Roman"/>
          <w:bCs/>
          <w:sz w:val="24"/>
          <w:szCs w:val="24"/>
        </w:rPr>
      </w:pPr>
      <w:r w:rsidRPr="006B3113">
        <w:rPr>
          <w:rFonts w:ascii="Times New Roman" w:hAnsi="Times New Roman" w:cs="Times New Roman"/>
          <w:bCs/>
          <w:sz w:val="24"/>
          <w:szCs w:val="24"/>
        </w:rPr>
        <w:t>Help Distinguish Between Magic and Religion?</w:t>
      </w:r>
    </w:p>
    <w:p w14:paraId="00000003" w14:textId="77777777" w:rsidR="001233B2" w:rsidRPr="006B3113" w:rsidRDefault="001233B2">
      <w:pPr>
        <w:rPr>
          <w:rFonts w:ascii="Times New Roman" w:hAnsi="Times New Roman" w:cs="Times New Roman"/>
          <w:sz w:val="24"/>
          <w:szCs w:val="24"/>
        </w:rPr>
      </w:pPr>
    </w:p>
    <w:p w14:paraId="00000004"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Divination has been a discussion of great theoretical debate for nearly three thousand years, without clear anthropological consensus concerning its ability to distinguish between magic and religion. By regarding the Biblical Old Testament as a historical document, which contains cosmological phenomenon, religious mysticism, and oneiromancy, I would argue that the theory and practice of divination would actually further blur the distinction between magic and religion as there is an inherent connection between the two. Religion, while not exclusively reliant upon otherworldly occurrences, is often implicitly bound to a series of magical practices which, by their very nature, prove difficult to abnegate. For purposes of specificity, this essay will focus solely on Christianity’s relationship with magic. All uses of the term “religion” will be in reference to the Christian religion, unless otherwise noted. </w:t>
      </w:r>
    </w:p>
    <w:p w14:paraId="00000005" w14:textId="77777777" w:rsidR="001233B2" w:rsidRPr="006B3113" w:rsidRDefault="001233B2">
      <w:pPr>
        <w:rPr>
          <w:rFonts w:ascii="Times New Roman" w:hAnsi="Times New Roman" w:cs="Times New Roman"/>
          <w:sz w:val="24"/>
          <w:szCs w:val="24"/>
        </w:rPr>
      </w:pPr>
    </w:p>
    <w:p w14:paraId="00000006" w14:textId="22A1A10B"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It should also be noted that the Hebrew Bible, or Tanakh, is also largely made up of the same Old Testament texts as the Christian Bible. In the Hebrew Bible, the entirety of the Old Testament is split into three different sections; the Torah, which is most frequently referenced when referring to the Jewish religion, refers to the first five books of the Christian Old Testament (Genesis, Exodus, Leviticus, Numbers and Deuteronomy</w:t>
      </w:r>
      <w:r w:rsidRPr="006B3113">
        <w:rPr>
          <w:rFonts w:ascii="Times New Roman" w:hAnsi="Times New Roman" w:cs="Times New Roman"/>
          <w:sz w:val="24"/>
          <w:szCs w:val="24"/>
          <w:vertAlign w:val="superscript"/>
        </w:rPr>
        <w:footnoteReference w:id="1"/>
      </w:r>
      <w:r w:rsidRPr="006B3113">
        <w:rPr>
          <w:rFonts w:ascii="Times New Roman" w:hAnsi="Times New Roman" w:cs="Times New Roman"/>
          <w:sz w:val="24"/>
          <w:szCs w:val="24"/>
        </w:rPr>
        <w:t>), and it makes up just one of the three sections of the Tanakh. Despite the appearance of necromancy,</w:t>
      </w:r>
      <w:r w:rsidRPr="006B3113">
        <w:rPr>
          <w:rFonts w:ascii="Times New Roman" w:hAnsi="Times New Roman" w:cs="Times New Roman"/>
          <w:sz w:val="24"/>
          <w:szCs w:val="24"/>
          <w:vertAlign w:val="superscript"/>
        </w:rPr>
        <w:footnoteReference w:id="2"/>
      </w:r>
      <w:r w:rsidRPr="006B3113">
        <w:rPr>
          <w:rFonts w:ascii="Times New Roman" w:hAnsi="Times New Roman" w:cs="Times New Roman"/>
          <w:sz w:val="24"/>
          <w:szCs w:val="24"/>
        </w:rPr>
        <w:t xml:space="preserve"> exorcisms,</w:t>
      </w:r>
      <w:r w:rsidRPr="006B3113">
        <w:rPr>
          <w:rFonts w:ascii="Times New Roman" w:hAnsi="Times New Roman" w:cs="Times New Roman"/>
          <w:sz w:val="24"/>
          <w:szCs w:val="24"/>
          <w:vertAlign w:val="superscript"/>
        </w:rPr>
        <w:footnoteReference w:id="3"/>
      </w:r>
      <w:r w:rsidRPr="006B3113">
        <w:rPr>
          <w:rFonts w:ascii="Times New Roman" w:hAnsi="Times New Roman" w:cs="Times New Roman"/>
          <w:sz w:val="24"/>
          <w:szCs w:val="24"/>
        </w:rPr>
        <w:t xml:space="preserve"> visions,</w:t>
      </w:r>
      <w:r w:rsidRPr="006B3113">
        <w:rPr>
          <w:rFonts w:ascii="Times New Roman" w:hAnsi="Times New Roman" w:cs="Times New Roman"/>
          <w:sz w:val="24"/>
          <w:szCs w:val="24"/>
          <w:vertAlign w:val="superscript"/>
        </w:rPr>
        <w:footnoteReference w:id="4"/>
      </w:r>
      <w:r w:rsidRPr="006B3113">
        <w:rPr>
          <w:rFonts w:ascii="Times New Roman" w:hAnsi="Times New Roman" w:cs="Times New Roman"/>
          <w:sz w:val="24"/>
          <w:szCs w:val="24"/>
        </w:rPr>
        <w:t xml:space="preserve"> and oneiromancy</w:t>
      </w:r>
      <w:r w:rsidRPr="006B3113">
        <w:rPr>
          <w:rFonts w:ascii="Times New Roman" w:hAnsi="Times New Roman" w:cs="Times New Roman"/>
          <w:sz w:val="24"/>
          <w:szCs w:val="24"/>
          <w:vertAlign w:val="superscript"/>
        </w:rPr>
        <w:footnoteReference w:id="5"/>
      </w:r>
      <w:r w:rsidRPr="006B3113">
        <w:rPr>
          <w:rFonts w:ascii="Times New Roman" w:hAnsi="Times New Roman" w:cs="Times New Roman"/>
          <w:sz w:val="24"/>
          <w:szCs w:val="24"/>
        </w:rPr>
        <w:t xml:space="preserve"> throughout the New Testament</w:t>
      </w:r>
      <w:r w:rsidR="00F67E1C" w:rsidRPr="006B3113">
        <w:rPr>
          <w:rFonts w:ascii="Times New Roman" w:hAnsi="Times New Roman" w:cs="Times New Roman"/>
          <w:sz w:val="24"/>
          <w:szCs w:val="24"/>
        </w:rPr>
        <w:t>,</w:t>
      </w:r>
      <w:r w:rsidRPr="006B3113">
        <w:rPr>
          <w:rFonts w:ascii="Times New Roman" w:hAnsi="Times New Roman" w:cs="Times New Roman"/>
          <w:sz w:val="24"/>
          <w:szCs w:val="24"/>
        </w:rPr>
        <w:t xml:space="preserve"> for simplicity's sake this paper will only utilize the Old Testament. </w:t>
      </w:r>
    </w:p>
    <w:p w14:paraId="00000007" w14:textId="77777777" w:rsidR="001233B2" w:rsidRPr="006B3113" w:rsidRDefault="001233B2">
      <w:pPr>
        <w:rPr>
          <w:rFonts w:ascii="Times New Roman" w:hAnsi="Times New Roman" w:cs="Times New Roman"/>
          <w:sz w:val="24"/>
          <w:szCs w:val="24"/>
        </w:rPr>
      </w:pPr>
    </w:p>
    <w:p w14:paraId="00000008" w14:textId="77777777" w:rsidR="001233B2" w:rsidRPr="006B3113" w:rsidRDefault="00413322">
      <w:pPr>
        <w:rPr>
          <w:rFonts w:ascii="Times New Roman" w:hAnsi="Times New Roman" w:cs="Times New Roman"/>
          <w:b/>
          <w:sz w:val="24"/>
          <w:szCs w:val="24"/>
          <w:u w:val="single"/>
        </w:rPr>
      </w:pPr>
      <w:r w:rsidRPr="006B3113">
        <w:rPr>
          <w:rFonts w:ascii="Times New Roman" w:hAnsi="Times New Roman" w:cs="Times New Roman"/>
          <w:b/>
          <w:sz w:val="24"/>
          <w:szCs w:val="24"/>
          <w:u w:val="single"/>
        </w:rPr>
        <w:t>Defining Magic and Religion</w:t>
      </w:r>
    </w:p>
    <w:p w14:paraId="00000009" w14:textId="77777777" w:rsidR="001233B2" w:rsidRPr="006B3113" w:rsidRDefault="001233B2">
      <w:pPr>
        <w:rPr>
          <w:rFonts w:ascii="Times New Roman" w:hAnsi="Times New Roman" w:cs="Times New Roman"/>
          <w:sz w:val="24"/>
          <w:szCs w:val="24"/>
        </w:rPr>
      </w:pPr>
    </w:p>
    <w:p w14:paraId="0000000A"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To discuss the relationship of divination between magic and religion, including the ways in which these two practices borrow from each other, the origins of each term must first be established. </w:t>
      </w:r>
    </w:p>
    <w:p w14:paraId="0000000B"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definition of magic proves to be rather contentious,</w:t>
      </w:r>
      <w:r w:rsidRPr="006B3113">
        <w:rPr>
          <w:rFonts w:ascii="Times New Roman" w:hAnsi="Times New Roman" w:cs="Times New Roman"/>
          <w:sz w:val="24"/>
          <w:szCs w:val="24"/>
          <w:vertAlign w:val="superscript"/>
        </w:rPr>
        <w:footnoteReference w:id="6"/>
      </w:r>
      <w:r w:rsidRPr="006B3113">
        <w:rPr>
          <w:rFonts w:ascii="Times New Roman" w:hAnsi="Times New Roman" w:cs="Times New Roman"/>
          <w:sz w:val="24"/>
          <w:szCs w:val="24"/>
        </w:rPr>
        <w:t xml:space="preserve"> as the very essence of the study is focused around an elusive topic. Defining magic and religion is further obfuscated by the fact that there is an absence of an academic agreement on the approved anthropological definition of </w:t>
      </w:r>
      <w:r w:rsidRPr="006B3113">
        <w:rPr>
          <w:rFonts w:ascii="Times New Roman" w:hAnsi="Times New Roman" w:cs="Times New Roman"/>
          <w:sz w:val="24"/>
          <w:szCs w:val="24"/>
        </w:rPr>
        <w:lastRenderedPageBreak/>
        <w:t>the practices. Robert H. Lowie, an instrumental figure in the development of modern anthropology, felt that distinguishing among the varieties of behavior might be useful but that the theoretical conceptualizations of magic as a topic in opposition of religion and science were erroneous</w:t>
      </w:r>
      <w:r w:rsidRPr="006B3113">
        <w:rPr>
          <w:rFonts w:ascii="Times New Roman" w:hAnsi="Times New Roman" w:cs="Times New Roman"/>
          <w:sz w:val="24"/>
          <w:szCs w:val="24"/>
          <w:vertAlign w:val="superscript"/>
        </w:rPr>
        <w:footnoteReference w:id="7"/>
      </w:r>
      <w:r w:rsidRPr="006B3113">
        <w:rPr>
          <w:rFonts w:ascii="Times New Roman" w:hAnsi="Times New Roman" w:cs="Times New Roman"/>
          <w:sz w:val="24"/>
          <w:szCs w:val="24"/>
        </w:rPr>
        <w:t>. As Derek Collins stated, “It has always been easier to define ancient magic by contrasts than in its essence.</w:t>
      </w:r>
      <w:r w:rsidRPr="006B3113">
        <w:rPr>
          <w:rFonts w:ascii="Times New Roman" w:hAnsi="Times New Roman" w:cs="Times New Roman"/>
          <w:sz w:val="24"/>
          <w:szCs w:val="24"/>
          <w:vertAlign w:val="superscript"/>
        </w:rPr>
        <w:footnoteReference w:id="8"/>
      </w:r>
      <w:r w:rsidRPr="006B3113">
        <w:rPr>
          <w:rFonts w:ascii="Times New Roman" w:hAnsi="Times New Roman" w:cs="Times New Roman"/>
          <w:sz w:val="24"/>
          <w:szCs w:val="24"/>
        </w:rPr>
        <w:t xml:space="preserve">” Even the very etymology of the words prove difficult to define. </w:t>
      </w:r>
    </w:p>
    <w:p w14:paraId="0000000C" w14:textId="77777777" w:rsidR="001233B2" w:rsidRPr="006B3113" w:rsidRDefault="001233B2">
      <w:pPr>
        <w:rPr>
          <w:rFonts w:ascii="Times New Roman" w:hAnsi="Times New Roman" w:cs="Times New Roman"/>
          <w:sz w:val="24"/>
          <w:szCs w:val="24"/>
        </w:rPr>
      </w:pPr>
    </w:p>
    <w:p w14:paraId="0000000D" w14:textId="5280A9BE"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Western conception of magic is rooted in the ancient Judeo-Christian and Greco-Roman heritage”</w:t>
      </w:r>
      <w:r w:rsidRPr="006B3113">
        <w:rPr>
          <w:rFonts w:ascii="Times New Roman" w:hAnsi="Times New Roman" w:cs="Times New Roman"/>
          <w:sz w:val="24"/>
          <w:szCs w:val="24"/>
          <w:vertAlign w:val="superscript"/>
        </w:rPr>
        <w:footnoteReference w:id="9"/>
      </w:r>
      <w:r w:rsidRPr="006B3113">
        <w:rPr>
          <w:rFonts w:ascii="Times New Roman" w:hAnsi="Times New Roman" w:cs="Times New Roman"/>
          <w:sz w:val="24"/>
          <w:szCs w:val="24"/>
        </w:rPr>
        <w:t xml:space="preserve"> and it has been suggested that the word ‘</w:t>
      </w:r>
      <w:r w:rsidRPr="006B3113">
        <w:rPr>
          <w:rFonts w:ascii="Times New Roman" w:hAnsi="Times New Roman" w:cs="Times New Roman"/>
          <w:i/>
          <w:sz w:val="24"/>
          <w:szCs w:val="24"/>
        </w:rPr>
        <w:t>magic</w:t>
      </w:r>
      <w:r w:rsidRPr="006B3113">
        <w:rPr>
          <w:rFonts w:ascii="Times New Roman" w:hAnsi="Times New Roman" w:cs="Times New Roman"/>
          <w:sz w:val="24"/>
          <w:szCs w:val="24"/>
        </w:rPr>
        <w:t xml:space="preserve">’ is derived from the word </w:t>
      </w:r>
      <w:r w:rsidRPr="006B3113">
        <w:rPr>
          <w:rFonts w:ascii="Times New Roman" w:hAnsi="Times New Roman" w:cs="Times New Roman"/>
          <w:i/>
          <w:sz w:val="24"/>
          <w:szCs w:val="24"/>
        </w:rPr>
        <w:t>‘magi’</w:t>
      </w:r>
      <w:r w:rsidRPr="006B3113">
        <w:rPr>
          <w:rFonts w:ascii="Times New Roman" w:hAnsi="Times New Roman" w:cs="Times New Roman"/>
          <w:i/>
          <w:sz w:val="24"/>
          <w:szCs w:val="24"/>
          <w:vertAlign w:val="superscript"/>
        </w:rPr>
        <w:footnoteReference w:id="10"/>
      </w:r>
      <w:r w:rsidRPr="006B3113">
        <w:rPr>
          <w:rFonts w:ascii="Times New Roman" w:hAnsi="Times New Roman" w:cs="Times New Roman"/>
          <w:i/>
          <w:sz w:val="24"/>
          <w:szCs w:val="24"/>
        </w:rPr>
        <w:t xml:space="preserve"> </w:t>
      </w:r>
      <w:r w:rsidRPr="006B3113">
        <w:rPr>
          <w:rFonts w:ascii="Times New Roman" w:hAnsi="Times New Roman" w:cs="Times New Roman"/>
          <w:sz w:val="24"/>
          <w:szCs w:val="24"/>
        </w:rPr>
        <w:t>(the genitive form of the Latin word ‘</w:t>
      </w:r>
      <w:r w:rsidRPr="006B3113">
        <w:rPr>
          <w:rFonts w:ascii="Times New Roman" w:hAnsi="Times New Roman" w:cs="Times New Roman"/>
          <w:i/>
          <w:sz w:val="24"/>
          <w:szCs w:val="24"/>
        </w:rPr>
        <w:t>magus</w:t>
      </w:r>
      <w:r w:rsidRPr="006B3113">
        <w:rPr>
          <w:rFonts w:ascii="Times New Roman" w:hAnsi="Times New Roman" w:cs="Times New Roman"/>
          <w:sz w:val="24"/>
          <w:szCs w:val="24"/>
        </w:rPr>
        <w:t>’ and borrowed from the Greek ‘</w:t>
      </w:r>
      <w:r w:rsidRPr="006B3113">
        <w:rPr>
          <w:rFonts w:ascii="Times New Roman" w:hAnsi="Times New Roman" w:cs="Times New Roman"/>
          <w:i/>
          <w:sz w:val="24"/>
          <w:szCs w:val="24"/>
        </w:rPr>
        <w:t>mageia</w:t>
      </w:r>
      <w:r w:rsidRPr="006B3113">
        <w:rPr>
          <w:rFonts w:ascii="Times New Roman" w:hAnsi="Times New Roman" w:cs="Times New Roman"/>
          <w:sz w:val="24"/>
          <w:szCs w:val="24"/>
        </w:rPr>
        <w:t>’). While the word ‘</w:t>
      </w:r>
      <w:r w:rsidRPr="006B3113">
        <w:rPr>
          <w:rFonts w:ascii="Times New Roman" w:hAnsi="Times New Roman" w:cs="Times New Roman"/>
          <w:i/>
          <w:sz w:val="24"/>
          <w:szCs w:val="24"/>
        </w:rPr>
        <w:t>religion</w:t>
      </w:r>
      <w:r w:rsidRPr="006B3113">
        <w:rPr>
          <w:rFonts w:ascii="Times New Roman" w:hAnsi="Times New Roman" w:cs="Times New Roman"/>
          <w:sz w:val="24"/>
          <w:szCs w:val="24"/>
        </w:rPr>
        <w:t>’ was born from the Latin word ‘</w:t>
      </w:r>
      <w:r w:rsidRPr="006B3113">
        <w:rPr>
          <w:rFonts w:ascii="Times New Roman" w:hAnsi="Times New Roman" w:cs="Times New Roman"/>
          <w:i/>
          <w:sz w:val="24"/>
          <w:szCs w:val="24"/>
        </w:rPr>
        <w:t>religio</w:t>
      </w:r>
      <w:r w:rsidRPr="006B3113">
        <w:rPr>
          <w:rFonts w:ascii="Times New Roman" w:hAnsi="Times New Roman" w:cs="Times New Roman"/>
          <w:sz w:val="24"/>
          <w:szCs w:val="24"/>
        </w:rPr>
        <w:t>’, which first appeared in records in the 1st century B.C., modern scholars, such as Tom Harpur</w:t>
      </w:r>
      <w:r w:rsidRPr="006B3113">
        <w:rPr>
          <w:rFonts w:ascii="Times New Roman" w:hAnsi="Times New Roman" w:cs="Times New Roman"/>
          <w:sz w:val="24"/>
          <w:szCs w:val="24"/>
          <w:vertAlign w:val="superscript"/>
        </w:rPr>
        <w:footnoteReference w:id="11"/>
      </w:r>
      <w:r w:rsidRPr="006B3113">
        <w:rPr>
          <w:rFonts w:ascii="Times New Roman" w:hAnsi="Times New Roman" w:cs="Times New Roman"/>
          <w:sz w:val="24"/>
          <w:szCs w:val="24"/>
        </w:rPr>
        <w:t xml:space="preserve"> and Joseph Campbell, have argued against </w:t>
      </w:r>
      <w:r w:rsidR="00F67E1C" w:rsidRPr="006B3113">
        <w:rPr>
          <w:rFonts w:ascii="Times New Roman" w:hAnsi="Times New Roman" w:cs="Times New Roman"/>
          <w:sz w:val="24"/>
          <w:szCs w:val="24"/>
        </w:rPr>
        <w:t xml:space="preserve">Marcus Tullius </w:t>
      </w:r>
      <w:r w:rsidRPr="006B3113">
        <w:rPr>
          <w:rFonts w:ascii="Times New Roman" w:hAnsi="Times New Roman" w:cs="Times New Roman"/>
          <w:sz w:val="24"/>
          <w:szCs w:val="24"/>
        </w:rPr>
        <w:t>Cicero’s early definition where ‘</w:t>
      </w:r>
      <w:r w:rsidRPr="006B3113">
        <w:rPr>
          <w:rFonts w:ascii="Times New Roman" w:hAnsi="Times New Roman" w:cs="Times New Roman"/>
          <w:i/>
          <w:sz w:val="24"/>
          <w:szCs w:val="24"/>
        </w:rPr>
        <w:t>religio</w:t>
      </w:r>
      <w:r w:rsidRPr="006B3113">
        <w:rPr>
          <w:rFonts w:ascii="Times New Roman" w:hAnsi="Times New Roman" w:cs="Times New Roman"/>
          <w:sz w:val="24"/>
          <w:szCs w:val="24"/>
        </w:rPr>
        <w:t>’ was formed from ‘</w:t>
      </w:r>
      <w:r w:rsidRPr="006B3113">
        <w:rPr>
          <w:rFonts w:ascii="Times New Roman" w:hAnsi="Times New Roman" w:cs="Times New Roman"/>
          <w:i/>
          <w:sz w:val="24"/>
          <w:szCs w:val="24"/>
        </w:rPr>
        <w:t>re-</w:t>
      </w:r>
      <w:r w:rsidRPr="006B3113">
        <w:rPr>
          <w:rFonts w:ascii="Times New Roman" w:hAnsi="Times New Roman" w:cs="Times New Roman"/>
          <w:sz w:val="24"/>
          <w:szCs w:val="24"/>
        </w:rPr>
        <w:t xml:space="preserve">’ and </w:t>
      </w:r>
      <w:r w:rsidRPr="006B3113">
        <w:rPr>
          <w:rFonts w:ascii="Times New Roman" w:hAnsi="Times New Roman" w:cs="Times New Roman"/>
          <w:i/>
          <w:sz w:val="24"/>
          <w:szCs w:val="24"/>
        </w:rPr>
        <w:t xml:space="preserve">‘lego’ </w:t>
      </w:r>
      <w:r w:rsidRPr="006B3113">
        <w:rPr>
          <w:rFonts w:ascii="Times New Roman" w:hAnsi="Times New Roman" w:cs="Times New Roman"/>
          <w:sz w:val="24"/>
          <w:szCs w:val="24"/>
        </w:rPr>
        <w:t>meaning to ‘choose again’. They instead preferred to believe that “the word ‘</w:t>
      </w:r>
      <w:r w:rsidRPr="006B3113">
        <w:rPr>
          <w:rFonts w:ascii="Times New Roman" w:hAnsi="Times New Roman" w:cs="Times New Roman"/>
          <w:i/>
          <w:sz w:val="24"/>
          <w:szCs w:val="24"/>
        </w:rPr>
        <w:t>religio</w:t>
      </w:r>
      <w:r w:rsidRPr="006B3113">
        <w:rPr>
          <w:rFonts w:ascii="Times New Roman" w:hAnsi="Times New Roman" w:cs="Times New Roman"/>
          <w:sz w:val="24"/>
          <w:szCs w:val="24"/>
        </w:rPr>
        <w:t>’ [means] linking back, linking back the phenomenal person to a source</w:t>
      </w:r>
      <w:r w:rsidRPr="006B3113">
        <w:rPr>
          <w:rFonts w:ascii="Times New Roman" w:hAnsi="Times New Roman" w:cs="Times New Roman"/>
          <w:sz w:val="24"/>
          <w:szCs w:val="24"/>
          <w:vertAlign w:val="superscript"/>
        </w:rPr>
        <w:footnoteReference w:id="12"/>
      </w:r>
      <w:r w:rsidRPr="006B3113">
        <w:rPr>
          <w:rFonts w:ascii="Times New Roman" w:hAnsi="Times New Roman" w:cs="Times New Roman"/>
          <w:sz w:val="24"/>
          <w:szCs w:val="24"/>
        </w:rPr>
        <w:t>” and that rather than ‘</w:t>
      </w:r>
      <w:r w:rsidRPr="006B3113">
        <w:rPr>
          <w:rFonts w:ascii="Times New Roman" w:hAnsi="Times New Roman" w:cs="Times New Roman"/>
          <w:i/>
          <w:sz w:val="24"/>
          <w:szCs w:val="24"/>
        </w:rPr>
        <w:t>lego</w:t>
      </w:r>
      <w:r w:rsidRPr="006B3113">
        <w:rPr>
          <w:rFonts w:ascii="Times New Roman" w:hAnsi="Times New Roman" w:cs="Times New Roman"/>
          <w:sz w:val="24"/>
          <w:szCs w:val="24"/>
        </w:rPr>
        <w:t>’ it originated from ‘</w:t>
      </w:r>
      <w:r w:rsidRPr="006B3113">
        <w:rPr>
          <w:rFonts w:ascii="Times New Roman" w:hAnsi="Times New Roman" w:cs="Times New Roman"/>
          <w:i/>
          <w:sz w:val="24"/>
          <w:szCs w:val="24"/>
        </w:rPr>
        <w:t>ligare</w:t>
      </w:r>
      <w:r w:rsidRPr="006B3113">
        <w:rPr>
          <w:rFonts w:ascii="Times New Roman" w:hAnsi="Times New Roman" w:cs="Times New Roman"/>
          <w:sz w:val="24"/>
          <w:szCs w:val="24"/>
        </w:rPr>
        <w:t>’ which meant to ‘</w:t>
      </w:r>
      <w:r w:rsidRPr="006B3113">
        <w:rPr>
          <w:rFonts w:ascii="Times New Roman" w:hAnsi="Times New Roman" w:cs="Times New Roman"/>
          <w:i/>
          <w:sz w:val="24"/>
          <w:szCs w:val="24"/>
        </w:rPr>
        <w:t>reconnect</w:t>
      </w:r>
      <w:r w:rsidRPr="006B3113">
        <w:rPr>
          <w:rFonts w:ascii="Times New Roman" w:hAnsi="Times New Roman" w:cs="Times New Roman"/>
          <w:sz w:val="24"/>
          <w:szCs w:val="24"/>
        </w:rPr>
        <w:t>’ with that source of higher power. The renowned sociologist Émile Durkheim defined religion as, "a unified system of beliefs and practices relative to sacred things, that is to say, things set apart and forbidden — beliefs and practices which unite into one single moral community called a Church, all those who adhere to them.”</w:t>
      </w:r>
      <w:r w:rsidRPr="006B3113">
        <w:rPr>
          <w:rFonts w:ascii="Times New Roman" w:hAnsi="Times New Roman" w:cs="Times New Roman"/>
          <w:sz w:val="24"/>
          <w:szCs w:val="24"/>
          <w:vertAlign w:val="superscript"/>
        </w:rPr>
        <w:footnoteReference w:id="13"/>
      </w:r>
      <w:r w:rsidRPr="006B3113">
        <w:rPr>
          <w:rFonts w:ascii="Times New Roman" w:hAnsi="Times New Roman" w:cs="Times New Roman"/>
          <w:sz w:val="24"/>
          <w:szCs w:val="24"/>
        </w:rPr>
        <w:t xml:space="preserve"> </w:t>
      </w:r>
    </w:p>
    <w:p w14:paraId="0000000E" w14:textId="77777777" w:rsidR="001233B2" w:rsidRPr="006B3113" w:rsidRDefault="001233B2">
      <w:pPr>
        <w:rPr>
          <w:rFonts w:ascii="Times New Roman" w:hAnsi="Times New Roman" w:cs="Times New Roman"/>
          <w:sz w:val="24"/>
          <w:szCs w:val="24"/>
        </w:rPr>
      </w:pPr>
    </w:p>
    <w:p w14:paraId="0000000F"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Some scholars assert that there are “three views of the relation between religion and magic [...] that magic is a degraded form of religion; that it is the parent of religion; and that the two are independent, mutually unrelated systems”.</w:t>
      </w:r>
      <w:r w:rsidRPr="006B3113">
        <w:rPr>
          <w:rFonts w:ascii="Times New Roman" w:hAnsi="Times New Roman" w:cs="Times New Roman"/>
          <w:sz w:val="24"/>
          <w:szCs w:val="24"/>
          <w:vertAlign w:val="superscript"/>
        </w:rPr>
        <w:footnoteReference w:id="14"/>
      </w:r>
      <w:r w:rsidRPr="006B3113">
        <w:rPr>
          <w:rFonts w:ascii="Times New Roman" w:hAnsi="Times New Roman" w:cs="Times New Roman"/>
          <w:sz w:val="24"/>
          <w:szCs w:val="24"/>
        </w:rPr>
        <w:t xml:space="preserve"> I would argue instead that magic and religion are parallel entities, which are bound together by divination and that neither is solely derived from one or the other. </w:t>
      </w:r>
    </w:p>
    <w:p w14:paraId="00000010" w14:textId="77777777" w:rsidR="001233B2" w:rsidRPr="006B3113" w:rsidRDefault="001233B2">
      <w:pPr>
        <w:rPr>
          <w:rFonts w:ascii="Times New Roman" w:hAnsi="Times New Roman" w:cs="Times New Roman"/>
          <w:b/>
          <w:sz w:val="24"/>
          <w:szCs w:val="24"/>
          <w:u w:val="single"/>
        </w:rPr>
      </w:pPr>
    </w:p>
    <w:p w14:paraId="35C8A8A8" w14:textId="77777777" w:rsidR="006B3113" w:rsidRDefault="006B3113">
      <w:pPr>
        <w:rPr>
          <w:rFonts w:ascii="Times New Roman" w:hAnsi="Times New Roman" w:cs="Times New Roman"/>
          <w:b/>
          <w:sz w:val="24"/>
          <w:szCs w:val="24"/>
          <w:u w:val="single"/>
        </w:rPr>
      </w:pPr>
    </w:p>
    <w:p w14:paraId="4F68A15F" w14:textId="77777777" w:rsidR="006B3113" w:rsidRDefault="006B3113">
      <w:pPr>
        <w:rPr>
          <w:rFonts w:ascii="Times New Roman" w:hAnsi="Times New Roman" w:cs="Times New Roman"/>
          <w:b/>
          <w:sz w:val="24"/>
          <w:szCs w:val="24"/>
          <w:u w:val="single"/>
        </w:rPr>
      </w:pPr>
    </w:p>
    <w:p w14:paraId="2EE584A1" w14:textId="77777777" w:rsidR="006B3113" w:rsidRDefault="006B3113">
      <w:pPr>
        <w:rPr>
          <w:rFonts w:ascii="Times New Roman" w:hAnsi="Times New Roman" w:cs="Times New Roman"/>
          <w:b/>
          <w:sz w:val="24"/>
          <w:szCs w:val="24"/>
          <w:u w:val="single"/>
        </w:rPr>
      </w:pPr>
    </w:p>
    <w:p w14:paraId="335E746F" w14:textId="77777777" w:rsidR="006B3113" w:rsidRDefault="006B3113">
      <w:pPr>
        <w:rPr>
          <w:rFonts w:ascii="Times New Roman" w:hAnsi="Times New Roman" w:cs="Times New Roman"/>
          <w:b/>
          <w:sz w:val="24"/>
          <w:szCs w:val="24"/>
          <w:u w:val="single"/>
        </w:rPr>
      </w:pPr>
    </w:p>
    <w:p w14:paraId="00000011" w14:textId="361DE171" w:rsidR="001233B2" w:rsidRPr="006B3113" w:rsidRDefault="00413322">
      <w:pPr>
        <w:rPr>
          <w:rFonts w:ascii="Times New Roman" w:hAnsi="Times New Roman" w:cs="Times New Roman"/>
          <w:b/>
          <w:sz w:val="24"/>
          <w:szCs w:val="24"/>
        </w:rPr>
      </w:pPr>
      <w:r w:rsidRPr="006B3113">
        <w:rPr>
          <w:rFonts w:ascii="Times New Roman" w:hAnsi="Times New Roman" w:cs="Times New Roman"/>
          <w:b/>
          <w:sz w:val="24"/>
          <w:szCs w:val="24"/>
          <w:u w:val="single"/>
        </w:rPr>
        <w:lastRenderedPageBreak/>
        <w:t>Magic in the Bible</w:t>
      </w:r>
      <w:r w:rsidRPr="006B3113">
        <w:rPr>
          <w:rFonts w:ascii="Times New Roman" w:hAnsi="Times New Roman" w:cs="Times New Roman"/>
          <w:b/>
          <w:sz w:val="24"/>
          <w:szCs w:val="24"/>
        </w:rPr>
        <w:t xml:space="preserve"> </w:t>
      </w:r>
    </w:p>
    <w:p w14:paraId="00000012" w14:textId="77777777" w:rsidR="001233B2" w:rsidRPr="006B3113" w:rsidRDefault="001233B2">
      <w:pPr>
        <w:rPr>
          <w:rFonts w:ascii="Times New Roman" w:hAnsi="Times New Roman" w:cs="Times New Roman"/>
          <w:sz w:val="24"/>
          <w:szCs w:val="24"/>
        </w:rPr>
      </w:pPr>
    </w:p>
    <w:p w14:paraId="00000013" w14:textId="2CFCC773"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A commonality between religion and magic lays in the fact that they remain at odds with science and “have in common that they refer to supernatural forces and power.”</w:t>
      </w:r>
      <w:r w:rsidRPr="006B3113">
        <w:rPr>
          <w:rFonts w:ascii="Times New Roman" w:hAnsi="Times New Roman" w:cs="Times New Roman"/>
          <w:sz w:val="24"/>
          <w:szCs w:val="24"/>
          <w:vertAlign w:val="superscript"/>
        </w:rPr>
        <w:footnoteReference w:id="15"/>
      </w:r>
      <w:r w:rsidRPr="006B3113">
        <w:rPr>
          <w:rFonts w:ascii="Times New Roman" w:hAnsi="Times New Roman" w:cs="Times New Roman"/>
          <w:sz w:val="24"/>
          <w:szCs w:val="24"/>
        </w:rPr>
        <w:t xml:space="preserve"> They both rely heavily on the abandonment of the seen, leaning into unseen forces who control the order of things and allow humans to embody supernatural abilities. In Cicero’s </w:t>
      </w:r>
      <w:r w:rsidRPr="006B3113">
        <w:rPr>
          <w:rFonts w:ascii="Times New Roman" w:hAnsi="Times New Roman" w:cs="Times New Roman"/>
          <w:i/>
          <w:sz w:val="24"/>
          <w:szCs w:val="24"/>
        </w:rPr>
        <w:t>De Divinatione</w:t>
      </w:r>
      <w:r w:rsidRPr="006B3113">
        <w:rPr>
          <w:rFonts w:ascii="Times New Roman" w:hAnsi="Times New Roman" w:cs="Times New Roman"/>
          <w:sz w:val="24"/>
          <w:szCs w:val="24"/>
        </w:rPr>
        <w:t xml:space="preserve">, he discussed at length the various forms of divining such as augury, oneiromancy, and haruspicy. All of these are alluded to, if not directly mentioned by name, in Biblical texts. The following section of this essay will analyze the occurrences of these three divining practices within the Old Testament, utilizing the King James Version. </w:t>
      </w:r>
    </w:p>
    <w:p w14:paraId="00000014" w14:textId="77777777" w:rsidR="001233B2" w:rsidRPr="006B3113" w:rsidRDefault="001233B2">
      <w:pPr>
        <w:rPr>
          <w:rFonts w:ascii="Times New Roman" w:hAnsi="Times New Roman" w:cs="Times New Roman"/>
          <w:sz w:val="24"/>
          <w:szCs w:val="24"/>
        </w:rPr>
      </w:pPr>
    </w:p>
    <w:p w14:paraId="00000015" w14:textId="77777777" w:rsidR="001233B2" w:rsidRPr="006B3113" w:rsidRDefault="00413322">
      <w:pPr>
        <w:ind w:left="2160" w:right="2160"/>
        <w:rPr>
          <w:rFonts w:ascii="Times New Roman" w:hAnsi="Times New Roman" w:cs="Times New Roman"/>
          <w:sz w:val="24"/>
          <w:szCs w:val="24"/>
        </w:rPr>
      </w:pPr>
      <w:r w:rsidRPr="006B3113">
        <w:rPr>
          <w:rFonts w:ascii="Times New Roman" w:hAnsi="Times New Roman" w:cs="Times New Roman"/>
          <w:sz w:val="24"/>
          <w:szCs w:val="24"/>
        </w:rPr>
        <w:t>“If a person turns to mediums and necromancers, whoring after them, I will set my face against that person and will cut him off from among his people. (Leviticus 20:6)</w:t>
      </w:r>
      <w:r w:rsidRPr="006B3113">
        <w:rPr>
          <w:rFonts w:ascii="Times New Roman" w:hAnsi="Times New Roman" w:cs="Times New Roman"/>
          <w:sz w:val="24"/>
          <w:szCs w:val="24"/>
          <w:vertAlign w:val="superscript"/>
        </w:rPr>
        <w:footnoteReference w:id="16"/>
      </w:r>
    </w:p>
    <w:p w14:paraId="00000016" w14:textId="77777777" w:rsidR="001233B2" w:rsidRPr="006B3113" w:rsidRDefault="001233B2">
      <w:pPr>
        <w:rPr>
          <w:rFonts w:ascii="Times New Roman" w:hAnsi="Times New Roman" w:cs="Times New Roman"/>
          <w:sz w:val="24"/>
          <w:szCs w:val="24"/>
        </w:rPr>
      </w:pPr>
    </w:p>
    <w:p w14:paraId="00000017"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Job 33:15, Moses defines a dream as “a vision of the night” which, when interpreted by divine means, would reveal God’s plan or a glimpse into the future. The Bible is rife with vision interpretation, from Daniel to Joseph, to those that saw the birth of Jesus and visions of end times. These men, though not dissimilar from verboten diviners, were referred to as “seers” and their form of interpretation was seemingly permissible in the eyes of God. </w:t>
      </w:r>
    </w:p>
    <w:p w14:paraId="00000018" w14:textId="77777777" w:rsidR="001233B2" w:rsidRPr="006B3113" w:rsidRDefault="001233B2">
      <w:pPr>
        <w:rPr>
          <w:rFonts w:ascii="Times New Roman" w:hAnsi="Times New Roman" w:cs="Times New Roman"/>
          <w:sz w:val="24"/>
          <w:szCs w:val="24"/>
        </w:rPr>
      </w:pPr>
    </w:p>
    <w:p w14:paraId="00000019"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Daniel was one such noted seer, who allegedly penned the Book of Daniel, detailing his time in Babylon and his apocalyptic premonitions. In Daniel 2:2-3 it is noted that “the king commanded to call the magicians, and the astrologers, and the sorcerers, and the Chaldeans, for to shew the king his dreams. So they came and stood before the king. And the king said unto them, I have dreamed a dream, and my spirit was troubled to know the dream.” When these men are unable to interpret the King’s dreams to his liking, Daniel is brought in. It is then that Daniel asserts that these diviners failed because, “there is a God in heaven that revealeth secrets, and maketh known to the king Nebuchadnezzar what shall be in the latter days.”</w:t>
      </w:r>
      <w:r w:rsidRPr="006B3113">
        <w:rPr>
          <w:rFonts w:ascii="Times New Roman" w:hAnsi="Times New Roman" w:cs="Times New Roman"/>
          <w:sz w:val="24"/>
          <w:szCs w:val="24"/>
          <w:vertAlign w:val="superscript"/>
        </w:rPr>
        <w:footnoteReference w:id="17"/>
      </w:r>
    </w:p>
    <w:p w14:paraId="0000001A" w14:textId="77777777" w:rsidR="001233B2" w:rsidRPr="006B3113" w:rsidRDefault="001233B2">
      <w:pPr>
        <w:rPr>
          <w:rFonts w:ascii="Times New Roman" w:hAnsi="Times New Roman" w:cs="Times New Roman"/>
          <w:sz w:val="24"/>
          <w:szCs w:val="24"/>
        </w:rPr>
      </w:pPr>
    </w:p>
    <w:p w14:paraId="0000001B"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Later, Daniel shares his own supernatural dream, “In the first year of Belshazzar king of Babylon Daniel had a dream and visions of his head upon his bed: then he wrote the dream, and told the sum of the matters.”</w:t>
      </w:r>
      <w:r w:rsidRPr="006B3113">
        <w:rPr>
          <w:rFonts w:ascii="Times New Roman" w:hAnsi="Times New Roman" w:cs="Times New Roman"/>
          <w:sz w:val="24"/>
          <w:szCs w:val="24"/>
          <w:vertAlign w:val="superscript"/>
        </w:rPr>
        <w:footnoteReference w:id="18"/>
      </w:r>
      <w:r w:rsidRPr="006B3113">
        <w:rPr>
          <w:rFonts w:ascii="Times New Roman" w:hAnsi="Times New Roman" w:cs="Times New Roman"/>
          <w:sz w:val="24"/>
          <w:szCs w:val="24"/>
        </w:rPr>
        <w:t xml:space="preserve"> The dream foretells a future where the world split into four kingdoms and  ruled by a ‘son of man’. “Daniel was grieved in my spirit in the midst of my body, and the visions of my head troubled me. I came near unto one of them that stood by, and asked him the </w:t>
      </w:r>
      <w:r w:rsidRPr="006B3113">
        <w:rPr>
          <w:rFonts w:ascii="Times New Roman" w:hAnsi="Times New Roman" w:cs="Times New Roman"/>
          <w:sz w:val="24"/>
          <w:szCs w:val="24"/>
        </w:rPr>
        <w:lastRenderedPageBreak/>
        <w:t>truth of all this. So he told me, and made me know the interpretation of the things.”</w:t>
      </w:r>
      <w:r w:rsidRPr="006B3113">
        <w:rPr>
          <w:rFonts w:ascii="Times New Roman" w:hAnsi="Times New Roman" w:cs="Times New Roman"/>
          <w:sz w:val="24"/>
          <w:szCs w:val="24"/>
          <w:vertAlign w:val="superscript"/>
        </w:rPr>
        <w:footnoteReference w:id="19"/>
      </w:r>
      <w:r w:rsidRPr="006B3113">
        <w:rPr>
          <w:rFonts w:ascii="Times New Roman" w:hAnsi="Times New Roman" w:cs="Times New Roman"/>
          <w:sz w:val="24"/>
          <w:szCs w:val="24"/>
        </w:rPr>
        <w:t xml:space="preserve"> His vision was filled with beasts made up of multiple animals — lions, leopards, and rams with various horns, wings, and claws. Does this preternatural dream exist outside of the same practices that “those diviners employ art, who, having learned the known by observation, seek the unknown by deduction?”</w:t>
      </w:r>
      <w:r w:rsidRPr="006B3113">
        <w:rPr>
          <w:rFonts w:ascii="Times New Roman" w:hAnsi="Times New Roman" w:cs="Times New Roman"/>
          <w:sz w:val="24"/>
          <w:szCs w:val="24"/>
          <w:vertAlign w:val="superscript"/>
        </w:rPr>
        <w:footnoteReference w:id="20"/>
      </w:r>
      <w:r w:rsidRPr="006B3113">
        <w:rPr>
          <w:rFonts w:ascii="Times New Roman" w:hAnsi="Times New Roman" w:cs="Times New Roman"/>
          <w:sz w:val="24"/>
          <w:szCs w:val="24"/>
        </w:rPr>
        <w:t xml:space="preserve"> How is that Daniel arrived at the conclusion that four beasts foretold the future of the kingdoms of Israel? Perhaps this is little more than, in his refutation of divination, Cicero’s assertion that these visions are, “unaided by reason or deduction or by signs which have been observed and recorded, forecast the future while under the influence of mental excitement, or of some free and unrestrained emotion. This condition often occurs to men while dreaming and sometimes to persons who prophesy while in a frenzy.”</w:t>
      </w:r>
      <w:r w:rsidRPr="006B3113">
        <w:rPr>
          <w:rFonts w:ascii="Times New Roman" w:hAnsi="Times New Roman" w:cs="Times New Roman"/>
          <w:sz w:val="24"/>
          <w:szCs w:val="24"/>
          <w:vertAlign w:val="superscript"/>
        </w:rPr>
        <w:footnoteReference w:id="21"/>
      </w:r>
      <w:r w:rsidRPr="006B3113">
        <w:rPr>
          <w:rFonts w:ascii="Times New Roman" w:hAnsi="Times New Roman" w:cs="Times New Roman"/>
          <w:sz w:val="24"/>
          <w:szCs w:val="24"/>
        </w:rPr>
        <w:t xml:space="preserve"> </w:t>
      </w:r>
    </w:p>
    <w:p w14:paraId="0000001C" w14:textId="77777777" w:rsidR="001233B2" w:rsidRPr="006B3113" w:rsidRDefault="001233B2">
      <w:pPr>
        <w:rPr>
          <w:rFonts w:ascii="Times New Roman" w:hAnsi="Times New Roman" w:cs="Times New Roman"/>
          <w:sz w:val="24"/>
          <w:szCs w:val="24"/>
        </w:rPr>
      </w:pPr>
    </w:p>
    <w:p w14:paraId="0000001D"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In Genesis, the first book of the Bible, Joseph is called upon to interpret the dreams of two prisoners, the Pharaoh’s cupbearer and baker. Interestingly, Joseph’s interpretation of the baker’s dreams also utilizes the practice of augury, within the imagery of the vision:</w:t>
      </w:r>
    </w:p>
    <w:p w14:paraId="0000001E" w14:textId="77777777" w:rsidR="001233B2" w:rsidRPr="006B3113" w:rsidRDefault="001233B2">
      <w:pPr>
        <w:rPr>
          <w:rFonts w:ascii="Times New Roman" w:hAnsi="Times New Roman" w:cs="Times New Roman"/>
          <w:sz w:val="24"/>
          <w:szCs w:val="24"/>
        </w:rPr>
      </w:pPr>
    </w:p>
    <w:p w14:paraId="0000001F" w14:textId="77777777" w:rsidR="001233B2" w:rsidRPr="006B3113" w:rsidRDefault="00413322">
      <w:pPr>
        <w:ind w:left="1440" w:right="1440"/>
        <w:rPr>
          <w:rFonts w:ascii="Times New Roman" w:hAnsi="Times New Roman" w:cs="Times New Roman"/>
          <w:sz w:val="24"/>
          <w:szCs w:val="24"/>
        </w:rPr>
      </w:pPr>
      <w:r w:rsidRPr="006B3113">
        <w:rPr>
          <w:rFonts w:ascii="Times New Roman" w:hAnsi="Times New Roman" w:cs="Times New Roman"/>
          <w:sz w:val="24"/>
          <w:szCs w:val="24"/>
        </w:rPr>
        <w:t>“I also had a dream: there were three cake baskets on my head, and in the uppermost basket there were all sorts of baked food for Pharaoh, but the birds were eating it out of the basket on my head.” And Joseph answered and said, “This is its interpretation: the three baskets are three days. In three days Pharaoh will lift up your head—from you!—and hang you on a tree. And the birds will eat the flesh from you.”</w:t>
      </w:r>
      <w:r w:rsidRPr="006B3113">
        <w:rPr>
          <w:rFonts w:ascii="Times New Roman" w:hAnsi="Times New Roman" w:cs="Times New Roman"/>
          <w:sz w:val="24"/>
          <w:szCs w:val="24"/>
          <w:vertAlign w:val="superscript"/>
        </w:rPr>
        <w:footnoteReference w:id="22"/>
      </w:r>
    </w:p>
    <w:p w14:paraId="00000020" w14:textId="77777777" w:rsidR="001233B2" w:rsidRPr="006B3113" w:rsidRDefault="001233B2">
      <w:pPr>
        <w:rPr>
          <w:rFonts w:ascii="Times New Roman" w:hAnsi="Times New Roman" w:cs="Times New Roman"/>
          <w:sz w:val="24"/>
          <w:szCs w:val="24"/>
        </w:rPr>
      </w:pPr>
    </w:p>
    <w:p w14:paraId="00000021"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If Cicero were to approach this encounter with the same scrutiny he offers towards divination, he might suppose that it is easy to predict that a man held as prisoner might be put to death. In this particular case, he even has a 50-50 odds for getting his interpretation correct. Furthermore, readers of Genesis are given no indication as to </w:t>
      </w:r>
      <w:r w:rsidRPr="006B3113">
        <w:rPr>
          <w:rFonts w:ascii="Times New Roman" w:hAnsi="Times New Roman" w:cs="Times New Roman"/>
          <w:i/>
          <w:sz w:val="24"/>
          <w:szCs w:val="24"/>
        </w:rPr>
        <w:t xml:space="preserve">why </w:t>
      </w:r>
      <w:r w:rsidRPr="006B3113">
        <w:rPr>
          <w:rFonts w:ascii="Times New Roman" w:hAnsi="Times New Roman" w:cs="Times New Roman"/>
          <w:sz w:val="24"/>
          <w:szCs w:val="24"/>
        </w:rPr>
        <w:t>these men were being held in prison — a detail Joseph would have had during his interpretation. In his conversations with his brother, Cicero notes, “it is when death is at hand that men most readily discern signs of the future.”</w:t>
      </w:r>
      <w:r w:rsidRPr="006B3113">
        <w:rPr>
          <w:rFonts w:ascii="Times New Roman" w:hAnsi="Times New Roman" w:cs="Times New Roman"/>
          <w:sz w:val="24"/>
          <w:szCs w:val="24"/>
          <w:vertAlign w:val="superscript"/>
        </w:rPr>
        <w:footnoteReference w:id="23"/>
      </w:r>
      <w:r w:rsidRPr="006B3113">
        <w:rPr>
          <w:rFonts w:ascii="Times New Roman" w:hAnsi="Times New Roman" w:cs="Times New Roman"/>
          <w:sz w:val="24"/>
          <w:szCs w:val="24"/>
        </w:rPr>
        <w:t xml:space="preserve"> </w:t>
      </w:r>
    </w:p>
    <w:p w14:paraId="00000022" w14:textId="77777777" w:rsidR="001233B2" w:rsidRPr="006B3113" w:rsidRDefault="001233B2">
      <w:pPr>
        <w:rPr>
          <w:rFonts w:ascii="Times New Roman" w:hAnsi="Times New Roman" w:cs="Times New Roman"/>
          <w:sz w:val="24"/>
          <w:szCs w:val="24"/>
        </w:rPr>
      </w:pPr>
    </w:p>
    <w:p w14:paraId="00000023"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Joseph also offers an interesting approach to avoid being categorized among the sorcerers, diviners, and other mystics who have previously failed the Pharaoh, by absolving himself of being the true source of interpretation. “And Pharaoh said to Joseph, “I have had a dream, and there is no one who can interpret it. I have heard it said of you that when you hear a dream you </w:t>
      </w:r>
      <w:r w:rsidRPr="006B3113">
        <w:rPr>
          <w:rFonts w:ascii="Times New Roman" w:hAnsi="Times New Roman" w:cs="Times New Roman"/>
          <w:sz w:val="24"/>
          <w:szCs w:val="24"/>
        </w:rPr>
        <w:lastRenderedPageBreak/>
        <w:t>can interpret it.” Joseph answered Pharaoh, “It is not in me; God will give Pharaoh a favorable answer.”</w:t>
      </w:r>
      <w:r w:rsidRPr="006B3113">
        <w:rPr>
          <w:rFonts w:ascii="Times New Roman" w:hAnsi="Times New Roman" w:cs="Times New Roman"/>
          <w:sz w:val="24"/>
          <w:szCs w:val="24"/>
          <w:vertAlign w:val="superscript"/>
        </w:rPr>
        <w:footnoteReference w:id="24"/>
      </w:r>
      <w:r w:rsidRPr="006B3113">
        <w:rPr>
          <w:rFonts w:ascii="Times New Roman" w:hAnsi="Times New Roman" w:cs="Times New Roman"/>
          <w:sz w:val="24"/>
          <w:szCs w:val="24"/>
        </w:rPr>
        <w:t xml:space="preserve"> Though, is it not equally true that diviners call upon their own variation of god to intercede on their behalf? As Cicero explains, the “three ways in which men dream as the result of divine impulse: first, the soul is clairvoyant of itself because of its kinship with the gods; second, the air is full of immortal souls, already clearly stamped, as it were, with the marks of truth; and third, the gods in person converse with men when they are asleep.”</w:t>
      </w:r>
      <w:r w:rsidRPr="006B3113">
        <w:rPr>
          <w:rFonts w:ascii="Times New Roman" w:hAnsi="Times New Roman" w:cs="Times New Roman"/>
          <w:sz w:val="24"/>
          <w:szCs w:val="24"/>
          <w:vertAlign w:val="superscript"/>
        </w:rPr>
        <w:footnoteReference w:id="25"/>
      </w:r>
      <w:r w:rsidRPr="006B3113">
        <w:rPr>
          <w:rFonts w:ascii="Times New Roman" w:hAnsi="Times New Roman" w:cs="Times New Roman"/>
          <w:sz w:val="24"/>
          <w:szCs w:val="24"/>
        </w:rPr>
        <w:t xml:space="preserve"> </w:t>
      </w:r>
    </w:p>
    <w:p w14:paraId="00000024" w14:textId="77777777" w:rsidR="001233B2" w:rsidRPr="006B3113" w:rsidRDefault="001233B2">
      <w:pPr>
        <w:rPr>
          <w:rFonts w:ascii="Times New Roman" w:hAnsi="Times New Roman" w:cs="Times New Roman"/>
          <w:sz w:val="24"/>
          <w:szCs w:val="24"/>
        </w:rPr>
      </w:pPr>
    </w:p>
    <w:p w14:paraId="00000025" w14:textId="2E260A69"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Another occurrence of magic in the Bible occurs in the </w:t>
      </w:r>
      <w:r w:rsidR="00F67E1C" w:rsidRPr="006B3113">
        <w:rPr>
          <w:rFonts w:ascii="Times New Roman" w:hAnsi="Times New Roman" w:cs="Times New Roman"/>
          <w:sz w:val="24"/>
          <w:szCs w:val="24"/>
        </w:rPr>
        <w:t>B</w:t>
      </w:r>
      <w:r w:rsidRPr="006B3113">
        <w:rPr>
          <w:rFonts w:ascii="Times New Roman" w:hAnsi="Times New Roman" w:cs="Times New Roman"/>
          <w:sz w:val="24"/>
          <w:szCs w:val="24"/>
        </w:rPr>
        <w:t>ook of Samuel, when King Saul said to his servants, “Find me a woman who is a medium, that I may go to her and inquire of her.” And his servants said to him, “In fact, there is a woman who is a medium at En Dor.”</w:t>
      </w:r>
      <w:r w:rsidRPr="006B3113">
        <w:rPr>
          <w:rFonts w:ascii="Times New Roman" w:hAnsi="Times New Roman" w:cs="Times New Roman"/>
          <w:sz w:val="24"/>
          <w:szCs w:val="24"/>
          <w:vertAlign w:val="superscript"/>
        </w:rPr>
        <w:footnoteReference w:id="26"/>
      </w:r>
      <w:r w:rsidRPr="006B3113">
        <w:rPr>
          <w:rFonts w:ascii="Times New Roman" w:hAnsi="Times New Roman" w:cs="Times New Roman"/>
          <w:sz w:val="24"/>
          <w:szCs w:val="24"/>
        </w:rPr>
        <w:t xml:space="preserve"> Saul conceals his identity and calls upon the aid of a medium to consort with Samuel, who is deceased. The medium says to him, “Look, you know what Saul has done, how he has cut off the mediums and the spiritists from the land. Why then do you lay a snare for my life, to cause me to die?” Which prompts Saul to swear to her in the Lord’s name that, “As the Lord lives, no punishment shall come upon you for this thing.”</w:t>
      </w:r>
      <w:r w:rsidRPr="006B3113">
        <w:rPr>
          <w:rFonts w:ascii="Times New Roman" w:hAnsi="Times New Roman" w:cs="Times New Roman"/>
          <w:sz w:val="24"/>
          <w:szCs w:val="24"/>
          <w:vertAlign w:val="superscript"/>
        </w:rPr>
        <w:footnoteReference w:id="27"/>
      </w:r>
      <w:r w:rsidRPr="006B3113">
        <w:rPr>
          <w:rFonts w:ascii="Times New Roman" w:hAnsi="Times New Roman" w:cs="Times New Roman"/>
          <w:sz w:val="24"/>
          <w:szCs w:val="24"/>
        </w:rPr>
        <w:t xml:space="preserve"> In this instance, Saul has lost the favor of God and has to resort to using a medium to contact Samuel to intercede for him with God. This situation seems to be in opposition with the rules set out within the Bible, which states that consorting with mediums causes a person to be defiled</w:t>
      </w:r>
      <w:r w:rsidRPr="006B3113">
        <w:rPr>
          <w:rFonts w:ascii="Times New Roman" w:hAnsi="Times New Roman" w:cs="Times New Roman"/>
          <w:sz w:val="24"/>
          <w:szCs w:val="24"/>
          <w:vertAlign w:val="superscript"/>
        </w:rPr>
        <w:footnoteReference w:id="28"/>
      </w:r>
      <w:r w:rsidRPr="006B3113">
        <w:rPr>
          <w:rFonts w:ascii="Times New Roman" w:hAnsi="Times New Roman" w:cs="Times New Roman"/>
          <w:sz w:val="24"/>
          <w:szCs w:val="24"/>
        </w:rPr>
        <w:t xml:space="preserve"> and cut off from the Lord.</w:t>
      </w:r>
      <w:r w:rsidRPr="006B3113">
        <w:rPr>
          <w:rFonts w:ascii="Times New Roman" w:hAnsi="Times New Roman" w:cs="Times New Roman"/>
          <w:sz w:val="24"/>
          <w:szCs w:val="24"/>
          <w:vertAlign w:val="superscript"/>
        </w:rPr>
        <w:footnoteReference w:id="29"/>
      </w:r>
      <w:r w:rsidRPr="006B3113">
        <w:rPr>
          <w:rFonts w:ascii="Times New Roman" w:hAnsi="Times New Roman" w:cs="Times New Roman"/>
          <w:sz w:val="24"/>
          <w:szCs w:val="24"/>
        </w:rPr>
        <w:t xml:space="preserve"> If Saul has already been cut off from the Lord, why is it then that Samuel even allows himself to be summoned from beyond the grave to commune with him? This is just one of many fallacies within the Bible that are at odds with the defined conceptualization of bad magic and good divine intervention. </w:t>
      </w:r>
    </w:p>
    <w:p w14:paraId="00000026" w14:textId="77777777" w:rsidR="001233B2" w:rsidRPr="006B3113" w:rsidRDefault="001233B2">
      <w:pPr>
        <w:rPr>
          <w:rFonts w:ascii="Times New Roman" w:hAnsi="Times New Roman" w:cs="Times New Roman"/>
          <w:sz w:val="24"/>
          <w:szCs w:val="24"/>
        </w:rPr>
      </w:pPr>
    </w:p>
    <w:p w14:paraId="00000027" w14:textId="723083AC"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In the Book of Acts, which was written in 250 A.D., it was written that newly converted Ephesians “many of those who had practiced magic brought their books together and burned them in the sight of all.”</w:t>
      </w:r>
      <w:r w:rsidRPr="006B3113">
        <w:rPr>
          <w:rFonts w:ascii="Times New Roman" w:hAnsi="Times New Roman" w:cs="Times New Roman"/>
          <w:sz w:val="24"/>
          <w:szCs w:val="24"/>
          <w:vertAlign w:val="superscript"/>
        </w:rPr>
        <w:footnoteReference w:id="30"/>
      </w:r>
      <w:r w:rsidRPr="006B3113">
        <w:rPr>
          <w:rFonts w:ascii="Times New Roman" w:hAnsi="Times New Roman" w:cs="Times New Roman"/>
          <w:sz w:val="24"/>
          <w:szCs w:val="24"/>
        </w:rPr>
        <w:t xml:space="preserve"> As</w:t>
      </w:r>
      <w:r w:rsidR="00F67E1C" w:rsidRPr="006B3113">
        <w:rPr>
          <w:rFonts w:ascii="Times New Roman" w:hAnsi="Times New Roman" w:cs="Times New Roman"/>
          <w:sz w:val="24"/>
          <w:szCs w:val="24"/>
        </w:rPr>
        <w:t xml:space="preserve"> Manuel García</w:t>
      </w:r>
      <w:r w:rsidRPr="006B3113">
        <w:rPr>
          <w:rFonts w:ascii="Times New Roman" w:hAnsi="Times New Roman" w:cs="Times New Roman"/>
          <w:sz w:val="24"/>
          <w:szCs w:val="24"/>
        </w:rPr>
        <w:t xml:space="preserve"> Teijeiro </w:t>
      </w:r>
      <w:r w:rsidR="00F67E1C" w:rsidRPr="006B3113">
        <w:rPr>
          <w:rFonts w:ascii="Times New Roman" w:hAnsi="Times New Roman" w:cs="Times New Roman"/>
          <w:sz w:val="24"/>
          <w:szCs w:val="24"/>
        </w:rPr>
        <w:t>explained</w:t>
      </w:r>
      <w:r w:rsidRPr="006B3113">
        <w:rPr>
          <w:rFonts w:ascii="Times New Roman" w:hAnsi="Times New Roman" w:cs="Times New Roman"/>
          <w:sz w:val="24"/>
          <w:szCs w:val="24"/>
        </w:rPr>
        <w:t>, when Christianity was adopted as the official religion throughout the Roman empire, it provided a justification for the persecution of those who practiced magic.</w:t>
      </w:r>
      <w:r w:rsidRPr="006B3113">
        <w:rPr>
          <w:rFonts w:ascii="Times New Roman" w:hAnsi="Times New Roman" w:cs="Times New Roman"/>
          <w:sz w:val="24"/>
          <w:szCs w:val="24"/>
          <w:vertAlign w:val="superscript"/>
        </w:rPr>
        <w:footnoteReference w:id="31"/>
      </w:r>
      <w:r w:rsidRPr="006B3113">
        <w:rPr>
          <w:rFonts w:ascii="Times New Roman" w:hAnsi="Times New Roman" w:cs="Times New Roman"/>
          <w:sz w:val="24"/>
          <w:szCs w:val="24"/>
        </w:rPr>
        <w:t xml:space="preserve"> </w:t>
      </w:r>
    </w:p>
    <w:p w14:paraId="00000028" w14:textId="3A16F9CF" w:rsidR="001233B2" w:rsidRDefault="001233B2">
      <w:pPr>
        <w:rPr>
          <w:rFonts w:ascii="Times New Roman" w:hAnsi="Times New Roman" w:cs="Times New Roman"/>
          <w:sz w:val="24"/>
          <w:szCs w:val="24"/>
        </w:rPr>
      </w:pPr>
    </w:p>
    <w:p w14:paraId="1E7A54F1" w14:textId="561953C0" w:rsidR="006B3113" w:rsidRDefault="006B3113">
      <w:pPr>
        <w:rPr>
          <w:rFonts w:ascii="Times New Roman" w:hAnsi="Times New Roman" w:cs="Times New Roman"/>
          <w:sz w:val="24"/>
          <w:szCs w:val="24"/>
        </w:rPr>
      </w:pPr>
    </w:p>
    <w:p w14:paraId="24AEE16A" w14:textId="640A723A" w:rsidR="006B3113" w:rsidRDefault="006B3113">
      <w:pPr>
        <w:rPr>
          <w:rFonts w:ascii="Times New Roman" w:hAnsi="Times New Roman" w:cs="Times New Roman"/>
          <w:sz w:val="24"/>
          <w:szCs w:val="24"/>
        </w:rPr>
      </w:pPr>
    </w:p>
    <w:p w14:paraId="7FCD0949" w14:textId="77777777" w:rsidR="006B3113" w:rsidRPr="006B3113" w:rsidRDefault="006B3113">
      <w:pPr>
        <w:rPr>
          <w:rFonts w:ascii="Times New Roman" w:hAnsi="Times New Roman" w:cs="Times New Roman"/>
          <w:sz w:val="24"/>
          <w:szCs w:val="24"/>
        </w:rPr>
      </w:pPr>
    </w:p>
    <w:p w14:paraId="00000029"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b/>
          <w:sz w:val="24"/>
          <w:szCs w:val="24"/>
          <w:u w:val="single"/>
        </w:rPr>
        <w:lastRenderedPageBreak/>
        <w:t>Rationalizing Magic</w:t>
      </w:r>
    </w:p>
    <w:p w14:paraId="6EEAA05D" w14:textId="77777777" w:rsidR="006B3113" w:rsidRDefault="006B3113">
      <w:pPr>
        <w:rPr>
          <w:rFonts w:ascii="Times New Roman" w:hAnsi="Times New Roman" w:cs="Times New Roman"/>
          <w:sz w:val="24"/>
          <w:szCs w:val="24"/>
        </w:rPr>
      </w:pPr>
    </w:p>
    <w:p w14:paraId="0000002B" w14:textId="49A58BA2"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While the Bible attempts to rationalize that these magical occurrences are acts of God, rather than the acts of heretics, they are no different than the acts of the gods seen throughout the realm of Roman and Grecian divination and magic. As Marcus Cicero’s brother Quintus opined, “if the kinds of divination which we have inherited from our forefathers and now practise are trustworthy, then there are gods and, conversely, if there are gods then there are men who have the power of divination.”</w:t>
      </w:r>
      <w:r w:rsidRPr="006B3113">
        <w:rPr>
          <w:rFonts w:ascii="Times New Roman" w:hAnsi="Times New Roman" w:cs="Times New Roman"/>
          <w:sz w:val="24"/>
          <w:szCs w:val="24"/>
          <w:vertAlign w:val="superscript"/>
        </w:rPr>
        <w:footnoteReference w:id="32"/>
      </w:r>
      <w:r w:rsidRPr="006B3113">
        <w:rPr>
          <w:rFonts w:ascii="Times New Roman" w:hAnsi="Times New Roman" w:cs="Times New Roman"/>
          <w:sz w:val="24"/>
          <w:szCs w:val="24"/>
        </w:rPr>
        <w:t xml:space="preserve"> </w:t>
      </w:r>
    </w:p>
    <w:p w14:paraId="0000002C" w14:textId="77777777" w:rsidR="001233B2" w:rsidRPr="006B3113" w:rsidRDefault="001233B2">
      <w:pPr>
        <w:rPr>
          <w:rFonts w:ascii="Times New Roman" w:hAnsi="Times New Roman" w:cs="Times New Roman"/>
          <w:sz w:val="24"/>
          <w:szCs w:val="24"/>
        </w:rPr>
      </w:pPr>
    </w:p>
    <w:p w14:paraId="0000002D"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Perhaps this dichotomy is to blame for the way in which divination has been addressed in scholarly forums. As Esther Hamori noted, it was the “scholarly tendency to accept at face value certain Biblical polemics referring to ‘divination’ as false and foreign, in spite of other Biblical traditions that present numerous forms of divination as authentic, Israelite, and legitimate.”</w:t>
      </w:r>
      <w:r w:rsidRPr="006B3113">
        <w:rPr>
          <w:rFonts w:ascii="Times New Roman" w:hAnsi="Times New Roman" w:cs="Times New Roman"/>
          <w:sz w:val="24"/>
          <w:szCs w:val="24"/>
          <w:vertAlign w:val="superscript"/>
        </w:rPr>
        <w:footnoteReference w:id="33"/>
      </w:r>
      <w:r w:rsidRPr="006B3113">
        <w:rPr>
          <w:rFonts w:ascii="Times New Roman" w:hAnsi="Times New Roman" w:cs="Times New Roman"/>
          <w:sz w:val="24"/>
          <w:szCs w:val="24"/>
        </w:rPr>
        <w:t xml:space="preserve"> Wherein, most frequently, magic was used in a negative context, often only to contrast the legitimacy of religion. This contrast between magic and religion was born out of an intentional goal to ostracise practitioners of magic, with the goal of legitimizing the divinity of religious conventions.</w:t>
      </w:r>
    </w:p>
    <w:p w14:paraId="0000002E" w14:textId="77777777" w:rsidR="001233B2" w:rsidRPr="006B3113" w:rsidRDefault="001233B2">
      <w:pPr>
        <w:rPr>
          <w:rFonts w:ascii="Times New Roman" w:hAnsi="Times New Roman" w:cs="Times New Roman"/>
          <w:sz w:val="24"/>
          <w:szCs w:val="24"/>
        </w:rPr>
      </w:pPr>
    </w:p>
    <w:p w14:paraId="0000002F"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Book II of </w:t>
      </w:r>
      <w:r w:rsidRPr="006B3113">
        <w:rPr>
          <w:rFonts w:ascii="Times New Roman" w:hAnsi="Times New Roman" w:cs="Times New Roman"/>
          <w:i/>
          <w:sz w:val="24"/>
          <w:szCs w:val="24"/>
        </w:rPr>
        <w:t>De Divinatione</w:t>
      </w:r>
      <w:r w:rsidRPr="006B3113">
        <w:rPr>
          <w:rFonts w:ascii="Times New Roman" w:hAnsi="Times New Roman" w:cs="Times New Roman"/>
          <w:sz w:val="24"/>
          <w:szCs w:val="24"/>
        </w:rPr>
        <w:t>, Cicero underscores the practices of sacrificial divination as unpredictable fallacy.</w:t>
      </w:r>
      <w:r w:rsidRPr="006B3113">
        <w:rPr>
          <w:rFonts w:ascii="Times New Roman" w:hAnsi="Times New Roman" w:cs="Times New Roman"/>
          <w:sz w:val="24"/>
          <w:szCs w:val="24"/>
          <w:vertAlign w:val="superscript"/>
        </w:rPr>
        <w:footnoteReference w:id="34"/>
      </w:r>
      <w:r w:rsidRPr="006B3113">
        <w:rPr>
          <w:rFonts w:ascii="Times New Roman" w:hAnsi="Times New Roman" w:cs="Times New Roman"/>
          <w:sz w:val="24"/>
          <w:szCs w:val="24"/>
        </w:rPr>
        <w:t xml:space="preserve"> In discourse with his brother, he also reflects on the transformatory properties of the sacrificial victim’s body, noting, “it may be that the choice of a sacrificial victim is guided by an intelligent force, which is diffused throughout the universe; or, it may be that at the moment when the sacrifice is offered, a change in the vitals occurs and something is added or taken away; for many things are added to, changed, or diminished in an instant of time.</w:t>
      </w:r>
      <w:r w:rsidRPr="006B3113">
        <w:rPr>
          <w:rFonts w:ascii="Times New Roman" w:hAnsi="Times New Roman" w:cs="Times New Roman"/>
          <w:sz w:val="24"/>
          <w:szCs w:val="24"/>
          <w:vertAlign w:val="superscript"/>
        </w:rPr>
        <w:footnoteReference w:id="35"/>
      </w:r>
      <w:r w:rsidRPr="006B3113">
        <w:rPr>
          <w:rFonts w:ascii="Times New Roman" w:hAnsi="Times New Roman" w:cs="Times New Roman"/>
          <w:sz w:val="24"/>
          <w:szCs w:val="24"/>
        </w:rPr>
        <w:t xml:space="preserve"> Is this not dissimilar then to the Catholic Church’s pursuit of reliquaries? After all, “in order for relics to be viewed as sacred, Christians have relied upon their faith that the religious leaders and other prominent figures were capable of performing miracles with divine assistance — a belief that persisted even posthumously into sainthood. This belief helped to form a religious culture that was reliant upon the sacred relics which were imbued with divine power.”</w:t>
      </w:r>
      <w:r w:rsidRPr="006B3113">
        <w:rPr>
          <w:rFonts w:ascii="Times New Roman" w:hAnsi="Times New Roman" w:cs="Times New Roman"/>
          <w:sz w:val="24"/>
          <w:szCs w:val="24"/>
          <w:vertAlign w:val="superscript"/>
        </w:rPr>
        <w:footnoteReference w:id="36"/>
      </w:r>
      <w:r w:rsidRPr="006B3113">
        <w:rPr>
          <w:rFonts w:ascii="Times New Roman" w:hAnsi="Times New Roman" w:cs="Times New Roman"/>
          <w:sz w:val="24"/>
          <w:szCs w:val="24"/>
        </w:rPr>
        <w:t xml:space="preserve"> </w:t>
      </w:r>
    </w:p>
    <w:p w14:paraId="00000030" w14:textId="77777777" w:rsidR="001233B2" w:rsidRPr="006B3113" w:rsidRDefault="001233B2">
      <w:pPr>
        <w:rPr>
          <w:rFonts w:ascii="Times New Roman" w:hAnsi="Times New Roman" w:cs="Times New Roman"/>
          <w:sz w:val="24"/>
          <w:szCs w:val="24"/>
        </w:rPr>
      </w:pPr>
    </w:p>
    <w:p w14:paraId="00000031"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his great work, </w:t>
      </w:r>
      <w:r w:rsidRPr="006B3113">
        <w:rPr>
          <w:rFonts w:ascii="Times New Roman" w:hAnsi="Times New Roman" w:cs="Times New Roman"/>
          <w:i/>
          <w:sz w:val="24"/>
          <w:szCs w:val="24"/>
        </w:rPr>
        <w:t>The Elemental Forms of Religious Life</w:t>
      </w:r>
      <w:r w:rsidRPr="006B3113">
        <w:rPr>
          <w:rFonts w:ascii="Times New Roman" w:hAnsi="Times New Roman" w:cs="Times New Roman"/>
          <w:sz w:val="24"/>
          <w:szCs w:val="24"/>
        </w:rPr>
        <w:t xml:space="preserve">, Émile Durkheim explores the concept of placing power into the human body: ‘the cult of relics shows that for a host of believers even today, the soul of a saint, with all its essential powers, continues to adhere to his different bones; </w:t>
      </w:r>
      <w:r w:rsidRPr="006B3113">
        <w:rPr>
          <w:rFonts w:ascii="Times New Roman" w:hAnsi="Times New Roman" w:cs="Times New Roman"/>
          <w:sz w:val="24"/>
          <w:szCs w:val="24"/>
        </w:rPr>
        <w:lastRenderedPageBreak/>
        <w:t>and this implies that he is believed to be able to diffuse himself, subdivide himself and incorporate himself in all sorts of different things simultaneously’</w:t>
      </w:r>
      <w:r w:rsidRPr="006B3113">
        <w:rPr>
          <w:rFonts w:ascii="Times New Roman" w:hAnsi="Times New Roman" w:cs="Times New Roman"/>
          <w:sz w:val="24"/>
          <w:szCs w:val="24"/>
          <w:vertAlign w:val="superscript"/>
        </w:rPr>
        <w:footnoteReference w:id="37"/>
      </w:r>
      <w:r w:rsidRPr="006B3113">
        <w:rPr>
          <w:rFonts w:ascii="Times New Roman" w:hAnsi="Times New Roman" w:cs="Times New Roman"/>
          <w:sz w:val="24"/>
          <w:szCs w:val="24"/>
        </w:rPr>
        <w:t>. Both divination and religion rely upon the human body to provide a supernatural understanding to the world, and “in many instances whether we call a particular rite magical or religious depends on which of the various proposed definitions we accept.</w:t>
      </w:r>
      <w:r w:rsidRPr="006B3113">
        <w:rPr>
          <w:rFonts w:ascii="Times New Roman" w:hAnsi="Times New Roman" w:cs="Times New Roman"/>
          <w:sz w:val="24"/>
          <w:szCs w:val="24"/>
          <w:vertAlign w:val="superscript"/>
        </w:rPr>
        <w:footnoteReference w:id="38"/>
      </w:r>
      <w:r w:rsidRPr="006B3113">
        <w:rPr>
          <w:rFonts w:ascii="Times New Roman" w:hAnsi="Times New Roman" w:cs="Times New Roman"/>
          <w:sz w:val="24"/>
          <w:szCs w:val="24"/>
        </w:rPr>
        <w:t xml:space="preserve"> </w:t>
      </w:r>
    </w:p>
    <w:p w14:paraId="00000032" w14:textId="77777777" w:rsidR="001233B2" w:rsidRPr="006B3113" w:rsidRDefault="001233B2">
      <w:pPr>
        <w:rPr>
          <w:rFonts w:ascii="Times New Roman" w:hAnsi="Times New Roman" w:cs="Times New Roman"/>
          <w:sz w:val="24"/>
          <w:szCs w:val="24"/>
        </w:rPr>
      </w:pPr>
    </w:p>
    <w:p w14:paraId="00000033" w14:textId="5F7EB342"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utilization of magic has been mischaracterized since its advent in scholarly discourse. According to anthropologist, Sir Edward Burnett Tylor, magic and religion are two forces at odds with one another. Religion is about personal relationships between humans and spiritual forces, while magic is characterized as impersonal means to manipulate spiritual powers.</w:t>
      </w:r>
      <w:r w:rsidRPr="006B3113">
        <w:rPr>
          <w:rFonts w:ascii="Times New Roman" w:hAnsi="Times New Roman" w:cs="Times New Roman"/>
          <w:sz w:val="24"/>
          <w:szCs w:val="24"/>
          <w:vertAlign w:val="superscript"/>
        </w:rPr>
        <w:footnoteReference w:id="39"/>
      </w:r>
      <w:r w:rsidRPr="006B3113">
        <w:rPr>
          <w:rFonts w:ascii="Times New Roman" w:hAnsi="Times New Roman" w:cs="Times New Roman"/>
          <w:sz w:val="24"/>
          <w:szCs w:val="24"/>
        </w:rPr>
        <w:t xml:space="preserve"> I would argue that magic is not a means of manipulation and that</w:t>
      </w:r>
      <w:r w:rsidR="00F67E1C" w:rsidRPr="006B3113">
        <w:rPr>
          <w:rFonts w:ascii="Times New Roman" w:hAnsi="Times New Roman" w:cs="Times New Roman"/>
          <w:sz w:val="24"/>
          <w:szCs w:val="24"/>
        </w:rPr>
        <w:t>,</w:t>
      </w:r>
      <w:r w:rsidRPr="006B3113">
        <w:rPr>
          <w:rFonts w:ascii="Times New Roman" w:hAnsi="Times New Roman" w:cs="Times New Roman"/>
          <w:sz w:val="24"/>
          <w:szCs w:val="24"/>
        </w:rPr>
        <w:t xml:space="preserve"> the very notion that it is</w:t>
      </w:r>
      <w:r w:rsidR="00F67E1C" w:rsidRPr="006B3113">
        <w:rPr>
          <w:rFonts w:ascii="Times New Roman" w:hAnsi="Times New Roman" w:cs="Times New Roman"/>
          <w:sz w:val="24"/>
          <w:szCs w:val="24"/>
        </w:rPr>
        <w:t>,</w:t>
      </w:r>
      <w:r w:rsidRPr="006B3113">
        <w:rPr>
          <w:rFonts w:ascii="Times New Roman" w:hAnsi="Times New Roman" w:cs="Times New Roman"/>
          <w:sz w:val="24"/>
          <w:szCs w:val="24"/>
        </w:rPr>
        <w:t xml:space="preserve"> has been intentionally propagated by organized religion. Similar to Karl Marx’s structural-functionalist argument concerning religion as a balm to offer comfort, yet ultimately a tool to oppress the individual,</w:t>
      </w:r>
      <w:r w:rsidRPr="006B3113">
        <w:rPr>
          <w:rFonts w:ascii="Times New Roman" w:hAnsi="Times New Roman" w:cs="Times New Roman"/>
          <w:sz w:val="24"/>
          <w:szCs w:val="24"/>
          <w:vertAlign w:val="superscript"/>
        </w:rPr>
        <w:footnoteReference w:id="40"/>
      </w:r>
      <w:r w:rsidRPr="006B3113">
        <w:rPr>
          <w:rFonts w:ascii="Times New Roman" w:hAnsi="Times New Roman" w:cs="Times New Roman"/>
          <w:sz w:val="24"/>
          <w:szCs w:val="24"/>
        </w:rPr>
        <w:t xml:space="preserve"> it would benefit religious institutions to monopolize on the power of religious magic and divination to ensure that their followers are reliant only upon them. If magic, as Tylor noted, is an impersonal tool, then certainly religious followers would prefer the concept of a personal relationship with a higher being. Even Plato and fellow Greek philosophers were at a disagreement about the differences between </w:t>
      </w:r>
      <w:r w:rsidRPr="006B3113">
        <w:rPr>
          <w:rFonts w:ascii="Times New Roman" w:hAnsi="Times New Roman" w:cs="Times New Roman"/>
          <w:iCs/>
          <w:sz w:val="24"/>
          <w:szCs w:val="24"/>
        </w:rPr>
        <w:t>good</w:t>
      </w:r>
      <w:r w:rsidRPr="006B3113">
        <w:rPr>
          <w:rFonts w:ascii="Times New Roman" w:hAnsi="Times New Roman" w:cs="Times New Roman"/>
          <w:sz w:val="24"/>
          <w:szCs w:val="24"/>
        </w:rPr>
        <w:t xml:space="preserve"> and evil magic; a notion which is not dissimilar from the discourse in recent history.</w:t>
      </w:r>
      <w:r w:rsidRPr="006B3113">
        <w:rPr>
          <w:rFonts w:ascii="Times New Roman" w:hAnsi="Times New Roman" w:cs="Times New Roman"/>
          <w:sz w:val="24"/>
          <w:szCs w:val="24"/>
          <w:vertAlign w:val="superscript"/>
        </w:rPr>
        <w:footnoteReference w:id="41"/>
      </w:r>
      <w:r w:rsidRPr="006B3113">
        <w:rPr>
          <w:rFonts w:ascii="Times New Roman" w:hAnsi="Times New Roman" w:cs="Times New Roman"/>
          <w:sz w:val="24"/>
          <w:szCs w:val="24"/>
        </w:rPr>
        <w:t xml:space="preserve"> </w:t>
      </w:r>
    </w:p>
    <w:p w14:paraId="00000035" w14:textId="77777777" w:rsidR="001233B2" w:rsidRPr="006B3113" w:rsidRDefault="001233B2">
      <w:pPr>
        <w:rPr>
          <w:rFonts w:ascii="Times New Roman" w:hAnsi="Times New Roman" w:cs="Times New Roman"/>
          <w:sz w:val="24"/>
          <w:szCs w:val="24"/>
        </w:rPr>
      </w:pPr>
    </w:p>
    <w:p w14:paraId="00000036" w14:textId="77777777" w:rsidR="001233B2" w:rsidRPr="006B3113" w:rsidRDefault="00413322">
      <w:pPr>
        <w:rPr>
          <w:rFonts w:ascii="Times New Roman" w:hAnsi="Times New Roman" w:cs="Times New Roman"/>
          <w:b/>
          <w:sz w:val="24"/>
          <w:szCs w:val="24"/>
          <w:u w:val="single"/>
        </w:rPr>
      </w:pPr>
      <w:r w:rsidRPr="006B3113">
        <w:rPr>
          <w:rFonts w:ascii="Times New Roman" w:hAnsi="Times New Roman" w:cs="Times New Roman"/>
          <w:b/>
          <w:sz w:val="24"/>
          <w:szCs w:val="24"/>
          <w:u w:val="single"/>
        </w:rPr>
        <w:t xml:space="preserve">Conclusion </w:t>
      </w:r>
    </w:p>
    <w:p w14:paraId="00000037" w14:textId="77777777" w:rsidR="001233B2" w:rsidRPr="006B3113" w:rsidRDefault="001233B2">
      <w:pPr>
        <w:rPr>
          <w:rFonts w:ascii="Times New Roman" w:hAnsi="Times New Roman" w:cs="Times New Roman"/>
          <w:b/>
          <w:sz w:val="24"/>
          <w:szCs w:val="24"/>
          <w:u w:val="single"/>
        </w:rPr>
      </w:pPr>
    </w:p>
    <w:p w14:paraId="00000038" w14:textId="3DAA031F"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issue with the comparative analysis of magic and religion, is the fact that magic has been disproportionately regarded as a negative concept. Throughout anthropological debate on the topic, magic has been assigned as the practice of the primitive, wicked, or otherwise heretical individuals;</w:t>
      </w:r>
      <w:r w:rsidRPr="006B3113">
        <w:rPr>
          <w:rFonts w:ascii="Times New Roman" w:hAnsi="Times New Roman" w:cs="Times New Roman"/>
          <w:sz w:val="24"/>
          <w:szCs w:val="24"/>
          <w:vertAlign w:val="superscript"/>
        </w:rPr>
        <w:footnoteReference w:id="42"/>
      </w:r>
      <w:r w:rsidRPr="006B3113">
        <w:rPr>
          <w:rFonts w:ascii="Times New Roman" w:hAnsi="Times New Roman" w:cs="Times New Roman"/>
          <w:sz w:val="24"/>
          <w:szCs w:val="24"/>
        </w:rPr>
        <w:t xml:space="preserve"> often rendering it incapable of garnering the same respectful analysis that is otherwise assigned to religious discourse. Perhaps another dilemma lays in the fact that religion is a noun and </w:t>
      </w:r>
      <w:r w:rsidR="006B3113" w:rsidRPr="006B3113">
        <w:rPr>
          <w:rFonts w:ascii="Times New Roman" w:hAnsi="Times New Roman" w:cs="Times New Roman"/>
          <w:sz w:val="24"/>
          <w:szCs w:val="24"/>
        </w:rPr>
        <w:t>encompasses</w:t>
      </w:r>
      <w:r w:rsidRPr="006B3113">
        <w:rPr>
          <w:rFonts w:ascii="Times New Roman" w:hAnsi="Times New Roman" w:cs="Times New Roman"/>
          <w:sz w:val="24"/>
          <w:szCs w:val="24"/>
        </w:rPr>
        <w:t xml:space="preserve"> the entire practice of faith in action, whereas magic serves as both a noun and an adjective. Divination then proves to be a necessary tool, capable of bridging the theoretical understanding of magic and religion, as they both utilize divination. "Even in the years after the Reformation it would be wrong to regard magic and religion as two opposed and </w:t>
      </w:r>
      <w:r w:rsidRPr="006B3113">
        <w:rPr>
          <w:rFonts w:ascii="Times New Roman" w:hAnsi="Times New Roman" w:cs="Times New Roman"/>
          <w:sz w:val="24"/>
          <w:szCs w:val="24"/>
        </w:rPr>
        <w:lastRenderedPageBreak/>
        <w:t>incompatible systems of belief. There were magical elements surviving in religion, and there were religious facets to the practise of magic.”</w:t>
      </w:r>
      <w:r w:rsidRPr="006B3113">
        <w:rPr>
          <w:rFonts w:ascii="Times New Roman" w:hAnsi="Times New Roman" w:cs="Times New Roman"/>
          <w:sz w:val="24"/>
          <w:szCs w:val="24"/>
          <w:vertAlign w:val="superscript"/>
        </w:rPr>
        <w:footnoteReference w:id="43"/>
      </w:r>
    </w:p>
    <w:p w14:paraId="00000039" w14:textId="77777777" w:rsidR="001233B2" w:rsidRPr="006B3113" w:rsidRDefault="001233B2">
      <w:pPr>
        <w:rPr>
          <w:rFonts w:ascii="Times New Roman" w:hAnsi="Times New Roman" w:cs="Times New Roman"/>
          <w:sz w:val="24"/>
          <w:szCs w:val="24"/>
        </w:rPr>
      </w:pPr>
    </w:p>
    <w:p w14:paraId="0000003A"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This has been a repetitive issue throughout the forums of anthropology, yet there has been no direct and concise attempt to disentangle the notion of magic from the negative connotations ascribed to it by religious condemnation. It was “anthropology's tendency to characterize religion as universal and intrinsically similar across cultures [that] has troubled the "true believer," as well as raised questions about distinguishing the religious consciousness of moderns and [the] so called ‘primitives’.”</w:t>
      </w:r>
      <w:r w:rsidRPr="006B3113">
        <w:rPr>
          <w:rFonts w:ascii="Times New Roman" w:hAnsi="Times New Roman" w:cs="Times New Roman"/>
          <w:sz w:val="24"/>
          <w:szCs w:val="24"/>
          <w:vertAlign w:val="superscript"/>
        </w:rPr>
        <w:footnoteReference w:id="44"/>
      </w:r>
      <w:r w:rsidRPr="006B3113">
        <w:rPr>
          <w:rFonts w:ascii="Times New Roman" w:hAnsi="Times New Roman" w:cs="Times New Roman"/>
          <w:sz w:val="24"/>
          <w:szCs w:val="24"/>
        </w:rPr>
        <w:t xml:space="preserve"> </w:t>
      </w:r>
    </w:p>
    <w:p w14:paraId="0000003B" w14:textId="77777777" w:rsidR="001233B2" w:rsidRPr="006B3113" w:rsidRDefault="001233B2">
      <w:pPr>
        <w:rPr>
          <w:rFonts w:ascii="Times New Roman" w:hAnsi="Times New Roman" w:cs="Times New Roman"/>
          <w:sz w:val="24"/>
          <w:szCs w:val="24"/>
        </w:rPr>
      </w:pPr>
    </w:p>
    <w:p w14:paraId="0000003C"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As Geertz noted, the issue lays “within the field of cultural anthropology, most discussion of this methodological problem has centered around social organization and, to a lesser extent, ethnoscience; that is, in developing categories for distinguishing kinds of social relationships and institutions, and features of the natural.”</w:t>
      </w:r>
      <w:r w:rsidRPr="006B3113">
        <w:rPr>
          <w:rFonts w:ascii="Times New Roman" w:hAnsi="Times New Roman" w:cs="Times New Roman"/>
          <w:sz w:val="24"/>
          <w:szCs w:val="24"/>
          <w:vertAlign w:val="superscript"/>
        </w:rPr>
        <w:footnoteReference w:id="45"/>
      </w:r>
      <w:r w:rsidRPr="006B3113">
        <w:rPr>
          <w:rFonts w:ascii="Times New Roman" w:hAnsi="Times New Roman" w:cs="Times New Roman"/>
          <w:sz w:val="24"/>
          <w:szCs w:val="24"/>
        </w:rPr>
        <w:t xml:space="preserve"> It is clear that the approach that anthropology generally adheres to when analyzing the concepts of magic and religion should be substituted for an approach that desensationalizes magic and provides it the same consideration offered to religion. Perhaps it is the theory and practice of divination that can further assist clarifying the commonalities between religious magic and nontheistic magic. It would serve the study further if the two ideologies were regarded as analogous concepts. The practice of divination serves to demonstrate that both magic and religion contain the same preternatural practices, further proving that they are both estimable discourse. </w:t>
      </w:r>
    </w:p>
    <w:p w14:paraId="2D2C0A11" w14:textId="77777777" w:rsidR="006B3113" w:rsidRDefault="006B3113">
      <w:pPr>
        <w:rPr>
          <w:b/>
        </w:rPr>
      </w:pPr>
    </w:p>
    <w:p w14:paraId="288BC0F7" w14:textId="77777777" w:rsidR="006B3113" w:rsidRDefault="006B3113">
      <w:pPr>
        <w:rPr>
          <w:b/>
        </w:rPr>
      </w:pPr>
    </w:p>
    <w:p w14:paraId="228DFDFC" w14:textId="77777777" w:rsidR="006B3113" w:rsidRDefault="006B3113">
      <w:pPr>
        <w:rPr>
          <w:b/>
        </w:rPr>
      </w:pPr>
    </w:p>
    <w:p w14:paraId="34EF59B8" w14:textId="77777777" w:rsidR="006B3113" w:rsidRDefault="006B3113">
      <w:pPr>
        <w:rPr>
          <w:b/>
        </w:rPr>
      </w:pPr>
    </w:p>
    <w:p w14:paraId="2443CAF7" w14:textId="77777777" w:rsidR="006B3113" w:rsidRDefault="006B3113">
      <w:pPr>
        <w:rPr>
          <w:b/>
        </w:rPr>
      </w:pPr>
    </w:p>
    <w:p w14:paraId="1A1127C3" w14:textId="77777777" w:rsidR="006B3113" w:rsidRDefault="006B3113">
      <w:pPr>
        <w:rPr>
          <w:b/>
        </w:rPr>
      </w:pPr>
    </w:p>
    <w:p w14:paraId="6FD74AFA" w14:textId="77777777" w:rsidR="006B3113" w:rsidRDefault="006B3113">
      <w:pPr>
        <w:rPr>
          <w:b/>
        </w:rPr>
      </w:pPr>
    </w:p>
    <w:p w14:paraId="72A0E260" w14:textId="77777777" w:rsidR="006B3113" w:rsidRDefault="006B3113">
      <w:pPr>
        <w:rPr>
          <w:b/>
        </w:rPr>
      </w:pPr>
    </w:p>
    <w:p w14:paraId="65C7094A" w14:textId="77777777" w:rsidR="006B3113" w:rsidRDefault="006B3113">
      <w:pPr>
        <w:rPr>
          <w:b/>
        </w:rPr>
      </w:pPr>
    </w:p>
    <w:p w14:paraId="159EC6C4" w14:textId="77777777" w:rsidR="006B3113" w:rsidRDefault="006B3113">
      <w:pPr>
        <w:rPr>
          <w:b/>
        </w:rPr>
      </w:pPr>
    </w:p>
    <w:p w14:paraId="24DBBA69" w14:textId="77777777" w:rsidR="006B3113" w:rsidRDefault="006B3113">
      <w:pPr>
        <w:rPr>
          <w:b/>
        </w:rPr>
      </w:pPr>
    </w:p>
    <w:p w14:paraId="1D708F6D" w14:textId="77777777" w:rsidR="006B3113" w:rsidRDefault="006B3113">
      <w:pPr>
        <w:rPr>
          <w:b/>
        </w:rPr>
      </w:pPr>
    </w:p>
    <w:p w14:paraId="2D078984" w14:textId="77777777" w:rsidR="006B3113" w:rsidRDefault="006B3113">
      <w:pPr>
        <w:rPr>
          <w:b/>
        </w:rPr>
      </w:pPr>
    </w:p>
    <w:p w14:paraId="6B07BB74" w14:textId="77777777" w:rsidR="006B3113" w:rsidRDefault="006B3113">
      <w:pPr>
        <w:rPr>
          <w:b/>
        </w:rPr>
      </w:pPr>
    </w:p>
    <w:p w14:paraId="0000003F" w14:textId="153345C1" w:rsidR="001233B2" w:rsidRPr="006B3113" w:rsidRDefault="00413322">
      <w:pPr>
        <w:rPr>
          <w:rFonts w:ascii="Times New Roman" w:hAnsi="Times New Roman" w:cs="Times New Roman"/>
          <w:b/>
          <w:sz w:val="24"/>
          <w:szCs w:val="24"/>
          <w:u w:val="single"/>
        </w:rPr>
      </w:pPr>
      <w:r w:rsidRPr="006B3113">
        <w:rPr>
          <w:rFonts w:ascii="Times New Roman" w:hAnsi="Times New Roman" w:cs="Times New Roman"/>
          <w:b/>
          <w:sz w:val="24"/>
          <w:szCs w:val="24"/>
          <w:u w:val="single"/>
        </w:rPr>
        <w:lastRenderedPageBreak/>
        <w:t>Reference List</w:t>
      </w:r>
    </w:p>
    <w:p w14:paraId="00000041" w14:textId="77777777" w:rsidR="001233B2" w:rsidRDefault="00413322" w:rsidP="0005290E">
      <w:pPr>
        <w:spacing w:before="240" w:after="240"/>
        <w:ind w:left="720" w:hanging="720"/>
        <w:rPr>
          <w:sz w:val="16"/>
          <w:szCs w:val="16"/>
        </w:rPr>
      </w:pPr>
      <w:r>
        <w:rPr>
          <w:sz w:val="16"/>
          <w:szCs w:val="16"/>
        </w:rPr>
        <w:t xml:space="preserve">Cicero, Marcus Tullius, </w:t>
      </w:r>
      <w:r>
        <w:rPr>
          <w:i/>
          <w:sz w:val="16"/>
          <w:szCs w:val="16"/>
        </w:rPr>
        <w:t>De Divinatione</w:t>
      </w:r>
      <w:r>
        <w:rPr>
          <w:sz w:val="16"/>
          <w:szCs w:val="16"/>
        </w:rPr>
        <w:t>, trans. by W.A. Falconer (Harvard University Press, 1923) &lt;</w:t>
      </w:r>
      <w:hyperlink r:id="rId17">
        <w:r>
          <w:rPr>
            <w:color w:val="1155CC"/>
            <w:sz w:val="16"/>
            <w:szCs w:val="16"/>
            <w:u w:val="single"/>
          </w:rPr>
          <w:t>http://penelope.uchicago.edu/Thayer/E/Roman/Texts/Cicero/de_Divinatione/2*.html</w:t>
        </w:r>
      </w:hyperlink>
      <w:r>
        <w:rPr>
          <w:sz w:val="16"/>
          <w:szCs w:val="16"/>
        </w:rPr>
        <w:t>&gt; [accessed 10 May 2020].</w:t>
      </w:r>
    </w:p>
    <w:p w14:paraId="00000042" w14:textId="77777777" w:rsidR="001233B2" w:rsidRDefault="00413322" w:rsidP="0005290E">
      <w:pPr>
        <w:spacing w:before="240" w:after="240"/>
        <w:ind w:left="720" w:hanging="720"/>
        <w:rPr>
          <w:sz w:val="16"/>
          <w:szCs w:val="16"/>
        </w:rPr>
      </w:pPr>
      <w:r>
        <w:rPr>
          <w:sz w:val="16"/>
          <w:szCs w:val="16"/>
        </w:rPr>
        <w:t xml:space="preserve">Collins, Derek. (2003). Nature, Cause, and Agency in Greek Magic. </w:t>
      </w:r>
      <w:r>
        <w:rPr>
          <w:i/>
          <w:sz w:val="16"/>
          <w:szCs w:val="16"/>
        </w:rPr>
        <w:t>Transactions of the American Philological Association,</w:t>
      </w:r>
      <w:r>
        <w:rPr>
          <w:sz w:val="16"/>
          <w:szCs w:val="16"/>
        </w:rPr>
        <w:t xml:space="preserve"> </w:t>
      </w:r>
      <w:r>
        <w:rPr>
          <w:i/>
          <w:sz w:val="16"/>
          <w:szCs w:val="16"/>
        </w:rPr>
        <w:t>133</w:t>
      </w:r>
      <w:r>
        <w:rPr>
          <w:sz w:val="16"/>
          <w:szCs w:val="16"/>
        </w:rPr>
        <w:t>(1), 17-49.</w:t>
      </w:r>
    </w:p>
    <w:p w14:paraId="00000043" w14:textId="77777777" w:rsidR="001233B2" w:rsidRDefault="00413322" w:rsidP="0005290E">
      <w:pPr>
        <w:ind w:left="720" w:hanging="720"/>
        <w:rPr>
          <w:sz w:val="16"/>
          <w:szCs w:val="16"/>
        </w:rPr>
      </w:pPr>
      <w:r>
        <w:rPr>
          <w:sz w:val="16"/>
          <w:szCs w:val="16"/>
        </w:rPr>
        <w:t>Derech HaTorah. (2013). Tanakh versus Old Testament [PDF file]. Retrieved from &lt;</w:t>
      </w:r>
      <w:hyperlink r:id="rId18">
        <w:r>
          <w:rPr>
            <w:color w:val="1155CC"/>
            <w:sz w:val="16"/>
            <w:szCs w:val="16"/>
            <w:u w:val="single"/>
          </w:rPr>
          <w:t>http://www.becomingjewish.org/articles/tanakh_versus_old_testament.pdf</w:t>
        </w:r>
      </w:hyperlink>
      <w:r>
        <w:rPr>
          <w:sz w:val="16"/>
          <w:szCs w:val="16"/>
        </w:rPr>
        <w:t>&gt; [accessed 20 June 2020].</w:t>
      </w:r>
    </w:p>
    <w:p w14:paraId="00000044" w14:textId="77777777" w:rsidR="001233B2" w:rsidRDefault="00413322" w:rsidP="0005290E">
      <w:pPr>
        <w:spacing w:before="240" w:after="240"/>
        <w:ind w:left="720" w:hanging="720"/>
        <w:rPr>
          <w:sz w:val="16"/>
          <w:szCs w:val="16"/>
        </w:rPr>
      </w:pPr>
      <w:r>
        <w:rPr>
          <w:sz w:val="16"/>
          <w:szCs w:val="16"/>
        </w:rPr>
        <w:t>Durkheim, Émile. The Elementary Forms of the Religious Life, a Study in Religious Sociology, (London: New York: G. Allen &amp; Unwin; Macmillan, 1915).</w:t>
      </w:r>
    </w:p>
    <w:p w14:paraId="00000045" w14:textId="77777777" w:rsidR="001233B2" w:rsidRDefault="00413322" w:rsidP="0005290E">
      <w:pPr>
        <w:spacing w:before="240" w:after="240"/>
        <w:ind w:left="720" w:hanging="720"/>
        <w:rPr>
          <w:i/>
          <w:sz w:val="16"/>
          <w:szCs w:val="16"/>
        </w:rPr>
      </w:pPr>
      <w:r>
        <w:rPr>
          <w:sz w:val="16"/>
          <w:szCs w:val="16"/>
        </w:rPr>
        <w:t>Ep. 6: Joseph Campbell and the Power of Myth -- 'Masks of Eternity'. (1988, June 26). Retrieved from &lt;</w:t>
      </w:r>
      <w:hyperlink r:id="rId19">
        <w:r>
          <w:rPr>
            <w:color w:val="1155CC"/>
            <w:sz w:val="16"/>
            <w:szCs w:val="16"/>
            <w:u w:val="single"/>
          </w:rPr>
          <w:t>https://billmoyers.com/content/ep-6-joseph-campbell-and-the-power-of-myth-masks-of-eternity-audio/</w:t>
        </w:r>
      </w:hyperlink>
      <w:r>
        <w:rPr>
          <w:sz w:val="16"/>
          <w:szCs w:val="16"/>
        </w:rPr>
        <w:t>&gt; [accessed 15 June 2020]</w:t>
      </w:r>
    </w:p>
    <w:p w14:paraId="00000046" w14:textId="77777777" w:rsidR="001233B2" w:rsidRDefault="00413322" w:rsidP="0005290E">
      <w:pPr>
        <w:spacing w:before="240" w:after="240"/>
        <w:ind w:left="720" w:hanging="720"/>
        <w:rPr>
          <w:sz w:val="16"/>
          <w:szCs w:val="16"/>
        </w:rPr>
      </w:pPr>
      <w:r>
        <w:rPr>
          <w:sz w:val="16"/>
          <w:szCs w:val="16"/>
        </w:rPr>
        <w:t xml:space="preserve">Geertz, Hildred. (1975). An Anthropology of Religion and Magic, I. </w:t>
      </w:r>
      <w:r>
        <w:rPr>
          <w:i/>
          <w:sz w:val="16"/>
          <w:szCs w:val="16"/>
        </w:rPr>
        <w:t>The Journal of Interdisciplinary History</w:t>
      </w:r>
      <w:r>
        <w:rPr>
          <w:sz w:val="16"/>
          <w:szCs w:val="16"/>
        </w:rPr>
        <w:t xml:space="preserve">,  6(1), 71-89. </w:t>
      </w:r>
    </w:p>
    <w:p w14:paraId="00000047" w14:textId="77777777" w:rsidR="001233B2" w:rsidRDefault="00413322" w:rsidP="0005290E">
      <w:pPr>
        <w:spacing w:before="240" w:after="240"/>
        <w:ind w:left="720" w:hanging="720"/>
        <w:rPr>
          <w:sz w:val="16"/>
          <w:szCs w:val="16"/>
        </w:rPr>
      </w:pPr>
      <w:r>
        <w:rPr>
          <w:sz w:val="16"/>
          <w:szCs w:val="16"/>
        </w:rPr>
        <w:t xml:space="preserve">Hamori, Esther. (2013). The Prophet and the Necromancer: Women's Divination for Kings. </w:t>
      </w:r>
      <w:r>
        <w:rPr>
          <w:i/>
          <w:sz w:val="16"/>
          <w:szCs w:val="16"/>
        </w:rPr>
        <w:t>Journal of Biblical Literature,</w:t>
      </w:r>
      <w:r>
        <w:rPr>
          <w:sz w:val="16"/>
          <w:szCs w:val="16"/>
        </w:rPr>
        <w:t xml:space="preserve"> </w:t>
      </w:r>
      <w:r>
        <w:rPr>
          <w:i/>
          <w:sz w:val="16"/>
          <w:szCs w:val="16"/>
        </w:rPr>
        <w:t>132</w:t>
      </w:r>
      <w:r>
        <w:rPr>
          <w:sz w:val="16"/>
          <w:szCs w:val="16"/>
        </w:rPr>
        <w:t>(4), 827.</w:t>
      </w:r>
    </w:p>
    <w:p w14:paraId="00000048" w14:textId="77777777" w:rsidR="001233B2" w:rsidRDefault="00413322" w:rsidP="0005290E">
      <w:pPr>
        <w:spacing w:before="240" w:after="240"/>
        <w:ind w:left="720" w:hanging="720"/>
        <w:rPr>
          <w:sz w:val="16"/>
          <w:szCs w:val="16"/>
        </w:rPr>
      </w:pPr>
      <w:r>
        <w:rPr>
          <w:sz w:val="16"/>
          <w:szCs w:val="16"/>
        </w:rPr>
        <w:t xml:space="preserve">Hamori, Esther. (2015). Setting the Stage. In </w:t>
      </w:r>
      <w:r>
        <w:rPr>
          <w:i/>
          <w:sz w:val="16"/>
          <w:szCs w:val="16"/>
        </w:rPr>
        <w:t>Women's Divination in Biblical Literature: Prophecy, Necromancy, and Other Arts of Knowledge</w:t>
      </w:r>
      <w:r>
        <w:rPr>
          <w:sz w:val="16"/>
          <w:szCs w:val="16"/>
        </w:rPr>
        <w:t xml:space="preserve"> (pp. 19-40). New Haven and London: Yale University Press.</w:t>
      </w:r>
    </w:p>
    <w:p w14:paraId="00000049" w14:textId="77777777" w:rsidR="001233B2" w:rsidRDefault="00413322" w:rsidP="0005290E">
      <w:pPr>
        <w:spacing w:before="240" w:after="240"/>
        <w:ind w:left="720" w:hanging="720"/>
        <w:rPr>
          <w:sz w:val="16"/>
          <w:szCs w:val="16"/>
        </w:rPr>
      </w:pPr>
      <w:r>
        <w:rPr>
          <w:sz w:val="16"/>
          <w:szCs w:val="16"/>
        </w:rPr>
        <w:t xml:space="preserve">Harpur, Thomas. (2006). </w:t>
      </w:r>
      <w:r>
        <w:rPr>
          <w:i/>
          <w:sz w:val="16"/>
          <w:szCs w:val="16"/>
        </w:rPr>
        <w:t>The Pagan Christ: Recovering the Lost Light</w:t>
      </w:r>
      <w:r>
        <w:rPr>
          <w:sz w:val="16"/>
          <w:szCs w:val="16"/>
        </w:rPr>
        <w:t>. New York, NY: Walker Books.</w:t>
      </w:r>
    </w:p>
    <w:p w14:paraId="0000004A" w14:textId="77777777" w:rsidR="001233B2" w:rsidRDefault="00413322" w:rsidP="0005290E">
      <w:pPr>
        <w:spacing w:before="240" w:after="240"/>
        <w:ind w:left="720" w:hanging="720"/>
        <w:rPr>
          <w:sz w:val="16"/>
          <w:szCs w:val="16"/>
        </w:rPr>
      </w:pPr>
      <w:r>
        <w:rPr>
          <w:sz w:val="16"/>
          <w:szCs w:val="16"/>
        </w:rPr>
        <w:t>Jolly, Karen, &amp; Middleton, John. Encyclopedia Britannica. Magic and Religion. Retrieved from &lt;</w:t>
      </w:r>
      <w:hyperlink r:id="rId20">
        <w:r>
          <w:rPr>
            <w:color w:val="1155CC"/>
            <w:sz w:val="16"/>
            <w:szCs w:val="16"/>
            <w:u w:val="single"/>
          </w:rPr>
          <w:t>https://www.britannica.com/topic/magic-supernatural-phenomenon/Magic-and-religion</w:t>
        </w:r>
      </w:hyperlink>
      <w:r>
        <w:rPr>
          <w:sz w:val="16"/>
          <w:szCs w:val="16"/>
        </w:rPr>
        <w:t>&gt;  [accessed 20 June 2020].</w:t>
      </w:r>
    </w:p>
    <w:p w14:paraId="0000004B" w14:textId="77777777" w:rsidR="001233B2" w:rsidRDefault="00413322" w:rsidP="0005290E">
      <w:pPr>
        <w:ind w:left="720" w:hanging="720"/>
        <w:rPr>
          <w:sz w:val="16"/>
          <w:szCs w:val="16"/>
        </w:rPr>
      </w:pPr>
      <w:r>
        <w:rPr>
          <w:sz w:val="16"/>
          <w:szCs w:val="16"/>
        </w:rPr>
        <w:t>Lovitt, Margaret. “Relics: A Tool for Legitimizing Sacred Space.” 1 Jan. 2020. Sacred Geography, University of Wales, Trinity Saint David, student paper.</w:t>
      </w:r>
    </w:p>
    <w:p w14:paraId="0000004C" w14:textId="77777777" w:rsidR="001233B2" w:rsidRDefault="00413322" w:rsidP="0005290E">
      <w:pPr>
        <w:spacing w:before="240" w:after="240"/>
        <w:ind w:left="720" w:hanging="720"/>
        <w:rPr>
          <w:sz w:val="16"/>
          <w:szCs w:val="16"/>
        </w:rPr>
      </w:pPr>
      <w:r>
        <w:rPr>
          <w:sz w:val="16"/>
          <w:szCs w:val="16"/>
        </w:rPr>
        <w:t>Marx, Karl. A Contribution to the Critique of Hegel’s Philosophy of Right. Retrieved from &lt;</w:t>
      </w:r>
      <w:hyperlink r:id="rId21">
        <w:r>
          <w:rPr>
            <w:color w:val="1155CC"/>
            <w:sz w:val="16"/>
            <w:szCs w:val="16"/>
            <w:u w:val="single"/>
          </w:rPr>
          <w:t>https://www.marxists.org/archive/marx/works/1843/critique-hpr/intro.htm</w:t>
        </w:r>
      </w:hyperlink>
      <w:r>
        <w:rPr>
          <w:sz w:val="16"/>
          <w:szCs w:val="16"/>
        </w:rPr>
        <w:t>&gt; [accessed 20 June 2020].</w:t>
      </w:r>
    </w:p>
    <w:p w14:paraId="0000004D" w14:textId="77777777" w:rsidR="001233B2" w:rsidRDefault="00413322" w:rsidP="0005290E">
      <w:pPr>
        <w:ind w:left="720" w:hanging="720"/>
        <w:rPr>
          <w:sz w:val="16"/>
          <w:szCs w:val="16"/>
        </w:rPr>
      </w:pPr>
      <w:r>
        <w:rPr>
          <w:i/>
          <w:sz w:val="16"/>
          <w:szCs w:val="16"/>
        </w:rPr>
        <w:t>New King James Bible.</w:t>
      </w:r>
      <w:r>
        <w:rPr>
          <w:sz w:val="16"/>
          <w:szCs w:val="16"/>
        </w:rPr>
        <w:t xml:space="preserve"> Bible Gateway. </w:t>
      </w:r>
      <w:hyperlink r:id="rId22">
        <w:r>
          <w:rPr>
            <w:color w:val="1155CC"/>
            <w:sz w:val="16"/>
            <w:szCs w:val="16"/>
            <w:u w:val="single"/>
          </w:rPr>
          <w:t>https://www.biblegateway.com/</w:t>
        </w:r>
      </w:hyperlink>
      <w:r>
        <w:rPr>
          <w:sz w:val="16"/>
          <w:szCs w:val="16"/>
        </w:rPr>
        <w:t xml:space="preserve"> (Original work published 1769)</w:t>
      </w:r>
    </w:p>
    <w:p w14:paraId="0000004E" w14:textId="77777777" w:rsidR="001233B2" w:rsidRDefault="00413322" w:rsidP="0005290E">
      <w:pPr>
        <w:spacing w:before="240" w:after="240"/>
        <w:ind w:left="720" w:hanging="720"/>
        <w:rPr>
          <w:sz w:val="16"/>
          <w:szCs w:val="16"/>
        </w:rPr>
      </w:pPr>
      <w:r>
        <w:rPr>
          <w:sz w:val="16"/>
          <w:szCs w:val="16"/>
        </w:rPr>
        <w:t xml:space="preserve">Segal, Alan. (1981). Hellenistic Magic: Some Questions of Definition. In R. V. Broek, M. J. Vermaseren, &amp; G. Quispel (Authors), </w:t>
      </w:r>
      <w:r>
        <w:rPr>
          <w:i/>
          <w:sz w:val="16"/>
          <w:szCs w:val="16"/>
        </w:rPr>
        <w:t>Studies in Gnosticism and Hellenistic religions: Presented to Gilles Quispel on the occasion of his 65th birthday</w:t>
      </w:r>
      <w:r>
        <w:rPr>
          <w:sz w:val="16"/>
          <w:szCs w:val="16"/>
        </w:rPr>
        <w:t>. Leiden: Brill.</w:t>
      </w:r>
    </w:p>
    <w:p w14:paraId="0000004F" w14:textId="77777777" w:rsidR="001233B2" w:rsidRDefault="00413322" w:rsidP="0005290E">
      <w:pPr>
        <w:spacing w:before="240" w:after="240"/>
        <w:ind w:left="720" w:hanging="720"/>
        <w:rPr>
          <w:sz w:val="16"/>
          <w:szCs w:val="16"/>
        </w:rPr>
      </w:pPr>
      <w:r>
        <w:rPr>
          <w:sz w:val="16"/>
          <w:szCs w:val="16"/>
        </w:rPr>
        <w:t>Stone, Lawrence. (1971) "The Disenchantment of the World," New York Review of Books. Retrieved from &lt;</w:t>
      </w:r>
      <w:hyperlink r:id="rId23">
        <w:r>
          <w:rPr>
            <w:color w:val="1155CC"/>
            <w:sz w:val="16"/>
            <w:szCs w:val="16"/>
            <w:u w:val="single"/>
          </w:rPr>
          <w:t>https://www.nybooks.com/articles/1971/12/02/the-disenchantment-of-the-world/</w:t>
        </w:r>
      </w:hyperlink>
      <w:r>
        <w:rPr>
          <w:sz w:val="16"/>
          <w:szCs w:val="16"/>
        </w:rPr>
        <w:t xml:space="preserve">&gt; As cited in Geertz, 1975. </w:t>
      </w:r>
    </w:p>
    <w:p w14:paraId="00000050" w14:textId="77777777" w:rsidR="001233B2" w:rsidRDefault="00413322" w:rsidP="0005290E">
      <w:pPr>
        <w:spacing w:before="240" w:after="240"/>
        <w:ind w:left="720" w:hanging="720"/>
        <w:rPr>
          <w:sz w:val="16"/>
          <w:szCs w:val="16"/>
        </w:rPr>
      </w:pPr>
      <w:r>
        <w:rPr>
          <w:sz w:val="16"/>
          <w:szCs w:val="16"/>
        </w:rPr>
        <w:t xml:space="preserve">Teijeiro, Manuel García. (1993). Religion and Magic. </w:t>
      </w:r>
      <w:r>
        <w:rPr>
          <w:i/>
          <w:sz w:val="16"/>
          <w:szCs w:val="16"/>
        </w:rPr>
        <w:t>Kernos,</w:t>
      </w:r>
      <w:r>
        <w:rPr>
          <w:sz w:val="16"/>
          <w:szCs w:val="16"/>
        </w:rPr>
        <w:t xml:space="preserve"> (6), 123-138.</w:t>
      </w:r>
    </w:p>
    <w:p w14:paraId="00000051" w14:textId="77777777" w:rsidR="001233B2" w:rsidRDefault="00413322" w:rsidP="0005290E">
      <w:pPr>
        <w:spacing w:before="240" w:after="240"/>
        <w:ind w:left="720" w:hanging="720"/>
        <w:rPr>
          <w:sz w:val="16"/>
          <w:szCs w:val="16"/>
        </w:rPr>
      </w:pPr>
      <w:r>
        <w:rPr>
          <w:sz w:val="16"/>
          <w:szCs w:val="16"/>
        </w:rPr>
        <w:t xml:space="preserve">Toy, Crawford. H. (1899). Relation between Magic and Religion. </w:t>
      </w:r>
      <w:r>
        <w:rPr>
          <w:i/>
          <w:sz w:val="16"/>
          <w:szCs w:val="16"/>
        </w:rPr>
        <w:t>Journal of the American Oriental Society,</w:t>
      </w:r>
      <w:r>
        <w:rPr>
          <w:sz w:val="16"/>
          <w:szCs w:val="16"/>
        </w:rPr>
        <w:t xml:space="preserve"> </w:t>
      </w:r>
      <w:r>
        <w:rPr>
          <w:i/>
          <w:sz w:val="16"/>
          <w:szCs w:val="16"/>
        </w:rPr>
        <w:t>20</w:t>
      </w:r>
      <w:r>
        <w:rPr>
          <w:sz w:val="16"/>
          <w:szCs w:val="16"/>
        </w:rPr>
        <w:t>, 327-331.</w:t>
      </w:r>
    </w:p>
    <w:p w14:paraId="00000052" w14:textId="77777777" w:rsidR="001233B2" w:rsidRDefault="00413322" w:rsidP="0005290E">
      <w:pPr>
        <w:spacing w:before="240" w:after="240"/>
        <w:ind w:left="720" w:hanging="720"/>
        <w:rPr>
          <w:sz w:val="16"/>
          <w:szCs w:val="16"/>
        </w:rPr>
      </w:pPr>
      <w:r>
        <w:rPr>
          <w:sz w:val="16"/>
          <w:szCs w:val="16"/>
        </w:rPr>
        <w:t xml:space="preserve">Versnel, H. S. (1991). Some Reflections On the Relationship Magic-Religion. </w:t>
      </w:r>
      <w:r>
        <w:rPr>
          <w:i/>
          <w:sz w:val="16"/>
          <w:szCs w:val="16"/>
        </w:rPr>
        <w:t>Numen,</w:t>
      </w:r>
      <w:r>
        <w:rPr>
          <w:sz w:val="16"/>
          <w:szCs w:val="16"/>
        </w:rPr>
        <w:t xml:space="preserve"> </w:t>
      </w:r>
      <w:r>
        <w:rPr>
          <w:i/>
          <w:sz w:val="16"/>
          <w:szCs w:val="16"/>
        </w:rPr>
        <w:t>38</w:t>
      </w:r>
      <w:r>
        <w:rPr>
          <w:sz w:val="16"/>
          <w:szCs w:val="16"/>
        </w:rPr>
        <w:t xml:space="preserve">(2), 177-197. </w:t>
      </w:r>
    </w:p>
    <w:p w14:paraId="00000053" w14:textId="77777777" w:rsidR="001233B2" w:rsidRDefault="00413322" w:rsidP="0005290E">
      <w:pPr>
        <w:spacing w:before="240" w:after="240"/>
        <w:ind w:left="720" w:hanging="720"/>
        <w:rPr>
          <w:sz w:val="16"/>
          <w:szCs w:val="16"/>
        </w:rPr>
      </w:pPr>
      <w:r>
        <w:rPr>
          <w:sz w:val="16"/>
          <w:szCs w:val="16"/>
        </w:rPr>
        <w:t xml:space="preserve">Wax, Murray, &amp; Wax, Rosalie. (1963). The Notion of Magic. </w:t>
      </w:r>
      <w:r>
        <w:rPr>
          <w:i/>
          <w:sz w:val="16"/>
          <w:szCs w:val="16"/>
        </w:rPr>
        <w:t>Current Anthropology,</w:t>
      </w:r>
      <w:r>
        <w:rPr>
          <w:sz w:val="16"/>
          <w:szCs w:val="16"/>
        </w:rPr>
        <w:t xml:space="preserve"> </w:t>
      </w:r>
      <w:r>
        <w:rPr>
          <w:i/>
          <w:sz w:val="16"/>
          <w:szCs w:val="16"/>
        </w:rPr>
        <w:t>4</w:t>
      </w:r>
      <w:r>
        <w:rPr>
          <w:sz w:val="16"/>
          <w:szCs w:val="16"/>
        </w:rPr>
        <w:t>(5), 495-518.</w:t>
      </w:r>
    </w:p>
    <w:p w14:paraId="00000057" w14:textId="2B78C8AB" w:rsidR="001233B2" w:rsidRDefault="00413322" w:rsidP="0005290E">
      <w:pPr>
        <w:spacing w:before="240" w:after="240"/>
        <w:ind w:left="720" w:hanging="720"/>
        <w:rPr>
          <w:b/>
        </w:rPr>
      </w:pPr>
      <w:r>
        <w:rPr>
          <w:sz w:val="16"/>
          <w:szCs w:val="16"/>
        </w:rPr>
        <w:t xml:space="preserve">Winkelman, Michael. (2000). Review of Across the Boundaries of Belief: Contemporary Issues in theAnthropology of Religion by Morton Klass and Maxine K. Weisgrau; Religion and Magic:Approaches and Theories by Graham Cunningham. </w:t>
      </w:r>
      <w:r>
        <w:rPr>
          <w:i/>
          <w:sz w:val="16"/>
          <w:szCs w:val="16"/>
        </w:rPr>
        <w:t>American Anthropologist,</w:t>
      </w:r>
      <w:r>
        <w:rPr>
          <w:sz w:val="16"/>
          <w:szCs w:val="16"/>
        </w:rPr>
        <w:t xml:space="preserve"> </w:t>
      </w:r>
      <w:r>
        <w:rPr>
          <w:i/>
          <w:sz w:val="16"/>
          <w:szCs w:val="16"/>
        </w:rPr>
        <w:t>102</w:t>
      </w:r>
      <w:r>
        <w:rPr>
          <w:sz w:val="16"/>
          <w:szCs w:val="16"/>
        </w:rPr>
        <w:t>(2), 380-382.</w:t>
      </w:r>
    </w:p>
    <w:sectPr w:rsidR="001233B2">
      <w:head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67DA2F" w14:textId="77777777" w:rsidR="005332F8" w:rsidRDefault="005332F8">
      <w:pPr>
        <w:spacing w:line="240" w:lineRule="auto"/>
      </w:pPr>
      <w:r>
        <w:separator/>
      </w:r>
    </w:p>
  </w:endnote>
  <w:endnote w:type="continuationSeparator" w:id="0">
    <w:p w14:paraId="7E7ABEBE" w14:textId="77777777" w:rsidR="005332F8" w:rsidRDefault="005332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B4711B" w14:textId="77777777" w:rsidR="005332F8" w:rsidRDefault="005332F8">
      <w:pPr>
        <w:spacing w:line="240" w:lineRule="auto"/>
      </w:pPr>
      <w:r>
        <w:separator/>
      </w:r>
    </w:p>
  </w:footnote>
  <w:footnote w:type="continuationSeparator" w:id="0">
    <w:p w14:paraId="10E863F1" w14:textId="77777777" w:rsidR="005332F8" w:rsidRDefault="005332F8">
      <w:pPr>
        <w:spacing w:line="240" w:lineRule="auto"/>
      </w:pPr>
      <w:r>
        <w:continuationSeparator/>
      </w:r>
    </w:p>
  </w:footnote>
  <w:footnote w:id="1">
    <w:p w14:paraId="00000058" w14:textId="77777777" w:rsidR="001233B2" w:rsidRDefault="00413322">
      <w:pPr>
        <w:spacing w:line="240" w:lineRule="auto"/>
        <w:rPr>
          <w:sz w:val="20"/>
          <w:szCs w:val="20"/>
        </w:rPr>
      </w:pPr>
      <w:r>
        <w:rPr>
          <w:vertAlign w:val="superscript"/>
        </w:rPr>
        <w:footnoteRef/>
      </w:r>
      <w:r>
        <w:rPr>
          <w:sz w:val="20"/>
          <w:szCs w:val="20"/>
        </w:rPr>
        <w:t xml:space="preserve"> Derech HaTorah. (2013). Tanakh versus Old Testament [PDF file]. Retrieved from &lt;</w:t>
      </w:r>
      <w:hyperlink r:id="rId1">
        <w:r>
          <w:rPr>
            <w:color w:val="1155CC"/>
            <w:sz w:val="20"/>
            <w:szCs w:val="20"/>
            <w:u w:val="single"/>
          </w:rPr>
          <w:t>http://www.becomingjewish.org/articles/tanakh_versus_old_testament.pdf</w:t>
        </w:r>
      </w:hyperlink>
      <w:r>
        <w:rPr>
          <w:sz w:val="20"/>
          <w:szCs w:val="20"/>
        </w:rPr>
        <w:t>&gt;</w:t>
      </w:r>
    </w:p>
  </w:footnote>
  <w:footnote w:id="2">
    <w:p w14:paraId="00000080" w14:textId="77777777" w:rsidR="001233B2" w:rsidRDefault="00413322">
      <w:pPr>
        <w:spacing w:line="240" w:lineRule="auto"/>
        <w:rPr>
          <w:sz w:val="20"/>
          <w:szCs w:val="20"/>
        </w:rPr>
      </w:pPr>
      <w:r>
        <w:rPr>
          <w:vertAlign w:val="superscript"/>
        </w:rPr>
        <w:footnoteRef/>
      </w:r>
      <w:r>
        <w:rPr>
          <w:sz w:val="20"/>
          <w:szCs w:val="20"/>
        </w:rPr>
        <w:t xml:space="preserve"> Book of John 11:1–44 Jesus raises Lazerus from the dead. </w:t>
      </w:r>
    </w:p>
  </w:footnote>
  <w:footnote w:id="3">
    <w:p w14:paraId="00000081" w14:textId="77777777" w:rsidR="001233B2" w:rsidRDefault="00413322">
      <w:pPr>
        <w:spacing w:line="240" w:lineRule="auto"/>
        <w:rPr>
          <w:sz w:val="20"/>
          <w:szCs w:val="20"/>
        </w:rPr>
      </w:pPr>
      <w:r>
        <w:rPr>
          <w:vertAlign w:val="superscript"/>
        </w:rPr>
        <w:footnoteRef/>
      </w:r>
      <w:r>
        <w:rPr>
          <w:sz w:val="20"/>
          <w:szCs w:val="20"/>
        </w:rPr>
        <w:t xml:space="preserve"> Book of Mark 5:1-20 (NKJV) Jesus restores a man who was possessed by a demon. </w:t>
      </w:r>
    </w:p>
  </w:footnote>
  <w:footnote w:id="4">
    <w:p w14:paraId="00000082" w14:textId="77777777" w:rsidR="001233B2" w:rsidRDefault="00413322">
      <w:pPr>
        <w:spacing w:line="240" w:lineRule="auto"/>
        <w:rPr>
          <w:sz w:val="20"/>
          <w:szCs w:val="20"/>
        </w:rPr>
      </w:pPr>
      <w:r>
        <w:rPr>
          <w:vertAlign w:val="superscript"/>
        </w:rPr>
        <w:footnoteRef/>
      </w:r>
      <w:r>
        <w:rPr>
          <w:sz w:val="20"/>
          <w:szCs w:val="20"/>
        </w:rPr>
        <w:t xml:space="preserve"> Book of Revelations (NKJV) John wrote of his visions of the end of </w:t>
      </w:r>
    </w:p>
  </w:footnote>
  <w:footnote w:id="5">
    <w:p w14:paraId="00000083" w14:textId="77777777" w:rsidR="001233B2" w:rsidRDefault="00413322">
      <w:pPr>
        <w:spacing w:line="240" w:lineRule="auto"/>
        <w:rPr>
          <w:sz w:val="20"/>
          <w:szCs w:val="20"/>
        </w:rPr>
      </w:pPr>
      <w:r>
        <w:rPr>
          <w:vertAlign w:val="superscript"/>
        </w:rPr>
        <w:footnoteRef/>
      </w:r>
      <w:r>
        <w:rPr>
          <w:sz w:val="20"/>
          <w:szCs w:val="20"/>
        </w:rPr>
        <w:t xml:space="preserve"> Book of Acts 2:17 (NKJV) states, “And it shall come to pass in the last days, says God, That I will pour out of My Spirit on all flesh; Your sons and your daughters shall prophesy, Your young men shall see visions, Your old men shall dream dreams.” </w:t>
      </w:r>
    </w:p>
  </w:footnote>
  <w:footnote w:id="6">
    <w:p w14:paraId="00000074" w14:textId="77777777" w:rsidR="001233B2" w:rsidRDefault="00413322">
      <w:pPr>
        <w:spacing w:line="240" w:lineRule="auto"/>
        <w:rPr>
          <w:sz w:val="20"/>
          <w:szCs w:val="20"/>
        </w:rPr>
      </w:pPr>
      <w:r>
        <w:rPr>
          <w:vertAlign w:val="superscript"/>
        </w:rPr>
        <w:footnoteRef/>
      </w:r>
      <w:r>
        <w:rPr>
          <w:sz w:val="20"/>
          <w:szCs w:val="20"/>
        </w:rPr>
        <w:t xml:space="preserve"> Alan Segal. (1981). Hellenistic Magic: Some Questions of Definition. In R. V. Broek, M. J. Vermaseren, &amp; G. Quispel (Authors), </w:t>
      </w:r>
      <w:r>
        <w:rPr>
          <w:i/>
          <w:sz w:val="20"/>
          <w:szCs w:val="20"/>
        </w:rPr>
        <w:t>Studies in Gnosticism and Hellenistic religions: Presented to Gilles Quispel on the occasion of his 65th birthday</w:t>
      </w:r>
      <w:r>
        <w:rPr>
          <w:sz w:val="20"/>
          <w:szCs w:val="20"/>
        </w:rPr>
        <w:t>. Leiden: Brill.</w:t>
      </w:r>
    </w:p>
  </w:footnote>
  <w:footnote w:id="7">
    <w:p w14:paraId="00000059" w14:textId="77777777" w:rsidR="001233B2" w:rsidRDefault="00413322">
      <w:pPr>
        <w:spacing w:line="240" w:lineRule="auto"/>
        <w:rPr>
          <w:sz w:val="20"/>
          <w:szCs w:val="20"/>
        </w:rPr>
      </w:pPr>
      <w:r>
        <w:rPr>
          <w:vertAlign w:val="superscript"/>
        </w:rPr>
        <w:footnoteRef/>
      </w:r>
      <w:r>
        <w:rPr>
          <w:sz w:val="20"/>
          <w:szCs w:val="20"/>
        </w:rPr>
        <w:t xml:space="preserve"> Murray Wax &amp; Rosalie Wax. (1963). The Notion of Magic. </w:t>
      </w:r>
      <w:r>
        <w:rPr>
          <w:i/>
          <w:sz w:val="20"/>
          <w:szCs w:val="20"/>
        </w:rPr>
        <w:t>Current Anthropology,</w:t>
      </w:r>
      <w:r>
        <w:rPr>
          <w:sz w:val="20"/>
          <w:szCs w:val="20"/>
        </w:rPr>
        <w:t xml:space="preserve"> </w:t>
      </w:r>
      <w:r>
        <w:rPr>
          <w:i/>
          <w:sz w:val="20"/>
          <w:szCs w:val="20"/>
        </w:rPr>
        <w:t>4</w:t>
      </w:r>
      <w:r>
        <w:rPr>
          <w:sz w:val="20"/>
          <w:szCs w:val="20"/>
        </w:rPr>
        <w:t xml:space="preserve">(5), p. 499. </w:t>
      </w:r>
    </w:p>
  </w:footnote>
  <w:footnote w:id="8">
    <w:p w14:paraId="0000005E" w14:textId="77777777" w:rsidR="001233B2" w:rsidRDefault="00413322">
      <w:pPr>
        <w:spacing w:line="240" w:lineRule="auto"/>
        <w:rPr>
          <w:sz w:val="20"/>
          <w:szCs w:val="20"/>
        </w:rPr>
      </w:pPr>
      <w:r>
        <w:rPr>
          <w:vertAlign w:val="superscript"/>
        </w:rPr>
        <w:footnoteRef/>
      </w:r>
      <w:r>
        <w:rPr>
          <w:sz w:val="20"/>
          <w:szCs w:val="20"/>
        </w:rPr>
        <w:t xml:space="preserve"> Derek Collins. (2003). Nature, Cause, and Agency in Greek Magic. </w:t>
      </w:r>
      <w:r>
        <w:rPr>
          <w:i/>
          <w:sz w:val="20"/>
          <w:szCs w:val="20"/>
        </w:rPr>
        <w:t>Transactions of the American Philological Association,</w:t>
      </w:r>
      <w:r>
        <w:rPr>
          <w:sz w:val="20"/>
          <w:szCs w:val="20"/>
        </w:rPr>
        <w:t xml:space="preserve"> </w:t>
      </w:r>
      <w:r>
        <w:rPr>
          <w:i/>
          <w:sz w:val="20"/>
          <w:szCs w:val="20"/>
        </w:rPr>
        <w:t>133</w:t>
      </w:r>
      <w:r>
        <w:rPr>
          <w:sz w:val="20"/>
          <w:szCs w:val="20"/>
        </w:rPr>
        <w:t>(1), p. 17.</w:t>
      </w:r>
    </w:p>
  </w:footnote>
  <w:footnote w:id="9">
    <w:p w14:paraId="0000005A" w14:textId="77777777" w:rsidR="001233B2" w:rsidRDefault="00413322">
      <w:pPr>
        <w:spacing w:line="240" w:lineRule="auto"/>
        <w:rPr>
          <w:sz w:val="20"/>
          <w:szCs w:val="20"/>
        </w:rPr>
      </w:pPr>
      <w:r>
        <w:rPr>
          <w:vertAlign w:val="superscript"/>
        </w:rPr>
        <w:footnoteRef/>
      </w:r>
      <w:r>
        <w:rPr>
          <w:sz w:val="20"/>
          <w:szCs w:val="20"/>
        </w:rPr>
        <w:t xml:space="preserve"> Karen Jolly &amp; John Middleton. Encyclopedia Britannica. Magic and Religion. Retrieved from &lt;</w:t>
      </w:r>
      <w:hyperlink r:id="rId2">
        <w:r>
          <w:rPr>
            <w:color w:val="1155CC"/>
            <w:sz w:val="20"/>
            <w:szCs w:val="20"/>
            <w:u w:val="single"/>
          </w:rPr>
          <w:t>https://www.britannica.com/topic/magic-supernatural-phenomenon/Magic-and-religion</w:t>
        </w:r>
      </w:hyperlink>
      <w:r>
        <w:rPr>
          <w:sz w:val="20"/>
          <w:szCs w:val="20"/>
        </w:rPr>
        <w:t>&gt;</w:t>
      </w:r>
    </w:p>
  </w:footnote>
  <w:footnote w:id="10">
    <w:p w14:paraId="0000006A" w14:textId="77777777" w:rsidR="001233B2" w:rsidRDefault="00413322">
      <w:pPr>
        <w:spacing w:line="240" w:lineRule="auto"/>
        <w:rPr>
          <w:sz w:val="20"/>
          <w:szCs w:val="20"/>
        </w:rPr>
      </w:pPr>
      <w:r>
        <w:rPr>
          <w:vertAlign w:val="superscript"/>
        </w:rPr>
        <w:footnoteRef/>
      </w:r>
      <w:r>
        <w:rPr>
          <w:sz w:val="20"/>
          <w:szCs w:val="20"/>
        </w:rPr>
        <w:t xml:space="preserve"> Crawford H. Toy. (1899). Relation between Magic and Religion. </w:t>
      </w:r>
      <w:r>
        <w:rPr>
          <w:i/>
          <w:sz w:val="20"/>
          <w:szCs w:val="20"/>
        </w:rPr>
        <w:t>Journal of the American Oriental Society,</w:t>
      </w:r>
      <w:r>
        <w:rPr>
          <w:sz w:val="20"/>
          <w:szCs w:val="20"/>
        </w:rPr>
        <w:t xml:space="preserve"> </w:t>
      </w:r>
      <w:r>
        <w:rPr>
          <w:i/>
          <w:sz w:val="20"/>
          <w:szCs w:val="20"/>
        </w:rPr>
        <w:t>20</w:t>
      </w:r>
      <w:r>
        <w:rPr>
          <w:sz w:val="20"/>
          <w:szCs w:val="20"/>
        </w:rPr>
        <w:t>, p. 331.</w:t>
      </w:r>
    </w:p>
  </w:footnote>
  <w:footnote w:id="11">
    <w:p w14:paraId="0000005B" w14:textId="77777777" w:rsidR="001233B2" w:rsidRDefault="00413322">
      <w:pPr>
        <w:spacing w:line="240" w:lineRule="auto"/>
        <w:rPr>
          <w:sz w:val="20"/>
          <w:szCs w:val="20"/>
        </w:rPr>
      </w:pPr>
      <w:r>
        <w:rPr>
          <w:vertAlign w:val="superscript"/>
        </w:rPr>
        <w:footnoteRef/>
      </w:r>
      <w:r>
        <w:rPr>
          <w:sz w:val="20"/>
          <w:szCs w:val="20"/>
        </w:rPr>
        <w:t xml:space="preserve"> Thomas Harpur. (2006). </w:t>
      </w:r>
      <w:r>
        <w:rPr>
          <w:i/>
          <w:sz w:val="20"/>
          <w:szCs w:val="20"/>
        </w:rPr>
        <w:t>The Pagan Christ: Recovering the Lost Light</w:t>
      </w:r>
      <w:r>
        <w:rPr>
          <w:sz w:val="20"/>
          <w:szCs w:val="20"/>
        </w:rPr>
        <w:t>. New York, NY: Walker Books.</w:t>
      </w:r>
    </w:p>
  </w:footnote>
  <w:footnote w:id="12">
    <w:p w14:paraId="0000005C" w14:textId="77777777" w:rsidR="001233B2" w:rsidRDefault="00413322">
      <w:pPr>
        <w:spacing w:line="240" w:lineRule="auto"/>
        <w:rPr>
          <w:sz w:val="20"/>
          <w:szCs w:val="20"/>
        </w:rPr>
      </w:pPr>
      <w:r>
        <w:rPr>
          <w:vertAlign w:val="superscript"/>
        </w:rPr>
        <w:footnoteRef/>
      </w:r>
      <w:r>
        <w:rPr>
          <w:sz w:val="20"/>
          <w:szCs w:val="20"/>
        </w:rPr>
        <w:t xml:space="preserve"> Ep. 6: Joseph Campbell and the Power of Myth -- 'Masks of Eternity'. (1988, June 26). </w:t>
      </w:r>
    </w:p>
  </w:footnote>
  <w:footnote w:id="13">
    <w:p w14:paraId="0000005D" w14:textId="77777777" w:rsidR="001233B2" w:rsidRDefault="00413322">
      <w:pPr>
        <w:spacing w:line="240" w:lineRule="auto"/>
        <w:rPr>
          <w:sz w:val="20"/>
          <w:szCs w:val="20"/>
        </w:rPr>
      </w:pPr>
      <w:r>
        <w:rPr>
          <w:vertAlign w:val="superscript"/>
        </w:rPr>
        <w:footnoteRef/>
      </w:r>
      <w:r>
        <w:rPr>
          <w:sz w:val="20"/>
          <w:szCs w:val="20"/>
        </w:rPr>
        <w:t xml:space="preserve"> Émile Durkheim, The Elementary Forms of the Religious Life, a Study in Religious Sociology, (London: New York: G. Allen &amp; Unwin; Macmillan, 1915). p. 62.</w:t>
      </w:r>
    </w:p>
  </w:footnote>
  <w:footnote w:id="14">
    <w:p w14:paraId="00000069" w14:textId="77777777" w:rsidR="001233B2" w:rsidRDefault="00413322">
      <w:pPr>
        <w:spacing w:line="240" w:lineRule="auto"/>
        <w:rPr>
          <w:sz w:val="20"/>
          <w:szCs w:val="20"/>
        </w:rPr>
      </w:pPr>
      <w:r>
        <w:rPr>
          <w:vertAlign w:val="superscript"/>
        </w:rPr>
        <w:footnoteRef/>
      </w:r>
      <w:r>
        <w:rPr>
          <w:sz w:val="20"/>
          <w:szCs w:val="20"/>
        </w:rPr>
        <w:t xml:space="preserve"> Toy, p. 327.</w:t>
      </w:r>
    </w:p>
  </w:footnote>
  <w:footnote w:id="15">
    <w:p w14:paraId="0000005F" w14:textId="77777777" w:rsidR="001233B2" w:rsidRDefault="00413322">
      <w:pPr>
        <w:spacing w:line="240" w:lineRule="auto"/>
        <w:rPr>
          <w:sz w:val="20"/>
          <w:szCs w:val="20"/>
        </w:rPr>
      </w:pPr>
      <w:r>
        <w:rPr>
          <w:vertAlign w:val="superscript"/>
        </w:rPr>
        <w:footnoteRef/>
      </w:r>
      <w:r>
        <w:rPr>
          <w:sz w:val="20"/>
          <w:szCs w:val="20"/>
        </w:rPr>
        <w:t xml:space="preserve"> H. S.,Versnel. (1991). Some Reflections On the Relationship Magic-Religion. </w:t>
      </w:r>
      <w:r>
        <w:rPr>
          <w:i/>
          <w:sz w:val="20"/>
          <w:szCs w:val="20"/>
        </w:rPr>
        <w:t>Numen,</w:t>
      </w:r>
      <w:r>
        <w:rPr>
          <w:sz w:val="20"/>
          <w:szCs w:val="20"/>
        </w:rPr>
        <w:t xml:space="preserve"> </w:t>
      </w:r>
      <w:r>
        <w:rPr>
          <w:i/>
          <w:sz w:val="20"/>
          <w:szCs w:val="20"/>
        </w:rPr>
        <w:t>38</w:t>
      </w:r>
      <w:r>
        <w:rPr>
          <w:sz w:val="20"/>
          <w:szCs w:val="20"/>
        </w:rPr>
        <w:t>(2),  p. 138.</w:t>
      </w:r>
    </w:p>
  </w:footnote>
  <w:footnote w:id="16">
    <w:p w14:paraId="00000084" w14:textId="77777777" w:rsidR="001233B2" w:rsidRDefault="00413322">
      <w:pPr>
        <w:spacing w:line="240" w:lineRule="auto"/>
        <w:rPr>
          <w:sz w:val="20"/>
          <w:szCs w:val="20"/>
        </w:rPr>
      </w:pPr>
      <w:r>
        <w:rPr>
          <w:vertAlign w:val="superscript"/>
        </w:rPr>
        <w:footnoteRef/>
      </w:r>
      <w:r>
        <w:rPr>
          <w:sz w:val="20"/>
          <w:szCs w:val="20"/>
        </w:rPr>
        <w:t xml:space="preserve"> Book of Leviticus (NKJV)</w:t>
      </w:r>
    </w:p>
  </w:footnote>
  <w:footnote w:id="17">
    <w:p w14:paraId="00000060" w14:textId="77777777" w:rsidR="001233B2" w:rsidRDefault="00413322">
      <w:pPr>
        <w:spacing w:line="240" w:lineRule="auto"/>
        <w:rPr>
          <w:sz w:val="20"/>
          <w:szCs w:val="20"/>
        </w:rPr>
      </w:pPr>
      <w:r>
        <w:rPr>
          <w:vertAlign w:val="superscript"/>
        </w:rPr>
        <w:footnoteRef/>
      </w:r>
      <w:r>
        <w:rPr>
          <w:sz w:val="20"/>
          <w:szCs w:val="20"/>
        </w:rPr>
        <w:t xml:space="preserve"> Book of Daniel 2:29 (NKJV)</w:t>
      </w:r>
    </w:p>
  </w:footnote>
  <w:footnote w:id="18">
    <w:p w14:paraId="00000061" w14:textId="77777777" w:rsidR="001233B2" w:rsidRDefault="00413322">
      <w:pPr>
        <w:spacing w:line="240" w:lineRule="auto"/>
        <w:rPr>
          <w:sz w:val="20"/>
          <w:szCs w:val="20"/>
        </w:rPr>
      </w:pPr>
      <w:r>
        <w:rPr>
          <w:vertAlign w:val="superscript"/>
        </w:rPr>
        <w:footnoteRef/>
      </w:r>
      <w:r>
        <w:rPr>
          <w:sz w:val="20"/>
          <w:szCs w:val="20"/>
        </w:rPr>
        <w:t xml:space="preserve"> Ibid. Daniel 7:1 (NKJV)</w:t>
      </w:r>
    </w:p>
  </w:footnote>
  <w:footnote w:id="19">
    <w:p w14:paraId="00000062" w14:textId="77777777" w:rsidR="001233B2" w:rsidRDefault="00413322">
      <w:pPr>
        <w:spacing w:line="240" w:lineRule="auto"/>
        <w:rPr>
          <w:sz w:val="20"/>
          <w:szCs w:val="20"/>
        </w:rPr>
      </w:pPr>
      <w:r>
        <w:rPr>
          <w:vertAlign w:val="superscript"/>
        </w:rPr>
        <w:footnoteRef/>
      </w:r>
      <w:r>
        <w:rPr>
          <w:sz w:val="20"/>
          <w:szCs w:val="20"/>
        </w:rPr>
        <w:t xml:space="preserve"> Ibid. Daniel 7:15-16 (NKJV)</w:t>
      </w:r>
    </w:p>
  </w:footnote>
  <w:footnote w:id="20">
    <w:p w14:paraId="00000063"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 p. 265</w:t>
      </w:r>
    </w:p>
  </w:footnote>
  <w:footnote w:id="21">
    <w:p w14:paraId="00000064" w14:textId="77777777" w:rsidR="001233B2" w:rsidRDefault="00413322">
      <w:pPr>
        <w:spacing w:line="240" w:lineRule="auto"/>
        <w:rPr>
          <w:sz w:val="20"/>
          <w:szCs w:val="20"/>
        </w:rPr>
      </w:pPr>
      <w:r>
        <w:rPr>
          <w:vertAlign w:val="superscript"/>
        </w:rPr>
        <w:footnoteRef/>
      </w:r>
      <w:r>
        <w:rPr>
          <w:sz w:val="20"/>
          <w:szCs w:val="20"/>
        </w:rPr>
        <w:t xml:space="preserve"> Ibid.</w:t>
      </w:r>
    </w:p>
  </w:footnote>
  <w:footnote w:id="22">
    <w:p w14:paraId="00000065" w14:textId="77777777" w:rsidR="001233B2" w:rsidRDefault="00413322">
      <w:pPr>
        <w:spacing w:line="240" w:lineRule="auto"/>
        <w:rPr>
          <w:sz w:val="20"/>
          <w:szCs w:val="20"/>
        </w:rPr>
      </w:pPr>
      <w:r>
        <w:rPr>
          <w:vertAlign w:val="superscript"/>
        </w:rPr>
        <w:footnoteRef/>
      </w:r>
      <w:r>
        <w:rPr>
          <w:sz w:val="20"/>
          <w:szCs w:val="20"/>
        </w:rPr>
        <w:t xml:space="preserve"> Book of Daniel 40:16-19 (NKJV)</w:t>
      </w:r>
    </w:p>
  </w:footnote>
  <w:footnote w:id="23">
    <w:p w14:paraId="00000066"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 p. 295.</w:t>
      </w:r>
    </w:p>
  </w:footnote>
  <w:footnote w:id="24">
    <w:p w14:paraId="00000067" w14:textId="77777777" w:rsidR="001233B2" w:rsidRDefault="00413322">
      <w:pPr>
        <w:spacing w:line="240" w:lineRule="auto"/>
        <w:rPr>
          <w:sz w:val="20"/>
          <w:szCs w:val="20"/>
        </w:rPr>
      </w:pPr>
      <w:r>
        <w:rPr>
          <w:vertAlign w:val="superscript"/>
        </w:rPr>
        <w:footnoteRef/>
      </w:r>
      <w:r>
        <w:rPr>
          <w:sz w:val="20"/>
          <w:szCs w:val="20"/>
        </w:rPr>
        <w:t xml:space="preserve"> Book of Genesis 41:15-16 (NKJV)</w:t>
      </w:r>
    </w:p>
  </w:footnote>
  <w:footnote w:id="25">
    <w:p w14:paraId="00000068"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 p. 297.</w:t>
      </w:r>
    </w:p>
  </w:footnote>
  <w:footnote w:id="26">
    <w:p w14:paraId="00000075" w14:textId="77777777" w:rsidR="001233B2" w:rsidRDefault="00413322">
      <w:pPr>
        <w:spacing w:line="240" w:lineRule="auto"/>
        <w:rPr>
          <w:sz w:val="20"/>
          <w:szCs w:val="20"/>
        </w:rPr>
      </w:pPr>
      <w:r>
        <w:rPr>
          <w:vertAlign w:val="superscript"/>
        </w:rPr>
        <w:footnoteRef/>
      </w:r>
      <w:r>
        <w:rPr>
          <w:sz w:val="20"/>
          <w:szCs w:val="20"/>
        </w:rPr>
        <w:t xml:space="preserve"> Book 1 Samuel 28:7 (NKJV)</w:t>
      </w:r>
    </w:p>
  </w:footnote>
  <w:footnote w:id="27">
    <w:p w14:paraId="00000076" w14:textId="77777777" w:rsidR="001233B2" w:rsidRDefault="00413322">
      <w:pPr>
        <w:spacing w:line="240" w:lineRule="auto"/>
        <w:rPr>
          <w:sz w:val="20"/>
          <w:szCs w:val="20"/>
        </w:rPr>
      </w:pPr>
      <w:r>
        <w:rPr>
          <w:vertAlign w:val="superscript"/>
        </w:rPr>
        <w:footnoteRef/>
      </w:r>
      <w:r>
        <w:rPr>
          <w:sz w:val="20"/>
          <w:szCs w:val="20"/>
        </w:rPr>
        <w:t xml:space="preserve"> Book of 1 Samuel 28: 9-10 (NKJV)</w:t>
      </w:r>
    </w:p>
  </w:footnote>
  <w:footnote w:id="28">
    <w:p w14:paraId="00000077" w14:textId="77777777" w:rsidR="001233B2" w:rsidRDefault="00413322">
      <w:pPr>
        <w:spacing w:line="240" w:lineRule="auto"/>
        <w:rPr>
          <w:sz w:val="20"/>
          <w:szCs w:val="20"/>
        </w:rPr>
      </w:pPr>
      <w:r>
        <w:rPr>
          <w:vertAlign w:val="superscript"/>
        </w:rPr>
        <w:footnoteRef/>
      </w:r>
      <w:r>
        <w:rPr>
          <w:sz w:val="20"/>
          <w:szCs w:val="20"/>
        </w:rPr>
        <w:t xml:space="preserve"> Book of Leviticus 19:31 (NKJV) states, “Give no regard to mediums and familiar spirits; do not seek after them, to be defiled by them: I am the Lord your God.” </w:t>
      </w:r>
    </w:p>
  </w:footnote>
  <w:footnote w:id="29">
    <w:p w14:paraId="00000078" w14:textId="77777777" w:rsidR="001233B2" w:rsidRDefault="00413322">
      <w:pPr>
        <w:spacing w:line="240" w:lineRule="auto"/>
        <w:rPr>
          <w:sz w:val="20"/>
          <w:szCs w:val="20"/>
        </w:rPr>
      </w:pPr>
      <w:r>
        <w:rPr>
          <w:vertAlign w:val="superscript"/>
        </w:rPr>
        <w:footnoteRef/>
      </w:r>
      <w:r>
        <w:rPr>
          <w:sz w:val="20"/>
          <w:szCs w:val="20"/>
        </w:rPr>
        <w:t xml:space="preserve"> Book of Leviticus 20:6 (NKJV) states, “And the person who turns to mediums and familiar spirits, to prostitute himself with them, I will set My face against that person and cut him off from his people.”</w:t>
      </w:r>
    </w:p>
  </w:footnote>
  <w:footnote w:id="30">
    <w:p w14:paraId="0000007D" w14:textId="77777777" w:rsidR="001233B2" w:rsidRDefault="00413322">
      <w:pPr>
        <w:spacing w:line="240" w:lineRule="auto"/>
        <w:rPr>
          <w:sz w:val="20"/>
          <w:szCs w:val="20"/>
        </w:rPr>
      </w:pPr>
      <w:r>
        <w:rPr>
          <w:vertAlign w:val="superscript"/>
        </w:rPr>
        <w:footnoteRef/>
      </w:r>
      <w:r>
        <w:rPr>
          <w:sz w:val="20"/>
          <w:szCs w:val="20"/>
        </w:rPr>
        <w:t xml:space="preserve"> Book of Acts 19:19 (NKJV)</w:t>
      </w:r>
    </w:p>
  </w:footnote>
  <w:footnote w:id="31">
    <w:p w14:paraId="0000007E" w14:textId="77777777" w:rsidR="001233B2" w:rsidRDefault="00413322">
      <w:pPr>
        <w:spacing w:line="240" w:lineRule="auto"/>
        <w:rPr>
          <w:sz w:val="20"/>
          <w:szCs w:val="20"/>
        </w:rPr>
      </w:pPr>
      <w:r>
        <w:rPr>
          <w:vertAlign w:val="superscript"/>
        </w:rPr>
        <w:footnoteRef/>
      </w:r>
      <w:r>
        <w:rPr>
          <w:sz w:val="20"/>
          <w:szCs w:val="20"/>
        </w:rPr>
        <w:t xml:space="preserve"> Manuel García Teijeiro. (1993). Religion and Magic. </w:t>
      </w:r>
      <w:r>
        <w:rPr>
          <w:i/>
          <w:sz w:val="20"/>
          <w:szCs w:val="20"/>
        </w:rPr>
        <w:t>Kernos,</w:t>
      </w:r>
      <w:r>
        <w:rPr>
          <w:sz w:val="20"/>
          <w:szCs w:val="20"/>
        </w:rPr>
        <w:t xml:space="preserve"> (6), p. 129.</w:t>
      </w:r>
    </w:p>
  </w:footnote>
  <w:footnote w:id="32">
    <w:p w14:paraId="00000070" w14:textId="77777777" w:rsidR="001233B2" w:rsidRDefault="00413322">
      <w:pPr>
        <w:spacing w:line="240" w:lineRule="auto"/>
        <w:rPr>
          <w:sz w:val="20"/>
          <w:szCs w:val="20"/>
        </w:rPr>
      </w:pPr>
      <w:r>
        <w:rPr>
          <w:vertAlign w:val="superscript"/>
        </w:rPr>
        <w:footnoteRef/>
      </w:r>
      <w:r>
        <w:rPr>
          <w:sz w:val="20"/>
          <w:szCs w:val="20"/>
        </w:rPr>
        <w:t xml:space="preserve"> Cicero, p. 233.</w:t>
      </w:r>
    </w:p>
  </w:footnote>
  <w:footnote w:id="33">
    <w:p w14:paraId="00000071" w14:textId="77777777" w:rsidR="001233B2" w:rsidRDefault="00413322">
      <w:pPr>
        <w:spacing w:line="240" w:lineRule="auto"/>
        <w:rPr>
          <w:sz w:val="20"/>
          <w:szCs w:val="20"/>
        </w:rPr>
      </w:pPr>
      <w:r>
        <w:rPr>
          <w:vertAlign w:val="superscript"/>
        </w:rPr>
        <w:footnoteRef/>
      </w:r>
      <w:r>
        <w:rPr>
          <w:sz w:val="20"/>
          <w:szCs w:val="20"/>
        </w:rPr>
        <w:t xml:space="preserve"> Esther Hamori. (2013). The Prophet and the Necromancer: Women's Divination for Kings. </w:t>
      </w:r>
      <w:r>
        <w:rPr>
          <w:i/>
          <w:sz w:val="20"/>
          <w:szCs w:val="20"/>
        </w:rPr>
        <w:t>Journal of Biblical Literature,</w:t>
      </w:r>
      <w:r>
        <w:rPr>
          <w:sz w:val="20"/>
          <w:szCs w:val="20"/>
        </w:rPr>
        <w:t xml:space="preserve"> </w:t>
      </w:r>
      <w:r>
        <w:rPr>
          <w:i/>
          <w:sz w:val="20"/>
          <w:szCs w:val="20"/>
        </w:rPr>
        <w:t>132</w:t>
      </w:r>
      <w:r>
        <w:rPr>
          <w:sz w:val="20"/>
          <w:szCs w:val="20"/>
        </w:rPr>
        <w:t>(4), p. 827.</w:t>
      </w:r>
    </w:p>
  </w:footnote>
  <w:footnote w:id="34">
    <w:p w14:paraId="0000006C"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II, p. 511.</w:t>
      </w:r>
    </w:p>
  </w:footnote>
  <w:footnote w:id="35">
    <w:p w14:paraId="0000006D" w14:textId="77777777" w:rsidR="001233B2" w:rsidRDefault="00413322">
      <w:pPr>
        <w:spacing w:line="240" w:lineRule="auto"/>
        <w:rPr>
          <w:sz w:val="20"/>
          <w:szCs w:val="20"/>
        </w:rPr>
      </w:pPr>
      <w:r>
        <w:rPr>
          <w:vertAlign w:val="superscript"/>
        </w:rPr>
        <w:footnoteRef/>
      </w:r>
      <w:r>
        <w:rPr>
          <w:sz w:val="20"/>
          <w:szCs w:val="20"/>
        </w:rPr>
        <w:t xml:space="preserve"> Cicero, Book II, p. 355.</w:t>
      </w:r>
    </w:p>
  </w:footnote>
  <w:footnote w:id="36">
    <w:p w14:paraId="0000006B" w14:textId="77777777" w:rsidR="001233B2" w:rsidRDefault="00413322">
      <w:pPr>
        <w:spacing w:line="240" w:lineRule="auto"/>
        <w:rPr>
          <w:sz w:val="20"/>
          <w:szCs w:val="20"/>
        </w:rPr>
      </w:pPr>
      <w:r>
        <w:rPr>
          <w:vertAlign w:val="superscript"/>
        </w:rPr>
        <w:footnoteRef/>
      </w:r>
      <w:r>
        <w:rPr>
          <w:sz w:val="20"/>
          <w:szCs w:val="20"/>
        </w:rPr>
        <w:t xml:space="preserve"> Margaret Lovitt, “Relics: A Tool for Legitimizing Sacred Space.” 1 Jan. 2020. Sacred Geography, University of Wales, Trinity Saint David, student paper. p. 2.</w:t>
      </w:r>
    </w:p>
  </w:footnote>
  <w:footnote w:id="37">
    <w:p w14:paraId="0000006F" w14:textId="77777777" w:rsidR="001233B2" w:rsidRDefault="00413322">
      <w:pPr>
        <w:spacing w:line="240" w:lineRule="auto"/>
        <w:rPr>
          <w:sz w:val="20"/>
          <w:szCs w:val="20"/>
        </w:rPr>
      </w:pPr>
      <w:r>
        <w:rPr>
          <w:vertAlign w:val="superscript"/>
        </w:rPr>
        <w:footnoteRef/>
      </w:r>
      <w:r>
        <w:rPr>
          <w:sz w:val="20"/>
          <w:szCs w:val="20"/>
        </w:rPr>
        <w:t xml:space="preserve"> Émile Durkheim, The Elementary Forms of the Religious Life, a Study in Religious Sociology, (London: New York: G. Allen &amp; Unwin; Macmillan, 1915). As cited in Lovitt, 2020. p. 3.</w:t>
      </w:r>
    </w:p>
  </w:footnote>
  <w:footnote w:id="38">
    <w:p w14:paraId="0000006E" w14:textId="77777777" w:rsidR="001233B2" w:rsidRDefault="00413322">
      <w:pPr>
        <w:spacing w:line="240" w:lineRule="auto"/>
        <w:rPr>
          <w:sz w:val="20"/>
          <w:szCs w:val="20"/>
        </w:rPr>
      </w:pPr>
      <w:r>
        <w:rPr>
          <w:vertAlign w:val="superscript"/>
        </w:rPr>
        <w:footnoteRef/>
      </w:r>
      <w:r>
        <w:rPr>
          <w:sz w:val="20"/>
          <w:szCs w:val="20"/>
        </w:rPr>
        <w:t xml:space="preserve"> Wax p. 499, Hatamori p. 20, and Geertz p. 72. </w:t>
      </w:r>
    </w:p>
  </w:footnote>
  <w:footnote w:id="39">
    <w:p w14:paraId="00000072" w14:textId="77777777" w:rsidR="001233B2" w:rsidRDefault="00413322">
      <w:pPr>
        <w:spacing w:line="240" w:lineRule="auto"/>
        <w:rPr>
          <w:sz w:val="20"/>
          <w:szCs w:val="20"/>
        </w:rPr>
      </w:pPr>
      <w:r>
        <w:rPr>
          <w:vertAlign w:val="superscript"/>
        </w:rPr>
        <w:footnoteRef/>
      </w:r>
      <w:r>
        <w:rPr>
          <w:sz w:val="20"/>
          <w:szCs w:val="20"/>
        </w:rPr>
        <w:t xml:space="preserve"> Karen Jolly &amp; John Middleton. Encyclopedia Britannica. </w:t>
      </w:r>
    </w:p>
  </w:footnote>
  <w:footnote w:id="40">
    <w:p w14:paraId="00000073" w14:textId="77777777" w:rsidR="001233B2" w:rsidRDefault="00413322">
      <w:pPr>
        <w:spacing w:line="240" w:lineRule="auto"/>
        <w:rPr>
          <w:sz w:val="20"/>
          <w:szCs w:val="20"/>
        </w:rPr>
      </w:pPr>
      <w:r>
        <w:rPr>
          <w:vertAlign w:val="superscript"/>
        </w:rPr>
        <w:footnoteRef/>
      </w:r>
      <w:r>
        <w:rPr>
          <w:sz w:val="20"/>
          <w:szCs w:val="20"/>
        </w:rPr>
        <w:t xml:space="preserve"> </w:t>
      </w:r>
      <w:r>
        <w:rPr>
          <w:sz w:val="16"/>
          <w:szCs w:val="16"/>
        </w:rPr>
        <w:t xml:space="preserve"> </w:t>
      </w:r>
      <w:r>
        <w:rPr>
          <w:sz w:val="20"/>
          <w:szCs w:val="20"/>
        </w:rPr>
        <w:t>Karl Marx. A Contribution to the Critique of Hegel’s Philosophy of Right .Retrieved from &lt;</w:t>
      </w:r>
      <w:hyperlink r:id="rId3">
        <w:r>
          <w:rPr>
            <w:color w:val="1155CC"/>
            <w:sz w:val="20"/>
            <w:szCs w:val="20"/>
            <w:u w:val="single"/>
          </w:rPr>
          <w:t>https://www.marxists.org/archive/marx/works/1843/critique-hpr/intro.htm</w:t>
        </w:r>
      </w:hyperlink>
      <w:r>
        <w:rPr>
          <w:sz w:val="20"/>
          <w:szCs w:val="20"/>
        </w:rPr>
        <w:t>&gt; the full quote reads, “Religious suffering is, at one and the same time, the expression of real suffering and a protest against real suffering. Religion is the sigh of the oppressed creature, the heart of a heartless world, and the soul of soulless conditions. It is the opium of the people.”</w:t>
      </w:r>
    </w:p>
  </w:footnote>
  <w:footnote w:id="41">
    <w:p w14:paraId="0000007F" w14:textId="77777777" w:rsidR="001233B2" w:rsidRDefault="00413322">
      <w:pPr>
        <w:spacing w:line="240" w:lineRule="auto"/>
        <w:rPr>
          <w:sz w:val="20"/>
          <w:szCs w:val="20"/>
        </w:rPr>
      </w:pPr>
      <w:r>
        <w:rPr>
          <w:vertAlign w:val="superscript"/>
        </w:rPr>
        <w:footnoteRef/>
      </w:r>
      <w:r>
        <w:rPr>
          <w:sz w:val="20"/>
          <w:szCs w:val="20"/>
        </w:rPr>
        <w:t xml:space="preserve"> Teijeiro, p. 128.</w:t>
      </w:r>
    </w:p>
  </w:footnote>
  <w:footnote w:id="42">
    <w:p w14:paraId="00000079" w14:textId="77777777" w:rsidR="001233B2" w:rsidRDefault="00413322">
      <w:pPr>
        <w:spacing w:line="240" w:lineRule="auto"/>
        <w:rPr>
          <w:sz w:val="20"/>
          <w:szCs w:val="20"/>
        </w:rPr>
      </w:pPr>
      <w:r>
        <w:rPr>
          <w:vertAlign w:val="superscript"/>
        </w:rPr>
        <w:footnoteRef/>
      </w:r>
      <w:r>
        <w:rPr>
          <w:sz w:val="20"/>
          <w:szCs w:val="20"/>
        </w:rPr>
        <w:t xml:space="preserve"> Wax, p. 508 </w:t>
      </w:r>
    </w:p>
  </w:footnote>
  <w:footnote w:id="43">
    <w:p w14:paraId="0000007B" w14:textId="77777777" w:rsidR="001233B2" w:rsidRDefault="00413322">
      <w:pPr>
        <w:spacing w:line="240" w:lineRule="auto"/>
        <w:rPr>
          <w:sz w:val="20"/>
          <w:szCs w:val="20"/>
        </w:rPr>
      </w:pPr>
      <w:r>
        <w:rPr>
          <w:vertAlign w:val="superscript"/>
        </w:rPr>
        <w:footnoteRef/>
      </w:r>
      <w:r>
        <w:rPr>
          <w:sz w:val="20"/>
          <w:szCs w:val="20"/>
        </w:rPr>
        <w:t xml:space="preserve"> Lawrence Stone. (1971). "The Disenchantment of the World," New York Review of Books. Retrieved from &lt;</w:t>
      </w:r>
      <w:hyperlink r:id="rId4">
        <w:r>
          <w:rPr>
            <w:color w:val="1155CC"/>
            <w:sz w:val="20"/>
            <w:szCs w:val="20"/>
            <w:u w:val="single"/>
          </w:rPr>
          <w:t>https://www.nybooks.com/articles/1971/12/02/the-disenchantment-of-the-world/</w:t>
        </w:r>
      </w:hyperlink>
      <w:r>
        <w:rPr>
          <w:sz w:val="20"/>
          <w:szCs w:val="20"/>
        </w:rPr>
        <w:t xml:space="preserve">&gt; As cited in Geertz, 1975. </w:t>
      </w:r>
    </w:p>
  </w:footnote>
  <w:footnote w:id="44">
    <w:p w14:paraId="0000007A" w14:textId="77777777" w:rsidR="001233B2" w:rsidRDefault="00413322">
      <w:pPr>
        <w:spacing w:line="240" w:lineRule="auto"/>
        <w:rPr>
          <w:sz w:val="20"/>
          <w:szCs w:val="20"/>
        </w:rPr>
      </w:pPr>
      <w:r>
        <w:rPr>
          <w:vertAlign w:val="superscript"/>
        </w:rPr>
        <w:footnoteRef/>
      </w:r>
      <w:r>
        <w:rPr>
          <w:sz w:val="20"/>
          <w:szCs w:val="20"/>
        </w:rPr>
        <w:t xml:space="preserve"> Michael Winkelman. (2000). Review of Across the Boundaries of Belief: Contemporary Issues in theAnthropology of Religion by Morton Klass and Maxine K. Weisgrau; Religion and Magic:Approaches and Theories by Graham Cunningham. </w:t>
      </w:r>
      <w:r>
        <w:rPr>
          <w:i/>
          <w:sz w:val="20"/>
          <w:szCs w:val="20"/>
        </w:rPr>
        <w:t>American Anthropologist,</w:t>
      </w:r>
      <w:r>
        <w:rPr>
          <w:sz w:val="20"/>
          <w:szCs w:val="20"/>
        </w:rPr>
        <w:t xml:space="preserve"> </w:t>
      </w:r>
      <w:r>
        <w:rPr>
          <w:i/>
          <w:sz w:val="20"/>
          <w:szCs w:val="20"/>
        </w:rPr>
        <w:t>102</w:t>
      </w:r>
      <w:r>
        <w:rPr>
          <w:sz w:val="20"/>
          <w:szCs w:val="20"/>
        </w:rPr>
        <w:t>(2), p. 380.</w:t>
      </w:r>
    </w:p>
  </w:footnote>
  <w:footnote w:id="45">
    <w:p w14:paraId="0000007C" w14:textId="77777777" w:rsidR="001233B2" w:rsidRDefault="00413322">
      <w:pPr>
        <w:spacing w:line="240" w:lineRule="auto"/>
        <w:rPr>
          <w:sz w:val="20"/>
          <w:szCs w:val="20"/>
        </w:rPr>
      </w:pPr>
      <w:r>
        <w:rPr>
          <w:vertAlign w:val="superscript"/>
        </w:rPr>
        <w:footnoteRef/>
      </w:r>
      <w:r>
        <w:rPr>
          <w:sz w:val="20"/>
          <w:szCs w:val="20"/>
        </w:rPr>
        <w:t xml:space="preserve"> Geertz, p. 74.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FF570" w14:textId="3787E1D9" w:rsidR="00F67E1C" w:rsidRDefault="00F67E1C">
    <w:pPr>
      <w:pStyle w:val="Header"/>
      <w:jc w:val="right"/>
    </w:pPr>
    <w:r>
      <w:t xml:space="preserve">Lovitt </w:t>
    </w:r>
    <w:sdt>
      <w:sdtPr>
        <w:id w:val="-10928109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84C9F04" w14:textId="77777777" w:rsidR="00F67E1C" w:rsidRDefault="00F67E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C0MDc2NTOyMDIwMDNR0lEKTi0uzszPAykwqgUABjB0piwAAAA="/>
  </w:docVars>
  <w:rsids>
    <w:rsidRoot w:val="001233B2"/>
    <w:rsid w:val="0005290E"/>
    <w:rsid w:val="001233B2"/>
    <w:rsid w:val="00413322"/>
    <w:rsid w:val="005332F8"/>
    <w:rsid w:val="006B3113"/>
    <w:rsid w:val="00C52F07"/>
    <w:rsid w:val="00F61047"/>
    <w:rsid w:val="00F67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B3F3ED"/>
  <w15:docId w15:val="{2686C119-403C-4305-9483-FD04E27EA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5290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290E"/>
    <w:rPr>
      <w:rFonts w:ascii="Segoe UI" w:hAnsi="Segoe UI" w:cs="Segoe UI"/>
      <w:sz w:val="18"/>
      <w:szCs w:val="18"/>
    </w:rPr>
  </w:style>
  <w:style w:type="paragraph" w:styleId="Header">
    <w:name w:val="header"/>
    <w:basedOn w:val="Normal"/>
    <w:link w:val="HeaderChar"/>
    <w:uiPriority w:val="99"/>
    <w:unhideWhenUsed/>
    <w:rsid w:val="00F67E1C"/>
    <w:pPr>
      <w:tabs>
        <w:tab w:val="center" w:pos="4680"/>
        <w:tab w:val="right" w:pos="9360"/>
      </w:tabs>
      <w:spacing w:line="240" w:lineRule="auto"/>
    </w:pPr>
  </w:style>
  <w:style w:type="character" w:customStyle="1" w:styleId="HeaderChar">
    <w:name w:val="Header Char"/>
    <w:basedOn w:val="DefaultParagraphFont"/>
    <w:link w:val="Header"/>
    <w:uiPriority w:val="99"/>
    <w:rsid w:val="00F67E1C"/>
  </w:style>
  <w:style w:type="paragraph" w:styleId="Footer">
    <w:name w:val="footer"/>
    <w:basedOn w:val="Normal"/>
    <w:link w:val="FooterChar"/>
    <w:uiPriority w:val="99"/>
    <w:unhideWhenUsed/>
    <w:rsid w:val="00F67E1C"/>
    <w:pPr>
      <w:tabs>
        <w:tab w:val="center" w:pos="4680"/>
        <w:tab w:val="right" w:pos="9360"/>
      </w:tabs>
      <w:spacing w:line="240" w:lineRule="auto"/>
    </w:pPr>
  </w:style>
  <w:style w:type="character" w:customStyle="1" w:styleId="FooterChar">
    <w:name w:val="Footer Char"/>
    <w:basedOn w:val="DefaultParagraphFont"/>
    <w:link w:val="Footer"/>
    <w:uiPriority w:val="99"/>
    <w:rsid w:val="00F67E1C"/>
  </w:style>
  <w:style w:type="paragraph" w:styleId="NormalWeb">
    <w:name w:val="Normal (Web)"/>
    <w:basedOn w:val="Normal"/>
    <w:rsid w:val="00F67E1C"/>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6.xml"/><Relationship Id="rId18" Type="http://schemas.openxmlformats.org/officeDocument/2006/relationships/hyperlink" Target="http://www.becomingjewish.org/articles/tanakh_versus_old_testament.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marxists.org/archive/marx/works/1843/critique-hpr/intro.htm" TargetMode="External"/><Relationship Id="rId7" Type="http://schemas.openxmlformats.org/officeDocument/2006/relationships/customXml" Target="ink/ink1.xml"/><Relationship Id="rId12" Type="http://schemas.openxmlformats.org/officeDocument/2006/relationships/customXml" Target="ink/ink5.xml"/><Relationship Id="rId17" Type="http://schemas.openxmlformats.org/officeDocument/2006/relationships/hyperlink" Target="http://penelope.uchicago.edu/Thayer/E/Roman/Texts/Cicero/de_Divinatione/2*.html"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hyperlink" Target="https://www.britannica.com/topic/magic-supernatural-phenomenon/Magic-and-relig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ustomXml" Target="ink/ink4.xm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customXml" Target="ink/ink7.xml"/><Relationship Id="rId23" Type="http://schemas.openxmlformats.org/officeDocument/2006/relationships/hyperlink" Target="https://www.nybooks.com/articles/1971/12/02/the-disenchantment-of-the-world/" TargetMode="External"/><Relationship Id="rId10" Type="http://schemas.openxmlformats.org/officeDocument/2006/relationships/customXml" Target="ink/ink3.xml"/><Relationship Id="rId19" Type="http://schemas.openxmlformats.org/officeDocument/2006/relationships/hyperlink" Target="https://billmoyers.com/content/ep-6-joseph-campbell-and-the-power-of-myth-masks-of-eternity-audio/" TargetMode="External"/><Relationship Id="rId4" Type="http://schemas.openxmlformats.org/officeDocument/2006/relationships/footnotes" Target="footnotes.xml"/><Relationship Id="rId9" Type="http://schemas.openxmlformats.org/officeDocument/2006/relationships/customXml" Target="ink/ink2.xml"/><Relationship Id="rId14" Type="http://schemas.openxmlformats.org/officeDocument/2006/relationships/image" Target="media/image3.png"/><Relationship Id="rId22" Type="http://schemas.openxmlformats.org/officeDocument/2006/relationships/hyperlink" Target="https://www.biblegateway.co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arxists.org/archive/marx/works/1843/critique-hpr/intro.htm" TargetMode="External"/><Relationship Id="rId2" Type="http://schemas.openxmlformats.org/officeDocument/2006/relationships/hyperlink" Target="https://www.britannica.com/topic/magic-supernatural-phenomenon/Magic-and-religion" TargetMode="External"/><Relationship Id="rId1" Type="http://schemas.openxmlformats.org/officeDocument/2006/relationships/hyperlink" Target="http://www.becomingjewish.org/articles/tanakh_versus_old_testament.pdf" TargetMode="External"/><Relationship Id="rId4" Type="http://schemas.openxmlformats.org/officeDocument/2006/relationships/hyperlink" Target="https://www.nybooks.com/articles/1971/12/02/the-disenchantment-of-the-world/"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9.703"/>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30.705"/>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7.002"/>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6.371"/>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5.641"/>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18.758"/>
    </inkml:context>
    <inkml:brush xml:id="br0">
      <inkml:brushProperty name="width" value="0.05" units="cm"/>
      <inkml:brushProperty name="height" value="0.05" units="cm"/>
      <inkml:brushProperty name="ignorePressure" value="1"/>
    </inkml:brush>
  </inkml:definitions>
  <inkml:trace contextRef="#ctx0" brushRef="#br0">0 47,'3'0,"4"3,1 3,5 2,3 2,2 2,-2 7,-1-2,0 0,1-4,0 1,4-1,-2 1,-1-1,-3-1,-4-2</inkml:trace>
  <inkml:trace contextRef="#ctx0" brushRef="#br0" timeOffset="2711.57">0 277,'0'-3,"3"-7,4-6,1-2,2 2,-1 1,-2-1,1 0,3-1,1-3,-1-1,1 0,1 2,2 3,1 1,1 0,0 2,-2 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6:18.732"/>
    </inkml:context>
    <inkml:brush xml:id="br0">
      <inkml:brushProperty name="width" value="0.025" units="cm"/>
      <inkml:brushProperty name="height" value="0.025" units="cm"/>
      <inkml:brushProperty name="ignorePressure" value="1"/>
    </inkml:brush>
  </inkml:definitions>
  <inkml:trace contextRef="#ctx0" brushRef="#br0">0 989,'0'0,"0"0,0 0,0 0,0 0,0 0,0 0,6-7,17-21,-2-1,-1-1,-1-1,-1 0,-3-2,8-18,88-190,-47 108,-7 21,-25 50,-3-2,6-20,-38 93,2 1,-1-1,1 0,1 10,-2 7,-29 220,31-241,-2 27,2-30,0 0,0 0,0-1,1 1,-1 0,1 0,-1 0,1 0,-1 0,1-1,0 1,0 0,0 0,0 0,1-5,0 0,0 0,-1 0,1 0,-1-1,0 1,0 0,0-1,-1 4,7-24,1 1,1 0,1 1,1 0,1 0,1 1,8-10,121-128,-130 144,-10 11,1 1,0-1,-1 1,1 0,0 0,0 0,1 0,1-1,-9 20,-72 162,-7-3,-13 4,93-173,0-1,0 1,1 0,-1 0,1 0,1 0,-1 0,1 0,0 0,0 5,2-16,0-1,1 0,0 0,0 0,0 1,1-1,0 1,1-1,1-5,5-5,1 0,0 1,1 0,1 1,0 0,1 1,10-7,9-10,-28 25,0 1,0-1,1 1,-1 1,1-1,0 1,0 0,0 0,1 0,-1 1,1 0,-1 1,1-1,-1 1,1 0,4 1,10-1,8-1,-23 0,-12 0,-3 0,-1 1,0 0,1 0,-1 1,0 1,0-1,1 2,-1-1,0 1,1 1,0-1,-1 2,1-1,0 1,1 1,-1-1,1 2,0-1,0 1,0 0,1 1,0-1,1 2,-1-1,1 1,0 0,-1 3,0 1,0 1,1 0,1 1,0 0,1-1,0 3,2-8,1-1,0 1,0-1,0 1,1 0,1-1,-1 1,1 0,0-1,1 1,0-1,1 4,-2-8,1 1,-1-1,1 0,-1 0,1 0,0 0,0-1,0 1,1 0,-1-1,0 1,1-1,0 0,0 0,-1 0,1 0,0-1,0 1,1-1,-1 0,0 0,0 0,1 0,-1 0,1-1,-1 1,4-1,-2 0,1-1,0 0,0 0,-1 0,1-1,-1 0,1 0,-1 0,0-1,0 1,0-1,0 0,0-1,0 1,-1-1,1-1,6-7,0 0,-1-2,0 1,-1-1,-1 0,0-1,-1 0,4-12,4-14,-3 0,6-34,-16 58,-9 28,-7 26,5-10,1 0,2 0,-4 29,8-40,1 1,1-1,0 1,1-1,1 1,0-1,3 8,-4-21,-1-1,1 0,-1 0,1 0,0 0,0 0,0 0,0 0,0 0,0 0,1-1,-1 1,1 0,-1-1,1 1,-1-1,1 0,0 1,0-1,0 0,0 0,0 0,0 0,0 0,0-1,2 1,-1-1,1 1,-1-2,0 1,0 0,0-1,1 1,-1-1,0 0,0 0,0-1,0 1,0 0,0-1,-1 0,1 0,0 1,-1-2,2 0,0-1,-1 0,1-1,-1 1,0-1,0 0,0 0,0 0,-1 0,0-1,0 1,1-5,3-15,-2 0,0-2,-1 9,0-3,2-2,-2-1,0 0,-2 0,-2-21,1 44,0-11,7 12,4 2,-1-2,0 0,0 0,-1-1,1 0,0-1,0 0,-1 0,1-1,0 0,11-6,1-1,-1 0,5-5,-26 17,1 1,-1 0,0 0,1 0,-1 0,-1-1,1 1,0 0,-1 0,1 0,0-3,-8 61,-6 59,13-99,0 1,2-1,0 1,3 10,2-14,-6-18,0 0,0 0,0 0,0 0,0 0,0 0,0 0,0 1,0-1,0 0,0 0,0 0,1 0,-1 0,0 0,0 0,0 0,0 0,0 0,0 0,0 0,0 0,1 0,-1 0,0 0,0 0,0 0,0 0,0 0,0 0,0 0,1 0,-1 0,0 0,0 0,0 0,0 0,0 0,0 0,0 0,0 0,0 0,1 0,-1-1,0 1,0 0,0 0,0 0,0 0,0 0,0 0,0 0,0 0,0 0,0-1,0 1,0 0,0 0,0 0,9-31,-3 9,9-21,1 0,3 1,14-23,-25 50,1 0,1 1,0 1,1-1,0 2,1-1,0 2,1 0,1 0,0 1,5-2,-17 10,0 1,1 0,-1 0,0 0,1 0,-1 0,1 0,-1 0,1 1,0 0,-1-1,1 1,0 0,-1 0,1 0,0 1,-1-1,1 1,-1-1,3 2,0 1,1 0,-1 0,-1 1,1 0,0 0,-1 0,0 0,3 4,18 23,-17-20,1 0,0-1,0 0,2 0,-18-15,0 1,-1 0,1 0,-1 1,-3-1,-25-12,30 12,-1 1,1-1,-1 2,1-1,-1 1,0 0,0 0,-2 0,5 2,-1 0,1 0,0 1,-1-1,1 1,-1 0,1 0,0 0,0 0,0 1,-1 0,2 0,-5 2,1 1,0 0,0 1,1-1,-1 1,1 1,1-1,-1 1,1 0,1 0,-1 1,1-1,0 1,-10 22,2 0,-4 18,13-40,-2 7,-15 51,19-60,0 0,0 1,0-1,1 0,0 0,0 1,0-1,1 0,0 3,0-7,0 1,-1-1,1 0,0 1,0-1,0 0,1 0,-1 0,0 0,1 0,-1 0,1 0,0 0,0 0,0-1,0 1,0-1,0 0,0 1,0-1,0 0,1 0,-1 0,0-1,1 1,-1-1,1 1,-1-1,1 0,-1 0,1 0,-1 0,1 0,-1 0,0-1,3 0,4-1,0 0,0-1,0 0,-1-1,1 0,-1 0,0-1,0 0,2-2,16-13,-1-2,0-1,-2-1,-1-1,-1 0,-2-2,0 0,-2-2,0-1,-14 24,-1 0,1-1,-2 1,1-1,-1 1,0-1,0 0,0 0,-1 1,0-1,-1 0,0-1,0-15,1 53,-2-1,-2 9,-2 14,1 22,-3 0,-4-1,-6 14,12-65,0 1,-2-1,0 0,-2-1,0 0,-2 0,0-1,-1-1,-1 0,-1-1,0 0,-5 2,15-15,1-1,0-1,-1 1,0-1,0 0,0 0,0 0,-1-1,-2 2,6-4,0 1,-1-1,1 0,0 0,-1 0,1 0,0 0,-1 0,1-1,0 1,-1-1,1 1,0-1,0 0,0 0,-1 0,1 0,0 0,0-1,1 1,-1-1,0 1,0-1,-1-1,-4-6,0 1,0-1,1-1,0 1,1-1,0 0,0-1,1 1,0-1,1 0,1 0,-1 0,2 0,0 0,0-10,0 0,2 0,0 0,1 1,1-1,1 1,1-1,1 1,2-2,-6 15,1-1,0 1,1 0,0 0,0 0,1-1,-3 6,-1 1,0-1,1 1,-1 0,1-1,-1 1,1 0,-1 0,1 0,0 0,0 0,-1 0,1 1,0-1,0 0,0 1,0 0,0-1,0 1,0 0,0 0,0 0,0 0,0 1,0-1,0 0,0 1,20 6,0 0,-1 2,9 5,-13-6,0 0,0-1,1-1,0-1,17 3,-33-8,-1 0,0 0,1 0,-1 0,0-1,1 1,-1-1,0 1,1-1,-1 1,0-1,0 0,0 0,1 1,-1-1,0 0,0 0,0 0,-1 0,1 0,0 0,0-1,0 1,-1 0,1 0,-1-1,1 1,-1 0,1-1,-1 1,0-1,4-10,-1 0,-1 1,1-9,-1 4,6-28,8-42,-14 77,1 0,0 0,1 0,-1 1,2-1,-1 1,5-6,-5 10,0 0,0 1,0 0,0-1,0 1,1 0,0 1,-1-1,1 1,0 0,0 0,0 1,0-1,0 1,1 0,-1 1,0-1,1 1,3 0,1 0,1 1,-1 0,1 0,-1 1,0 1,0-1,0 2,0-1,6 4,-21-9,0-1,-1 1,1 0,0 0,-1 1,0 0,1 0,-1 0,0 0,-5 1,7 0,0 1,0-1,0 1,0 0,0 0,1 0,-1 1,1-1,-1 1,1 0,-1 0,1 0,0 1,0-1,0 1,-2 1,-3 6,1 0,-1 0,2 0,-1 1,1 0,1 0,0 1,-2 7,1 2,0 0,1 1,1-1,0 12,4-28,0-1,1 1,-1 0,1-1,0 1,1-1,-1 1,1-1,0 0,0 1,0-1,1 0,-1 0,1-1,0 1,0 0,4 2,5 6,0-1,1 0,0-1,7 3,-18-11,1 0,0-1,0 0,-1 1,1-1,0 0,0 0,0 0,0-1,0 1,1-1,-1 0,0 1,0-1,0-1,0 1,0 0,2-1,-1-1,0 1,1-1,-1 0,0 0,0 0,0-1,0 1,-1-1,1 0,-1 0,3-3,2-3,-1 0,-1 0,1 0,-1-1,-1 0,0 0,0 0,-1-1,2-9,-2 2,0-1,-1 0,-1 0,-1-10,-1 20,0 0,0 0,-1 1,-1-1,0 0,0 0,0 1,-1-1,0 1,-4-6,6 18,1 13,4 21,0-2,-3-19,0 0,2 0,0 0,1 0,1 0,3 9,-7-25,-1 0,1 1,-1-1,1 0,0 0,0 1,-1-1,1 0,0 0,0 0,0 0,0 0,0 0,0 0,0-1,1 1,-1 0,0 0,0-1,1 1,-1-1,0 1,1-1,-1 0,1 1,0-2,-1 1,1 0,-1-1,1 1,-1-1,1 0,-1 1,0-1,1 0,-1 0,0 0,0 0,1 0,-1 0,0 0,0 0,0-1,0 1,-1 0,1-1,0 1,0-1,4-8,0 1,-1-1,0-1,-1 1,0 0,-1-1,0 0,0 1,-1-10,0-12,-3 0,-2-20,0 9,7 44,1-1,0 1,0 0,0 0,-1 0,1 1,0-1,-1 1,7 1,0-1,0 0,1 0,-1-1,1 0,-1-1,4 0,-8 0,0-1,-1 1,1-1,0 0,0-1,-1 1,1-1,0 0,-1-1,0 1,0-1,0 0,4-3,-8 5,0 0,1 0,-1-1,0 1,0 0,-1-1,1 1,0 0,0-1,-1 1,1-1,0 1,-1-1,0 1,1-1,-1 1,0-1,0 1,0-1,0 0,0 1,0-1,0 0,-16 26,3-2,2 0,0 1,2 0,-3 8,8-17,0-1,1 1,1 0,0 0,1 0,0 0,1 0,1 8,-1-19,1-1,-1 0,1 1,-1-1,1 0,0 1,0-1,0 0,0 0,1 1,-1-1,1 0,-1-1,1 1,-1 0,1 0,0-1,0 1,0-1,0 1,0-1,0 0,1 0,-1 0,0 0,1 0,-1 0,1-1,2 1,0 0,0 0,0-1,0 0,0 0,0 0,-1-1,1 0,0 0,0 0,0 0,-1-1,5-1,7-6,0 0,-1-1,0 0,-1-1,0-1,-1 0,0-1,8-11,-6 5,0 0,-2-2,0 1,-1-2,-1 0,1-6,-10 22,1 0,-2-1,1 1,-1 0,0-1,0 1,-1-6,0 11,0 0,0-1,0 1,0 0,-1 0,1 0,0 0,-1-1,1 1,0 0,-1 0,0 0,1 0,-1 0,0 0,1 0,-1 0,0 1,0-1,0 0,0 1,0-1,-1 1,1-1,0 1,0 0,-1 0,1-1,0 1,0 0,-1 0,1 0,0 1,-1-1,1 0,0 0,0 1,-1-1,1 1,0-1,-1 1,-5 2,0 1,1 0,-1 0,1 0,0 1,0 0,1 0,-1 0,1 1,0 0,1 0,-1 0,-2 6,-2 4,1 0,0 1,2-1,0 1,-1 7,5-18,1 1,0 0,1 0,0 0,0 0,0 0,1 0,0 0,0 0,1 0,0-1,1 5,1-2,-1-1,1 1,0-1,1 0,0-1,0 1,1-1,0 0,4 3,-8-7,1-1,0 0,0 0,0 0,0 0,0-1,1 1,-1-1,0 0,1 0,-1 0,1 0,-1-1,1 0,0 1,-1-1,1 0,-1-1,1 1,-1 0,1-1,0 0,-1 0,0 0,1 0,-1-1,0 0,1 0,10-5,0-2,-1 0,0 0,0-1,7-8,3-5,0-1,-1-1,-2-1,0-1,-2-1,11-22,3-16,-2 0,10-39,-37 99,5-14,-2 1,0-1,0 0,-2 0,-1-1,1-15,-30 78,18-30,-23 38,2 2,2 1,0 8,21-46,0 0,2 0,-1 0,2 1,0-1,1 1,1 0,0 0,1-1,0 1,2 0,0 0,0-1,3 6,-3-16,0 1,0-1,1 0,-1 0,1 0,0 0,1 0,-1-1,1 1,0-1,0 0,0 0,1-1,-1 1,1-1,0 0,0 0,0-1,0 1,1-1,-1 0,1-1,-1 1,1-1,0 0,-1 0,3-1,5 1,1-1,0 0,0-1,-1-1,1 0,-1-1,0 0,1-1,-1 0,12-7,-11 4,0 0,0-1,0-1,-1 0,-1-1,1 0,-2-1,6-6,1-5</inkml:trace>
  <inkml:trace contextRef="#ctx0" brushRef="#br0" timeOffset="518.41">2449 248,'0'0,"0"0,0 0,0 0,8 1,10 2,10 1,11 0,11 3,6 0,7 3,1 1,0 1,-4 0,-4-3,-11-3</inkml:trace>
  <inkml:trace contextRef="#ctx0" brushRef="#br0" timeOffset="6500.23">3389 69,'0'0,"0"0,0 0,0 0,14 16,-11-12,14 18,-1-1,1 0,1-2,1 0,13 10,-27-25,0 1,1-2,0 1,0-1,0 1,0-1,1-1,-1 0,1 0,-1 0,1 0,0-1,0 0,-1-1,1 0,0 0,0 0,0-1,0 0,0 0,11-4,-1-2,0 0,-1 0,0-2,0 0,0-1,-2 0,1-1,-1-1,-1 0,0-1,-1-1,8-9,-17 18,0 1,-1-1,1 0,-1 0,0 0,-1 0,1 0,-1 0,0-1,0 1,0 0,-1-1,0 1,0 0,0-1,-1 1,0 0,0-1,0 0,0 5,1 1,0 0,-1 0,1 0,0 0,-1-1,1 1,-1 0,1 0,0 0,-1 0,1 0,-1 0,1 0,0 0,-1 0,1 0,-1 0,1 0,0 0,-1 1,1-1,-1 0,1 0,0 0,-1 0,1 1,0-1,-1 0,1 0,0 1,-1-1,1 0,0 1,0-1,-1 0,1 1,-16 13,14-12,-49 51,3 3,-32 46,19-22,-6 0,-2-8,-4-3,-45 32,109-93,-1-1,0-1,0 0,-3 1,9-5,0 0,0 0,0-1,-1 0,1 1,0-1,-1-1,1 1,-1-1,0 0,1 0,-3 0,7 0,-1 0,0-1,0 1,0 0,0 0,1-1,-1 1,0-1,0 1,1-1,-1 1,0-1,1 1,-1-1,0 1,1-1,-1 0,1 1,-1-1,1 0,0 0,-1 1,1-2,-1 0,0-1,0 1,1-1,0 1,-1-1,1 1,0-1,0-2,1-3,0 0,1 0,0 0,0 1,0-1,1 1,0 1,0 0,0 0,1 0,0 1,0-1,0 1,0 0,4-2,-6 5,0 0,0 0,0 0,0 0,1 1,-1 0,0-1,1 1,-1 0,1 0,0 0,-1 0,1 0,0 1,-1 0,1-1,0 1,0 0,0 0,-1 0,1 1,0-1,-1 0,2 1,13 6,0 0,0 2,-1-1,0 2,-1 0,0 1,0 0,-1 2,4 4,-8-6,1-1,0 0,0-1,1 0,1-1,-1-1,1 0,0 0,1-1,3 0,-16-6,0 0,0 0,0 0,-1 0,1 0,0 0,0 0,0-1,0 1,0 0,-1-1,1 1,0-1,0 1,0-1,-1 1,1-1,0 1,-1-1,1 0,0 1,-1-1,1 0,-1 0,1 1,-1-1,0 0,1 0,13-28,-10 18,13-20,1 1,1 0,1 1,2 1,12-11,-25 30,-1 1,1-1,1 2,-1 0,1 0,0 0,5-1,-11 6,-1 1,1-1,-1 1,1-1,0 1,0 0,-1 0,1 1,0-1,0 1,0 0,0 0,0 0,0 1,-1-1,1 1,0 0,0 0,0 0,-1 1,1-1,-1 1,1 0,1 1,3 3,0 1,0 1,0-1,-1 1,0 0,-1 1,6 8,4 11,12 29,-11-21,-25-51,-2 1,0 0,-1 0,0 1,-1 1,0 0,-1 1,-8-6,17 14,-1 0,1 0,-1 1,0 0,0 0,0 0,0 0,0 1,0-1,0 2,0-1,-1 0,1 1,0 0,-3 0,1 1,0 0,-1 1,1 0,0 0,0 0,0 1,0 0,0 1,1-1,-3 3,-2 2,0 0,0 1,1 0,0 1,1 0,0 1,1 0,0 0,0 0,2 1,-5 10,9-19,1 0,0 0,0 1,0-1,0 0,0 0,1 1,0-1,-1 0,1 1,0-1,1 0,-1 0,1 1,-1-1,1 0,0 0,0 1,0-1,1 0,-1 0,1-1,0 1,-1 0,1 0,1-1,-1 1,2 1,0-1,-1 0,1-1,0 1,0-1,1 1,-1-1,0-1,1 1,-1 0,1-1,0 0,-1 0,1-1,0 1,0-1,0 0,3-1,10-1,0 0,0-2,0 0,-1-1,0-1,0-1,0 0,-1-1,7-5,-13 7,1 0,-2-1,1-1,-1 0,0 0,0 0,-1-1,0-1,-1 1,0-1,-1 0,0-1,0 0,2-7,-7 16,0 0,-1 0,1 0,0 0,-1-1,0 1,1 0,-1 0,0-1,0 1,0 0,0 0,-1 0,1-1,-1 1,1 0,-1 0,0 0,0 0,0 0,0 0,0 0,0 0,0 0,-1 0,1 1,-1-1,1 0,-2 0,-4-2,1 0,0 0,-1 1,0 0,1 0,-1 1,0 0,-6-1,-5-1,1 1,-2 1,1 0,0 2,0 0,-12 2,21-2,-1 2,1-1,0 1,-1 1,1-1,0 2,1-1,-1 1,1 0,-1 1,1 0,1 1,-6 4,12-10,0 1,1 0,-1-1,0 1,1 0,-1 0,1 0,-1 0,1 0,-1 0,1-1,-1 1,1 0,0 0,0 0,-1 0,1 0,0 0,0 0,0 1,0-1,0 0,1 0,-1 0,0 0,1 2,0-1,0 0,0 1,1-1,-1 0,1 0,-1 0,1 0,0 0,1 1,6 5,0-1,1 0,0 0,3 0,-4-1,1-1,0 0,1-1,-1 0,1-1,0 0,-1 0,1-1,0-1,1 0,-1 0,0-1,0-1,0 0,0 0,0-1,0-1,0 1,-1-2,1 0,-1 0,5-3,12-6,0-2,0-1,-2-1,0-1,-1-2,-24 57,-5-1,2-23,1 1,0 0,1-1,1 1,0 0,1 0,1-1,2 13,-4-25,0 0,1 0,-1 1,0-1,1 0,-1 0,1 0,-1 0,1 0,0 1,-1-1,1 0,0-1,0 1,0 0,0 0,0 0,0 0,0-1,0 1,0 0,0-1,0 1,0-1,0 1,1-1,-1 0,0 0,0 1,1-1,-1 0,0 0,0 0,1 0,-1 0,0 0,0-1,1 1,-1 0,0-1,0 1,0-1,0 1,1-1,-1 1,0-1,0 0,0 0,8-5,0 0,-1-1,0 0,-1-1,3-2,-8 8,18-23,-2 0,0-1,-2 0,0-1,-2-1,3-12,7-10,12-17,-49 88,2 1,1 1,1-1,0 2,2-1,1 1,-3 23,8-41,1 0,0-1,0 1,1 0,-1-1,1 1,0-1,1 1,-1-1,1 1,0-1,1 0,-1 0,1 0,0 0,0 0,1-1,-1 1,1-1,0 0,0 0,1 0,-1-1,1 0,-1 1,1-2,0 1,0 0,1-1,-1 0,0 0,1-1,-1 0,1 0,0 0,-1 0,1-1,0 0,-1 0,1 0,0-1,-1 0,1 0,-1-1,8-2,0 0,0-1,-1-1,0 0,0-1,-1 0,0-1,0 0,-1-1,0 0,0 0,4-7,6-8,-1 0,-2 0,0-2,-2 0,0-3,1-7,-3-1,-1 0,-1 0,-2-1,-2 0,-1-1,-1-20,-8 74,-1-1,-1 0,-2 5,-2 8,-64 166,41-115,3 1,4 1,-4 33,29-113,-1 0,1 1,0-1,0 0,0 0,0 1,0-1,0 0,-1 1,1-1,0 0,0 1,0-1,0 0,0 1,0-1,1 0,-1 1,0-1,0 0,0 0,0 1,0-1,0 0,0 1,1-1,-1 0,0 0,0 1,0-1,1 0,-1 0,0 1,0-1,1 0,-1 0,0 0,0 0,1 1,-1-1,0 0,1 0,-1 0,16-7,25-25,-35 27,36-33,-1-1,-1-2,-3-2,10-15,-26 28,0-1,-3-1,0 0,-2-2,-1 0,-2 0,1-7,-9 11,-4 20,-8 19,-17 45,3 1,2 2,2 0,-6 42,21-87,0-1,1 1,1-1,0 1,0 0,1-1,1 1,0-1,0 0,3 5,-4-15,-1 0,1 1,0-1,0 0,0 0,0-1,0 1,1 0,-1 0,0 0,0-1,0 1,1-1,-1 1,0-1,1 1,-1-1,0 0,1 0,-1 1,1-1,-1 0,0 0,1-1,-1 1,1 0,-1 0,0-1,2 1,45-15,-39 12,95-38,-2-5,51-33,71-33,-259 107,-39 9,0 4,-25 7,-145 36,194-39,-7-2,0-2,0-2,-1-3,-36-3,-230-26,271 21,37 4,11 1,1 0,-1 0,0-1,1 1,-1-1,1 0,-1-1,1 1,-1-1,4 1</inkml:trace>
  <inkml:trace contextRef="#ctx0" brushRef="#br0" timeOffset="7507.5">4510 197,'0'0,"0"0,0 0,0 0,0 0,0 0,0 0,0 0,0 0,0 0,0 0,0 0,0 0,0 0,5-7,9-16,-1-2,-1 1,6-20,-20 48,2-4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3544</Words>
  <Characters>20204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Maggie lovitt</dc:creator>
  <cp:lastModifiedBy>Maggie lovitt</cp:lastModifiedBy>
  <cp:revision>3</cp:revision>
  <dcterms:created xsi:type="dcterms:W3CDTF">2020-07-03T14:56:00Z</dcterms:created>
  <dcterms:modified xsi:type="dcterms:W3CDTF">2020-07-03T14:59:00Z</dcterms:modified>
</cp:coreProperties>
</file>