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rPr>
        <w:id w:val="-327297616"/>
        <w:docPartObj>
          <w:docPartGallery w:val="Cover Pages"/>
          <w:docPartUnique/>
        </w:docPartObj>
      </w:sdtPr>
      <w:sdtContent>
        <w:p w14:paraId="7E643627" w14:textId="77777777" w:rsidR="00DA3DEB" w:rsidRPr="00301FA3" w:rsidRDefault="00000000">
          <w:pPr>
            <w:pStyle w:val="NoSpacing"/>
            <w:rPr>
              <w:rFonts w:ascii="Arial" w:hAnsi="Arial" w:cs="Arial"/>
            </w:rPr>
          </w:pPr>
          <w:r w:rsidRPr="00301FA3">
            <w:rPr>
              <w:rFonts w:ascii="Arial" w:hAnsi="Arial" w:cs="Arial"/>
              <w:noProof/>
            </w:rPr>
            <w:pict w14:anchorId="7E7D6542">
              <v:group id="Group 26" o:spid="_x0000_s2052"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80"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79"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style="mso-next-textbox:#Pentagon 4"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2E44A542" w14:textId="146274F3" w:rsidR="00DA3DEB" w:rsidRDefault="00CB1F6A">
                            <w:pPr>
                              <w:pStyle w:val="NoSpacing"/>
                              <w:jc w:val="right"/>
                              <w:rPr>
                                <w:color w:val="FFFFFF" w:themeColor="background1"/>
                                <w:sz w:val="28"/>
                                <w:szCs w:val="28"/>
                              </w:rPr>
                            </w:pPr>
                            <w:r>
                              <w:rPr>
                                <w:color w:val="FFFFFF" w:themeColor="background1"/>
                                <w:sz w:val="28"/>
                                <w:szCs w:val="28"/>
                              </w:rPr>
                              <w:t>19/12/2025</w:t>
                            </w:r>
                          </w:p>
                        </w:sdtContent>
                      </w:sdt>
                    </w:txbxContent>
                  </v:textbox>
                </v:shape>
                <v:group id="Group 5" o:spid="_x0000_s20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6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7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7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7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7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7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7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7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7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5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6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6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6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6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6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6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5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5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5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657E7D1D" w14:textId="21CBCA10" w:rsidR="00DA3DEB" w:rsidRPr="00301FA3" w:rsidRDefault="00000000">
          <w:pPr>
            <w:rPr>
              <w:rFonts w:ascii="Arial" w:hAnsi="Arial" w:cs="Arial"/>
            </w:rPr>
          </w:pPr>
          <w:r w:rsidRPr="00301FA3">
            <w:rPr>
              <w:rFonts w:ascii="Arial" w:hAnsi="Arial" w:cs="Arial"/>
              <w:noProof/>
            </w:rPr>
            <w:pict w14:anchorId="17D750BC">
              <v:shapetype id="_x0000_t202" coordsize="21600,21600" o:spt="202" path="m,l,21600r21600,l21600,xe">
                <v:stroke joinstyle="miter"/>
                <v:path gradientshapeok="t" o:connecttype="rect"/>
              </v:shapetype>
              <v:shape id="Text Box 30" o:spid="_x0000_s2050" type="#_x0000_t202" style="position:absolute;margin-left:241.75pt;margin-top:81.35pt;width:267.45pt;height:43.55pt;z-index:251658241;visibility:visible;mso-width-percent:450;mso-position-horizontal-relative:page;mso-position-vertical-relative:page;mso-width-percent:45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30" inset="0,0,0,0">
                  <w:txbxContent>
                    <w:p w14:paraId="167E5A3A" w14:textId="2054C2B9"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C3248">
                            <w:rPr>
                              <w:rFonts w:asciiTheme="majorHAnsi" w:eastAsiaTheme="majorEastAsia" w:hAnsiTheme="majorHAnsi" w:cstheme="majorBidi"/>
                              <w:color w:val="262626" w:themeColor="text1" w:themeTint="D9"/>
                              <w:sz w:val="72"/>
                              <w:szCs w:val="72"/>
                            </w:rPr>
                            <w:t>NCE</w:t>
                          </w:r>
                        </w:sdtContent>
                      </w:sdt>
                    </w:p>
                    <w:p w14:paraId="08583066" w14:textId="77777777" w:rsidR="00D17925" w:rsidRDefault="00D17925">
                      <w:pPr>
                        <w:spacing w:before="120"/>
                        <w:rPr>
                          <w:color w:val="404040" w:themeColor="text1" w:themeTint="BF"/>
                          <w:sz w:val="36"/>
                          <w:szCs w:val="36"/>
                        </w:rPr>
                      </w:pPr>
                    </w:p>
                  </w:txbxContent>
                </v:textbox>
                <w10:wrap anchorx="page" anchory="page"/>
              </v:shape>
            </w:pict>
          </w:r>
          <w:r w:rsidRPr="00301FA3">
            <w:rPr>
              <w:rFonts w:ascii="Arial" w:hAnsi="Arial" w:cs="Arial"/>
              <w:noProof/>
            </w:rPr>
            <w:pict w14:anchorId="2BA29914">
              <v:shape id="Text Box 2" o:spid="_x0000_s2082" type="#_x0000_t202" style="position:absolute;margin-left:244.1pt;margin-top:117.8pt;width:264pt;height:99.1pt;z-index:251658242;visibility:visible;mso-width-percent:585;mso-wrap-distance-top:7.2pt;mso-wrap-distance-bottom:7.2pt;mso-position-horizontal-relative:page;mso-width-percent:585;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" filled="f" stroked="f">
                <v:textbox style="mso-next-textbox:#Text Box 2">
                  <w:txbxContent>
                    <w:p w14:paraId="6F0B1B68" w14:textId="11D317D8"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 xml:space="preserve">Module Name: </w:t>
                      </w:r>
                      <w:r w:rsidR="002C3248" w:rsidRPr="002C3248">
                        <w:rPr>
                          <w:rFonts w:ascii="Arial" w:hAnsi="Arial" w:cs="Arial"/>
                          <w:color w:val="0F4761" w:themeColor="accent1" w:themeShade="BF"/>
                          <w:sz w:val="20"/>
                          <w:szCs w:val="20"/>
                        </w:rPr>
                        <w:t>Network and Cybersecurity Essentials</w:t>
                      </w:r>
                    </w:p>
                    <w:p w14:paraId="18275181" w14:textId="39DA6C30"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Module Code: ACCA40</w:t>
                      </w:r>
                      <w:r w:rsidR="002C3248">
                        <w:rPr>
                          <w:rFonts w:ascii="Arial" w:hAnsi="Arial" w:cs="Arial"/>
                          <w:color w:val="0F4761" w:themeColor="accent1" w:themeShade="BF"/>
                          <w:sz w:val="20"/>
                          <w:szCs w:val="20"/>
                        </w:rPr>
                        <w:t>24</w:t>
                      </w:r>
                    </w:p>
                    <w:p w14:paraId="376E8AEB" w14:textId="77777777"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Student Name: Anthony Mathias</w:t>
                      </w:r>
                    </w:p>
                    <w:p w14:paraId="26D43709" w14:textId="77777777"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Student ID: 2429335</w:t>
                      </w:r>
                    </w:p>
                    <w:p w14:paraId="365009B2" w14:textId="77777777"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Group 2</w:t>
                      </w:r>
                    </w:p>
                    <w:p w14:paraId="3790B8B2" w14:textId="4222ACA8" w:rsidR="00341328" w:rsidRPr="002E610B" w:rsidRDefault="00341328" w:rsidP="00341328">
                      <w:pPr>
                        <w:pBdr>
                          <w:left w:val="single" w:sz="12" w:space="9" w:color="156082" w:themeColor="accent1"/>
                        </w:pBdr>
                        <w:spacing w:after="0"/>
                        <w:rPr>
                          <w:rFonts w:ascii="Arial" w:hAnsi="Arial" w:cs="Arial"/>
                          <w:color w:val="0F4761" w:themeColor="accent1" w:themeShade="BF"/>
                          <w:sz w:val="20"/>
                          <w:szCs w:val="20"/>
                        </w:rPr>
                      </w:pPr>
                      <w:r w:rsidRPr="002E610B">
                        <w:rPr>
                          <w:rFonts w:ascii="Arial" w:hAnsi="Arial" w:cs="Arial"/>
                          <w:color w:val="0F4761" w:themeColor="accent1" w:themeShade="BF"/>
                          <w:sz w:val="20"/>
                          <w:szCs w:val="20"/>
                        </w:rPr>
                        <w:t xml:space="preserve">Lecture’s Name: </w:t>
                      </w:r>
                      <w:r w:rsidR="002C3248" w:rsidRPr="002C3248">
                        <w:rPr>
                          <w:rFonts w:ascii="Arial" w:hAnsi="Arial" w:cs="Arial"/>
                          <w:color w:val="0F4761" w:themeColor="accent1" w:themeShade="BF"/>
                          <w:sz w:val="20"/>
                          <w:szCs w:val="20"/>
                        </w:rPr>
                        <w:t>Amit Naik</w:t>
                      </w:r>
                    </w:p>
                    <w:p w14:paraId="460A65FF" w14:textId="77777777" w:rsidR="00341328" w:rsidRDefault="00341328" w:rsidP="00341328">
                      <w:pPr>
                        <w:pBdr>
                          <w:top w:val="single" w:sz="24" w:space="8" w:color="156082" w:themeColor="accent1"/>
                          <w:bottom w:val="single" w:sz="24" w:space="8" w:color="156082" w:themeColor="accent1"/>
                        </w:pBdr>
                        <w:spacing w:after="0"/>
                        <w:rPr>
                          <w:i/>
                          <w:iCs/>
                          <w:color w:val="156082" w:themeColor="accent1"/>
                        </w:rPr>
                      </w:pPr>
                    </w:p>
                  </w:txbxContent>
                </v:textbox>
                <w10:wrap type="topAndBottom" anchorx="page"/>
              </v:shape>
            </w:pict>
          </w:r>
          <w:r w:rsidR="00DA3DEB" w:rsidRPr="00301FA3">
            <w:rPr>
              <w:rFonts w:ascii="Arial" w:hAnsi="Arial" w:cs="Arial"/>
            </w:rPr>
            <w:br w:type="page"/>
          </w:r>
        </w:p>
      </w:sdtContent>
    </w:sdt>
    <w:p w14:paraId="4092A09F" w14:textId="77777777" w:rsidR="000F3BDE" w:rsidRPr="00301FA3" w:rsidRDefault="000F3BDE" w:rsidP="0085418F">
      <w:pPr>
        <w:pStyle w:val="TOCHeading"/>
        <w:rPr>
          <w:rFonts w:ascii="Arial" w:hAnsi="Arial" w:cs="Arial"/>
        </w:rPr>
      </w:pPr>
    </w:p>
    <w:sdt>
      <w:sdtPr>
        <w:rPr>
          <w:rFonts w:ascii="Arial" w:eastAsiaTheme="minorEastAsia" w:hAnsi="Arial" w:cs="Arial"/>
          <w:color w:val="auto"/>
          <w:kern w:val="2"/>
          <w:sz w:val="24"/>
          <w:szCs w:val="24"/>
        </w:rPr>
        <w:id w:val="291782255"/>
        <w:docPartObj>
          <w:docPartGallery w:val="Table of Contents"/>
          <w:docPartUnique/>
        </w:docPartObj>
      </w:sdtPr>
      <w:sdtContent>
        <w:p w14:paraId="5428BA7E" w14:textId="77777777" w:rsidR="0085418F" w:rsidRPr="00301FA3" w:rsidRDefault="0085418F">
          <w:pPr>
            <w:pStyle w:val="TOCHeading"/>
            <w:rPr>
              <w:rFonts w:ascii="Arial" w:hAnsi="Arial" w:cs="Arial"/>
            </w:rPr>
          </w:pPr>
          <w:r w:rsidRPr="00301FA3">
            <w:rPr>
              <w:rFonts w:ascii="Arial" w:hAnsi="Arial" w:cs="Arial"/>
            </w:rPr>
            <w:t>Table of Contents</w:t>
          </w:r>
        </w:p>
        <w:p w14:paraId="2798FA6D" w14:textId="2A70EE9E" w:rsidR="00B90144" w:rsidRPr="00301FA3" w:rsidRDefault="00541C12">
          <w:pPr>
            <w:pStyle w:val="TOC1"/>
            <w:tabs>
              <w:tab w:val="right" w:leader="dot" w:pos="9016"/>
            </w:tabs>
            <w:rPr>
              <w:rFonts w:ascii="Arial" w:hAnsi="Arial" w:cs="Arial"/>
              <w:noProof/>
              <w:lang w:eastAsia="en-GB"/>
              <w14:ligatures w14:val="standardContextual"/>
            </w:rPr>
          </w:pPr>
          <w:r w:rsidRPr="00301FA3">
            <w:rPr>
              <w:rFonts w:ascii="Arial" w:hAnsi="Arial" w:cs="Arial"/>
            </w:rPr>
            <w:fldChar w:fldCharType="begin"/>
          </w:r>
          <w:r w:rsidR="0085418F" w:rsidRPr="00301FA3">
            <w:rPr>
              <w:rFonts w:ascii="Arial" w:hAnsi="Arial" w:cs="Arial"/>
            </w:rPr>
            <w:instrText xml:space="preserve"> TOC \o "1-3" \h \z \u </w:instrText>
          </w:r>
          <w:r w:rsidRPr="00301FA3">
            <w:rPr>
              <w:rFonts w:ascii="Arial" w:hAnsi="Arial" w:cs="Arial"/>
            </w:rPr>
            <w:fldChar w:fldCharType="separate"/>
          </w:r>
          <w:hyperlink w:anchor="_Toc217605422" w:history="1">
            <w:r w:rsidR="00B90144" w:rsidRPr="00301FA3">
              <w:rPr>
                <w:rStyle w:val="Hyperlink"/>
                <w:rFonts w:ascii="Arial" w:hAnsi="Arial" w:cs="Arial"/>
                <w:noProof/>
              </w:rPr>
              <w:t>Introduction</w:t>
            </w:r>
            <w:r w:rsidR="00B90144" w:rsidRPr="00301FA3">
              <w:rPr>
                <w:rFonts w:ascii="Arial" w:hAnsi="Arial" w:cs="Arial"/>
                <w:noProof/>
                <w:webHidden/>
              </w:rPr>
              <w:tab/>
            </w:r>
            <w:r w:rsidR="00B90144" w:rsidRPr="00301FA3">
              <w:rPr>
                <w:rFonts w:ascii="Arial" w:hAnsi="Arial" w:cs="Arial"/>
                <w:noProof/>
                <w:webHidden/>
              </w:rPr>
              <w:fldChar w:fldCharType="begin"/>
            </w:r>
            <w:r w:rsidR="00B90144" w:rsidRPr="00301FA3">
              <w:rPr>
                <w:rFonts w:ascii="Arial" w:hAnsi="Arial" w:cs="Arial"/>
                <w:noProof/>
                <w:webHidden/>
              </w:rPr>
              <w:instrText xml:space="preserve"> PAGEREF _Toc217605422 \h </w:instrText>
            </w:r>
            <w:r w:rsidR="00B90144" w:rsidRPr="00301FA3">
              <w:rPr>
                <w:rFonts w:ascii="Arial" w:hAnsi="Arial" w:cs="Arial"/>
                <w:noProof/>
                <w:webHidden/>
              </w:rPr>
            </w:r>
            <w:r w:rsidR="00B90144" w:rsidRPr="00301FA3">
              <w:rPr>
                <w:rFonts w:ascii="Arial" w:hAnsi="Arial" w:cs="Arial"/>
                <w:noProof/>
                <w:webHidden/>
              </w:rPr>
              <w:fldChar w:fldCharType="separate"/>
            </w:r>
            <w:r w:rsidR="00B90144" w:rsidRPr="00301FA3">
              <w:rPr>
                <w:rFonts w:ascii="Arial" w:hAnsi="Arial" w:cs="Arial"/>
                <w:noProof/>
                <w:webHidden/>
              </w:rPr>
              <w:t>2</w:t>
            </w:r>
            <w:r w:rsidR="00B90144" w:rsidRPr="00301FA3">
              <w:rPr>
                <w:rFonts w:ascii="Arial" w:hAnsi="Arial" w:cs="Arial"/>
                <w:noProof/>
                <w:webHidden/>
              </w:rPr>
              <w:fldChar w:fldCharType="end"/>
            </w:r>
          </w:hyperlink>
        </w:p>
        <w:p w14:paraId="32CBE6FD" w14:textId="27ABFFFF" w:rsidR="00B90144" w:rsidRPr="00301FA3" w:rsidRDefault="00B90144">
          <w:pPr>
            <w:pStyle w:val="TOC1"/>
            <w:tabs>
              <w:tab w:val="right" w:leader="dot" w:pos="9016"/>
            </w:tabs>
            <w:rPr>
              <w:rFonts w:ascii="Arial" w:hAnsi="Arial" w:cs="Arial"/>
              <w:noProof/>
              <w:lang w:eastAsia="en-GB"/>
              <w14:ligatures w14:val="standardContextual"/>
            </w:rPr>
          </w:pPr>
          <w:hyperlink w:anchor="_Toc217605423" w:history="1">
            <w:r w:rsidRPr="00301FA3">
              <w:rPr>
                <w:rStyle w:val="Hyperlink"/>
                <w:rFonts w:ascii="Arial" w:hAnsi="Arial" w:cs="Arial"/>
                <w:noProof/>
              </w:rPr>
              <w:t>Task 1: Identification of Threats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_Toc217605423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3</w:t>
            </w:r>
            <w:r w:rsidRPr="00301FA3">
              <w:rPr>
                <w:rFonts w:ascii="Arial" w:hAnsi="Arial" w:cs="Arial"/>
                <w:noProof/>
                <w:webHidden/>
              </w:rPr>
              <w:fldChar w:fldCharType="end"/>
            </w:r>
          </w:hyperlink>
        </w:p>
        <w:p w14:paraId="53694503" w14:textId="731803F7" w:rsidR="00B90144" w:rsidRPr="00301FA3" w:rsidRDefault="00B90144">
          <w:pPr>
            <w:pStyle w:val="TOC1"/>
            <w:tabs>
              <w:tab w:val="right" w:leader="dot" w:pos="9016"/>
            </w:tabs>
            <w:rPr>
              <w:rFonts w:ascii="Arial" w:hAnsi="Arial" w:cs="Arial"/>
              <w:noProof/>
              <w:lang w:eastAsia="en-GB"/>
              <w14:ligatures w14:val="standardContextual"/>
            </w:rPr>
          </w:pPr>
          <w:hyperlink w:anchor="_Toc217605424" w:history="1">
            <w:r w:rsidRPr="00301FA3">
              <w:rPr>
                <w:rStyle w:val="Hyperlink"/>
                <w:rFonts w:ascii="Arial" w:hAnsi="Arial" w:cs="Arial"/>
                <w:noProof/>
              </w:rPr>
              <w:t>Task 2: Security Policies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_Toc217605424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4</w:t>
            </w:r>
            <w:r w:rsidRPr="00301FA3">
              <w:rPr>
                <w:rFonts w:ascii="Arial" w:hAnsi="Arial" w:cs="Arial"/>
                <w:noProof/>
                <w:webHidden/>
              </w:rPr>
              <w:fldChar w:fldCharType="end"/>
            </w:r>
          </w:hyperlink>
        </w:p>
        <w:p w14:paraId="08895A69" w14:textId="3AC2D878" w:rsidR="00B90144" w:rsidRPr="00301FA3" w:rsidRDefault="00B90144">
          <w:pPr>
            <w:pStyle w:val="TOC1"/>
            <w:tabs>
              <w:tab w:val="right" w:leader="dot" w:pos="9016"/>
            </w:tabs>
            <w:rPr>
              <w:rFonts w:ascii="Arial" w:hAnsi="Arial" w:cs="Arial"/>
              <w:noProof/>
              <w:lang w:eastAsia="en-GB"/>
              <w14:ligatures w14:val="standardContextual"/>
            </w:rPr>
          </w:pPr>
          <w:hyperlink w:anchor="_Toc217605425" w:history="1">
            <w:r w:rsidRPr="00301FA3">
              <w:rPr>
                <w:rStyle w:val="Hyperlink"/>
                <w:rFonts w:ascii="Arial" w:hAnsi="Arial" w:cs="Arial"/>
                <w:noProof/>
              </w:rPr>
              <w:t>Task 3: Migration Measures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_Toc217605425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7</w:t>
            </w:r>
            <w:r w:rsidRPr="00301FA3">
              <w:rPr>
                <w:rFonts w:ascii="Arial" w:hAnsi="Arial" w:cs="Arial"/>
                <w:noProof/>
                <w:webHidden/>
              </w:rPr>
              <w:fldChar w:fldCharType="end"/>
            </w:r>
          </w:hyperlink>
        </w:p>
        <w:p w14:paraId="185E2B37" w14:textId="2E0365C1" w:rsidR="00B90144" w:rsidRPr="00301FA3" w:rsidRDefault="00B90144">
          <w:pPr>
            <w:pStyle w:val="TOC1"/>
            <w:tabs>
              <w:tab w:val="right" w:leader="dot" w:pos="9016"/>
            </w:tabs>
            <w:rPr>
              <w:rFonts w:ascii="Arial" w:hAnsi="Arial" w:cs="Arial"/>
              <w:noProof/>
              <w:lang w:eastAsia="en-GB"/>
              <w14:ligatures w14:val="standardContextual"/>
            </w:rPr>
          </w:pPr>
          <w:hyperlink w:anchor="_Toc217605426" w:history="1">
            <w:r w:rsidRPr="00301FA3">
              <w:rPr>
                <w:rStyle w:val="Hyperlink"/>
                <w:rFonts w:ascii="Arial" w:hAnsi="Arial" w:cs="Arial"/>
                <w:noProof/>
              </w:rPr>
              <w:t>Task 4: Monitoring &amp; Response</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_Toc217605426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9</w:t>
            </w:r>
            <w:r w:rsidRPr="00301FA3">
              <w:rPr>
                <w:rFonts w:ascii="Arial" w:hAnsi="Arial" w:cs="Arial"/>
                <w:noProof/>
                <w:webHidden/>
              </w:rPr>
              <w:fldChar w:fldCharType="end"/>
            </w:r>
          </w:hyperlink>
        </w:p>
        <w:p w14:paraId="6FAC91E1" w14:textId="29AF0220" w:rsidR="00B90144" w:rsidRPr="00301FA3" w:rsidRDefault="00B90144">
          <w:pPr>
            <w:pStyle w:val="TOC1"/>
            <w:tabs>
              <w:tab w:val="right" w:leader="dot" w:pos="9016"/>
            </w:tabs>
            <w:rPr>
              <w:rFonts w:ascii="Arial" w:hAnsi="Arial" w:cs="Arial"/>
              <w:noProof/>
              <w:lang w:eastAsia="en-GB"/>
              <w14:ligatures w14:val="standardContextual"/>
            </w:rPr>
          </w:pPr>
          <w:hyperlink w:anchor="_Toc217605427" w:history="1">
            <w:r w:rsidRPr="00301FA3">
              <w:rPr>
                <w:rStyle w:val="Hyperlink"/>
                <w:rFonts w:ascii="Arial" w:hAnsi="Arial" w:cs="Arial"/>
                <w:noProof/>
              </w:rPr>
              <w:t>Task 5: Training &amp; Awareness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_Toc217605427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10</w:t>
            </w:r>
            <w:r w:rsidRPr="00301FA3">
              <w:rPr>
                <w:rFonts w:ascii="Arial" w:hAnsi="Arial" w:cs="Arial"/>
                <w:noProof/>
                <w:webHidden/>
              </w:rPr>
              <w:fldChar w:fldCharType="end"/>
            </w:r>
          </w:hyperlink>
        </w:p>
        <w:p w14:paraId="4A6547B8" w14:textId="78FCCB86" w:rsidR="00B90144" w:rsidRPr="00301FA3" w:rsidRDefault="00B90144">
          <w:pPr>
            <w:pStyle w:val="TOC1"/>
            <w:tabs>
              <w:tab w:val="right" w:leader="dot" w:pos="9016"/>
            </w:tabs>
            <w:rPr>
              <w:rFonts w:ascii="Arial" w:hAnsi="Arial" w:cs="Arial"/>
              <w:noProof/>
              <w:lang w:eastAsia="en-GB"/>
              <w14:ligatures w14:val="standardContextual"/>
            </w:rPr>
          </w:pPr>
          <w:hyperlink w:anchor="_Toc217605428" w:history="1">
            <w:r w:rsidRPr="00301FA3">
              <w:rPr>
                <w:rStyle w:val="Hyperlink"/>
                <w:rFonts w:ascii="Arial" w:hAnsi="Arial" w:cs="Arial"/>
                <w:noProof/>
              </w:rPr>
              <w:t>Conclusion</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_Toc217605428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13</w:t>
            </w:r>
            <w:r w:rsidRPr="00301FA3">
              <w:rPr>
                <w:rFonts w:ascii="Arial" w:hAnsi="Arial" w:cs="Arial"/>
                <w:noProof/>
                <w:webHidden/>
              </w:rPr>
              <w:fldChar w:fldCharType="end"/>
            </w:r>
          </w:hyperlink>
        </w:p>
        <w:p w14:paraId="2A7D35BC" w14:textId="740C9C47" w:rsidR="00B90144" w:rsidRPr="00301FA3" w:rsidRDefault="00B90144">
          <w:pPr>
            <w:pStyle w:val="TOC1"/>
            <w:tabs>
              <w:tab w:val="right" w:leader="dot" w:pos="9016"/>
            </w:tabs>
            <w:rPr>
              <w:rFonts w:ascii="Arial" w:hAnsi="Arial" w:cs="Arial"/>
              <w:noProof/>
              <w:lang w:eastAsia="en-GB"/>
              <w14:ligatures w14:val="standardContextual"/>
            </w:rPr>
          </w:pPr>
          <w:hyperlink w:anchor="_Toc217605429" w:history="1">
            <w:r w:rsidRPr="00301FA3">
              <w:rPr>
                <w:rStyle w:val="Hyperlink"/>
                <w:rFonts w:ascii="Arial" w:hAnsi="Arial" w:cs="Arial"/>
                <w:noProof/>
              </w:rPr>
              <w:t>References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_Toc217605429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14</w:t>
            </w:r>
            <w:r w:rsidRPr="00301FA3">
              <w:rPr>
                <w:rFonts w:ascii="Arial" w:hAnsi="Arial" w:cs="Arial"/>
                <w:noProof/>
                <w:webHidden/>
              </w:rPr>
              <w:fldChar w:fldCharType="end"/>
            </w:r>
          </w:hyperlink>
        </w:p>
        <w:p w14:paraId="2083499C" w14:textId="44393064" w:rsidR="00B90144" w:rsidRPr="00301FA3" w:rsidRDefault="00B90144">
          <w:pPr>
            <w:pStyle w:val="TOC1"/>
            <w:tabs>
              <w:tab w:val="right" w:leader="dot" w:pos="9016"/>
            </w:tabs>
            <w:rPr>
              <w:rFonts w:ascii="Arial" w:hAnsi="Arial" w:cs="Arial"/>
              <w:noProof/>
              <w:lang w:eastAsia="en-GB"/>
              <w14:ligatures w14:val="standardContextual"/>
            </w:rPr>
          </w:pPr>
          <w:hyperlink w:anchor="_Toc217605430" w:history="1">
            <w:r w:rsidRPr="00301FA3">
              <w:rPr>
                <w:rStyle w:val="Hyperlink"/>
                <w:rFonts w:ascii="Arial" w:hAnsi="Arial" w:cs="Arial"/>
                <w:noProof/>
              </w:rPr>
              <w:t>Appendices</w:t>
            </w:r>
            <w:r w:rsidRPr="00301FA3">
              <w:rPr>
                <w:rFonts w:ascii="Arial" w:hAnsi="Arial" w:cs="Arial"/>
                <w:noProof/>
                <w:webHidden/>
              </w:rPr>
              <w:tab/>
            </w:r>
            <w:r w:rsidRPr="00301FA3">
              <w:rPr>
                <w:rFonts w:ascii="Arial" w:hAnsi="Arial" w:cs="Arial"/>
                <w:noProof/>
                <w:webHidden/>
              </w:rPr>
              <w:fldChar w:fldCharType="begin"/>
            </w:r>
            <w:r w:rsidRPr="00301FA3">
              <w:rPr>
                <w:rFonts w:ascii="Arial" w:hAnsi="Arial" w:cs="Arial"/>
                <w:noProof/>
                <w:webHidden/>
              </w:rPr>
              <w:instrText xml:space="preserve"> PAGEREF _Toc217605430 \h </w:instrText>
            </w:r>
            <w:r w:rsidRPr="00301FA3">
              <w:rPr>
                <w:rFonts w:ascii="Arial" w:hAnsi="Arial" w:cs="Arial"/>
                <w:noProof/>
                <w:webHidden/>
              </w:rPr>
            </w:r>
            <w:r w:rsidRPr="00301FA3">
              <w:rPr>
                <w:rFonts w:ascii="Arial" w:hAnsi="Arial" w:cs="Arial"/>
                <w:noProof/>
                <w:webHidden/>
              </w:rPr>
              <w:fldChar w:fldCharType="separate"/>
            </w:r>
            <w:r w:rsidRPr="00301FA3">
              <w:rPr>
                <w:rFonts w:ascii="Arial" w:hAnsi="Arial" w:cs="Arial"/>
                <w:noProof/>
                <w:webHidden/>
              </w:rPr>
              <w:t>15</w:t>
            </w:r>
            <w:r w:rsidRPr="00301FA3">
              <w:rPr>
                <w:rFonts w:ascii="Arial" w:hAnsi="Arial" w:cs="Arial"/>
                <w:noProof/>
                <w:webHidden/>
              </w:rPr>
              <w:fldChar w:fldCharType="end"/>
            </w:r>
          </w:hyperlink>
        </w:p>
        <w:p w14:paraId="0B1E51CD" w14:textId="67ABB71E" w:rsidR="0085418F" w:rsidRPr="00301FA3" w:rsidRDefault="00541C12">
          <w:pPr>
            <w:rPr>
              <w:rFonts w:ascii="Arial" w:hAnsi="Arial" w:cs="Arial"/>
            </w:rPr>
          </w:pPr>
          <w:r w:rsidRPr="00301FA3">
            <w:rPr>
              <w:rFonts w:ascii="Arial" w:hAnsi="Arial" w:cs="Arial"/>
            </w:rPr>
            <w:fldChar w:fldCharType="end"/>
          </w:r>
        </w:p>
      </w:sdtContent>
    </w:sdt>
    <w:p w14:paraId="2534DBA6" w14:textId="77777777" w:rsidR="00DA3DEB" w:rsidRPr="00301FA3" w:rsidRDefault="00DA3DEB">
      <w:pPr>
        <w:rPr>
          <w:rFonts w:ascii="Arial" w:hAnsi="Arial" w:cs="Arial"/>
        </w:rPr>
      </w:pPr>
    </w:p>
    <w:p w14:paraId="77DB2F4A" w14:textId="77777777" w:rsidR="00DA3DEB" w:rsidRPr="00301FA3" w:rsidRDefault="00DA3DEB">
      <w:pPr>
        <w:rPr>
          <w:rFonts w:ascii="Arial" w:hAnsi="Arial" w:cs="Arial"/>
        </w:rPr>
      </w:pPr>
      <w:r w:rsidRPr="00301FA3">
        <w:rPr>
          <w:rFonts w:ascii="Arial" w:hAnsi="Arial" w:cs="Arial"/>
        </w:rPr>
        <w:br w:type="page"/>
      </w:r>
    </w:p>
    <w:p w14:paraId="25825730" w14:textId="37E6CCBF" w:rsidR="00282BC6" w:rsidRPr="00301FA3" w:rsidRDefault="0085418F" w:rsidP="005B6F69">
      <w:pPr>
        <w:pStyle w:val="Heading1"/>
        <w:jc w:val="center"/>
        <w:rPr>
          <w:rFonts w:ascii="Arial" w:hAnsi="Arial" w:cs="Arial"/>
        </w:rPr>
      </w:pPr>
      <w:bookmarkStart w:id="0" w:name="_Toc162914162"/>
      <w:bookmarkStart w:id="1" w:name="_Toc217605422"/>
      <w:r w:rsidRPr="00301FA3">
        <w:rPr>
          <w:rFonts w:ascii="Arial" w:hAnsi="Arial" w:cs="Arial"/>
        </w:rPr>
        <w:lastRenderedPageBreak/>
        <w:t>Introduction</w:t>
      </w:r>
      <w:bookmarkEnd w:id="0"/>
      <w:bookmarkEnd w:id="1"/>
    </w:p>
    <w:p w14:paraId="40A51E1C" w14:textId="62937AD7" w:rsidR="00282BC6" w:rsidRPr="00301FA3" w:rsidRDefault="00282BC6" w:rsidP="00282BC6">
      <w:pPr>
        <w:pStyle w:val="NormalWeb"/>
        <w:spacing w:after="0"/>
        <w:jc w:val="both"/>
        <w:rPr>
          <w:rFonts w:ascii="Arial" w:eastAsia="+mn-ea" w:hAnsi="Arial" w:cs="Arial"/>
          <w:color w:val="000000"/>
          <w:kern w:val="24"/>
        </w:rPr>
      </w:pPr>
      <w:r w:rsidRPr="00301FA3">
        <w:rPr>
          <w:rFonts w:ascii="Arial" w:eastAsia="+mn-ea" w:hAnsi="Arial" w:cs="Arial"/>
          <w:color w:val="000000" w:themeColor="text1"/>
          <w:kern w:val="24"/>
        </w:rPr>
        <w:t>The</w:t>
      </w:r>
      <w:r w:rsidRPr="00301FA3">
        <w:rPr>
          <w:rFonts w:ascii="Arial" w:eastAsia="+mn-ea" w:hAnsi="Arial" w:cs="Arial"/>
          <w:color w:val="000000"/>
          <w:kern w:val="24"/>
        </w:rPr>
        <w:t xml:space="preserve"> </w:t>
      </w:r>
      <w:r w:rsidR="005E7FF0" w:rsidRPr="00301FA3">
        <w:rPr>
          <w:rFonts w:ascii="Arial" w:eastAsia="+mn-ea" w:hAnsi="Arial" w:cs="Arial"/>
          <w:color w:val="000000"/>
          <w:kern w:val="24"/>
        </w:rPr>
        <w:t>ever-evolving</w:t>
      </w:r>
      <w:r w:rsidR="00E77565" w:rsidRPr="00301FA3">
        <w:rPr>
          <w:rFonts w:ascii="Arial" w:eastAsia="+mn-ea" w:hAnsi="Arial" w:cs="Arial"/>
          <w:color w:val="000000"/>
          <w:kern w:val="24"/>
        </w:rPr>
        <w:t xml:space="preserve"> </w:t>
      </w:r>
      <w:r w:rsidR="00BB3D35" w:rsidRPr="00301FA3">
        <w:rPr>
          <w:rFonts w:ascii="Arial" w:eastAsia="+mn-ea" w:hAnsi="Arial" w:cs="Arial"/>
          <w:color w:val="000000"/>
          <w:kern w:val="24"/>
        </w:rPr>
        <w:t>global internet</w:t>
      </w:r>
      <w:r w:rsidRPr="00301FA3">
        <w:rPr>
          <w:rFonts w:ascii="Arial" w:eastAsia="+mn-ea" w:hAnsi="Arial" w:cs="Arial"/>
          <w:color w:val="000000"/>
          <w:kern w:val="24"/>
        </w:rPr>
        <w:t xml:space="preserve"> - and remote work in a globali</w:t>
      </w:r>
      <w:r w:rsidR="00812DD3" w:rsidRPr="00301FA3">
        <w:rPr>
          <w:rFonts w:ascii="Arial" w:eastAsia="+mn-ea" w:hAnsi="Arial" w:cs="Arial"/>
          <w:color w:val="000000"/>
          <w:kern w:val="24"/>
        </w:rPr>
        <w:t>s</w:t>
      </w:r>
      <w:r w:rsidRPr="00301FA3">
        <w:rPr>
          <w:rFonts w:ascii="Arial" w:eastAsia="+mn-ea" w:hAnsi="Arial" w:cs="Arial"/>
          <w:color w:val="000000"/>
          <w:kern w:val="24"/>
        </w:rPr>
        <w:t>ed world - has expanded organi</w:t>
      </w:r>
      <w:r w:rsidR="0076276F" w:rsidRPr="00301FA3">
        <w:rPr>
          <w:rFonts w:ascii="Arial" w:eastAsia="+mn-ea" w:hAnsi="Arial" w:cs="Arial"/>
          <w:color w:val="000000"/>
          <w:kern w:val="24"/>
        </w:rPr>
        <w:t>s</w:t>
      </w:r>
      <w:r w:rsidRPr="00301FA3">
        <w:rPr>
          <w:rFonts w:ascii="Arial" w:eastAsia="+mn-ea" w:hAnsi="Arial" w:cs="Arial"/>
          <w:color w:val="000000"/>
          <w:kern w:val="24"/>
        </w:rPr>
        <w:t>ational attack</w:t>
      </w:r>
      <w:r w:rsidR="0076276F" w:rsidRPr="00301FA3">
        <w:rPr>
          <w:rFonts w:ascii="Arial" w:eastAsia="+mn-ea" w:hAnsi="Arial" w:cs="Arial"/>
          <w:color w:val="000000"/>
          <w:kern w:val="24"/>
        </w:rPr>
        <w:t>s</w:t>
      </w:r>
      <w:r w:rsidRPr="00301FA3">
        <w:rPr>
          <w:rFonts w:ascii="Arial" w:eastAsia="+mn-ea" w:hAnsi="Arial" w:cs="Arial"/>
          <w:color w:val="000000"/>
          <w:kern w:val="24"/>
        </w:rPr>
        <w:t xml:space="preserve"> across the globe. Cyber security is no longer a secondary technological </w:t>
      </w:r>
      <w:r w:rsidR="006F4209" w:rsidRPr="00301FA3">
        <w:rPr>
          <w:rFonts w:ascii="Arial" w:eastAsia="+mn-ea" w:hAnsi="Arial" w:cs="Arial"/>
          <w:color w:val="000000"/>
          <w:kern w:val="24"/>
        </w:rPr>
        <w:t>priority</w:t>
      </w:r>
      <w:r w:rsidRPr="00301FA3">
        <w:rPr>
          <w:rFonts w:ascii="Arial" w:eastAsia="+mn-ea" w:hAnsi="Arial" w:cs="Arial"/>
          <w:color w:val="000000"/>
          <w:kern w:val="24"/>
        </w:rPr>
        <w:t xml:space="preserve"> of business but a primary concern for enterprises that range from treasurable entities for all the wrong reasons. Financial services companies are </w:t>
      </w:r>
      <w:r w:rsidR="00EF6C93" w:rsidRPr="00301FA3">
        <w:rPr>
          <w:rFonts w:ascii="Arial" w:eastAsia="+mn-ea" w:hAnsi="Arial" w:cs="Arial"/>
          <w:color w:val="000000"/>
          <w:kern w:val="24"/>
        </w:rPr>
        <w:t xml:space="preserve">a significant target </w:t>
      </w:r>
      <w:r w:rsidR="003B34E4" w:rsidRPr="00301FA3">
        <w:rPr>
          <w:rFonts w:ascii="Arial" w:eastAsia="+mn-ea" w:hAnsi="Arial" w:cs="Arial"/>
          <w:color w:val="000000"/>
          <w:kern w:val="24"/>
        </w:rPr>
        <w:t xml:space="preserve">to </w:t>
      </w:r>
      <w:r w:rsidR="00AE3D08" w:rsidRPr="00301FA3">
        <w:rPr>
          <w:rFonts w:ascii="Arial" w:eastAsia="+mn-ea" w:hAnsi="Arial" w:cs="Arial"/>
          <w:color w:val="000000"/>
          <w:kern w:val="24"/>
        </w:rPr>
        <w:t>cyber-attacks</w:t>
      </w:r>
      <w:r w:rsidRPr="00301FA3">
        <w:rPr>
          <w:rFonts w:ascii="Arial" w:eastAsia="+mn-ea" w:hAnsi="Arial" w:cs="Arial"/>
          <w:color w:val="000000"/>
          <w:kern w:val="24"/>
        </w:rPr>
        <w:t xml:space="preserve"> as they house vast amounts of personal </w:t>
      </w:r>
      <w:r w:rsidR="009174B4" w:rsidRPr="00301FA3">
        <w:rPr>
          <w:rFonts w:ascii="Arial" w:eastAsia="+mn-ea" w:hAnsi="Arial" w:cs="Arial"/>
          <w:color w:val="000000"/>
          <w:kern w:val="24"/>
        </w:rPr>
        <w:t>credentials</w:t>
      </w:r>
      <w:r w:rsidRPr="00301FA3">
        <w:rPr>
          <w:rFonts w:ascii="Arial" w:eastAsia="+mn-ea" w:hAnsi="Arial" w:cs="Arial"/>
          <w:color w:val="000000"/>
          <w:kern w:val="24"/>
        </w:rPr>
        <w:t xml:space="preserve"> and </w:t>
      </w:r>
      <w:r w:rsidR="00B234DE" w:rsidRPr="00301FA3">
        <w:rPr>
          <w:rFonts w:ascii="Arial" w:eastAsia="+mn-ea" w:hAnsi="Arial" w:cs="Arial"/>
          <w:color w:val="000000"/>
          <w:kern w:val="24"/>
        </w:rPr>
        <w:t>liquid assets</w:t>
      </w:r>
      <w:r w:rsidRPr="00301FA3">
        <w:rPr>
          <w:rFonts w:ascii="Arial" w:eastAsia="+mn-ea" w:hAnsi="Arial" w:cs="Arial"/>
          <w:color w:val="000000"/>
          <w:kern w:val="24"/>
        </w:rPr>
        <w:t xml:space="preserve"> from clients</w:t>
      </w:r>
      <w:r w:rsidR="00B234DE" w:rsidRPr="00301FA3">
        <w:rPr>
          <w:rFonts w:ascii="Arial" w:eastAsia="+mn-ea" w:hAnsi="Arial" w:cs="Arial"/>
          <w:color w:val="000000"/>
          <w:kern w:val="24"/>
        </w:rPr>
        <w:t>,</w:t>
      </w:r>
      <w:r w:rsidRPr="00301FA3">
        <w:rPr>
          <w:rFonts w:ascii="Arial" w:eastAsia="+mn-ea" w:hAnsi="Arial" w:cs="Arial"/>
          <w:color w:val="000000"/>
          <w:kern w:val="24"/>
        </w:rPr>
        <w:t xml:space="preserve"> while operating in</w:t>
      </w:r>
      <w:r w:rsidR="00B234DE" w:rsidRPr="00301FA3">
        <w:rPr>
          <w:rFonts w:ascii="Arial" w:eastAsia="+mn-ea" w:hAnsi="Arial" w:cs="Arial"/>
          <w:color w:val="000000"/>
          <w:kern w:val="24"/>
        </w:rPr>
        <w:t xml:space="preserve"> a</w:t>
      </w:r>
      <w:r w:rsidRPr="00301FA3">
        <w:rPr>
          <w:rFonts w:ascii="Arial" w:eastAsia="+mn-ea" w:hAnsi="Arial" w:cs="Arial"/>
          <w:color w:val="000000"/>
          <w:kern w:val="24"/>
        </w:rPr>
        <w:t xml:space="preserve"> </w:t>
      </w:r>
      <w:r w:rsidR="00B234DE" w:rsidRPr="00301FA3">
        <w:rPr>
          <w:rFonts w:ascii="Arial" w:eastAsia="+mn-ea" w:hAnsi="Arial" w:cs="Arial"/>
          <w:color w:val="000000"/>
          <w:kern w:val="24"/>
        </w:rPr>
        <w:t>regulatory environment</w:t>
      </w:r>
      <w:r w:rsidRPr="00301FA3">
        <w:rPr>
          <w:rFonts w:ascii="Arial" w:eastAsia="+mn-ea" w:hAnsi="Arial" w:cs="Arial"/>
          <w:color w:val="000000"/>
          <w:kern w:val="24"/>
        </w:rPr>
        <w:t xml:space="preserve"> that</w:t>
      </w:r>
      <w:r w:rsidR="00B234DE" w:rsidRPr="00301FA3">
        <w:rPr>
          <w:rFonts w:ascii="Arial" w:eastAsia="+mn-ea" w:hAnsi="Arial" w:cs="Arial"/>
          <w:color w:val="000000"/>
          <w:kern w:val="24"/>
        </w:rPr>
        <w:t xml:space="preserve"> inevitably</w:t>
      </w:r>
      <w:r w:rsidRPr="00301FA3">
        <w:rPr>
          <w:rFonts w:ascii="Arial" w:eastAsia="+mn-ea" w:hAnsi="Arial" w:cs="Arial"/>
          <w:color w:val="000000"/>
          <w:kern w:val="24"/>
        </w:rPr>
        <w:t xml:space="preserve"> create exploita</w:t>
      </w:r>
      <w:r w:rsidR="00B234DE" w:rsidRPr="00301FA3">
        <w:rPr>
          <w:rFonts w:ascii="Arial" w:eastAsia="+mn-ea" w:hAnsi="Arial" w:cs="Arial"/>
          <w:color w:val="000000"/>
          <w:kern w:val="24"/>
        </w:rPr>
        <w:t>tive</w:t>
      </w:r>
      <w:r w:rsidRPr="00301FA3">
        <w:rPr>
          <w:rFonts w:ascii="Arial" w:eastAsia="+mn-ea" w:hAnsi="Arial" w:cs="Arial"/>
          <w:color w:val="000000"/>
          <w:kern w:val="24"/>
        </w:rPr>
        <w:t xml:space="preserve"> holes amidst competing needs. Moreover, </w:t>
      </w:r>
      <w:r w:rsidR="009174B4" w:rsidRPr="00301FA3">
        <w:rPr>
          <w:rFonts w:ascii="Arial" w:eastAsia="+mn-ea" w:hAnsi="Arial" w:cs="Arial"/>
          <w:color w:val="000000"/>
          <w:kern w:val="24"/>
        </w:rPr>
        <w:t>cyber-attacks</w:t>
      </w:r>
      <w:r w:rsidRPr="00301FA3">
        <w:rPr>
          <w:rFonts w:ascii="Arial" w:eastAsia="+mn-ea" w:hAnsi="Arial" w:cs="Arial"/>
          <w:color w:val="000000"/>
          <w:kern w:val="24"/>
        </w:rPr>
        <w:t xml:space="preserve"> come in various forms with various risk potentials for finances, operations, reputations, and national security.</w:t>
      </w:r>
    </w:p>
    <w:p w14:paraId="1980DF6E" w14:textId="135D9D4A" w:rsidR="00282BC6" w:rsidRPr="00301FA3" w:rsidRDefault="00282BC6" w:rsidP="00282BC6">
      <w:pPr>
        <w:pStyle w:val="NormalWeb"/>
        <w:spacing w:after="0"/>
        <w:jc w:val="both"/>
        <w:rPr>
          <w:rFonts w:ascii="Arial" w:eastAsia="+mn-ea" w:hAnsi="Arial" w:cs="Arial"/>
          <w:color w:val="000000"/>
          <w:kern w:val="24"/>
        </w:rPr>
      </w:pPr>
      <w:r w:rsidRPr="00301FA3">
        <w:rPr>
          <w:rFonts w:ascii="Arial" w:eastAsia="+mn-ea" w:hAnsi="Arial" w:cs="Arial"/>
          <w:color w:val="000000"/>
          <w:kern w:val="24"/>
        </w:rPr>
        <w:t xml:space="preserve">This is a report requested directly by the board of directors of </w:t>
      </w:r>
      <w:proofErr w:type="spellStart"/>
      <w:r w:rsidRPr="00301FA3">
        <w:rPr>
          <w:rFonts w:ascii="Arial" w:eastAsia="+mn-ea" w:hAnsi="Arial" w:cs="Arial"/>
          <w:color w:val="000000"/>
          <w:kern w:val="24"/>
        </w:rPr>
        <w:t>FinSecure</w:t>
      </w:r>
      <w:proofErr w:type="spellEnd"/>
      <w:r w:rsidRPr="00301FA3">
        <w:rPr>
          <w:rFonts w:ascii="Arial" w:eastAsia="+mn-ea" w:hAnsi="Arial" w:cs="Arial"/>
          <w:color w:val="000000"/>
          <w:kern w:val="24"/>
        </w:rPr>
        <w:t xml:space="preserve"> Ltd. (FSL), a mid-size financial services company that </w:t>
      </w:r>
      <w:r w:rsidR="007637CB" w:rsidRPr="00301FA3">
        <w:rPr>
          <w:rFonts w:ascii="Arial" w:eastAsia="+mn-ea" w:hAnsi="Arial" w:cs="Arial"/>
          <w:color w:val="000000"/>
          <w:kern w:val="24"/>
        </w:rPr>
        <w:t xml:space="preserve">have </w:t>
      </w:r>
      <w:r w:rsidRPr="00301FA3">
        <w:rPr>
          <w:rFonts w:ascii="Arial" w:eastAsia="+mn-ea" w:hAnsi="Arial" w:cs="Arial"/>
          <w:color w:val="000000"/>
          <w:kern w:val="24"/>
        </w:rPr>
        <w:t>face</w:t>
      </w:r>
      <w:r w:rsidR="007637CB" w:rsidRPr="00301FA3">
        <w:rPr>
          <w:rFonts w:ascii="Arial" w:eastAsia="+mn-ea" w:hAnsi="Arial" w:cs="Arial"/>
          <w:color w:val="000000"/>
          <w:kern w:val="24"/>
        </w:rPr>
        <w:t>d</w:t>
      </w:r>
      <w:r w:rsidRPr="00301FA3">
        <w:rPr>
          <w:rFonts w:ascii="Arial" w:eastAsia="+mn-ea" w:hAnsi="Arial" w:cs="Arial"/>
          <w:color w:val="000000"/>
          <w:kern w:val="24"/>
        </w:rPr>
        <w:t xml:space="preserve"> </w:t>
      </w:r>
      <w:r w:rsidR="007637CB" w:rsidRPr="00301FA3">
        <w:rPr>
          <w:rFonts w:ascii="Arial" w:eastAsia="+mn-ea" w:hAnsi="Arial" w:cs="Arial"/>
          <w:color w:val="000000"/>
          <w:kern w:val="24"/>
        </w:rPr>
        <w:t xml:space="preserve">multiple </w:t>
      </w:r>
      <w:r w:rsidRPr="00301FA3">
        <w:rPr>
          <w:rFonts w:ascii="Arial" w:eastAsia="+mn-ea" w:hAnsi="Arial" w:cs="Arial"/>
          <w:color w:val="000000"/>
          <w:kern w:val="24"/>
        </w:rPr>
        <w:t>recent hacking attempts</w:t>
      </w:r>
      <w:r w:rsidR="00443C05" w:rsidRPr="00301FA3">
        <w:rPr>
          <w:rFonts w:ascii="Arial" w:eastAsia="+mn-ea" w:hAnsi="Arial" w:cs="Arial"/>
          <w:color w:val="000000"/>
          <w:kern w:val="24"/>
        </w:rPr>
        <w:t xml:space="preserve"> such as</w:t>
      </w:r>
      <w:r w:rsidRPr="00301FA3">
        <w:rPr>
          <w:rFonts w:ascii="Arial" w:eastAsia="+mn-ea" w:hAnsi="Arial" w:cs="Arial"/>
          <w:color w:val="000000"/>
          <w:kern w:val="24"/>
        </w:rPr>
        <w:t xml:space="preserve">, </w:t>
      </w:r>
      <w:r w:rsidR="00AA14A9" w:rsidRPr="00301FA3">
        <w:rPr>
          <w:rFonts w:ascii="Arial" w:eastAsia="+mn-ea" w:hAnsi="Arial" w:cs="Arial"/>
          <w:color w:val="000000"/>
          <w:kern w:val="24"/>
        </w:rPr>
        <w:t xml:space="preserve">email &amp; SMS </w:t>
      </w:r>
      <w:r w:rsidRPr="00301FA3">
        <w:rPr>
          <w:rFonts w:ascii="Arial" w:eastAsia="+mn-ea" w:hAnsi="Arial" w:cs="Arial"/>
          <w:color w:val="000000"/>
          <w:kern w:val="24"/>
        </w:rPr>
        <w:t>phishing</w:t>
      </w:r>
      <w:r w:rsidR="00AA14A9" w:rsidRPr="00301FA3">
        <w:rPr>
          <w:rFonts w:ascii="Arial" w:eastAsia="+mn-ea" w:hAnsi="Arial" w:cs="Arial"/>
          <w:color w:val="000000"/>
          <w:kern w:val="24"/>
        </w:rPr>
        <w:t xml:space="preserve"> attacks</w:t>
      </w:r>
      <w:r w:rsidR="003447E5" w:rsidRPr="00301FA3">
        <w:rPr>
          <w:rFonts w:ascii="Arial" w:eastAsia="+mn-ea" w:hAnsi="Arial" w:cs="Arial"/>
          <w:color w:val="000000"/>
          <w:kern w:val="24"/>
        </w:rPr>
        <w:t xml:space="preserve">, </w:t>
      </w:r>
      <w:r w:rsidRPr="00301FA3">
        <w:rPr>
          <w:rFonts w:ascii="Arial" w:eastAsia="+mn-ea" w:hAnsi="Arial" w:cs="Arial"/>
          <w:color w:val="000000"/>
          <w:kern w:val="24"/>
        </w:rPr>
        <w:t xml:space="preserve">unauthorized access </w:t>
      </w:r>
      <w:r w:rsidR="00443C05" w:rsidRPr="00301FA3">
        <w:rPr>
          <w:rFonts w:ascii="Arial" w:eastAsia="+mn-ea" w:hAnsi="Arial" w:cs="Arial"/>
          <w:color w:val="000000"/>
          <w:kern w:val="24"/>
        </w:rPr>
        <w:t xml:space="preserve">on </w:t>
      </w:r>
      <w:proofErr w:type="spellStart"/>
      <w:proofErr w:type="gramStart"/>
      <w:r w:rsidR="00443C05" w:rsidRPr="00301FA3">
        <w:rPr>
          <w:rFonts w:ascii="Arial" w:eastAsia="+mn-ea" w:hAnsi="Arial" w:cs="Arial"/>
          <w:color w:val="000000"/>
          <w:kern w:val="24"/>
        </w:rPr>
        <w:t>it’s</w:t>
      </w:r>
      <w:proofErr w:type="spellEnd"/>
      <w:proofErr w:type="gramEnd"/>
      <w:r w:rsidR="00443C05" w:rsidRPr="00301FA3">
        <w:rPr>
          <w:rFonts w:ascii="Arial" w:eastAsia="+mn-ea" w:hAnsi="Arial" w:cs="Arial"/>
          <w:color w:val="000000"/>
          <w:kern w:val="24"/>
        </w:rPr>
        <w:t xml:space="preserve"> local network</w:t>
      </w:r>
      <w:r w:rsidRPr="00301FA3">
        <w:rPr>
          <w:rFonts w:ascii="Arial" w:eastAsia="+mn-ea" w:hAnsi="Arial" w:cs="Arial"/>
          <w:color w:val="000000"/>
          <w:kern w:val="24"/>
        </w:rPr>
        <w:t xml:space="preserve">, and other questionable breaches from various potential attackers. Thus, a clear, systematic solution is </w:t>
      </w:r>
      <w:r w:rsidR="008128DF" w:rsidRPr="00301FA3">
        <w:rPr>
          <w:rFonts w:ascii="Arial" w:eastAsia="+mn-ea" w:hAnsi="Arial" w:cs="Arial"/>
          <w:color w:val="000000"/>
          <w:kern w:val="24"/>
        </w:rPr>
        <w:t xml:space="preserve">undoubtedly </w:t>
      </w:r>
      <w:r w:rsidRPr="00301FA3">
        <w:rPr>
          <w:rFonts w:ascii="Arial" w:eastAsia="+mn-ea" w:hAnsi="Arial" w:cs="Arial"/>
          <w:color w:val="000000"/>
          <w:kern w:val="24"/>
        </w:rPr>
        <w:t xml:space="preserve">necessary to guide the company toward increased cyber security effectiveness. The overarching goal of this report is to implement a worthwhile solution based on the FSL situation. The specific objectives upon which the entire report will be </w:t>
      </w:r>
      <w:r w:rsidR="008128DF" w:rsidRPr="00301FA3">
        <w:rPr>
          <w:rFonts w:ascii="Arial" w:eastAsia="+mn-ea" w:hAnsi="Arial" w:cs="Arial"/>
          <w:color w:val="000000"/>
          <w:kern w:val="24"/>
        </w:rPr>
        <w:t>structured around</w:t>
      </w:r>
      <w:r w:rsidRPr="00301FA3">
        <w:rPr>
          <w:rFonts w:ascii="Arial" w:eastAsia="+mn-ea" w:hAnsi="Arial" w:cs="Arial"/>
          <w:color w:val="000000"/>
          <w:kern w:val="24"/>
        </w:rPr>
        <w:t xml:space="preserve"> are as follows: 1</w:t>
      </w:r>
      <w:r w:rsidR="008128DF" w:rsidRPr="00301FA3">
        <w:rPr>
          <w:rFonts w:ascii="Arial" w:eastAsia="+mn-ea" w:hAnsi="Arial" w:cs="Arial"/>
          <w:color w:val="000000"/>
          <w:kern w:val="24"/>
        </w:rPr>
        <w:t>.</w:t>
      </w:r>
      <w:r w:rsidRPr="00301FA3">
        <w:rPr>
          <w:rFonts w:ascii="Arial" w:eastAsia="+mn-ea" w:hAnsi="Arial" w:cs="Arial"/>
          <w:color w:val="000000"/>
          <w:kern w:val="24"/>
        </w:rPr>
        <w:t xml:space="preserve"> Potential internal and external threats, 2</w:t>
      </w:r>
      <w:r w:rsidR="008128DF" w:rsidRPr="00301FA3">
        <w:rPr>
          <w:rFonts w:ascii="Arial" w:eastAsia="+mn-ea" w:hAnsi="Arial" w:cs="Arial"/>
          <w:color w:val="000000"/>
          <w:kern w:val="24"/>
        </w:rPr>
        <w:t>.</w:t>
      </w:r>
      <w:r w:rsidRPr="00301FA3">
        <w:rPr>
          <w:rFonts w:ascii="Arial" w:eastAsia="+mn-ea" w:hAnsi="Arial" w:cs="Arial"/>
          <w:color w:val="000000"/>
          <w:kern w:val="24"/>
        </w:rPr>
        <w:t xml:space="preserve"> A compilation of security policies based on </w:t>
      </w:r>
      <w:proofErr w:type="gramStart"/>
      <w:r w:rsidRPr="00301FA3">
        <w:rPr>
          <w:rFonts w:ascii="Arial" w:eastAsia="+mn-ea" w:hAnsi="Arial" w:cs="Arial"/>
          <w:color w:val="000000"/>
          <w:kern w:val="24"/>
        </w:rPr>
        <w:t>relative</w:t>
      </w:r>
      <w:proofErr w:type="gramEnd"/>
      <w:r w:rsidRPr="00301FA3">
        <w:rPr>
          <w:rFonts w:ascii="Arial" w:eastAsia="+mn-ea" w:hAnsi="Arial" w:cs="Arial"/>
          <w:color w:val="000000"/>
          <w:kern w:val="24"/>
        </w:rPr>
        <w:t xml:space="preserve"> good practices 3</w:t>
      </w:r>
      <w:r w:rsidR="008128DF" w:rsidRPr="00301FA3">
        <w:rPr>
          <w:rFonts w:ascii="Arial" w:eastAsia="+mn-ea" w:hAnsi="Arial" w:cs="Arial"/>
          <w:color w:val="000000"/>
          <w:kern w:val="24"/>
        </w:rPr>
        <w:t>.</w:t>
      </w:r>
      <w:r w:rsidRPr="00301FA3">
        <w:rPr>
          <w:rFonts w:ascii="Arial" w:eastAsia="+mn-ea" w:hAnsi="Arial" w:cs="Arial"/>
          <w:color w:val="000000"/>
          <w:kern w:val="24"/>
        </w:rPr>
        <w:t xml:space="preserve"> Mitigation efforts against such threats that are realistic 4</w:t>
      </w:r>
      <w:r w:rsidR="008128DF" w:rsidRPr="00301FA3">
        <w:rPr>
          <w:rFonts w:ascii="Arial" w:eastAsia="+mn-ea" w:hAnsi="Arial" w:cs="Arial"/>
          <w:color w:val="000000"/>
          <w:kern w:val="24"/>
        </w:rPr>
        <w:t>.</w:t>
      </w:r>
      <w:r w:rsidRPr="00301FA3">
        <w:rPr>
          <w:rFonts w:ascii="Arial" w:eastAsia="+mn-ea" w:hAnsi="Arial" w:cs="Arial"/>
          <w:color w:val="000000"/>
          <w:kern w:val="24"/>
        </w:rPr>
        <w:t xml:space="preserve"> Network monitoring with an incident response plan 5</w:t>
      </w:r>
      <w:r w:rsidR="008128DF" w:rsidRPr="00301FA3">
        <w:rPr>
          <w:rFonts w:ascii="Arial" w:eastAsia="+mn-ea" w:hAnsi="Arial" w:cs="Arial"/>
          <w:color w:val="000000"/>
          <w:kern w:val="24"/>
        </w:rPr>
        <w:t>.</w:t>
      </w:r>
      <w:r w:rsidRPr="00301FA3">
        <w:rPr>
          <w:rFonts w:ascii="Arial" w:eastAsia="+mn-ea" w:hAnsi="Arial" w:cs="Arial"/>
          <w:color w:val="000000"/>
          <w:kern w:val="24"/>
        </w:rPr>
        <w:t xml:space="preserve"> A formal employee training and awareness program.</w:t>
      </w:r>
    </w:p>
    <w:p w14:paraId="00084ED7" w14:textId="6D92FDA5" w:rsidR="00282BC6" w:rsidRPr="00301FA3" w:rsidRDefault="00282BC6" w:rsidP="00282BC6">
      <w:pPr>
        <w:pStyle w:val="NormalWeb"/>
        <w:spacing w:after="0"/>
        <w:jc w:val="both"/>
        <w:rPr>
          <w:rFonts w:ascii="Arial" w:eastAsia="+mn-ea" w:hAnsi="Arial" w:cs="Arial"/>
          <w:color w:val="000000"/>
          <w:kern w:val="24"/>
        </w:rPr>
      </w:pPr>
      <w:r w:rsidRPr="00301FA3">
        <w:rPr>
          <w:rFonts w:ascii="Arial" w:eastAsia="+mn-ea" w:hAnsi="Arial" w:cs="Arial"/>
          <w:color w:val="000000"/>
          <w:kern w:val="24"/>
        </w:rPr>
        <w:t xml:space="preserve">The </w:t>
      </w:r>
      <w:r w:rsidR="005B6F69" w:rsidRPr="00301FA3">
        <w:rPr>
          <w:rFonts w:ascii="Arial" w:eastAsia="+mn-ea" w:hAnsi="Arial" w:cs="Arial"/>
          <w:color w:val="000000"/>
          <w:kern w:val="24"/>
        </w:rPr>
        <w:t>overall</w:t>
      </w:r>
      <w:r w:rsidRPr="00301FA3">
        <w:rPr>
          <w:rFonts w:ascii="Arial" w:eastAsia="+mn-ea" w:hAnsi="Arial" w:cs="Arial"/>
          <w:color w:val="000000"/>
          <w:kern w:val="24"/>
        </w:rPr>
        <w:t xml:space="preserve"> </w:t>
      </w:r>
      <w:r w:rsidR="00A765B3" w:rsidRPr="00301FA3">
        <w:rPr>
          <w:rFonts w:ascii="Arial" w:eastAsia="+mn-ea" w:hAnsi="Arial" w:cs="Arial"/>
          <w:color w:val="000000"/>
          <w:kern w:val="24"/>
        </w:rPr>
        <w:t>objective</w:t>
      </w:r>
      <w:r w:rsidRPr="00301FA3">
        <w:rPr>
          <w:rFonts w:ascii="Arial" w:eastAsia="+mn-ea" w:hAnsi="Arial" w:cs="Arial"/>
          <w:color w:val="000000"/>
          <w:kern w:val="24"/>
        </w:rPr>
        <w:t xml:space="preserve"> of this report is to provide recommended conclusions that create added safety for FSL to protect systems to improve the confidentiality, integrity, and availability of information assets.</w:t>
      </w:r>
    </w:p>
    <w:p w14:paraId="7C995CC1" w14:textId="77777777" w:rsidR="00282BC6" w:rsidRPr="00301FA3" w:rsidRDefault="00282BC6" w:rsidP="0085418F">
      <w:pPr>
        <w:pStyle w:val="NormalWeb"/>
        <w:spacing w:after="0"/>
        <w:jc w:val="both"/>
        <w:rPr>
          <w:rFonts w:ascii="Arial" w:eastAsia="+mn-ea" w:hAnsi="Arial" w:cs="Arial"/>
          <w:color w:val="000000"/>
          <w:kern w:val="24"/>
        </w:rPr>
      </w:pPr>
    </w:p>
    <w:p w14:paraId="636D147D" w14:textId="77777777" w:rsidR="0085418F" w:rsidRPr="00301FA3" w:rsidRDefault="0085418F" w:rsidP="0085418F">
      <w:pPr>
        <w:pStyle w:val="NormalWeb"/>
        <w:spacing w:after="0"/>
        <w:jc w:val="both"/>
        <w:rPr>
          <w:rFonts w:ascii="Arial" w:eastAsia="+mn-ea" w:hAnsi="Arial" w:cs="Arial"/>
          <w:color w:val="000000"/>
          <w:kern w:val="24"/>
        </w:rPr>
      </w:pPr>
    </w:p>
    <w:p w14:paraId="6AB7FDBD" w14:textId="77777777" w:rsidR="0085418F" w:rsidRPr="00301FA3" w:rsidRDefault="0085418F" w:rsidP="0085418F">
      <w:pPr>
        <w:pStyle w:val="NormalWeb"/>
        <w:spacing w:after="0"/>
        <w:jc w:val="both"/>
        <w:rPr>
          <w:rFonts w:ascii="Arial" w:eastAsia="+mn-ea" w:hAnsi="Arial" w:cs="Arial"/>
          <w:color w:val="000000"/>
          <w:kern w:val="24"/>
        </w:rPr>
      </w:pPr>
    </w:p>
    <w:p w14:paraId="2F8E1EF1" w14:textId="77777777" w:rsidR="0085418F" w:rsidRPr="00301FA3" w:rsidRDefault="0085418F" w:rsidP="0085418F">
      <w:pPr>
        <w:pStyle w:val="NormalWeb"/>
        <w:spacing w:after="0"/>
        <w:jc w:val="both"/>
        <w:rPr>
          <w:rFonts w:ascii="Arial" w:eastAsia="+mn-ea" w:hAnsi="Arial" w:cs="Arial"/>
          <w:color w:val="000000"/>
          <w:kern w:val="24"/>
        </w:rPr>
      </w:pPr>
    </w:p>
    <w:p w14:paraId="7A45D0E0" w14:textId="77777777" w:rsidR="0085418F" w:rsidRPr="00301FA3" w:rsidRDefault="0085418F" w:rsidP="0085418F">
      <w:pPr>
        <w:pStyle w:val="NormalWeb"/>
        <w:spacing w:after="0"/>
        <w:jc w:val="both"/>
        <w:rPr>
          <w:rFonts w:ascii="Arial" w:eastAsia="+mn-ea" w:hAnsi="Arial" w:cs="Arial"/>
          <w:color w:val="000000"/>
          <w:kern w:val="24"/>
        </w:rPr>
      </w:pPr>
    </w:p>
    <w:p w14:paraId="636B0C98" w14:textId="77777777" w:rsidR="0085418F" w:rsidRPr="00301FA3" w:rsidRDefault="0085418F" w:rsidP="0085418F">
      <w:pPr>
        <w:pStyle w:val="NormalWeb"/>
        <w:spacing w:after="0"/>
        <w:jc w:val="both"/>
        <w:rPr>
          <w:rFonts w:ascii="Arial" w:eastAsia="+mn-ea" w:hAnsi="Arial" w:cs="Arial"/>
          <w:color w:val="000000"/>
          <w:kern w:val="24"/>
        </w:rPr>
      </w:pPr>
    </w:p>
    <w:p w14:paraId="1CCF20BA" w14:textId="77777777" w:rsidR="0085418F" w:rsidRPr="00301FA3" w:rsidRDefault="0085418F" w:rsidP="0085418F">
      <w:pPr>
        <w:pStyle w:val="NormalWeb"/>
        <w:spacing w:after="0"/>
        <w:jc w:val="both"/>
        <w:rPr>
          <w:rFonts w:ascii="Arial" w:eastAsia="+mn-ea" w:hAnsi="Arial" w:cs="Arial"/>
          <w:color w:val="000000"/>
          <w:kern w:val="24"/>
        </w:rPr>
      </w:pPr>
    </w:p>
    <w:p w14:paraId="51273C90" w14:textId="77777777" w:rsidR="0085418F" w:rsidRPr="00301FA3" w:rsidRDefault="0085418F" w:rsidP="0085418F">
      <w:pPr>
        <w:pStyle w:val="NormalWeb"/>
        <w:spacing w:after="0"/>
        <w:jc w:val="both"/>
        <w:rPr>
          <w:rFonts w:ascii="Arial" w:eastAsia="+mn-ea" w:hAnsi="Arial" w:cs="Arial"/>
          <w:color w:val="000000"/>
          <w:kern w:val="24"/>
        </w:rPr>
      </w:pPr>
    </w:p>
    <w:p w14:paraId="694B349B" w14:textId="77777777" w:rsidR="0085418F" w:rsidRPr="00301FA3" w:rsidRDefault="0085418F" w:rsidP="0085418F">
      <w:pPr>
        <w:pStyle w:val="NormalWeb"/>
        <w:spacing w:after="0"/>
        <w:jc w:val="both"/>
        <w:rPr>
          <w:rFonts w:ascii="Arial" w:eastAsia="+mn-ea" w:hAnsi="Arial" w:cs="Arial"/>
          <w:color w:val="000000"/>
          <w:kern w:val="24"/>
        </w:rPr>
      </w:pPr>
    </w:p>
    <w:p w14:paraId="052E056A" w14:textId="77777777" w:rsidR="0085418F" w:rsidRPr="00301FA3" w:rsidRDefault="0085418F" w:rsidP="0085418F">
      <w:pPr>
        <w:pStyle w:val="NormalWeb"/>
        <w:spacing w:after="0"/>
        <w:jc w:val="both"/>
        <w:rPr>
          <w:rFonts w:ascii="Arial" w:eastAsia="+mn-ea" w:hAnsi="Arial" w:cs="Arial"/>
          <w:color w:val="000000"/>
          <w:kern w:val="24"/>
        </w:rPr>
      </w:pPr>
    </w:p>
    <w:p w14:paraId="3C11A87C" w14:textId="77777777" w:rsidR="00DB5BA0" w:rsidRPr="00301FA3" w:rsidRDefault="00DB5BA0">
      <w:pPr>
        <w:rPr>
          <w:rFonts w:ascii="Arial" w:eastAsiaTheme="majorEastAsia" w:hAnsi="Arial" w:cs="Arial"/>
          <w:color w:val="0F4761" w:themeColor="accent1" w:themeShade="BF"/>
          <w:sz w:val="40"/>
          <w:szCs w:val="40"/>
        </w:rPr>
      </w:pPr>
      <w:r w:rsidRPr="00301FA3">
        <w:rPr>
          <w:rFonts w:ascii="Arial" w:hAnsi="Arial" w:cs="Arial"/>
        </w:rPr>
        <w:br w:type="page"/>
      </w:r>
    </w:p>
    <w:p w14:paraId="7106383B" w14:textId="1E1CA1AD" w:rsidR="00BA77A8" w:rsidRPr="00301FA3" w:rsidRDefault="00631C5A" w:rsidP="00DB5BA0">
      <w:pPr>
        <w:pStyle w:val="Heading1"/>
        <w:jc w:val="center"/>
        <w:rPr>
          <w:rFonts w:ascii="Arial" w:hAnsi="Arial" w:cs="Arial"/>
        </w:rPr>
      </w:pPr>
      <w:bookmarkStart w:id="2" w:name="_Toc217605423"/>
      <w:r w:rsidRPr="00301FA3">
        <w:rPr>
          <w:rFonts w:ascii="Arial" w:hAnsi="Arial" w:cs="Arial"/>
        </w:rPr>
        <w:lastRenderedPageBreak/>
        <w:t>Task 1</w:t>
      </w:r>
      <w:r w:rsidR="002C3248" w:rsidRPr="00301FA3">
        <w:rPr>
          <w:rFonts w:ascii="Arial" w:hAnsi="Arial" w:cs="Arial"/>
        </w:rPr>
        <w:t>:</w:t>
      </w:r>
      <w:r w:rsidRPr="00301FA3">
        <w:rPr>
          <w:rFonts w:ascii="Arial" w:hAnsi="Arial" w:cs="Arial"/>
        </w:rPr>
        <w:t xml:space="preserve"> </w:t>
      </w:r>
      <w:r w:rsidR="002C3248" w:rsidRPr="00301FA3">
        <w:rPr>
          <w:rFonts w:ascii="Arial" w:hAnsi="Arial" w:cs="Arial"/>
        </w:rPr>
        <w:t>Identification of Threats</w:t>
      </w:r>
      <w:bookmarkEnd w:id="2"/>
    </w:p>
    <w:p w14:paraId="0BAFC50F" w14:textId="77777777" w:rsidR="00F57562" w:rsidRPr="00301FA3" w:rsidRDefault="00F57562" w:rsidP="00F57562">
      <w:pPr>
        <w:rPr>
          <w:rFonts w:ascii="Arial" w:hAnsi="Arial" w:cs="Arial"/>
          <w:b/>
          <w:bCs/>
          <w:sz w:val="32"/>
          <w:szCs w:val="32"/>
        </w:rPr>
      </w:pPr>
      <w:r w:rsidRPr="00301FA3">
        <w:rPr>
          <w:rFonts w:ascii="Arial" w:hAnsi="Arial" w:cs="Arial"/>
          <w:b/>
          <w:bCs/>
          <w:sz w:val="32"/>
          <w:szCs w:val="32"/>
        </w:rPr>
        <w:t>External Threats:</w:t>
      </w:r>
    </w:p>
    <w:p w14:paraId="540A865A" w14:textId="0BBBA539" w:rsidR="003361C2" w:rsidRPr="00301FA3" w:rsidRDefault="003361C2" w:rsidP="00FA1AD7">
      <w:pPr>
        <w:rPr>
          <w:rFonts w:ascii="Arial" w:hAnsi="Arial" w:cs="Arial"/>
        </w:rPr>
      </w:pPr>
      <w:proofErr w:type="spellStart"/>
      <w:r w:rsidRPr="00301FA3">
        <w:rPr>
          <w:rFonts w:ascii="Arial" w:hAnsi="Arial" w:cs="Arial"/>
        </w:rPr>
        <w:t>FinSecure</w:t>
      </w:r>
      <w:proofErr w:type="spellEnd"/>
      <w:r w:rsidRPr="00301FA3">
        <w:rPr>
          <w:rFonts w:ascii="Arial" w:hAnsi="Arial" w:cs="Arial"/>
        </w:rPr>
        <w:t xml:space="preserve"> Ltd facing multiple external threats that are having significant impact on the organisation, the attacks consist of phishing attacks</w:t>
      </w:r>
      <w:sdt>
        <w:sdtPr>
          <w:rPr>
            <w:rFonts w:ascii="Arial" w:hAnsi="Arial" w:cs="Arial"/>
          </w:rPr>
          <w:id w:val="1032851764"/>
          <w:citation/>
        </w:sdtPr>
        <w:sdtContent>
          <w:r w:rsidR="008808FE" w:rsidRPr="00301FA3">
            <w:rPr>
              <w:rFonts w:ascii="Arial" w:hAnsi="Arial" w:cs="Arial"/>
            </w:rPr>
            <w:fldChar w:fldCharType="begin"/>
          </w:r>
          <w:r w:rsidR="008808FE" w:rsidRPr="00301FA3">
            <w:rPr>
              <w:rFonts w:ascii="Arial" w:hAnsi="Arial" w:cs="Arial"/>
            </w:rPr>
            <w:instrText xml:space="preserve"> CITATION Jai21 \l 2057 </w:instrText>
          </w:r>
          <w:r w:rsidR="008808FE" w:rsidRPr="00301FA3">
            <w:rPr>
              <w:rFonts w:ascii="Arial" w:hAnsi="Arial" w:cs="Arial"/>
            </w:rPr>
            <w:fldChar w:fldCharType="separate"/>
          </w:r>
          <w:r w:rsidR="00B90144" w:rsidRPr="00301FA3">
            <w:rPr>
              <w:rFonts w:ascii="Arial" w:hAnsi="Arial" w:cs="Arial"/>
              <w:noProof/>
            </w:rPr>
            <w:t xml:space="preserve"> [1]</w:t>
          </w:r>
          <w:r w:rsidR="008808FE" w:rsidRPr="00301FA3">
            <w:rPr>
              <w:rFonts w:ascii="Arial" w:hAnsi="Arial" w:cs="Arial"/>
            </w:rPr>
            <w:fldChar w:fldCharType="end"/>
          </w:r>
        </w:sdtContent>
      </w:sdt>
      <w:r w:rsidRPr="00301FA3">
        <w:rPr>
          <w:rFonts w:ascii="Arial" w:hAnsi="Arial" w:cs="Arial"/>
        </w:rPr>
        <w:t xml:space="preserve"> via email and </w:t>
      </w:r>
      <w:r w:rsidR="007E1CB7" w:rsidRPr="00301FA3">
        <w:rPr>
          <w:rFonts w:ascii="Arial" w:hAnsi="Arial" w:cs="Arial"/>
        </w:rPr>
        <w:t>SMS</w:t>
      </w:r>
      <w:r w:rsidRPr="00301FA3">
        <w:rPr>
          <w:rFonts w:ascii="Arial" w:hAnsi="Arial" w:cs="Arial"/>
        </w:rPr>
        <w:t xml:space="preserve"> with the intentions of stealing confidential credentials, ransomware</w:t>
      </w:r>
      <w:sdt>
        <w:sdtPr>
          <w:rPr>
            <w:rFonts w:ascii="Arial" w:hAnsi="Arial" w:cs="Arial"/>
          </w:rPr>
          <w:id w:val="-176822685"/>
          <w:citation/>
        </w:sdtPr>
        <w:sdtContent>
          <w:r w:rsidR="00973843" w:rsidRPr="00301FA3">
            <w:rPr>
              <w:rFonts w:ascii="Arial" w:hAnsi="Arial" w:cs="Arial"/>
            </w:rPr>
            <w:fldChar w:fldCharType="begin"/>
          </w:r>
          <w:r w:rsidR="00973843" w:rsidRPr="00301FA3">
            <w:rPr>
              <w:rFonts w:ascii="Arial" w:hAnsi="Arial" w:cs="Arial"/>
            </w:rPr>
            <w:instrText xml:space="preserve"> CITATION Kha16 \l 2057 </w:instrText>
          </w:r>
          <w:r w:rsidR="00973843" w:rsidRPr="00301FA3">
            <w:rPr>
              <w:rFonts w:ascii="Arial" w:hAnsi="Arial" w:cs="Arial"/>
            </w:rPr>
            <w:fldChar w:fldCharType="separate"/>
          </w:r>
          <w:r w:rsidR="00B90144" w:rsidRPr="00301FA3">
            <w:rPr>
              <w:rFonts w:ascii="Arial" w:hAnsi="Arial" w:cs="Arial"/>
              <w:noProof/>
            </w:rPr>
            <w:t xml:space="preserve"> [2]</w:t>
          </w:r>
          <w:r w:rsidR="00973843" w:rsidRPr="00301FA3">
            <w:rPr>
              <w:rFonts w:ascii="Arial" w:hAnsi="Arial" w:cs="Arial"/>
            </w:rPr>
            <w:fldChar w:fldCharType="end"/>
          </w:r>
        </w:sdtContent>
      </w:sdt>
      <w:r w:rsidRPr="00301FA3">
        <w:rPr>
          <w:rFonts w:ascii="Arial" w:hAnsi="Arial" w:cs="Arial"/>
        </w:rPr>
        <w:t xml:space="preserve"> that has the ability to encrypt sensitive financial data to then be used as blackmail for financial extortion, and (DDoS) distributed denial of service attacks</w:t>
      </w:r>
      <w:sdt>
        <w:sdtPr>
          <w:rPr>
            <w:rFonts w:ascii="Arial" w:hAnsi="Arial" w:cs="Arial"/>
          </w:rPr>
          <w:id w:val="-1550914536"/>
          <w:citation/>
        </w:sdtPr>
        <w:sdtContent>
          <w:r w:rsidR="00C73492" w:rsidRPr="00301FA3">
            <w:rPr>
              <w:rFonts w:ascii="Arial" w:hAnsi="Arial" w:cs="Arial"/>
            </w:rPr>
            <w:fldChar w:fldCharType="begin"/>
          </w:r>
          <w:r w:rsidR="00C73492" w:rsidRPr="00301FA3">
            <w:rPr>
              <w:rFonts w:ascii="Arial" w:hAnsi="Arial" w:cs="Arial"/>
            </w:rPr>
            <w:instrText xml:space="preserve"> CITATION Che14 \l 2057 </w:instrText>
          </w:r>
          <w:r w:rsidR="00C73492" w:rsidRPr="00301FA3">
            <w:rPr>
              <w:rFonts w:ascii="Arial" w:hAnsi="Arial" w:cs="Arial"/>
            </w:rPr>
            <w:fldChar w:fldCharType="separate"/>
          </w:r>
          <w:r w:rsidR="00B90144" w:rsidRPr="00301FA3">
            <w:rPr>
              <w:rFonts w:ascii="Arial" w:hAnsi="Arial" w:cs="Arial"/>
              <w:noProof/>
            </w:rPr>
            <w:t xml:space="preserve"> [3]</w:t>
          </w:r>
          <w:r w:rsidR="00C73492" w:rsidRPr="00301FA3">
            <w:rPr>
              <w:rFonts w:ascii="Arial" w:hAnsi="Arial" w:cs="Arial"/>
            </w:rPr>
            <w:fldChar w:fldCharType="end"/>
          </w:r>
        </w:sdtContent>
      </w:sdt>
      <w:r w:rsidRPr="00301FA3">
        <w:rPr>
          <w:rFonts w:ascii="Arial" w:hAnsi="Arial" w:cs="Arial"/>
        </w:rPr>
        <w:t xml:space="preserve"> which overwhelms their servers and routers with packets causing them to be out of service during office hours. Advance persistent threats (APTs) from </w:t>
      </w:r>
      <w:r w:rsidR="007E1CB7" w:rsidRPr="00301FA3">
        <w:rPr>
          <w:rFonts w:ascii="Arial" w:hAnsi="Arial" w:cs="Arial"/>
        </w:rPr>
        <w:t>well-established</w:t>
      </w:r>
      <w:r w:rsidRPr="00301FA3">
        <w:rPr>
          <w:rFonts w:ascii="Arial" w:hAnsi="Arial" w:cs="Arial"/>
        </w:rPr>
        <w:t xml:space="preserve"> organisations intentionally targeting clientele data, while the significant threat of malware and unscreened exploits/bugs of unsecure software create a risk to network integrity, the rise of remote work increases the likelihood of attacks as it broadens vulnerabilities through unsecure residential home networks and personal devices.</w:t>
      </w:r>
    </w:p>
    <w:p w14:paraId="45278FB1" w14:textId="70D5C59A" w:rsidR="00FA1AD7" w:rsidRPr="00301FA3" w:rsidRDefault="00FA1AD7" w:rsidP="00FA1AD7">
      <w:pPr>
        <w:rPr>
          <w:rFonts w:ascii="Arial" w:hAnsi="Arial" w:cs="Arial"/>
          <w:b/>
          <w:bCs/>
          <w:sz w:val="32"/>
          <w:szCs w:val="32"/>
        </w:rPr>
      </w:pPr>
      <w:r w:rsidRPr="00301FA3">
        <w:rPr>
          <w:rFonts w:ascii="Arial" w:hAnsi="Arial" w:cs="Arial"/>
          <w:b/>
          <w:bCs/>
          <w:sz w:val="32"/>
          <w:szCs w:val="32"/>
        </w:rPr>
        <w:t>Internal Threats:</w:t>
      </w:r>
    </w:p>
    <w:p w14:paraId="1C97F3C8" w14:textId="2B639DB7" w:rsidR="00CD5605" w:rsidRPr="00301FA3" w:rsidRDefault="009156AE">
      <w:pPr>
        <w:rPr>
          <w:rFonts w:ascii="Arial" w:hAnsi="Arial" w:cs="Arial"/>
        </w:rPr>
      </w:pPr>
      <w:r w:rsidRPr="00301FA3">
        <w:rPr>
          <w:rFonts w:ascii="Arial" w:hAnsi="Arial" w:cs="Arial"/>
        </w:rPr>
        <w:t xml:space="preserve">Insider risks </w:t>
      </w:r>
      <w:r w:rsidR="00AD4D1F" w:rsidRPr="00301FA3">
        <w:rPr>
          <w:rFonts w:ascii="Arial" w:hAnsi="Arial" w:cs="Arial"/>
        </w:rPr>
        <w:t>can be</w:t>
      </w:r>
      <w:r w:rsidRPr="00301FA3">
        <w:rPr>
          <w:rFonts w:ascii="Arial" w:hAnsi="Arial" w:cs="Arial"/>
        </w:rPr>
        <w:t xml:space="preserve"> categorised under internal threats, whether these risks arise from malicious corporate misconduct such as employees deliberately exfiltrating confidential data for personal gains or compensation.</w:t>
      </w:r>
      <w:sdt>
        <w:sdtPr>
          <w:rPr>
            <w:rFonts w:ascii="Arial" w:hAnsi="Arial" w:cs="Arial"/>
          </w:rPr>
          <w:id w:val="-1805542768"/>
          <w:citation/>
        </w:sdtPr>
        <w:sdtContent>
          <w:r w:rsidR="006137E5" w:rsidRPr="00301FA3">
            <w:rPr>
              <w:rFonts w:ascii="Arial" w:hAnsi="Arial" w:cs="Arial"/>
            </w:rPr>
            <w:fldChar w:fldCharType="begin"/>
          </w:r>
          <w:r w:rsidR="006137E5" w:rsidRPr="00301FA3">
            <w:rPr>
              <w:rFonts w:ascii="Arial" w:hAnsi="Arial" w:cs="Arial"/>
            </w:rPr>
            <w:instrText xml:space="preserve"> CITATION Cum12 \l 2057 </w:instrText>
          </w:r>
          <w:r w:rsidR="006137E5" w:rsidRPr="00301FA3">
            <w:rPr>
              <w:rFonts w:ascii="Arial" w:hAnsi="Arial" w:cs="Arial"/>
            </w:rPr>
            <w:fldChar w:fldCharType="separate"/>
          </w:r>
          <w:r w:rsidR="00B90144" w:rsidRPr="00301FA3">
            <w:rPr>
              <w:rFonts w:ascii="Arial" w:hAnsi="Arial" w:cs="Arial"/>
              <w:noProof/>
            </w:rPr>
            <w:t xml:space="preserve"> [4]</w:t>
          </w:r>
          <w:r w:rsidR="006137E5" w:rsidRPr="00301FA3">
            <w:rPr>
              <w:rFonts w:ascii="Arial" w:hAnsi="Arial" w:cs="Arial"/>
            </w:rPr>
            <w:fldChar w:fldCharType="end"/>
          </w:r>
        </w:sdtContent>
      </w:sdt>
      <w:r w:rsidRPr="00301FA3">
        <w:rPr>
          <w:rFonts w:ascii="Arial" w:hAnsi="Arial" w:cs="Arial"/>
        </w:rPr>
        <w:t xml:space="preserve"> However internal threats are most commonly unintentional and are the result of corporate negligence or accidental behaviour such as mishandling of corporate or personal data like weak password practices, repetitive password combinations across multiple databases or failure to properly secure credentials.</w:t>
      </w:r>
      <w:sdt>
        <w:sdtPr>
          <w:rPr>
            <w:rFonts w:ascii="Arial" w:hAnsi="Arial" w:cs="Arial"/>
          </w:rPr>
          <w:id w:val="-1504739706"/>
          <w:citation/>
        </w:sdtPr>
        <w:sdtContent>
          <w:r w:rsidR="001B5D37" w:rsidRPr="00301FA3">
            <w:rPr>
              <w:rFonts w:ascii="Arial" w:hAnsi="Arial" w:cs="Arial"/>
            </w:rPr>
            <w:fldChar w:fldCharType="begin"/>
          </w:r>
          <w:r w:rsidR="001B5D37" w:rsidRPr="00301FA3">
            <w:rPr>
              <w:rFonts w:ascii="Arial" w:hAnsi="Arial" w:cs="Arial"/>
            </w:rPr>
            <w:instrText xml:space="preserve"> CITATION Ing10 \l 2057 </w:instrText>
          </w:r>
          <w:r w:rsidR="001B5D37" w:rsidRPr="00301FA3">
            <w:rPr>
              <w:rFonts w:ascii="Arial" w:hAnsi="Arial" w:cs="Arial"/>
            </w:rPr>
            <w:fldChar w:fldCharType="separate"/>
          </w:r>
          <w:r w:rsidR="00B90144" w:rsidRPr="00301FA3">
            <w:rPr>
              <w:rFonts w:ascii="Arial" w:hAnsi="Arial" w:cs="Arial"/>
              <w:noProof/>
            </w:rPr>
            <w:t xml:space="preserve"> [5]</w:t>
          </w:r>
          <w:r w:rsidR="001B5D37" w:rsidRPr="00301FA3">
            <w:rPr>
              <w:rFonts w:ascii="Arial" w:hAnsi="Arial" w:cs="Arial"/>
            </w:rPr>
            <w:fldChar w:fldCharType="end"/>
          </w:r>
        </w:sdtContent>
      </w:sdt>
      <w:r w:rsidRPr="00301FA3">
        <w:rPr>
          <w:rFonts w:ascii="Arial" w:hAnsi="Arial" w:cs="Arial"/>
        </w:rPr>
        <w:t xml:space="preserve"> Additionally assigning unnecessary privileges </w:t>
      </w:r>
      <w:r w:rsidR="006550F2" w:rsidRPr="00301FA3">
        <w:rPr>
          <w:rFonts w:ascii="Arial" w:hAnsi="Arial" w:cs="Arial"/>
        </w:rPr>
        <w:t xml:space="preserve">to users without prior briefing </w:t>
      </w:r>
      <w:r w:rsidRPr="00301FA3">
        <w:rPr>
          <w:rFonts w:ascii="Arial" w:hAnsi="Arial" w:cs="Arial"/>
        </w:rPr>
        <w:t xml:space="preserve">enables unauthorised access to sensitive material, significantly increasing the chances of exposure to outside sources, intentionally or unprofessionally it's still poses a threat to the organization. the lack of </w:t>
      </w:r>
      <w:r w:rsidR="00B9659A" w:rsidRPr="00301FA3">
        <w:rPr>
          <w:rFonts w:ascii="Arial" w:hAnsi="Arial" w:cs="Arial"/>
        </w:rPr>
        <w:t xml:space="preserve">comprehensive security education </w:t>
      </w:r>
      <w:r w:rsidRPr="00301FA3">
        <w:rPr>
          <w:rFonts w:ascii="Arial" w:hAnsi="Arial" w:cs="Arial"/>
        </w:rPr>
        <w:t>increases the susceptibility of employees falling victim to social engineering and unknowingly handing over confidential data or credentials to fraudulent actors. poor device management habits and non-compliance or refusal to follow security polices poses FSL in a position of further exposure to data leaks or policy violations.</w:t>
      </w:r>
    </w:p>
    <w:p w14:paraId="2AB8D54D" w14:textId="133969AE" w:rsidR="00DB5BA0" w:rsidRPr="00301FA3" w:rsidRDefault="00915689">
      <w:pPr>
        <w:rPr>
          <w:rFonts w:ascii="Arial" w:eastAsiaTheme="majorEastAsia" w:hAnsi="Arial" w:cs="Arial"/>
          <w:color w:val="0F4761" w:themeColor="accent1" w:themeShade="BF"/>
          <w:sz w:val="40"/>
          <w:szCs w:val="40"/>
        </w:rPr>
      </w:pPr>
      <w:r w:rsidRPr="00301FA3">
        <w:rPr>
          <w:rFonts w:ascii="Arial" w:hAnsi="Arial" w:cs="Arial"/>
        </w:rPr>
        <w:t>Use diagram to categories threats</w:t>
      </w:r>
      <w:r w:rsidR="00DB5BA0" w:rsidRPr="00301FA3">
        <w:rPr>
          <w:rFonts w:ascii="Arial" w:hAnsi="Arial" w:cs="Arial"/>
        </w:rPr>
        <w:br w:type="page"/>
      </w:r>
    </w:p>
    <w:p w14:paraId="4A3D174E" w14:textId="142C71E1" w:rsidR="002C3248" w:rsidRPr="00301FA3" w:rsidRDefault="002C3248" w:rsidP="00DB5BA0">
      <w:pPr>
        <w:pStyle w:val="Heading1"/>
        <w:jc w:val="center"/>
        <w:rPr>
          <w:rFonts w:ascii="Arial" w:hAnsi="Arial" w:cs="Arial"/>
        </w:rPr>
      </w:pPr>
      <w:bookmarkStart w:id="3" w:name="_Toc217605424"/>
      <w:r w:rsidRPr="00301FA3">
        <w:rPr>
          <w:rFonts w:ascii="Arial" w:hAnsi="Arial" w:cs="Arial"/>
        </w:rPr>
        <w:lastRenderedPageBreak/>
        <w:t>Task 2: Security Policies</w:t>
      </w:r>
      <w:bookmarkEnd w:id="3"/>
    </w:p>
    <w:p w14:paraId="29EDC6D3" w14:textId="68C6695B" w:rsidR="001F1C16" w:rsidRPr="00301FA3" w:rsidRDefault="00D1779C" w:rsidP="00F37F18">
      <w:pPr>
        <w:rPr>
          <w:rFonts w:ascii="Arial" w:hAnsi="Arial" w:cs="Arial"/>
          <w:sz w:val="32"/>
          <w:szCs w:val="32"/>
        </w:rPr>
      </w:pPr>
      <w:r w:rsidRPr="00301FA3">
        <w:rPr>
          <w:rFonts w:ascii="Arial" w:hAnsi="Arial" w:cs="Arial"/>
        </w:rPr>
        <w:t xml:space="preserve">To appropriately address the security breaches and align them with industry standards, </w:t>
      </w:r>
      <w:proofErr w:type="spellStart"/>
      <w:r w:rsidRPr="00301FA3">
        <w:rPr>
          <w:rFonts w:ascii="Arial" w:hAnsi="Arial" w:cs="Arial"/>
        </w:rPr>
        <w:t>FinSecure</w:t>
      </w:r>
      <w:proofErr w:type="spellEnd"/>
      <w:r w:rsidRPr="00301FA3">
        <w:rPr>
          <w:rFonts w:ascii="Arial" w:hAnsi="Arial" w:cs="Arial"/>
        </w:rPr>
        <w:t xml:space="preserve"> should utilise the following five main security polices to secure its organisation and pre-emptively prevent any further attacks. These polices are built around a framework such as the NIST Cybersecurity Framework to ensure a dynamic, in-depth defence strategy</w:t>
      </w:r>
      <w:r w:rsidRPr="00301FA3">
        <w:rPr>
          <w:rFonts w:ascii="Arial" w:hAnsi="Arial" w:cs="Arial"/>
          <w:sz w:val="32"/>
          <w:szCs w:val="32"/>
        </w:rPr>
        <w:t>.</w:t>
      </w:r>
    </w:p>
    <w:p w14:paraId="3B451FCD" w14:textId="77777777" w:rsidR="00B24900" w:rsidRPr="00301FA3" w:rsidRDefault="00B24900" w:rsidP="00F37F18">
      <w:pPr>
        <w:rPr>
          <w:rFonts w:ascii="Arial" w:hAnsi="Arial" w:cs="Arial"/>
          <w:b/>
          <w:bCs/>
          <w:sz w:val="32"/>
          <w:szCs w:val="32"/>
        </w:rPr>
      </w:pPr>
    </w:p>
    <w:p w14:paraId="0C72A9BE" w14:textId="21F147A0" w:rsidR="00F37F18" w:rsidRPr="00301FA3" w:rsidRDefault="00F37F18" w:rsidP="00F37F18">
      <w:pPr>
        <w:rPr>
          <w:rFonts w:ascii="Arial" w:hAnsi="Arial" w:cs="Arial"/>
          <w:b/>
          <w:bCs/>
          <w:sz w:val="32"/>
          <w:szCs w:val="32"/>
        </w:rPr>
      </w:pPr>
      <w:r w:rsidRPr="00301FA3">
        <w:rPr>
          <w:rFonts w:ascii="Arial" w:hAnsi="Arial" w:cs="Arial"/>
          <w:b/>
          <w:bCs/>
          <w:sz w:val="32"/>
          <w:szCs w:val="32"/>
        </w:rPr>
        <w:t xml:space="preserve">Acceptable Use Policy (AUP): </w:t>
      </w:r>
    </w:p>
    <w:p w14:paraId="178D97A5" w14:textId="7F4F2E81" w:rsidR="00413098" w:rsidRPr="00301FA3" w:rsidRDefault="00413098" w:rsidP="00413098">
      <w:pPr>
        <w:rPr>
          <w:rFonts w:ascii="Arial" w:hAnsi="Arial" w:cs="Arial"/>
        </w:rPr>
      </w:pPr>
      <w:r w:rsidRPr="00301FA3">
        <w:rPr>
          <w:rFonts w:ascii="Arial" w:hAnsi="Arial" w:cs="Arial"/>
        </w:rPr>
        <w:t xml:space="preserve">To appropriately address the security breaches and align them with industry standards, </w:t>
      </w:r>
      <w:proofErr w:type="spellStart"/>
      <w:r w:rsidRPr="00301FA3">
        <w:rPr>
          <w:rFonts w:ascii="Arial" w:hAnsi="Arial" w:cs="Arial"/>
        </w:rPr>
        <w:t>FinSecure</w:t>
      </w:r>
      <w:proofErr w:type="spellEnd"/>
      <w:r w:rsidRPr="00301FA3">
        <w:rPr>
          <w:rFonts w:ascii="Arial" w:hAnsi="Arial" w:cs="Arial"/>
        </w:rPr>
        <w:t xml:space="preserve"> should utilise the following five main security polices to secure its organisation and pre-emptively prevent any further attacks. These polices are built around a framework such as the NIST Cybersecurity Framework to ensure a dynamic, in-depth defence strategy.</w:t>
      </w:r>
      <w:sdt>
        <w:sdtPr>
          <w:rPr>
            <w:rFonts w:ascii="Arial" w:hAnsi="Arial" w:cs="Arial"/>
          </w:rPr>
          <w:id w:val="-223135341"/>
          <w:citation/>
        </w:sdtPr>
        <w:sdtContent>
          <w:r w:rsidR="001D35FB" w:rsidRPr="00301FA3">
            <w:rPr>
              <w:rFonts w:ascii="Arial" w:hAnsi="Arial" w:cs="Arial"/>
            </w:rPr>
            <w:fldChar w:fldCharType="begin"/>
          </w:r>
          <w:r w:rsidR="001D35FB" w:rsidRPr="00301FA3">
            <w:rPr>
              <w:rFonts w:ascii="Arial" w:hAnsi="Arial" w:cs="Arial"/>
            </w:rPr>
            <w:instrText xml:space="preserve"> CITATION Nat18 \l 2057 </w:instrText>
          </w:r>
          <w:r w:rsidR="001D35FB" w:rsidRPr="00301FA3">
            <w:rPr>
              <w:rFonts w:ascii="Arial" w:hAnsi="Arial" w:cs="Arial"/>
            </w:rPr>
            <w:fldChar w:fldCharType="separate"/>
          </w:r>
          <w:r w:rsidR="00B90144" w:rsidRPr="00301FA3">
            <w:rPr>
              <w:rFonts w:ascii="Arial" w:hAnsi="Arial" w:cs="Arial"/>
              <w:noProof/>
            </w:rPr>
            <w:t xml:space="preserve"> [6]</w:t>
          </w:r>
          <w:r w:rsidR="001D35FB" w:rsidRPr="00301FA3">
            <w:rPr>
              <w:rFonts w:ascii="Arial" w:hAnsi="Arial" w:cs="Arial"/>
            </w:rPr>
            <w:fldChar w:fldCharType="end"/>
          </w:r>
        </w:sdtContent>
      </w:sdt>
    </w:p>
    <w:p w14:paraId="2DFF4054" w14:textId="77777777" w:rsidR="00413098" w:rsidRPr="00301FA3" w:rsidRDefault="00413098" w:rsidP="00413098">
      <w:pPr>
        <w:rPr>
          <w:rFonts w:ascii="Arial" w:hAnsi="Arial" w:cs="Arial"/>
        </w:rPr>
      </w:pPr>
    </w:p>
    <w:p w14:paraId="34539083" w14:textId="77777777" w:rsidR="00413098" w:rsidRPr="00301FA3" w:rsidRDefault="00413098" w:rsidP="00413098">
      <w:pPr>
        <w:rPr>
          <w:rFonts w:ascii="Arial" w:hAnsi="Arial" w:cs="Arial"/>
        </w:rPr>
      </w:pPr>
      <w:r w:rsidRPr="00301FA3">
        <w:rPr>
          <w:rFonts w:ascii="Arial" w:hAnsi="Arial" w:cs="Arial"/>
        </w:rPr>
        <w:t xml:space="preserve">This policy directly categorises the appropriate use case for FSL's data and information assets, consisting of networks, systems and secure data. It is vital for mitigating any risks from device vulnerability and remote work. </w:t>
      </w:r>
    </w:p>
    <w:p w14:paraId="04DBBBB3" w14:textId="77777777" w:rsidR="00413098" w:rsidRPr="00301FA3" w:rsidRDefault="00413098" w:rsidP="00413098">
      <w:pPr>
        <w:rPr>
          <w:rFonts w:ascii="Arial" w:hAnsi="Arial" w:cs="Arial"/>
        </w:rPr>
      </w:pPr>
      <w:r w:rsidRPr="00301FA3">
        <w:rPr>
          <w:rFonts w:ascii="Arial" w:hAnsi="Arial" w:cs="Arial"/>
        </w:rPr>
        <w:t>The AUP will:</w:t>
      </w:r>
    </w:p>
    <w:p w14:paraId="7CBC67CA" w14:textId="77777777" w:rsidR="00413098" w:rsidRPr="00301FA3" w:rsidRDefault="00413098" w:rsidP="00413098">
      <w:pPr>
        <w:rPr>
          <w:rFonts w:ascii="Arial" w:hAnsi="Arial" w:cs="Arial"/>
        </w:rPr>
      </w:pPr>
    </w:p>
    <w:p w14:paraId="62E69F33" w14:textId="5287F060" w:rsidR="00413098" w:rsidRPr="00301FA3" w:rsidRDefault="00413098" w:rsidP="00413098">
      <w:pPr>
        <w:rPr>
          <w:rFonts w:ascii="Arial" w:hAnsi="Arial" w:cs="Arial"/>
        </w:rPr>
      </w:pPr>
      <w:r w:rsidRPr="00301FA3">
        <w:rPr>
          <w:rFonts w:ascii="Arial" w:hAnsi="Arial" w:cs="Arial"/>
        </w:rPr>
        <w:t>Directly prohibit any use of unauthorised software (shadow IT) and immediately block and notify any attempts to access malicious or high-risk websites from within corporate devices.</w:t>
      </w:r>
      <w:sdt>
        <w:sdtPr>
          <w:rPr>
            <w:rFonts w:ascii="Arial" w:hAnsi="Arial" w:cs="Arial"/>
          </w:rPr>
          <w:id w:val="393395348"/>
          <w:citation/>
        </w:sdtPr>
        <w:sdtContent>
          <w:r w:rsidR="00076D1E" w:rsidRPr="00301FA3">
            <w:rPr>
              <w:rFonts w:ascii="Arial" w:hAnsi="Arial" w:cs="Arial"/>
            </w:rPr>
            <w:fldChar w:fldCharType="begin"/>
          </w:r>
          <w:r w:rsidR="00076D1E" w:rsidRPr="00301FA3">
            <w:rPr>
              <w:rFonts w:ascii="Arial" w:hAnsi="Arial" w:cs="Arial"/>
            </w:rPr>
            <w:instrText xml:space="preserve"> CITATION SAN20 \l 2057 </w:instrText>
          </w:r>
          <w:r w:rsidR="00076D1E" w:rsidRPr="00301FA3">
            <w:rPr>
              <w:rFonts w:ascii="Arial" w:hAnsi="Arial" w:cs="Arial"/>
            </w:rPr>
            <w:fldChar w:fldCharType="separate"/>
          </w:r>
          <w:r w:rsidR="00B90144" w:rsidRPr="00301FA3">
            <w:rPr>
              <w:rFonts w:ascii="Arial" w:hAnsi="Arial" w:cs="Arial"/>
              <w:noProof/>
            </w:rPr>
            <w:t xml:space="preserve"> [7]</w:t>
          </w:r>
          <w:r w:rsidR="00076D1E" w:rsidRPr="00301FA3">
            <w:rPr>
              <w:rFonts w:ascii="Arial" w:hAnsi="Arial" w:cs="Arial"/>
            </w:rPr>
            <w:fldChar w:fldCharType="end"/>
          </w:r>
        </w:sdtContent>
      </w:sdt>
    </w:p>
    <w:p w14:paraId="44765A3E" w14:textId="77777777" w:rsidR="00413098" w:rsidRPr="00301FA3" w:rsidRDefault="00413098" w:rsidP="00413098">
      <w:pPr>
        <w:rPr>
          <w:rFonts w:ascii="Arial" w:hAnsi="Arial" w:cs="Arial"/>
        </w:rPr>
      </w:pPr>
    </w:p>
    <w:p w14:paraId="0B70D9E3" w14:textId="77777777" w:rsidR="00413098" w:rsidRPr="00301FA3" w:rsidRDefault="00413098" w:rsidP="00413098">
      <w:pPr>
        <w:rPr>
          <w:rFonts w:ascii="Arial" w:hAnsi="Arial" w:cs="Arial"/>
        </w:rPr>
      </w:pPr>
      <w:r w:rsidRPr="00301FA3">
        <w:rPr>
          <w:rFonts w:ascii="Arial" w:hAnsi="Arial" w:cs="Arial"/>
        </w:rPr>
        <w:t>enforcing a mandatory mandate to only use company-approved, encrypted communication software to transfer work-related data.</w:t>
      </w:r>
    </w:p>
    <w:p w14:paraId="03639962" w14:textId="77777777" w:rsidR="00413098" w:rsidRPr="00301FA3" w:rsidRDefault="00413098" w:rsidP="00413098">
      <w:pPr>
        <w:rPr>
          <w:rFonts w:ascii="Arial" w:hAnsi="Arial" w:cs="Arial"/>
        </w:rPr>
      </w:pPr>
    </w:p>
    <w:p w14:paraId="475A45F7" w14:textId="77777777" w:rsidR="00413098" w:rsidRPr="00301FA3" w:rsidRDefault="00413098" w:rsidP="00413098">
      <w:pPr>
        <w:rPr>
          <w:rFonts w:ascii="Arial" w:hAnsi="Arial" w:cs="Arial"/>
        </w:rPr>
      </w:pPr>
      <w:r w:rsidRPr="00301FA3">
        <w:rPr>
          <w:rFonts w:ascii="Arial" w:hAnsi="Arial" w:cs="Arial"/>
        </w:rPr>
        <w:t>impose a requirement that all personal devices used for work purposes are checked and comply with FSL's mobile device management standards, ensuring they are secure and up to security standards.</w:t>
      </w:r>
    </w:p>
    <w:p w14:paraId="25E69134" w14:textId="5C83CCF2" w:rsidR="00F37F18" w:rsidRPr="00301FA3" w:rsidRDefault="00F37F18" w:rsidP="00413098">
      <w:pPr>
        <w:rPr>
          <w:rFonts w:ascii="Arial" w:hAnsi="Arial" w:cs="Arial"/>
          <w:b/>
          <w:bCs/>
          <w:sz w:val="32"/>
          <w:szCs w:val="32"/>
        </w:rPr>
      </w:pPr>
      <w:r w:rsidRPr="00301FA3">
        <w:rPr>
          <w:rFonts w:ascii="Arial" w:hAnsi="Arial" w:cs="Arial"/>
          <w:b/>
          <w:bCs/>
          <w:sz w:val="32"/>
          <w:szCs w:val="32"/>
        </w:rPr>
        <w:t xml:space="preserve">Password Policy: </w:t>
      </w:r>
    </w:p>
    <w:p w14:paraId="7E85484F" w14:textId="77777777" w:rsidR="00384450" w:rsidRPr="00301FA3" w:rsidRDefault="00384450" w:rsidP="00384450">
      <w:pPr>
        <w:rPr>
          <w:rFonts w:ascii="Arial" w:hAnsi="Arial" w:cs="Arial"/>
        </w:rPr>
      </w:pPr>
      <w:r w:rsidRPr="00301FA3">
        <w:rPr>
          <w:rFonts w:ascii="Arial" w:hAnsi="Arial" w:cs="Arial"/>
        </w:rPr>
        <w:t>A secure password policy is the first defence mechanism against unauthorised access in personal or work accounts, and identity theft from phishing attacks.</w:t>
      </w:r>
    </w:p>
    <w:p w14:paraId="5A33F9CE" w14:textId="77777777" w:rsidR="00384450" w:rsidRPr="00301FA3" w:rsidRDefault="00384450" w:rsidP="00384450">
      <w:pPr>
        <w:rPr>
          <w:rFonts w:ascii="Arial" w:hAnsi="Arial" w:cs="Arial"/>
        </w:rPr>
      </w:pPr>
    </w:p>
    <w:p w14:paraId="17033E76" w14:textId="333DD145" w:rsidR="00384450" w:rsidRPr="00301FA3" w:rsidRDefault="00384450" w:rsidP="00384450">
      <w:pPr>
        <w:rPr>
          <w:rFonts w:ascii="Arial" w:hAnsi="Arial" w:cs="Arial"/>
        </w:rPr>
      </w:pPr>
      <w:r w:rsidRPr="00301FA3">
        <w:rPr>
          <w:rFonts w:ascii="Arial" w:hAnsi="Arial" w:cs="Arial"/>
        </w:rPr>
        <w:t>Secure requirements: Password must have a minimum of 12 characters, combining uppercase, lowercase, numbers and symbols.</w:t>
      </w:r>
      <w:sdt>
        <w:sdtPr>
          <w:rPr>
            <w:rFonts w:ascii="Arial" w:hAnsi="Arial" w:cs="Arial"/>
          </w:rPr>
          <w:id w:val="-1156219396"/>
          <w:citation/>
        </w:sdtPr>
        <w:sdtContent>
          <w:r w:rsidR="001744F3" w:rsidRPr="00301FA3">
            <w:rPr>
              <w:rFonts w:ascii="Arial" w:hAnsi="Arial" w:cs="Arial"/>
            </w:rPr>
            <w:fldChar w:fldCharType="begin"/>
          </w:r>
          <w:r w:rsidR="001744F3" w:rsidRPr="00301FA3">
            <w:rPr>
              <w:rFonts w:ascii="Arial" w:hAnsi="Arial" w:cs="Arial"/>
            </w:rPr>
            <w:instrText xml:space="preserve"> CITATION Sha16 \l 2057 </w:instrText>
          </w:r>
          <w:r w:rsidR="001744F3" w:rsidRPr="00301FA3">
            <w:rPr>
              <w:rFonts w:ascii="Arial" w:hAnsi="Arial" w:cs="Arial"/>
            </w:rPr>
            <w:fldChar w:fldCharType="separate"/>
          </w:r>
          <w:r w:rsidR="00B90144" w:rsidRPr="00301FA3">
            <w:rPr>
              <w:rFonts w:ascii="Arial" w:hAnsi="Arial" w:cs="Arial"/>
              <w:noProof/>
            </w:rPr>
            <w:t xml:space="preserve"> [8]</w:t>
          </w:r>
          <w:r w:rsidR="001744F3" w:rsidRPr="00301FA3">
            <w:rPr>
              <w:rFonts w:ascii="Arial" w:hAnsi="Arial" w:cs="Arial"/>
            </w:rPr>
            <w:fldChar w:fldCharType="end"/>
          </w:r>
        </w:sdtContent>
      </w:sdt>
    </w:p>
    <w:p w14:paraId="727FFA8C" w14:textId="77777777" w:rsidR="00384450" w:rsidRPr="00301FA3" w:rsidRDefault="00384450" w:rsidP="00384450">
      <w:pPr>
        <w:rPr>
          <w:rFonts w:ascii="Arial" w:hAnsi="Arial" w:cs="Arial"/>
        </w:rPr>
      </w:pPr>
    </w:p>
    <w:p w14:paraId="32BBCA37" w14:textId="77777777" w:rsidR="00384450" w:rsidRPr="00301FA3" w:rsidRDefault="00384450" w:rsidP="00384450">
      <w:pPr>
        <w:rPr>
          <w:rFonts w:ascii="Arial" w:hAnsi="Arial" w:cs="Arial"/>
        </w:rPr>
      </w:pPr>
      <w:r w:rsidRPr="00301FA3">
        <w:rPr>
          <w:rFonts w:ascii="Arial" w:hAnsi="Arial" w:cs="Arial"/>
        </w:rPr>
        <w:t>Prohibition of duplicates: Passwords cannot and will be flagged for reuse across multiple FSL databases and systems with the extension of personal accounts</w:t>
      </w:r>
    </w:p>
    <w:p w14:paraId="69497579" w14:textId="77777777" w:rsidR="00384450" w:rsidRPr="00301FA3" w:rsidRDefault="00384450" w:rsidP="00384450">
      <w:pPr>
        <w:rPr>
          <w:rFonts w:ascii="Arial" w:hAnsi="Arial" w:cs="Arial"/>
        </w:rPr>
      </w:pPr>
    </w:p>
    <w:p w14:paraId="4C9480F1" w14:textId="7BA32969" w:rsidR="00384450" w:rsidRPr="00301FA3" w:rsidRDefault="00384450" w:rsidP="00384450">
      <w:pPr>
        <w:rPr>
          <w:rFonts w:ascii="Arial" w:hAnsi="Arial" w:cs="Arial"/>
        </w:rPr>
      </w:pPr>
      <w:r w:rsidRPr="00301FA3">
        <w:rPr>
          <w:rFonts w:ascii="Arial" w:hAnsi="Arial" w:cs="Arial"/>
        </w:rPr>
        <w:t xml:space="preserve">Storage mandate: Passwords under any circumstances must not be written down or stored in plain text. The only permissible storage method should be company-approved password managers which is the ideal </w:t>
      </w:r>
      <w:r w:rsidR="000054B2" w:rsidRPr="00301FA3">
        <w:rPr>
          <w:rFonts w:ascii="Arial" w:hAnsi="Arial" w:cs="Arial"/>
        </w:rPr>
        <w:t>method</w:t>
      </w:r>
      <w:r w:rsidRPr="00301FA3">
        <w:rPr>
          <w:rFonts w:ascii="Arial" w:hAnsi="Arial" w:cs="Arial"/>
        </w:rPr>
        <w:t xml:space="preserve"> for generating and storing passwords and credentials.</w:t>
      </w:r>
    </w:p>
    <w:p w14:paraId="228D9E32" w14:textId="412F3F19" w:rsidR="008424BB" w:rsidRPr="00301FA3" w:rsidRDefault="00F37F18" w:rsidP="00384450">
      <w:pPr>
        <w:rPr>
          <w:rFonts w:ascii="Arial" w:hAnsi="Arial" w:cs="Arial"/>
          <w:b/>
          <w:bCs/>
          <w:sz w:val="32"/>
          <w:szCs w:val="32"/>
        </w:rPr>
      </w:pPr>
      <w:r w:rsidRPr="00301FA3">
        <w:rPr>
          <w:rFonts w:ascii="Arial" w:hAnsi="Arial" w:cs="Arial"/>
          <w:b/>
          <w:bCs/>
          <w:sz w:val="32"/>
          <w:szCs w:val="32"/>
        </w:rPr>
        <w:t xml:space="preserve">Access Control Policy: </w:t>
      </w:r>
    </w:p>
    <w:p w14:paraId="2E67ACE7" w14:textId="77777777" w:rsidR="00402E6F" w:rsidRPr="00301FA3" w:rsidRDefault="00402E6F" w:rsidP="00402E6F">
      <w:pPr>
        <w:rPr>
          <w:rFonts w:ascii="Arial" w:hAnsi="Arial" w:cs="Arial"/>
        </w:rPr>
      </w:pPr>
      <w:r w:rsidRPr="00301FA3">
        <w:rPr>
          <w:rFonts w:ascii="Arial" w:hAnsi="Arial" w:cs="Arial"/>
        </w:rPr>
        <w:t xml:space="preserve">Based on the core principles of limited privileges, this policy directly ensures and regulates that users only have permitted access to the resources necessary and related to their job role. </w:t>
      </w:r>
    </w:p>
    <w:p w14:paraId="5A60DC14" w14:textId="77777777" w:rsidR="00402E6F" w:rsidRPr="00301FA3" w:rsidRDefault="00402E6F" w:rsidP="00402E6F">
      <w:pPr>
        <w:rPr>
          <w:rFonts w:ascii="Arial" w:hAnsi="Arial" w:cs="Arial"/>
        </w:rPr>
      </w:pPr>
    </w:p>
    <w:p w14:paraId="50E7D404" w14:textId="77777777" w:rsidR="00402E6F" w:rsidRPr="00301FA3" w:rsidRDefault="00402E6F" w:rsidP="00402E6F">
      <w:pPr>
        <w:rPr>
          <w:rFonts w:ascii="Arial" w:hAnsi="Arial" w:cs="Arial"/>
        </w:rPr>
      </w:pPr>
      <w:r w:rsidRPr="00301FA3">
        <w:rPr>
          <w:rFonts w:ascii="Arial" w:hAnsi="Arial" w:cs="Arial"/>
        </w:rPr>
        <w:t xml:space="preserve">Role-Based Access Control: All system and database access will only be granted under the conditions of pre-defined roles, </w:t>
      </w:r>
      <w:proofErr w:type="spellStart"/>
      <w:r w:rsidRPr="00301FA3">
        <w:rPr>
          <w:rFonts w:ascii="Arial" w:hAnsi="Arial" w:cs="Arial"/>
        </w:rPr>
        <w:t>e.g</w:t>
      </w:r>
      <w:proofErr w:type="spellEnd"/>
      <w:r w:rsidRPr="00301FA3">
        <w:rPr>
          <w:rFonts w:ascii="Arial" w:hAnsi="Arial" w:cs="Arial"/>
        </w:rPr>
        <w:t xml:space="preserve"> data analyst, cyber security branch, and not granted per individual request.</w:t>
      </w:r>
    </w:p>
    <w:p w14:paraId="68BD74BE" w14:textId="77777777" w:rsidR="00402E6F" w:rsidRPr="00301FA3" w:rsidRDefault="00402E6F" w:rsidP="00402E6F">
      <w:pPr>
        <w:rPr>
          <w:rFonts w:ascii="Arial" w:hAnsi="Arial" w:cs="Arial"/>
        </w:rPr>
      </w:pPr>
    </w:p>
    <w:p w14:paraId="47348E51" w14:textId="77777777" w:rsidR="00402E6F" w:rsidRPr="00301FA3" w:rsidRDefault="00402E6F" w:rsidP="00402E6F">
      <w:pPr>
        <w:rPr>
          <w:rFonts w:ascii="Arial" w:hAnsi="Arial" w:cs="Arial"/>
        </w:rPr>
      </w:pPr>
      <w:r w:rsidRPr="00301FA3">
        <w:rPr>
          <w:rFonts w:ascii="Arial" w:hAnsi="Arial" w:cs="Arial"/>
        </w:rPr>
        <w:t>Frequent access reviews: Managers are obligated to conduct a mandatory quarterly review of their colleagues' and collaborators' access rights to various systems.</w:t>
      </w:r>
    </w:p>
    <w:p w14:paraId="4644857A" w14:textId="77777777" w:rsidR="00402E6F" w:rsidRPr="00301FA3" w:rsidRDefault="00402E6F" w:rsidP="00402E6F">
      <w:pPr>
        <w:rPr>
          <w:rFonts w:ascii="Arial" w:hAnsi="Arial" w:cs="Arial"/>
        </w:rPr>
      </w:pPr>
    </w:p>
    <w:p w14:paraId="7AC3969E" w14:textId="77777777" w:rsidR="00402E6F" w:rsidRPr="00301FA3" w:rsidRDefault="00402E6F" w:rsidP="00402E6F">
      <w:pPr>
        <w:rPr>
          <w:rFonts w:ascii="Arial" w:hAnsi="Arial" w:cs="Arial"/>
        </w:rPr>
      </w:pPr>
      <w:r w:rsidRPr="00301FA3">
        <w:rPr>
          <w:rFonts w:ascii="Arial" w:hAnsi="Arial" w:cs="Arial"/>
        </w:rPr>
        <w:t>Immediate Revocation: Prior granted access for employees of the organisation changing roles or leaving the company will be revoked on their final day, effective immediately, which is all inside a streamlined automated system used by the HR department.</w:t>
      </w:r>
    </w:p>
    <w:p w14:paraId="26AEA2D0" w14:textId="13854563" w:rsidR="00F37F18" w:rsidRPr="00301FA3" w:rsidRDefault="00F37F18" w:rsidP="00402E6F">
      <w:pPr>
        <w:rPr>
          <w:rFonts w:ascii="Arial" w:hAnsi="Arial" w:cs="Arial"/>
          <w:b/>
          <w:bCs/>
          <w:sz w:val="32"/>
          <w:szCs w:val="32"/>
        </w:rPr>
      </w:pPr>
      <w:r w:rsidRPr="00301FA3">
        <w:rPr>
          <w:rFonts w:ascii="Arial" w:hAnsi="Arial" w:cs="Arial"/>
          <w:b/>
          <w:bCs/>
          <w:sz w:val="32"/>
          <w:szCs w:val="32"/>
        </w:rPr>
        <w:t xml:space="preserve">Data Handling and Classification Policy: </w:t>
      </w:r>
    </w:p>
    <w:p w14:paraId="22AE7376" w14:textId="77777777" w:rsidR="005D3331" w:rsidRPr="00301FA3" w:rsidRDefault="005D3331" w:rsidP="005D3331">
      <w:pPr>
        <w:rPr>
          <w:rFonts w:ascii="Arial" w:hAnsi="Arial" w:cs="Arial"/>
        </w:rPr>
      </w:pPr>
      <w:r w:rsidRPr="00301FA3">
        <w:rPr>
          <w:rFonts w:ascii="Arial" w:hAnsi="Arial" w:cs="Arial"/>
        </w:rPr>
        <w:t>This policy acts as a protective measure to adequately secure the confidentiality and integrity of sensitive financial data by grouping it and categorising it in levels of severity solely based on how sensitive the material is.</w:t>
      </w:r>
    </w:p>
    <w:p w14:paraId="199047B1" w14:textId="77777777" w:rsidR="005D3331" w:rsidRPr="00301FA3" w:rsidRDefault="005D3331" w:rsidP="005D3331">
      <w:pPr>
        <w:rPr>
          <w:rFonts w:ascii="Arial" w:hAnsi="Arial" w:cs="Arial"/>
        </w:rPr>
      </w:pPr>
    </w:p>
    <w:p w14:paraId="618DAC70" w14:textId="08E0C4BF" w:rsidR="005D3331" w:rsidRPr="00301FA3" w:rsidRDefault="005D3331" w:rsidP="005D3331">
      <w:pPr>
        <w:rPr>
          <w:rFonts w:ascii="Arial" w:hAnsi="Arial" w:cs="Arial"/>
        </w:rPr>
      </w:pPr>
      <w:r w:rsidRPr="00301FA3">
        <w:rPr>
          <w:rFonts w:ascii="Arial" w:hAnsi="Arial" w:cs="Arial"/>
        </w:rPr>
        <w:t>Four-tier classification: data will be placed within a hierarchy under the classifications of public, internal, and confidential</w:t>
      </w:r>
      <w:sdt>
        <w:sdtPr>
          <w:rPr>
            <w:rFonts w:ascii="Arial" w:hAnsi="Arial" w:cs="Arial"/>
          </w:rPr>
          <w:id w:val="726425043"/>
          <w:citation/>
        </w:sdtPr>
        <w:sdtContent>
          <w:r w:rsidR="00734DFE" w:rsidRPr="00301FA3">
            <w:rPr>
              <w:rFonts w:ascii="Arial" w:hAnsi="Arial" w:cs="Arial"/>
            </w:rPr>
            <w:fldChar w:fldCharType="begin"/>
          </w:r>
          <w:r w:rsidR="00734DFE" w:rsidRPr="00301FA3">
            <w:rPr>
              <w:rFonts w:ascii="Arial" w:hAnsi="Arial" w:cs="Arial"/>
            </w:rPr>
            <w:instrText xml:space="preserve"> CITATION Kha21 \l 2057 </w:instrText>
          </w:r>
          <w:r w:rsidR="00734DFE" w:rsidRPr="00301FA3">
            <w:rPr>
              <w:rFonts w:ascii="Arial" w:hAnsi="Arial" w:cs="Arial"/>
            </w:rPr>
            <w:fldChar w:fldCharType="separate"/>
          </w:r>
          <w:r w:rsidR="00B90144" w:rsidRPr="00301FA3">
            <w:rPr>
              <w:rFonts w:ascii="Arial" w:hAnsi="Arial" w:cs="Arial"/>
              <w:noProof/>
            </w:rPr>
            <w:t xml:space="preserve"> [9]</w:t>
          </w:r>
          <w:r w:rsidR="00734DFE" w:rsidRPr="00301FA3">
            <w:rPr>
              <w:rFonts w:ascii="Arial" w:hAnsi="Arial" w:cs="Arial"/>
            </w:rPr>
            <w:fldChar w:fldCharType="end"/>
          </w:r>
        </w:sdtContent>
      </w:sdt>
    </w:p>
    <w:p w14:paraId="34FACA37" w14:textId="77777777" w:rsidR="00555781" w:rsidRPr="00301FA3" w:rsidRDefault="00555781">
      <w:pPr>
        <w:rPr>
          <w:rFonts w:ascii="Arial" w:hAnsi="Arial" w:cs="Arial"/>
          <w:b/>
          <w:bCs/>
          <w:sz w:val="32"/>
          <w:szCs w:val="32"/>
        </w:rPr>
      </w:pPr>
      <w:r w:rsidRPr="00301FA3">
        <w:rPr>
          <w:rFonts w:ascii="Arial" w:hAnsi="Arial" w:cs="Arial"/>
          <w:b/>
          <w:bCs/>
          <w:sz w:val="32"/>
          <w:szCs w:val="32"/>
        </w:rPr>
        <w:br w:type="page"/>
      </w:r>
    </w:p>
    <w:p w14:paraId="606932E8" w14:textId="0717BEAE" w:rsidR="00395C84" w:rsidRPr="00301FA3" w:rsidRDefault="00F37F18" w:rsidP="005D3331">
      <w:pPr>
        <w:rPr>
          <w:rFonts w:ascii="Arial" w:hAnsi="Arial" w:cs="Arial"/>
          <w:b/>
          <w:bCs/>
          <w:sz w:val="32"/>
          <w:szCs w:val="32"/>
        </w:rPr>
      </w:pPr>
      <w:r w:rsidRPr="00301FA3">
        <w:rPr>
          <w:rFonts w:ascii="Arial" w:hAnsi="Arial" w:cs="Arial"/>
          <w:b/>
          <w:bCs/>
          <w:sz w:val="32"/>
          <w:szCs w:val="32"/>
        </w:rPr>
        <w:lastRenderedPageBreak/>
        <w:t>Incident Response Policy:</w:t>
      </w:r>
    </w:p>
    <w:p w14:paraId="11015CEC" w14:textId="77777777" w:rsidR="00772028" w:rsidRPr="00301FA3" w:rsidRDefault="00772028" w:rsidP="00772028">
      <w:pPr>
        <w:rPr>
          <w:rFonts w:ascii="Arial" w:hAnsi="Arial" w:cs="Arial"/>
        </w:rPr>
      </w:pPr>
      <w:r w:rsidRPr="00301FA3">
        <w:rPr>
          <w:rFonts w:ascii="Arial" w:hAnsi="Arial" w:cs="Arial"/>
        </w:rPr>
        <w:t>A well put together policy confirms a swift corelated response to critical security breaches, thus decreasing operational down time and reputational damage.</w:t>
      </w:r>
    </w:p>
    <w:p w14:paraId="7C5696AF" w14:textId="77777777" w:rsidR="00772028" w:rsidRPr="00301FA3" w:rsidRDefault="00772028" w:rsidP="00772028">
      <w:pPr>
        <w:rPr>
          <w:rFonts w:ascii="Arial" w:hAnsi="Arial" w:cs="Arial"/>
        </w:rPr>
      </w:pPr>
    </w:p>
    <w:p w14:paraId="20DFA652" w14:textId="408345C0" w:rsidR="00772028" w:rsidRPr="00301FA3" w:rsidRDefault="00772028" w:rsidP="00772028">
      <w:pPr>
        <w:rPr>
          <w:rFonts w:ascii="Arial" w:hAnsi="Arial" w:cs="Arial"/>
        </w:rPr>
      </w:pPr>
      <w:r w:rsidRPr="00301FA3">
        <w:rPr>
          <w:rFonts w:ascii="Arial" w:hAnsi="Arial" w:cs="Arial"/>
        </w:rPr>
        <w:t xml:space="preserve">The policy is in a </w:t>
      </w:r>
      <w:r w:rsidR="00555781" w:rsidRPr="00301FA3">
        <w:rPr>
          <w:rFonts w:ascii="Arial" w:hAnsi="Arial" w:cs="Arial"/>
        </w:rPr>
        <w:t>six-phase</w:t>
      </w:r>
      <w:r w:rsidRPr="00301FA3">
        <w:rPr>
          <w:rFonts w:ascii="Arial" w:hAnsi="Arial" w:cs="Arial"/>
        </w:rPr>
        <w:t xml:space="preserve"> structure as a response mechanism: preparation, identification, containment, education, recover and reflection.</w:t>
      </w:r>
    </w:p>
    <w:p w14:paraId="3EFC5D3F" w14:textId="77777777" w:rsidR="00772028" w:rsidRPr="00301FA3" w:rsidRDefault="00772028" w:rsidP="00772028">
      <w:pPr>
        <w:rPr>
          <w:rFonts w:ascii="Arial" w:hAnsi="Arial" w:cs="Arial"/>
        </w:rPr>
      </w:pPr>
    </w:p>
    <w:p w14:paraId="72922256" w14:textId="0C25DFE7" w:rsidR="00772028" w:rsidRPr="00301FA3" w:rsidRDefault="00772028" w:rsidP="00772028">
      <w:pPr>
        <w:rPr>
          <w:rFonts w:ascii="Arial" w:hAnsi="Arial" w:cs="Arial"/>
        </w:rPr>
      </w:pPr>
      <w:r w:rsidRPr="00301FA3">
        <w:rPr>
          <w:rFonts w:ascii="Arial" w:hAnsi="Arial" w:cs="Arial"/>
        </w:rPr>
        <w:t>Well defined roles within the incident response team (IRT) provides communication clarity for all within the organisation, including IT, Legal and Communication roles and identifies internal and external clients</w:t>
      </w:r>
    </w:p>
    <w:p w14:paraId="6B3C1F05" w14:textId="77777777" w:rsidR="00772028" w:rsidRPr="00301FA3" w:rsidRDefault="00772028" w:rsidP="00772028">
      <w:pPr>
        <w:rPr>
          <w:rFonts w:ascii="Arial" w:hAnsi="Arial" w:cs="Arial"/>
        </w:rPr>
      </w:pPr>
    </w:p>
    <w:p w14:paraId="7C7F04AA" w14:textId="77777777" w:rsidR="00772028" w:rsidRPr="00301FA3" w:rsidRDefault="00772028" w:rsidP="00772028">
      <w:pPr>
        <w:rPr>
          <w:rFonts w:ascii="Arial" w:hAnsi="Arial" w:cs="Arial"/>
        </w:rPr>
      </w:pPr>
      <w:r w:rsidRPr="00301FA3">
        <w:rPr>
          <w:rFonts w:ascii="Arial" w:hAnsi="Arial" w:cs="Arial"/>
        </w:rPr>
        <w:t>A full analysis after the initial incident is mandatory to find the root-cause, which is needed to update policies and tighten up security.</w:t>
      </w:r>
    </w:p>
    <w:p w14:paraId="02FA85E8" w14:textId="70BFA4EB" w:rsidR="00555781" w:rsidRPr="00301FA3" w:rsidRDefault="00555781" w:rsidP="00772028">
      <w:pPr>
        <w:rPr>
          <w:rFonts w:ascii="Arial" w:hAnsi="Arial" w:cs="Arial"/>
        </w:rPr>
      </w:pPr>
      <w:r w:rsidRPr="00301FA3">
        <w:rPr>
          <w:rFonts w:ascii="Arial" w:hAnsi="Arial" w:cs="Arial"/>
        </w:rPr>
        <w:t>When used together these policies work as a governing body, as they uphold security principles into executable rules. Directly targeting FSL vulnerabilities from phishing and unauthorised access.</w:t>
      </w:r>
      <w:sdt>
        <w:sdtPr>
          <w:rPr>
            <w:rFonts w:ascii="Arial" w:hAnsi="Arial" w:cs="Arial"/>
          </w:rPr>
          <w:id w:val="-818574335"/>
          <w:citation/>
        </w:sdtPr>
        <w:sdtContent>
          <w:r w:rsidR="008D3E7D" w:rsidRPr="00301FA3">
            <w:rPr>
              <w:rFonts w:ascii="Arial" w:hAnsi="Arial" w:cs="Arial"/>
            </w:rPr>
            <w:fldChar w:fldCharType="begin"/>
          </w:r>
          <w:r w:rsidR="008D3E7D" w:rsidRPr="00301FA3">
            <w:rPr>
              <w:rFonts w:ascii="Arial" w:hAnsi="Arial" w:cs="Arial"/>
            </w:rPr>
            <w:instrText xml:space="preserve"> CITATION Cic12 \l 2057 </w:instrText>
          </w:r>
          <w:r w:rsidR="008D3E7D" w:rsidRPr="00301FA3">
            <w:rPr>
              <w:rFonts w:ascii="Arial" w:hAnsi="Arial" w:cs="Arial"/>
            </w:rPr>
            <w:fldChar w:fldCharType="separate"/>
          </w:r>
          <w:r w:rsidR="00B90144" w:rsidRPr="00301FA3">
            <w:rPr>
              <w:rFonts w:ascii="Arial" w:hAnsi="Arial" w:cs="Arial"/>
              <w:noProof/>
            </w:rPr>
            <w:t xml:space="preserve"> [10]</w:t>
          </w:r>
          <w:r w:rsidR="008D3E7D" w:rsidRPr="00301FA3">
            <w:rPr>
              <w:rFonts w:ascii="Arial" w:hAnsi="Arial" w:cs="Arial"/>
            </w:rPr>
            <w:fldChar w:fldCharType="end"/>
          </w:r>
        </w:sdtContent>
      </w:sdt>
    </w:p>
    <w:p w14:paraId="7CD81435" w14:textId="77777777" w:rsidR="00DB5BA0" w:rsidRPr="00301FA3" w:rsidRDefault="00DB5BA0">
      <w:pPr>
        <w:rPr>
          <w:rFonts w:ascii="Arial" w:eastAsiaTheme="majorEastAsia" w:hAnsi="Arial" w:cs="Arial"/>
          <w:color w:val="0F4761" w:themeColor="accent1" w:themeShade="BF"/>
          <w:sz w:val="40"/>
          <w:szCs w:val="40"/>
        </w:rPr>
      </w:pPr>
      <w:r w:rsidRPr="00301FA3">
        <w:rPr>
          <w:rFonts w:ascii="Arial" w:hAnsi="Arial" w:cs="Arial"/>
        </w:rPr>
        <w:br w:type="page"/>
      </w:r>
    </w:p>
    <w:p w14:paraId="7961C163" w14:textId="1BC578FB" w:rsidR="002C3248" w:rsidRPr="00301FA3" w:rsidRDefault="002C3248" w:rsidP="00DB5BA0">
      <w:pPr>
        <w:pStyle w:val="Heading1"/>
        <w:jc w:val="center"/>
        <w:rPr>
          <w:rFonts w:ascii="Arial" w:hAnsi="Arial" w:cs="Arial"/>
        </w:rPr>
      </w:pPr>
      <w:bookmarkStart w:id="4" w:name="_Toc217605425"/>
      <w:r w:rsidRPr="00301FA3">
        <w:rPr>
          <w:rFonts w:ascii="Arial" w:hAnsi="Arial" w:cs="Arial"/>
        </w:rPr>
        <w:lastRenderedPageBreak/>
        <w:t>Task 3: Migration Measures</w:t>
      </w:r>
      <w:bookmarkEnd w:id="4"/>
    </w:p>
    <w:p w14:paraId="1798788F" w14:textId="39277BE2" w:rsidR="00F37F18" w:rsidRPr="00301FA3" w:rsidRDefault="00CB7B8D" w:rsidP="00F37F18">
      <w:pPr>
        <w:rPr>
          <w:rFonts w:ascii="Arial" w:hAnsi="Arial" w:cs="Arial"/>
          <w:b/>
          <w:bCs/>
          <w:sz w:val="32"/>
          <w:szCs w:val="32"/>
        </w:rPr>
      </w:pPr>
      <w:r w:rsidRPr="00301FA3">
        <w:rPr>
          <w:rFonts w:ascii="Arial" w:hAnsi="Arial" w:cs="Arial"/>
          <w:b/>
          <w:bCs/>
          <w:sz w:val="32"/>
          <w:szCs w:val="32"/>
        </w:rPr>
        <w:t xml:space="preserve">Implementation of Policies to </w:t>
      </w:r>
      <w:r w:rsidR="00E46968" w:rsidRPr="00301FA3">
        <w:rPr>
          <w:rFonts w:ascii="Arial" w:hAnsi="Arial" w:cs="Arial"/>
          <w:b/>
          <w:bCs/>
          <w:sz w:val="32"/>
          <w:szCs w:val="32"/>
        </w:rPr>
        <w:t>Mitigate Threats:</w:t>
      </w:r>
    </w:p>
    <w:p w14:paraId="112E42BD" w14:textId="61F75C5E" w:rsidR="00EF579C" w:rsidRPr="00301FA3" w:rsidRDefault="00EF579C" w:rsidP="00EF579C">
      <w:pPr>
        <w:rPr>
          <w:rFonts w:ascii="Arial" w:hAnsi="Arial" w:cs="Arial"/>
        </w:rPr>
      </w:pPr>
      <w:r w:rsidRPr="00301FA3">
        <w:rPr>
          <w:rFonts w:ascii="Arial" w:hAnsi="Arial" w:cs="Arial"/>
        </w:rPr>
        <w:t xml:space="preserve">To directly combat the threats identified, </w:t>
      </w:r>
      <w:proofErr w:type="spellStart"/>
      <w:r w:rsidRPr="00301FA3">
        <w:rPr>
          <w:rFonts w:ascii="Arial" w:hAnsi="Arial" w:cs="Arial"/>
        </w:rPr>
        <w:t>FinSecure</w:t>
      </w:r>
      <w:proofErr w:type="spellEnd"/>
      <w:r w:rsidRPr="00301FA3">
        <w:rPr>
          <w:rFonts w:ascii="Arial" w:hAnsi="Arial" w:cs="Arial"/>
        </w:rPr>
        <w:t xml:space="preserve"> should implement a plethora of interconnected security polices </w:t>
      </w:r>
      <w:r w:rsidR="00FF588A" w:rsidRPr="00301FA3">
        <w:rPr>
          <w:rFonts w:ascii="Arial" w:hAnsi="Arial" w:cs="Arial"/>
        </w:rPr>
        <w:t xml:space="preserve">listed below </w:t>
      </w:r>
      <w:r w:rsidRPr="00301FA3">
        <w:rPr>
          <w:rFonts w:ascii="Arial" w:hAnsi="Arial" w:cs="Arial"/>
        </w:rPr>
        <w:t>as solid mitigation measures</w:t>
      </w:r>
      <w:r w:rsidR="00D13580" w:rsidRPr="00301FA3">
        <w:rPr>
          <w:rFonts w:ascii="Arial" w:hAnsi="Arial" w:cs="Arial"/>
        </w:rPr>
        <w:t xml:space="preserve"> against threats</w:t>
      </w:r>
      <w:r w:rsidRPr="00301FA3">
        <w:rPr>
          <w:rFonts w:ascii="Arial" w:hAnsi="Arial" w:cs="Arial"/>
        </w:rPr>
        <w:t xml:space="preserve">. Each policy delivers a strategic </w:t>
      </w:r>
      <w:r w:rsidR="004E68E1" w:rsidRPr="00301FA3">
        <w:rPr>
          <w:rFonts w:ascii="Arial" w:hAnsi="Arial" w:cs="Arial"/>
        </w:rPr>
        <w:t>set of instructions</w:t>
      </w:r>
      <w:r w:rsidRPr="00301FA3">
        <w:rPr>
          <w:rFonts w:ascii="Arial" w:hAnsi="Arial" w:cs="Arial"/>
        </w:rPr>
        <w:t xml:space="preserve"> into actionable tasks and control, directly confronting specific vulnerabilities within the organisation.</w:t>
      </w:r>
    </w:p>
    <w:p w14:paraId="2E8BA518" w14:textId="77777777" w:rsidR="001A7666" w:rsidRPr="00301FA3" w:rsidRDefault="001A7666" w:rsidP="001A7666">
      <w:pPr>
        <w:rPr>
          <w:rFonts w:ascii="Arial" w:hAnsi="Arial" w:cs="Arial"/>
        </w:rPr>
      </w:pPr>
    </w:p>
    <w:p w14:paraId="1C47471F" w14:textId="77777777" w:rsidR="001A7666" w:rsidRPr="00301FA3" w:rsidRDefault="001A7666" w:rsidP="001A7666">
      <w:pPr>
        <w:rPr>
          <w:rFonts w:ascii="Arial" w:hAnsi="Arial" w:cs="Arial"/>
        </w:rPr>
      </w:pPr>
    </w:p>
    <w:p w14:paraId="77033C56" w14:textId="3DE510C3" w:rsidR="001A7666" w:rsidRPr="00301FA3" w:rsidRDefault="001A7666" w:rsidP="00E04A95">
      <w:pPr>
        <w:pStyle w:val="ListParagraph"/>
        <w:numPr>
          <w:ilvl w:val="0"/>
          <w:numId w:val="4"/>
        </w:numPr>
        <w:ind w:left="364" w:hanging="350"/>
        <w:rPr>
          <w:rFonts w:ascii="Arial" w:hAnsi="Arial" w:cs="Arial"/>
        </w:rPr>
      </w:pPr>
      <w:r w:rsidRPr="00301FA3">
        <w:rPr>
          <w:rFonts w:ascii="Arial" w:hAnsi="Arial" w:cs="Arial"/>
        </w:rPr>
        <w:t>Implementation of the Acceptable Use Policy (AUP)</w:t>
      </w:r>
    </w:p>
    <w:p w14:paraId="317EA452" w14:textId="77777777" w:rsidR="005D0179" w:rsidRPr="00301FA3" w:rsidRDefault="005D0179" w:rsidP="005D0179">
      <w:pPr>
        <w:pStyle w:val="ListParagraph"/>
        <w:ind w:left="364"/>
        <w:rPr>
          <w:rFonts w:ascii="Arial" w:hAnsi="Arial" w:cs="Arial"/>
        </w:rPr>
      </w:pPr>
    </w:p>
    <w:p w14:paraId="641FAA91" w14:textId="77777777" w:rsidR="00E04A95" w:rsidRPr="00301FA3" w:rsidRDefault="00E04A95" w:rsidP="00E04A95">
      <w:pPr>
        <w:pStyle w:val="ListParagraph"/>
        <w:ind w:left="364"/>
        <w:rPr>
          <w:rFonts w:ascii="Arial" w:hAnsi="Arial" w:cs="Arial"/>
        </w:rPr>
      </w:pPr>
      <w:r w:rsidRPr="00301FA3">
        <w:rPr>
          <w:rFonts w:ascii="Arial" w:hAnsi="Arial" w:cs="Arial"/>
        </w:rPr>
        <w:t>The AUP policy will counteract threats from device proliferation and unsecure remote work from home devices, this is implemented by enforcing permissible use of FSL IT assets. The policy will involve:</w:t>
      </w:r>
    </w:p>
    <w:p w14:paraId="2DDF7277" w14:textId="77777777" w:rsidR="00E04A95" w:rsidRPr="00301FA3" w:rsidRDefault="00E04A95" w:rsidP="00E04A95">
      <w:pPr>
        <w:pStyle w:val="ListParagraph"/>
        <w:ind w:left="364"/>
        <w:rPr>
          <w:rFonts w:ascii="Arial" w:hAnsi="Arial" w:cs="Arial"/>
        </w:rPr>
      </w:pPr>
    </w:p>
    <w:p w14:paraId="70370762" w14:textId="032C5D67" w:rsidR="00E04A95" w:rsidRPr="00301FA3" w:rsidRDefault="00E04A95" w:rsidP="00E04A95">
      <w:pPr>
        <w:pStyle w:val="ListParagraph"/>
        <w:ind w:left="364"/>
        <w:rPr>
          <w:rFonts w:ascii="Arial" w:hAnsi="Arial" w:cs="Arial"/>
        </w:rPr>
      </w:pPr>
      <w:r w:rsidRPr="00301FA3">
        <w:rPr>
          <w:rFonts w:ascii="Arial" w:hAnsi="Arial" w:cs="Arial"/>
        </w:rPr>
        <w:t xml:space="preserve">Execution and </w:t>
      </w:r>
      <w:r w:rsidR="005D0179" w:rsidRPr="00301FA3">
        <w:rPr>
          <w:rFonts w:ascii="Arial" w:hAnsi="Arial" w:cs="Arial"/>
        </w:rPr>
        <w:t>acknowledgment</w:t>
      </w:r>
      <w:r w:rsidRPr="00301FA3">
        <w:rPr>
          <w:rFonts w:ascii="Arial" w:hAnsi="Arial" w:cs="Arial"/>
        </w:rPr>
        <w:t xml:space="preserve">: The policy will be enforced digitally </w:t>
      </w:r>
      <w:r w:rsidR="005D0179" w:rsidRPr="00301FA3">
        <w:rPr>
          <w:rFonts w:ascii="Arial" w:hAnsi="Arial" w:cs="Arial"/>
        </w:rPr>
        <w:t>through</w:t>
      </w:r>
      <w:r w:rsidRPr="00301FA3">
        <w:rPr>
          <w:rFonts w:ascii="Arial" w:hAnsi="Arial" w:cs="Arial"/>
        </w:rPr>
        <w:t xml:space="preserve"> the </w:t>
      </w:r>
      <w:proofErr w:type="gramStart"/>
      <w:r w:rsidRPr="00301FA3">
        <w:rPr>
          <w:rFonts w:ascii="Arial" w:hAnsi="Arial" w:cs="Arial"/>
        </w:rPr>
        <w:t>companies</w:t>
      </w:r>
      <w:proofErr w:type="gramEnd"/>
      <w:r w:rsidRPr="00301FA3">
        <w:rPr>
          <w:rFonts w:ascii="Arial" w:hAnsi="Arial" w:cs="Arial"/>
        </w:rPr>
        <w:t xml:space="preserve"> intranet as a way of creating a private network only </w:t>
      </w:r>
      <w:r w:rsidR="005D0179" w:rsidRPr="00301FA3">
        <w:rPr>
          <w:rFonts w:ascii="Arial" w:hAnsi="Arial" w:cs="Arial"/>
        </w:rPr>
        <w:t>accessible</w:t>
      </w:r>
      <w:r w:rsidRPr="00301FA3">
        <w:rPr>
          <w:rFonts w:ascii="Arial" w:hAnsi="Arial" w:cs="Arial"/>
        </w:rPr>
        <w:t xml:space="preserve"> to those within the </w:t>
      </w:r>
      <w:r w:rsidR="005D0179" w:rsidRPr="00301FA3">
        <w:rPr>
          <w:rFonts w:ascii="Arial" w:hAnsi="Arial" w:cs="Arial"/>
        </w:rPr>
        <w:t>organisation</w:t>
      </w:r>
      <w:r w:rsidRPr="00301FA3">
        <w:rPr>
          <w:rFonts w:ascii="Arial" w:hAnsi="Arial" w:cs="Arial"/>
        </w:rPr>
        <w:t xml:space="preserve">. All staff </w:t>
      </w:r>
      <w:r w:rsidR="005D0179" w:rsidRPr="00301FA3">
        <w:rPr>
          <w:rFonts w:ascii="Arial" w:hAnsi="Arial" w:cs="Arial"/>
        </w:rPr>
        <w:t>personnel</w:t>
      </w:r>
      <w:r w:rsidRPr="00301FA3">
        <w:rPr>
          <w:rFonts w:ascii="Arial" w:hAnsi="Arial" w:cs="Arial"/>
        </w:rPr>
        <w:t xml:space="preserve"> must comply and complete an </w:t>
      </w:r>
      <w:r w:rsidR="005D0179" w:rsidRPr="00301FA3">
        <w:rPr>
          <w:rFonts w:ascii="Arial" w:hAnsi="Arial" w:cs="Arial"/>
        </w:rPr>
        <w:t>acknowledgement</w:t>
      </w:r>
      <w:r w:rsidRPr="00301FA3">
        <w:rPr>
          <w:rFonts w:ascii="Arial" w:hAnsi="Arial" w:cs="Arial"/>
        </w:rPr>
        <w:t xml:space="preserve"> form prior to </w:t>
      </w:r>
      <w:r w:rsidR="005D0179" w:rsidRPr="00301FA3">
        <w:rPr>
          <w:rFonts w:ascii="Arial" w:hAnsi="Arial" w:cs="Arial"/>
        </w:rPr>
        <w:t>accessing</w:t>
      </w:r>
      <w:r w:rsidRPr="00301FA3">
        <w:rPr>
          <w:rFonts w:ascii="Arial" w:hAnsi="Arial" w:cs="Arial"/>
        </w:rPr>
        <w:t xml:space="preserve"> networks or systems, this form is </w:t>
      </w:r>
      <w:r w:rsidR="005D0179" w:rsidRPr="00301FA3">
        <w:rPr>
          <w:rFonts w:ascii="Arial" w:hAnsi="Arial" w:cs="Arial"/>
        </w:rPr>
        <w:t>non-negotiable</w:t>
      </w:r>
      <w:r w:rsidRPr="00301FA3">
        <w:rPr>
          <w:rFonts w:ascii="Arial" w:hAnsi="Arial" w:cs="Arial"/>
        </w:rPr>
        <w:t xml:space="preserve"> and </w:t>
      </w:r>
      <w:r w:rsidR="005D0179" w:rsidRPr="00301FA3">
        <w:rPr>
          <w:rFonts w:ascii="Arial" w:hAnsi="Arial" w:cs="Arial"/>
        </w:rPr>
        <w:t>establishes</w:t>
      </w:r>
      <w:r w:rsidRPr="00301FA3">
        <w:rPr>
          <w:rFonts w:ascii="Arial" w:hAnsi="Arial" w:cs="Arial"/>
        </w:rPr>
        <w:t xml:space="preserve"> clarity via </w:t>
      </w:r>
      <w:r w:rsidR="005D0179" w:rsidRPr="00301FA3">
        <w:rPr>
          <w:rFonts w:ascii="Arial" w:hAnsi="Arial" w:cs="Arial"/>
        </w:rPr>
        <w:t>contractual</w:t>
      </w:r>
      <w:r w:rsidRPr="00301FA3">
        <w:rPr>
          <w:rFonts w:ascii="Arial" w:hAnsi="Arial" w:cs="Arial"/>
        </w:rPr>
        <w:t xml:space="preserve"> agreement.</w:t>
      </w:r>
    </w:p>
    <w:p w14:paraId="0A2337BC" w14:textId="77777777" w:rsidR="00E04A95" w:rsidRPr="00301FA3" w:rsidRDefault="00E04A95" w:rsidP="00E04A95">
      <w:pPr>
        <w:pStyle w:val="ListParagraph"/>
        <w:ind w:left="364"/>
        <w:rPr>
          <w:rFonts w:ascii="Arial" w:hAnsi="Arial" w:cs="Arial"/>
        </w:rPr>
      </w:pPr>
    </w:p>
    <w:p w14:paraId="041DE7F7" w14:textId="3DF7BB2B" w:rsidR="00E04A95" w:rsidRPr="00301FA3" w:rsidRDefault="00E04A95" w:rsidP="00E04A95">
      <w:pPr>
        <w:pStyle w:val="ListParagraph"/>
        <w:ind w:left="364"/>
        <w:rPr>
          <w:rFonts w:ascii="Arial" w:hAnsi="Arial" w:cs="Arial"/>
        </w:rPr>
      </w:pPr>
      <w:r w:rsidRPr="00301FA3">
        <w:rPr>
          <w:rFonts w:ascii="Arial" w:hAnsi="Arial" w:cs="Arial"/>
        </w:rPr>
        <w:t xml:space="preserve">Enforcing the policy from a technical aspect: Network Access Control (NAC) is a solution that will be configured to enforce the AUP rule such as intercepting access to high-risk unsecure websites also </w:t>
      </w:r>
      <w:r w:rsidR="005D0179" w:rsidRPr="00301FA3">
        <w:rPr>
          <w:rFonts w:ascii="Arial" w:hAnsi="Arial" w:cs="Arial"/>
        </w:rPr>
        <w:t>known</w:t>
      </w:r>
      <w:r w:rsidRPr="00301FA3">
        <w:rPr>
          <w:rFonts w:ascii="Arial" w:hAnsi="Arial" w:cs="Arial"/>
        </w:rPr>
        <w:t xml:space="preserve"> as malware domains, and placing restrictions on personal devices connected to the </w:t>
      </w:r>
      <w:r w:rsidR="005D0179" w:rsidRPr="00301FA3">
        <w:rPr>
          <w:rFonts w:ascii="Arial" w:hAnsi="Arial" w:cs="Arial"/>
        </w:rPr>
        <w:t>corporation’s</w:t>
      </w:r>
      <w:r w:rsidRPr="00301FA3">
        <w:rPr>
          <w:rFonts w:ascii="Arial" w:hAnsi="Arial" w:cs="Arial"/>
        </w:rPr>
        <w:t xml:space="preserve"> networks.</w:t>
      </w:r>
    </w:p>
    <w:p w14:paraId="544EE70F" w14:textId="77777777" w:rsidR="0052652E" w:rsidRPr="00301FA3" w:rsidRDefault="0052652E" w:rsidP="00E04A95">
      <w:pPr>
        <w:pStyle w:val="ListParagraph"/>
        <w:ind w:left="364"/>
        <w:rPr>
          <w:rFonts w:ascii="Arial" w:hAnsi="Arial" w:cs="Arial"/>
        </w:rPr>
      </w:pPr>
    </w:p>
    <w:p w14:paraId="0A5898D8" w14:textId="34B762A1" w:rsidR="00E04A95" w:rsidRPr="00301FA3" w:rsidRDefault="0052652E" w:rsidP="00E04A95">
      <w:pPr>
        <w:pStyle w:val="ListParagraph"/>
        <w:ind w:left="364"/>
        <w:rPr>
          <w:rFonts w:ascii="Arial" w:hAnsi="Arial" w:cs="Arial"/>
        </w:rPr>
      </w:pPr>
      <w:r w:rsidRPr="00301FA3">
        <w:rPr>
          <w:rFonts w:ascii="Arial" w:hAnsi="Arial" w:cs="Arial"/>
        </w:rPr>
        <w:t xml:space="preserve">Frequent review: The AUP is on a strict schedule to be revised bi-annually to acknowledge arising technologies such as new shadow IT applications and </w:t>
      </w:r>
      <w:r w:rsidR="00D646FC" w:rsidRPr="00301FA3">
        <w:rPr>
          <w:rFonts w:ascii="Arial" w:hAnsi="Arial" w:cs="Arial"/>
        </w:rPr>
        <w:t>innovating</w:t>
      </w:r>
      <w:r w:rsidRPr="00301FA3">
        <w:rPr>
          <w:rFonts w:ascii="Arial" w:hAnsi="Arial" w:cs="Arial"/>
        </w:rPr>
        <w:t xml:space="preserve"> remote work sequences.</w:t>
      </w:r>
    </w:p>
    <w:p w14:paraId="18BEF4D2" w14:textId="77777777" w:rsidR="00E04A95" w:rsidRPr="00301FA3" w:rsidRDefault="00E04A95" w:rsidP="00E04A95">
      <w:pPr>
        <w:pStyle w:val="ListParagraph"/>
        <w:ind w:left="364"/>
        <w:rPr>
          <w:rFonts w:ascii="Arial" w:hAnsi="Arial" w:cs="Arial"/>
        </w:rPr>
      </w:pPr>
    </w:p>
    <w:p w14:paraId="2B2A97C4" w14:textId="77777777" w:rsidR="00FE7E1C" w:rsidRPr="00301FA3" w:rsidRDefault="00FE7E1C" w:rsidP="00E04A95">
      <w:pPr>
        <w:pStyle w:val="ListParagraph"/>
        <w:rPr>
          <w:rFonts w:ascii="Arial" w:hAnsi="Arial" w:cs="Arial"/>
        </w:rPr>
      </w:pPr>
    </w:p>
    <w:p w14:paraId="522EB2F7" w14:textId="77777777" w:rsidR="001A7666" w:rsidRPr="00301FA3" w:rsidRDefault="001A7666" w:rsidP="001A7666">
      <w:pPr>
        <w:rPr>
          <w:rFonts w:ascii="Arial" w:hAnsi="Arial" w:cs="Arial"/>
        </w:rPr>
      </w:pPr>
      <w:r w:rsidRPr="00301FA3">
        <w:rPr>
          <w:rFonts w:ascii="Arial" w:hAnsi="Arial" w:cs="Arial"/>
        </w:rPr>
        <w:t>2. Implementation of the Password &amp; Access Control Policy</w:t>
      </w:r>
    </w:p>
    <w:p w14:paraId="0D1BF875" w14:textId="4DE43DFC" w:rsidR="00797CD5" w:rsidRPr="00301FA3" w:rsidRDefault="00311324" w:rsidP="00797CD5">
      <w:pPr>
        <w:rPr>
          <w:rFonts w:ascii="Arial" w:hAnsi="Arial" w:cs="Arial"/>
        </w:rPr>
      </w:pPr>
      <w:r w:rsidRPr="00301FA3">
        <w:rPr>
          <w:rFonts w:ascii="Arial" w:hAnsi="Arial" w:cs="Arial"/>
        </w:rPr>
        <w:t xml:space="preserve">This method combines the use of two policies </w:t>
      </w:r>
      <w:r w:rsidR="00C225C1" w:rsidRPr="00301FA3">
        <w:rPr>
          <w:rFonts w:ascii="Arial" w:hAnsi="Arial" w:cs="Arial"/>
        </w:rPr>
        <w:t>to directly</w:t>
      </w:r>
      <w:r w:rsidRPr="00301FA3">
        <w:rPr>
          <w:rFonts w:ascii="Arial" w:hAnsi="Arial" w:cs="Arial"/>
        </w:rPr>
        <w:t xml:space="preserve"> mitigate theft of sensitive credentials and unauthorised access by rolling out the principle of least privilege and a multi layered authentication measures.</w:t>
      </w:r>
    </w:p>
    <w:p w14:paraId="61F73A4A" w14:textId="073A03A0" w:rsidR="00BB1856" w:rsidRPr="00301FA3" w:rsidRDefault="00B000DF" w:rsidP="00BB1856">
      <w:pPr>
        <w:rPr>
          <w:rFonts w:ascii="Arial" w:hAnsi="Arial" w:cs="Arial"/>
        </w:rPr>
      </w:pPr>
      <w:r w:rsidRPr="00301FA3">
        <w:rPr>
          <w:rFonts w:ascii="Arial" w:hAnsi="Arial" w:cs="Arial"/>
        </w:rPr>
        <w:t>Two</w:t>
      </w:r>
      <w:r w:rsidR="00797CD5" w:rsidRPr="00301FA3">
        <w:rPr>
          <w:rFonts w:ascii="Arial" w:hAnsi="Arial" w:cs="Arial"/>
        </w:rPr>
        <w:t>-factor authentication (</w:t>
      </w:r>
      <w:r w:rsidRPr="00301FA3">
        <w:rPr>
          <w:rFonts w:ascii="Arial" w:hAnsi="Arial" w:cs="Arial"/>
        </w:rPr>
        <w:t>2</w:t>
      </w:r>
      <w:r w:rsidR="00797CD5" w:rsidRPr="00301FA3">
        <w:rPr>
          <w:rFonts w:ascii="Arial" w:hAnsi="Arial" w:cs="Arial"/>
        </w:rPr>
        <w:t>FA) is then implemented to add an additional layer of security, requiring users to provide two or more verification factors to gain access to their accounts</w:t>
      </w:r>
      <w:r w:rsidR="00A378AF" w:rsidRPr="00301FA3">
        <w:rPr>
          <w:rFonts w:ascii="Arial" w:hAnsi="Arial" w:cs="Arial"/>
        </w:rPr>
        <w:t>,</w:t>
      </w:r>
      <w:r w:rsidR="00797CD5" w:rsidRPr="00301FA3">
        <w:rPr>
          <w:rFonts w:ascii="Arial" w:hAnsi="Arial" w:cs="Arial"/>
        </w:rPr>
        <w:t xml:space="preserve"> even if they</w:t>
      </w:r>
      <w:r w:rsidR="00FB25BF" w:rsidRPr="00301FA3">
        <w:rPr>
          <w:rFonts w:ascii="Arial" w:hAnsi="Arial" w:cs="Arial"/>
        </w:rPr>
        <w:t xml:space="preserve"> are</w:t>
      </w:r>
      <w:r w:rsidR="00797CD5" w:rsidRPr="00301FA3">
        <w:rPr>
          <w:rFonts w:ascii="Arial" w:hAnsi="Arial" w:cs="Arial"/>
        </w:rPr>
        <w:t xml:space="preserve"> off the organisation</w:t>
      </w:r>
      <w:r w:rsidR="00AD2EC0" w:rsidRPr="00301FA3">
        <w:rPr>
          <w:rFonts w:ascii="Arial" w:hAnsi="Arial" w:cs="Arial"/>
        </w:rPr>
        <w:t>’</w:t>
      </w:r>
      <w:r w:rsidR="00797CD5" w:rsidRPr="00301FA3">
        <w:rPr>
          <w:rFonts w:ascii="Arial" w:hAnsi="Arial" w:cs="Arial"/>
        </w:rPr>
        <w:t xml:space="preserve">s network </w:t>
      </w:r>
      <w:r w:rsidR="00BF4718" w:rsidRPr="00301FA3">
        <w:rPr>
          <w:rFonts w:ascii="Arial" w:hAnsi="Arial" w:cs="Arial"/>
        </w:rPr>
        <w:t xml:space="preserve">and </w:t>
      </w:r>
      <w:r w:rsidR="00797CD5" w:rsidRPr="00301FA3">
        <w:rPr>
          <w:rFonts w:ascii="Arial" w:hAnsi="Arial" w:cs="Arial"/>
        </w:rPr>
        <w:t>using a VPN or personal networks. This ensures that even if one factor is compromised, unauthorized access is still prevented.</w:t>
      </w:r>
      <w:sdt>
        <w:sdtPr>
          <w:rPr>
            <w:rFonts w:ascii="Arial" w:hAnsi="Arial" w:cs="Arial"/>
          </w:rPr>
          <w:id w:val="142398979"/>
          <w:citation/>
        </w:sdtPr>
        <w:sdtContent>
          <w:r w:rsidRPr="00301FA3">
            <w:rPr>
              <w:rFonts w:ascii="Arial" w:hAnsi="Arial" w:cs="Arial"/>
            </w:rPr>
            <w:fldChar w:fldCharType="begin"/>
          </w:r>
          <w:r w:rsidRPr="00301FA3">
            <w:rPr>
              <w:rFonts w:ascii="Arial" w:hAnsi="Arial" w:cs="Arial"/>
            </w:rPr>
            <w:instrText xml:space="preserve"> CITATION Ome18 \l 2057 </w:instrText>
          </w:r>
          <w:r w:rsidRPr="00301FA3">
            <w:rPr>
              <w:rFonts w:ascii="Arial" w:hAnsi="Arial" w:cs="Arial"/>
            </w:rPr>
            <w:fldChar w:fldCharType="separate"/>
          </w:r>
          <w:r w:rsidR="00B90144" w:rsidRPr="00301FA3">
            <w:rPr>
              <w:rFonts w:ascii="Arial" w:hAnsi="Arial" w:cs="Arial"/>
              <w:noProof/>
            </w:rPr>
            <w:t xml:space="preserve"> [11]</w:t>
          </w:r>
          <w:r w:rsidRPr="00301FA3">
            <w:rPr>
              <w:rFonts w:ascii="Arial" w:hAnsi="Arial" w:cs="Arial"/>
            </w:rPr>
            <w:fldChar w:fldCharType="end"/>
          </w:r>
        </w:sdtContent>
      </w:sdt>
    </w:p>
    <w:p w14:paraId="069242B3" w14:textId="77777777" w:rsidR="008C27C1" w:rsidRPr="00301FA3" w:rsidRDefault="008C27C1" w:rsidP="00BB1856">
      <w:pPr>
        <w:rPr>
          <w:rFonts w:ascii="Arial" w:hAnsi="Arial" w:cs="Arial"/>
        </w:rPr>
      </w:pPr>
    </w:p>
    <w:p w14:paraId="5D3ED576" w14:textId="648419F3" w:rsidR="001A7666" w:rsidRPr="00301FA3" w:rsidRDefault="00BB1856" w:rsidP="00BB1856">
      <w:pPr>
        <w:rPr>
          <w:rFonts w:ascii="Arial" w:hAnsi="Arial" w:cs="Arial"/>
        </w:rPr>
      </w:pPr>
      <w:r w:rsidRPr="00301FA3">
        <w:rPr>
          <w:rFonts w:ascii="Arial" w:hAnsi="Arial" w:cs="Arial"/>
        </w:rPr>
        <w:lastRenderedPageBreak/>
        <w:t>Automated user provisioning and deprovisioning processes are also put in place to ensure that user access is granted and revoked in a timely and accurate manner, further reducing the risk of unauthorized access. The integration of AI-powered threat detection systems is embedded within the HR departments systems, automatically revoking the rights upon termination of job roles.</w:t>
      </w:r>
    </w:p>
    <w:p w14:paraId="388ADF8D" w14:textId="77777777" w:rsidR="008C27C1" w:rsidRPr="00301FA3" w:rsidRDefault="008C27C1" w:rsidP="00BB1856">
      <w:pPr>
        <w:rPr>
          <w:rFonts w:ascii="Arial" w:hAnsi="Arial" w:cs="Arial"/>
        </w:rPr>
      </w:pPr>
    </w:p>
    <w:p w14:paraId="4E900547" w14:textId="77777777" w:rsidR="001A7666" w:rsidRPr="00301FA3" w:rsidRDefault="001A7666" w:rsidP="001A7666">
      <w:pPr>
        <w:rPr>
          <w:rFonts w:ascii="Arial" w:hAnsi="Arial" w:cs="Arial"/>
        </w:rPr>
      </w:pPr>
      <w:r w:rsidRPr="00301FA3">
        <w:rPr>
          <w:rFonts w:ascii="Arial" w:hAnsi="Arial" w:cs="Arial"/>
        </w:rPr>
        <w:t>3. Implementation of the Data Handling and Classification Policy</w:t>
      </w:r>
    </w:p>
    <w:p w14:paraId="30A0E4C1" w14:textId="4CC932C5" w:rsidR="001A7666" w:rsidRPr="00301FA3" w:rsidRDefault="006B3BE9" w:rsidP="001A7666">
      <w:pPr>
        <w:rPr>
          <w:rFonts w:ascii="Arial" w:hAnsi="Arial" w:cs="Arial"/>
        </w:rPr>
      </w:pPr>
      <w:r w:rsidRPr="00301FA3">
        <w:rPr>
          <w:rFonts w:ascii="Arial" w:hAnsi="Arial" w:cs="Arial"/>
        </w:rPr>
        <w:t>Implementation of the data handling and classification policies are also in place to mitigate the possibility of unintentional data exposure and leaks of confidential information, which is defined by the different types of data and the appropriate security controls for each, ensuring that sensitive information is protected according to its level of importance.</w:t>
      </w:r>
    </w:p>
    <w:p w14:paraId="2101E9C8" w14:textId="77777777" w:rsidR="00202AC4" w:rsidRPr="00301FA3" w:rsidRDefault="00202AC4" w:rsidP="001A7666">
      <w:pPr>
        <w:rPr>
          <w:rFonts w:ascii="Arial" w:hAnsi="Arial" w:cs="Arial"/>
        </w:rPr>
      </w:pPr>
    </w:p>
    <w:p w14:paraId="680C6939" w14:textId="07B431FE" w:rsidR="005F5A29" w:rsidRPr="00301FA3" w:rsidRDefault="005F5A29" w:rsidP="001A7666">
      <w:pPr>
        <w:rPr>
          <w:rFonts w:ascii="Arial" w:hAnsi="Arial" w:cs="Arial"/>
        </w:rPr>
      </w:pPr>
      <w:r w:rsidRPr="00301FA3">
        <w:rPr>
          <w:rFonts w:ascii="Arial" w:hAnsi="Arial" w:cs="Arial"/>
        </w:rPr>
        <w:t xml:space="preserve">Data discovery and classification processes are crucial for understanding what information exists within an organisation and how it should be managed. </w:t>
      </w:r>
      <w:r w:rsidR="00210F32" w:rsidRPr="00301FA3">
        <w:rPr>
          <w:rFonts w:ascii="Arial" w:hAnsi="Arial" w:cs="Arial"/>
        </w:rPr>
        <w:t>So,</w:t>
      </w:r>
      <w:r w:rsidRPr="00301FA3">
        <w:rPr>
          <w:rFonts w:ascii="Arial" w:hAnsi="Arial" w:cs="Arial"/>
          <w:u w:val="single"/>
        </w:rPr>
        <w:t xml:space="preserve"> </w:t>
      </w:r>
      <w:r w:rsidRPr="00301FA3">
        <w:rPr>
          <w:rFonts w:ascii="Arial" w:hAnsi="Arial" w:cs="Arial"/>
        </w:rPr>
        <w:t>understanding this aspect the software will then thoroughly scan through repositories such as servers and cloud storage platforms to identify any unstructured data that might be at risk. Additionally, it labels data in categories such as public, internal, confidential, and restricted, based on the sensitivity and regulatory requirements.</w:t>
      </w:r>
    </w:p>
    <w:p w14:paraId="5AA123C3" w14:textId="54D8D0AF" w:rsidR="001A7666" w:rsidRPr="00301FA3" w:rsidRDefault="00770C20" w:rsidP="001A7666">
      <w:pPr>
        <w:rPr>
          <w:rFonts w:ascii="Arial" w:hAnsi="Arial" w:cs="Arial"/>
        </w:rPr>
      </w:pPr>
      <w:r w:rsidRPr="00301FA3">
        <w:rPr>
          <w:rFonts w:ascii="Arial" w:hAnsi="Arial" w:cs="Arial"/>
        </w:rPr>
        <w:br/>
        <w:t>Encryption Mandates will be based on classification measures that will be technically controlled when applied correctly. All sensitive confidential data will be encrypted on both ends using AES-256 and in transit using TLS 1.3+. Email protocols will be specifically configured to intercept external transmission of unencrypted data.</w:t>
      </w:r>
      <w:sdt>
        <w:sdtPr>
          <w:rPr>
            <w:rFonts w:ascii="Arial" w:hAnsi="Arial" w:cs="Arial"/>
          </w:rPr>
          <w:id w:val="663352906"/>
          <w:citation/>
        </w:sdtPr>
        <w:sdtContent>
          <w:r w:rsidR="00DC6513" w:rsidRPr="00301FA3">
            <w:rPr>
              <w:rFonts w:ascii="Arial" w:hAnsi="Arial" w:cs="Arial"/>
            </w:rPr>
            <w:fldChar w:fldCharType="begin"/>
          </w:r>
          <w:r w:rsidR="00DC6513" w:rsidRPr="00301FA3">
            <w:rPr>
              <w:rFonts w:ascii="Arial" w:hAnsi="Arial" w:cs="Arial"/>
            </w:rPr>
            <w:instrText xml:space="preserve"> CITATION Bar19 \l 2057 </w:instrText>
          </w:r>
          <w:r w:rsidR="00DC6513" w:rsidRPr="00301FA3">
            <w:rPr>
              <w:rFonts w:ascii="Arial" w:hAnsi="Arial" w:cs="Arial"/>
            </w:rPr>
            <w:fldChar w:fldCharType="separate"/>
          </w:r>
          <w:r w:rsidR="00B90144" w:rsidRPr="00301FA3">
            <w:rPr>
              <w:rFonts w:ascii="Arial" w:hAnsi="Arial" w:cs="Arial"/>
              <w:noProof/>
            </w:rPr>
            <w:t xml:space="preserve"> [12]</w:t>
          </w:r>
          <w:r w:rsidR="00DC6513" w:rsidRPr="00301FA3">
            <w:rPr>
              <w:rFonts w:ascii="Arial" w:hAnsi="Arial" w:cs="Arial"/>
            </w:rPr>
            <w:fldChar w:fldCharType="end"/>
          </w:r>
        </w:sdtContent>
      </w:sdt>
    </w:p>
    <w:p w14:paraId="7434CCDB" w14:textId="512D83F9" w:rsidR="001A7666" w:rsidRPr="00301FA3" w:rsidRDefault="005D6E6A" w:rsidP="001A7666">
      <w:pPr>
        <w:rPr>
          <w:rFonts w:ascii="Arial" w:hAnsi="Arial" w:cs="Arial"/>
        </w:rPr>
      </w:pPr>
      <w:r w:rsidRPr="00301FA3">
        <w:rPr>
          <w:rFonts w:ascii="Arial" w:hAnsi="Arial" w:cs="Arial"/>
        </w:rPr>
        <w:t>Transparent handling workflow procedures will incorporate unique labels and handling regulations, e.g., "Do not forward," "Printing is prohibited," to act as a guide to employee behaviour and what is expected from the company.</w:t>
      </w:r>
    </w:p>
    <w:p w14:paraId="28A3D915" w14:textId="77777777" w:rsidR="001A7666" w:rsidRPr="00301FA3" w:rsidRDefault="001A7666" w:rsidP="001A7666">
      <w:pPr>
        <w:rPr>
          <w:rFonts w:ascii="Arial" w:hAnsi="Arial" w:cs="Arial"/>
        </w:rPr>
      </w:pPr>
      <w:r w:rsidRPr="00301FA3">
        <w:rPr>
          <w:rFonts w:ascii="Arial" w:hAnsi="Arial" w:cs="Arial"/>
        </w:rPr>
        <w:t>4. Implementation of the Incident Response Policy</w:t>
      </w:r>
    </w:p>
    <w:p w14:paraId="14A8E808" w14:textId="6B04D7DE" w:rsidR="001A7666" w:rsidRPr="00301FA3" w:rsidRDefault="000D5E78" w:rsidP="001A7666">
      <w:pPr>
        <w:rPr>
          <w:rFonts w:ascii="Arial" w:hAnsi="Arial" w:cs="Arial"/>
        </w:rPr>
      </w:pPr>
      <w:r w:rsidRPr="00301FA3">
        <w:rPr>
          <w:rFonts w:ascii="Arial" w:hAnsi="Arial" w:cs="Arial"/>
        </w:rPr>
        <w:t xml:space="preserve">Implementation of the incident response policy will ensure the mitigation of any attacks and have a successful impact, a formal </w:t>
      </w:r>
      <w:proofErr w:type="spellStart"/>
      <w:proofErr w:type="gramStart"/>
      <w:r w:rsidRPr="00301FA3">
        <w:rPr>
          <w:rFonts w:ascii="Arial" w:hAnsi="Arial" w:cs="Arial"/>
        </w:rPr>
        <w:t>a</w:t>
      </w:r>
      <w:proofErr w:type="spellEnd"/>
      <w:proofErr w:type="gramEnd"/>
      <w:r w:rsidRPr="00301FA3">
        <w:rPr>
          <w:rFonts w:ascii="Arial" w:hAnsi="Arial" w:cs="Arial"/>
        </w:rPr>
        <w:t xml:space="preserve"> incident response (IR) is done within a methodological framework, where it contains the threat, disarms it and moves towards the recovery and reflection process.</w:t>
      </w:r>
    </w:p>
    <w:p w14:paraId="7570082F" w14:textId="79875B2E" w:rsidR="00855B5E" w:rsidRPr="00301FA3" w:rsidRDefault="007F54B7" w:rsidP="004F6ED4">
      <w:pPr>
        <w:rPr>
          <w:rFonts w:ascii="Arial" w:hAnsi="Arial" w:cs="Arial"/>
        </w:rPr>
      </w:pPr>
      <w:r w:rsidRPr="00301FA3">
        <w:rPr>
          <w:rFonts w:ascii="Arial" w:hAnsi="Arial" w:cs="Arial"/>
        </w:rPr>
        <w:br/>
        <w:t>IR playbook development creates specific playbooks for the sole purpose of threat scenarios that have been brought to FSL awareness, such as "phishing containment" and "ransomware isolation." These create a step-by-step playbook for the IR department to follow.</w:t>
      </w:r>
    </w:p>
    <w:p w14:paraId="38D06D94" w14:textId="39488064" w:rsidR="00855B5E" w:rsidRPr="00301FA3" w:rsidRDefault="00855B5E" w:rsidP="00B90144">
      <w:pPr>
        <w:rPr>
          <w:rFonts w:ascii="Arial" w:hAnsi="Arial" w:cs="Arial"/>
        </w:rPr>
      </w:pPr>
      <w:r w:rsidRPr="00301FA3">
        <w:rPr>
          <w:rFonts w:ascii="Arial" w:hAnsi="Arial" w:cs="Arial"/>
        </w:rPr>
        <w:t xml:space="preserve">A roadmap of these mitigation measures will be rolled out in a 6-month phase, starting with the AUP and Password Policy for quick success, followed with the </w:t>
      </w:r>
      <w:r w:rsidRPr="00301FA3">
        <w:rPr>
          <w:rFonts w:ascii="Arial" w:hAnsi="Arial" w:cs="Arial"/>
        </w:rPr>
        <w:lastRenderedPageBreak/>
        <w:t xml:space="preserve">Access Control and Data Classification, then to be developed in </w:t>
      </w:r>
      <w:proofErr w:type="gramStart"/>
      <w:r w:rsidRPr="00301FA3">
        <w:rPr>
          <w:rFonts w:ascii="Arial" w:hAnsi="Arial" w:cs="Arial"/>
        </w:rPr>
        <w:t>a</w:t>
      </w:r>
      <w:proofErr w:type="gramEnd"/>
      <w:r w:rsidRPr="00301FA3">
        <w:rPr>
          <w:rFonts w:ascii="Arial" w:hAnsi="Arial" w:cs="Arial"/>
        </w:rPr>
        <w:t xml:space="preserve"> IR table-top exercise</w:t>
      </w:r>
      <w:r w:rsidR="004F6ED4" w:rsidRPr="00301FA3">
        <w:rPr>
          <w:rFonts w:ascii="Arial" w:hAnsi="Arial" w:cs="Arial"/>
        </w:rPr>
        <w:t>.</w:t>
      </w:r>
    </w:p>
    <w:p w14:paraId="254997A7" w14:textId="77777777" w:rsidR="004F6ED4" w:rsidRPr="00301FA3" w:rsidRDefault="004F6ED4" w:rsidP="00855B5E">
      <w:pPr>
        <w:pStyle w:val="Heading1"/>
        <w:jc w:val="center"/>
        <w:rPr>
          <w:rFonts w:ascii="Arial" w:hAnsi="Arial" w:cs="Arial"/>
        </w:rPr>
      </w:pPr>
    </w:p>
    <w:p w14:paraId="27EF53C2" w14:textId="1F226F62" w:rsidR="002C3248" w:rsidRPr="00301FA3" w:rsidRDefault="002C3248" w:rsidP="00855B5E">
      <w:pPr>
        <w:pStyle w:val="Heading1"/>
        <w:jc w:val="center"/>
        <w:rPr>
          <w:rFonts w:ascii="Arial" w:hAnsi="Arial" w:cs="Arial"/>
        </w:rPr>
      </w:pPr>
      <w:bookmarkStart w:id="5" w:name="_Toc217605426"/>
      <w:r w:rsidRPr="00301FA3">
        <w:rPr>
          <w:rFonts w:ascii="Arial" w:hAnsi="Arial" w:cs="Arial"/>
        </w:rPr>
        <w:t>Task 4: Monitoring &amp; Response</w:t>
      </w:r>
      <w:bookmarkEnd w:id="5"/>
    </w:p>
    <w:p w14:paraId="60A259DD" w14:textId="3EC52404" w:rsidR="004056EF" w:rsidRPr="00301FA3" w:rsidRDefault="00FF4FA5" w:rsidP="00750169">
      <w:pPr>
        <w:rPr>
          <w:rFonts w:ascii="Arial" w:hAnsi="Arial" w:cs="Arial"/>
        </w:rPr>
      </w:pPr>
      <w:r w:rsidRPr="00301FA3">
        <w:rPr>
          <w:rFonts w:ascii="Arial" w:hAnsi="Arial" w:cs="Arial"/>
          <w:b/>
          <w:bCs/>
          <w:sz w:val="32"/>
          <w:szCs w:val="32"/>
        </w:rPr>
        <w:t>Monitoring:</w:t>
      </w:r>
      <w:r w:rsidR="00004CB8" w:rsidRPr="00301FA3">
        <w:rPr>
          <w:rFonts w:ascii="Arial" w:hAnsi="Arial" w:cs="Arial"/>
          <w:b/>
          <w:bCs/>
          <w:sz w:val="32"/>
          <w:szCs w:val="32"/>
        </w:rPr>
        <w:t xml:space="preserve"> </w:t>
      </w:r>
      <w:r w:rsidR="004056EF" w:rsidRPr="00301FA3">
        <w:rPr>
          <w:rFonts w:ascii="Arial" w:hAnsi="Arial" w:cs="Arial"/>
        </w:rPr>
        <w:t xml:space="preserve">A recurring, multi-layered monitoring system is an essential requirement for early detection of any security incidents that might arise. This will be done through a security information and event management (SIEM) system, such as Microsoft Sentinel. The SIEM will effectively combine and correlate logs from all corporate IT assets, including firewalls, intrusion detection systems (IDS), servers, and endpoints. From this, it will be configured by using an automated alerting system to flag anomalies and potential signs of threats, such as multiple failed </w:t>
      </w:r>
      <w:proofErr w:type="gramStart"/>
      <w:r w:rsidR="004056EF" w:rsidRPr="00301FA3">
        <w:rPr>
          <w:rFonts w:ascii="Arial" w:hAnsi="Arial" w:cs="Arial"/>
        </w:rPr>
        <w:t>login</w:t>
      </w:r>
      <w:proofErr w:type="gramEnd"/>
      <w:r w:rsidR="004056EF" w:rsidRPr="00301FA3">
        <w:rPr>
          <w:rFonts w:ascii="Arial" w:hAnsi="Arial" w:cs="Arial"/>
        </w:rPr>
        <w:t xml:space="preserve"> attempts from an unusual location or a sudden spike in network traffic, or established connections from unknown malicious IP addresses. Or </w:t>
      </w:r>
      <w:r w:rsidR="00A70BC8" w:rsidRPr="00301FA3">
        <w:rPr>
          <w:rFonts w:ascii="Arial" w:hAnsi="Arial" w:cs="Arial"/>
        </w:rPr>
        <w:t>established</w:t>
      </w:r>
      <w:r w:rsidR="004056EF" w:rsidRPr="00301FA3">
        <w:rPr>
          <w:rFonts w:ascii="Arial" w:hAnsi="Arial" w:cs="Arial"/>
        </w:rPr>
        <w:t xml:space="preserve"> connections from unknown malicious IP addresses. Another factor is that endpoint detection detection and response (EDR) software will be utilised widespread throughout company devices to observe for malicious activity and churn out forensic capabilities. Frequent vulnerability scans and penetration tests will commence to </w:t>
      </w:r>
      <w:r w:rsidR="00A70BC8" w:rsidRPr="00301FA3">
        <w:rPr>
          <w:rFonts w:ascii="Arial" w:hAnsi="Arial" w:cs="Arial"/>
        </w:rPr>
        <w:t>pre-emptively</w:t>
      </w:r>
      <w:r w:rsidR="004056EF" w:rsidRPr="00301FA3">
        <w:rPr>
          <w:rFonts w:ascii="Arial" w:hAnsi="Arial" w:cs="Arial"/>
        </w:rPr>
        <w:t xml:space="preserve"> identify and patch weaknesses before they can have any effects.</w:t>
      </w:r>
    </w:p>
    <w:p w14:paraId="3D769F00" w14:textId="067564A2" w:rsidR="00FF4FA5" w:rsidRPr="00301FA3" w:rsidRDefault="00FF4FA5" w:rsidP="00750169">
      <w:pPr>
        <w:rPr>
          <w:rFonts w:ascii="Arial" w:hAnsi="Arial" w:cs="Arial"/>
          <w:b/>
          <w:bCs/>
          <w:sz w:val="32"/>
          <w:szCs w:val="32"/>
        </w:rPr>
      </w:pPr>
      <w:r w:rsidRPr="00301FA3">
        <w:rPr>
          <w:rFonts w:ascii="Arial" w:hAnsi="Arial" w:cs="Arial"/>
          <w:b/>
          <w:bCs/>
          <w:sz w:val="32"/>
          <w:szCs w:val="32"/>
        </w:rPr>
        <w:t>Response Plan:</w:t>
      </w:r>
    </w:p>
    <w:p w14:paraId="55638774" w14:textId="247D0311" w:rsidR="0060731D" w:rsidRPr="00301FA3" w:rsidRDefault="0060731D" w:rsidP="0060731D">
      <w:pPr>
        <w:rPr>
          <w:rFonts w:ascii="Arial" w:hAnsi="Arial" w:cs="Arial"/>
        </w:rPr>
      </w:pPr>
      <w:r w:rsidRPr="00301FA3">
        <w:rPr>
          <w:rFonts w:ascii="Arial" w:hAnsi="Arial" w:cs="Arial"/>
        </w:rPr>
        <w:t>After an incident, there's a protocol in place to implement a plan following the NIST SP 800-61 framework, allowing structured and effective reaction to the incident. A flowchart (Displayed in Appendix) will illustrate a clear six-phase process.</w:t>
      </w:r>
    </w:p>
    <w:p w14:paraId="66504A0D" w14:textId="2978F30B" w:rsidR="0060731D" w:rsidRPr="00301FA3" w:rsidRDefault="0060731D" w:rsidP="0060731D">
      <w:pPr>
        <w:rPr>
          <w:rFonts w:ascii="Arial" w:hAnsi="Arial" w:cs="Arial"/>
        </w:rPr>
      </w:pPr>
      <w:r w:rsidRPr="00301FA3">
        <w:rPr>
          <w:rFonts w:ascii="Arial" w:hAnsi="Arial" w:cs="Arial"/>
        </w:rPr>
        <w:t>Preparation: setting defined roles in the IR team and giving them the resources, combined with the tools and authority necessary, needed for them to effective response to an incident as early as possible.</w:t>
      </w:r>
      <w:sdt>
        <w:sdtPr>
          <w:rPr>
            <w:rFonts w:ascii="Arial" w:hAnsi="Arial" w:cs="Arial"/>
          </w:rPr>
          <w:id w:val="-807626843"/>
          <w:citation/>
        </w:sdtPr>
        <w:sdtContent>
          <w:r w:rsidR="008A28AE" w:rsidRPr="00301FA3">
            <w:rPr>
              <w:rFonts w:ascii="Arial" w:hAnsi="Arial" w:cs="Arial"/>
            </w:rPr>
            <w:fldChar w:fldCharType="begin"/>
          </w:r>
          <w:r w:rsidR="008A28AE" w:rsidRPr="00301FA3">
            <w:rPr>
              <w:rFonts w:ascii="Arial" w:hAnsi="Arial" w:cs="Arial"/>
            </w:rPr>
            <w:instrText xml:space="preserve"> CITATION Men18 \l 2057 </w:instrText>
          </w:r>
          <w:r w:rsidR="008A28AE" w:rsidRPr="00301FA3">
            <w:rPr>
              <w:rFonts w:ascii="Arial" w:hAnsi="Arial" w:cs="Arial"/>
            </w:rPr>
            <w:fldChar w:fldCharType="separate"/>
          </w:r>
          <w:r w:rsidR="00B90144" w:rsidRPr="00301FA3">
            <w:rPr>
              <w:rFonts w:ascii="Arial" w:hAnsi="Arial" w:cs="Arial"/>
              <w:noProof/>
            </w:rPr>
            <w:t xml:space="preserve"> [13]</w:t>
          </w:r>
          <w:r w:rsidR="008A28AE" w:rsidRPr="00301FA3">
            <w:rPr>
              <w:rFonts w:ascii="Arial" w:hAnsi="Arial" w:cs="Arial"/>
            </w:rPr>
            <w:fldChar w:fldCharType="end"/>
          </w:r>
        </w:sdtContent>
      </w:sdt>
    </w:p>
    <w:p w14:paraId="07EA1979" w14:textId="77777777" w:rsidR="009B5AFD" w:rsidRPr="00301FA3" w:rsidRDefault="009B5AFD" w:rsidP="009B5AFD">
      <w:pPr>
        <w:rPr>
          <w:rFonts w:ascii="Arial" w:hAnsi="Arial" w:cs="Arial"/>
        </w:rPr>
      </w:pPr>
      <w:r w:rsidRPr="00301FA3">
        <w:rPr>
          <w:rFonts w:ascii="Arial" w:hAnsi="Arial" w:cs="Arial"/>
        </w:rPr>
        <w:t>Identification: Utilising the SIEM/EDR alert framework to confirm security events.</w:t>
      </w:r>
    </w:p>
    <w:p w14:paraId="3ADFFB11" w14:textId="77777777" w:rsidR="009B5AFD" w:rsidRPr="00301FA3" w:rsidRDefault="009B5AFD" w:rsidP="009B5AFD">
      <w:pPr>
        <w:rPr>
          <w:rFonts w:ascii="Arial" w:hAnsi="Arial" w:cs="Arial"/>
        </w:rPr>
      </w:pPr>
    </w:p>
    <w:p w14:paraId="3DAF9949" w14:textId="77777777" w:rsidR="009B5AFD" w:rsidRPr="00301FA3" w:rsidRDefault="009B5AFD" w:rsidP="009B5AFD">
      <w:pPr>
        <w:rPr>
          <w:rFonts w:ascii="Arial" w:hAnsi="Arial" w:cs="Arial"/>
        </w:rPr>
      </w:pPr>
      <w:r w:rsidRPr="00301FA3">
        <w:rPr>
          <w:rFonts w:ascii="Arial" w:hAnsi="Arial" w:cs="Arial"/>
        </w:rPr>
        <w:t>Containment: enforcing short-term measures such as isolating an infected machine, then long-term measure implements permanent methods such as blocking the attacker's IP address, to counteract damage.</w:t>
      </w:r>
    </w:p>
    <w:p w14:paraId="2BEF2126" w14:textId="77777777" w:rsidR="00BB26EF" w:rsidRPr="00301FA3" w:rsidRDefault="00BB26EF" w:rsidP="00BB26EF">
      <w:pPr>
        <w:rPr>
          <w:rFonts w:ascii="Arial" w:hAnsi="Arial" w:cs="Arial"/>
        </w:rPr>
      </w:pPr>
    </w:p>
    <w:p w14:paraId="70695C41" w14:textId="0FD78892" w:rsidR="00477594" w:rsidRPr="00301FA3" w:rsidRDefault="00BB26EF" w:rsidP="00BB26EF">
      <w:pPr>
        <w:rPr>
          <w:rFonts w:ascii="Arial" w:hAnsi="Arial" w:cs="Arial"/>
        </w:rPr>
      </w:pPr>
      <w:r w:rsidRPr="00301FA3">
        <w:rPr>
          <w:rFonts w:ascii="Arial" w:hAnsi="Arial" w:cs="Arial"/>
        </w:rPr>
        <w:t xml:space="preserve">Recovery: restoring all the affected systems and devices from clean backups that were uploaded to the cloud and </w:t>
      </w:r>
      <w:proofErr w:type="gramStart"/>
      <w:r w:rsidRPr="00301FA3">
        <w:rPr>
          <w:rFonts w:ascii="Arial" w:hAnsi="Arial" w:cs="Arial"/>
        </w:rPr>
        <w:t>returning back</w:t>
      </w:r>
      <w:proofErr w:type="gramEnd"/>
      <w:r w:rsidRPr="00301FA3">
        <w:rPr>
          <w:rFonts w:ascii="Arial" w:hAnsi="Arial" w:cs="Arial"/>
        </w:rPr>
        <w:t xml:space="preserve"> to normal operations</w:t>
      </w:r>
    </w:p>
    <w:p w14:paraId="6116BA80" w14:textId="77777777" w:rsidR="00DB5BA0" w:rsidRPr="00301FA3" w:rsidRDefault="00DB5BA0">
      <w:pPr>
        <w:rPr>
          <w:rFonts w:ascii="Arial" w:eastAsiaTheme="majorEastAsia" w:hAnsi="Arial" w:cs="Arial"/>
          <w:color w:val="0F4761" w:themeColor="accent1" w:themeShade="BF"/>
          <w:sz w:val="40"/>
          <w:szCs w:val="40"/>
        </w:rPr>
      </w:pPr>
      <w:r w:rsidRPr="00301FA3">
        <w:rPr>
          <w:rFonts w:ascii="Arial" w:hAnsi="Arial" w:cs="Arial"/>
        </w:rPr>
        <w:br w:type="page"/>
      </w:r>
    </w:p>
    <w:p w14:paraId="0809E257" w14:textId="47F97899" w:rsidR="002C3248" w:rsidRPr="00301FA3" w:rsidRDefault="002C3248" w:rsidP="00DB5BA0">
      <w:pPr>
        <w:pStyle w:val="Heading1"/>
        <w:jc w:val="center"/>
        <w:rPr>
          <w:rFonts w:ascii="Arial" w:hAnsi="Arial" w:cs="Arial"/>
        </w:rPr>
      </w:pPr>
      <w:bookmarkStart w:id="6" w:name="_Toc217605427"/>
      <w:r w:rsidRPr="00301FA3">
        <w:rPr>
          <w:rFonts w:ascii="Arial" w:hAnsi="Arial" w:cs="Arial"/>
        </w:rPr>
        <w:lastRenderedPageBreak/>
        <w:t>Task 5: Training &amp; Awareness</w:t>
      </w:r>
      <w:bookmarkEnd w:id="6"/>
    </w:p>
    <w:p w14:paraId="5DA18D56" w14:textId="7C46BEAE" w:rsidR="008C1C16" w:rsidRPr="00301FA3" w:rsidRDefault="008C1C16" w:rsidP="008C1C16">
      <w:pPr>
        <w:rPr>
          <w:rFonts w:ascii="Arial" w:hAnsi="Arial" w:cs="Arial"/>
        </w:rPr>
      </w:pPr>
      <w:r w:rsidRPr="00301FA3">
        <w:rPr>
          <w:rFonts w:ascii="Arial" w:hAnsi="Arial" w:cs="Arial"/>
        </w:rPr>
        <w:t xml:space="preserve">In today's innovative professional workspace, cybersecurity mindfulness and comprehensive training are vital components for safeguarding corporate assets and confidential data. As a part of FSL's commitment obligations to maintain a strong security force 24/7, employees at every level within the corporate hierarchy are obligated to go through and complete a structured cybersecurity introduction course within their first month of active employment, ensuring a secure environment is maintained. FSL's exposure to social engineering and human error can only be neutralised if all active employees, regardless of their subordinate or superior roles, are thoroughly trained and educated continuously in safe cybersecurity practices. This programme is easily accessible through a secure learning management system and is tied to unique job roles to enable relevance and maximise possible impact. </w:t>
      </w:r>
      <w:r w:rsidRPr="00301FA3">
        <w:rPr>
          <w:rFonts w:ascii="Arial" w:hAnsi="Arial" w:cs="Arial"/>
        </w:rPr>
        <w:br/>
        <w:t xml:space="preserve">The program is constructed with two core elements: </w:t>
      </w:r>
      <w:r w:rsidRPr="00301FA3">
        <w:rPr>
          <w:rFonts w:ascii="Arial" w:hAnsi="Arial" w:cs="Arial"/>
          <w:u w:val="single"/>
        </w:rPr>
        <w:t xml:space="preserve">A </w:t>
      </w:r>
      <w:r w:rsidRPr="00301FA3">
        <w:rPr>
          <w:rFonts w:ascii="Arial" w:hAnsi="Arial" w:cs="Arial"/>
        </w:rPr>
        <w:t>mandatory curriculum to follow and a</w:t>
      </w:r>
      <w:r w:rsidR="00F85D08" w:rsidRPr="00301FA3">
        <w:rPr>
          <w:rFonts w:ascii="Arial" w:hAnsi="Arial" w:cs="Arial"/>
        </w:rPr>
        <w:t xml:space="preserve"> recurring targeted awareness task</w:t>
      </w:r>
      <w:r w:rsidRPr="00301FA3">
        <w:rPr>
          <w:rFonts w:ascii="Arial" w:hAnsi="Arial" w:cs="Arial"/>
        </w:rPr>
        <w:t>, both of which operate simultaneously to confirm that cybersecurity knowledge becomes a core value of FSL work culture.</w:t>
      </w:r>
    </w:p>
    <w:p w14:paraId="07F85A01" w14:textId="77777777" w:rsidR="008C1C16" w:rsidRPr="00301FA3" w:rsidRDefault="008C1C16" w:rsidP="00FF4FA5">
      <w:pPr>
        <w:rPr>
          <w:rFonts w:ascii="Arial" w:hAnsi="Arial" w:cs="Arial"/>
          <w:b/>
          <w:bCs/>
          <w:sz w:val="32"/>
          <w:szCs w:val="32"/>
        </w:rPr>
      </w:pPr>
    </w:p>
    <w:p w14:paraId="5520E05F" w14:textId="6BDC92CB" w:rsidR="00FF4FA5" w:rsidRPr="00301FA3" w:rsidRDefault="00D34E25" w:rsidP="00FF4FA5">
      <w:pPr>
        <w:rPr>
          <w:rFonts w:ascii="Arial" w:hAnsi="Arial" w:cs="Arial"/>
          <w:b/>
          <w:bCs/>
          <w:sz w:val="32"/>
          <w:szCs w:val="32"/>
        </w:rPr>
      </w:pPr>
      <w:r w:rsidRPr="00301FA3">
        <w:rPr>
          <w:rFonts w:ascii="Arial" w:hAnsi="Arial" w:cs="Arial"/>
          <w:b/>
          <w:bCs/>
          <w:sz w:val="32"/>
          <w:szCs w:val="32"/>
        </w:rPr>
        <w:t>Mandatory</w:t>
      </w:r>
      <w:r w:rsidR="000041EF" w:rsidRPr="00301FA3">
        <w:rPr>
          <w:rFonts w:ascii="Arial" w:hAnsi="Arial" w:cs="Arial"/>
          <w:b/>
          <w:bCs/>
          <w:sz w:val="32"/>
          <w:szCs w:val="32"/>
        </w:rPr>
        <w:t xml:space="preserve"> Programme:</w:t>
      </w:r>
    </w:p>
    <w:p w14:paraId="61951D6A" w14:textId="49625791" w:rsidR="009E2DC6" w:rsidRPr="00301FA3" w:rsidRDefault="000132B2" w:rsidP="00FF4FA5">
      <w:pPr>
        <w:rPr>
          <w:rFonts w:ascii="Arial" w:hAnsi="Arial" w:cs="Arial"/>
        </w:rPr>
      </w:pPr>
      <w:r w:rsidRPr="00301FA3">
        <w:rPr>
          <w:rFonts w:ascii="Arial" w:hAnsi="Arial" w:cs="Arial"/>
        </w:rPr>
        <w:t xml:space="preserve">To propose a solid foundation, all staff members are obligated to complete the cybersecurity introduction, as cited in the previous paragraph. Elaborating more on the introduction, its purpose is to deliver a secure Learning Management System unique to staff members' roles within the company. This ensures that </w:t>
      </w:r>
      <w:proofErr w:type="gramStart"/>
      <w:r w:rsidRPr="00301FA3">
        <w:rPr>
          <w:rFonts w:ascii="Arial" w:hAnsi="Arial" w:cs="Arial"/>
        </w:rPr>
        <w:t>each and every</w:t>
      </w:r>
      <w:proofErr w:type="gramEnd"/>
      <w:r w:rsidRPr="00301FA3">
        <w:rPr>
          <w:rFonts w:ascii="Arial" w:hAnsi="Arial" w:cs="Arial"/>
        </w:rPr>
        <w:t xml:space="preserve"> staff member receives the current relevant information for their specific job task. The introduction consists of several key modules:</w:t>
      </w:r>
    </w:p>
    <w:p w14:paraId="0868452E" w14:textId="69D6618C" w:rsidR="00C34A06" w:rsidRPr="00301FA3" w:rsidRDefault="00C34A06" w:rsidP="00C34A06">
      <w:pPr>
        <w:rPr>
          <w:rFonts w:ascii="Arial" w:hAnsi="Arial" w:cs="Arial"/>
        </w:rPr>
      </w:pPr>
      <w:r w:rsidRPr="00301FA3">
        <w:rPr>
          <w:rFonts w:ascii="Arial" w:hAnsi="Arial" w:cs="Arial"/>
        </w:rPr>
        <w:t>General Awareness Module: The base section of this introduction module introduces employees to core cybersecurity principles, such as CIA Triad (Confidentiality, Integrity, Availability), and points out common threats like phishing, social engineering and malware. Additionally, this module will give clarity and understanding to employees within FSL.</w:t>
      </w:r>
    </w:p>
    <w:p w14:paraId="23329961" w14:textId="77777777" w:rsidR="00C34A06" w:rsidRPr="00301FA3" w:rsidRDefault="00C34A06" w:rsidP="00C34A06">
      <w:pPr>
        <w:rPr>
          <w:rFonts w:ascii="Arial" w:hAnsi="Arial" w:cs="Arial"/>
        </w:rPr>
      </w:pPr>
    </w:p>
    <w:p w14:paraId="6BDFE456" w14:textId="36C98BFC" w:rsidR="00523A58" w:rsidRPr="00301FA3" w:rsidRDefault="00C34A06" w:rsidP="00523A58">
      <w:pPr>
        <w:rPr>
          <w:rFonts w:ascii="Arial" w:hAnsi="Arial" w:cs="Arial"/>
        </w:rPr>
      </w:pPr>
      <w:r w:rsidRPr="00301FA3">
        <w:rPr>
          <w:rFonts w:ascii="Arial" w:hAnsi="Arial" w:cs="Arial"/>
        </w:rPr>
        <w:t>Acceptable Use and Data Handling:</w:t>
      </w:r>
      <w:r w:rsidR="00966EA6" w:rsidRPr="00301FA3">
        <w:rPr>
          <w:rFonts w:ascii="Arial" w:hAnsi="Arial" w:cs="Arial"/>
        </w:rPr>
        <w:t xml:space="preserve"> </w:t>
      </w:r>
    </w:p>
    <w:p w14:paraId="19CF8BCA" w14:textId="6D0C13B1" w:rsidR="00D32CCA" w:rsidRPr="00301FA3" w:rsidRDefault="00523A58" w:rsidP="00523A58">
      <w:pPr>
        <w:rPr>
          <w:rFonts w:ascii="Arial" w:hAnsi="Arial" w:cs="Arial"/>
          <w:b/>
          <w:bCs/>
          <w:sz w:val="32"/>
          <w:szCs w:val="32"/>
        </w:rPr>
      </w:pPr>
      <w:r w:rsidRPr="00301FA3">
        <w:rPr>
          <w:rFonts w:ascii="Arial" w:hAnsi="Arial" w:cs="Arial"/>
        </w:rPr>
        <w:t xml:space="preserve">Role-Specific Deep Dives: Aligning with the general awareness module, employees are obligated to engage with the specific training relevant to their department. A brief example would </w:t>
      </w:r>
      <w:proofErr w:type="gramStart"/>
      <w:r w:rsidRPr="00301FA3">
        <w:rPr>
          <w:rFonts w:ascii="Arial" w:hAnsi="Arial" w:cs="Arial"/>
        </w:rPr>
        <w:t>be,</w:t>
      </w:r>
      <w:proofErr w:type="gramEnd"/>
      <w:r w:rsidRPr="00301FA3">
        <w:rPr>
          <w:rFonts w:ascii="Arial" w:hAnsi="Arial" w:cs="Arial"/>
        </w:rPr>
        <w:t xml:space="preserve"> staff members in the financial department will be trained on security measures regarding invoice fraud, business email compromise (BEC) and the importance of intercepting fraud transfer requests securely. In parallel the HR department will be trained on how to protect and encrypt </w:t>
      </w:r>
      <w:proofErr w:type="gramStart"/>
      <w:r w:rsidRPr="00301FA3">
        <w:rPr>
          <w:rFonts w:ascii="Arial" w:hAnsi="Arial" w:cs="Arial"/>
        </w:rPr>
        <w:t>employees</w:t>
      </w:r>
      <w:proofErr w:type="gramEnd"/>
      <w:r w:rsidRPr="00301FA3">
        <w:rPr>
          <w:rFonts w:ascii="Arial" w:hAnsi="Arial" w:cs="Arial"/>
        </w:rPr>
        <w:t xml:space="preserve"> personal identifiable credentials (PIC) and implement a secure onboarding/offboarding procedure. The full </w:t>
      </w:r>
      <w:proofErr w:type="gramStart"/>
      <w:r w:rsidRPr="00301FA3">
        <w:rPr>
          <w:rFonts w:ascii="Arial" w:hAnsi="Arial" w:cs="Arial"/>
        </w:rPr>
        <w:t>proficiency  of</w:t>
      </w:r>
      <w:proofErr w:type="gramEnd"/>
      <w:r w:rsidRPr="00301FA3">
        <w:rPr>
          <w:rFonts w:ascii="Arial" w:hAnsi="Arial" w:cs="Arial"/>
        </w:rPr>
        <w:t xml:space="preserve"> this department assists cybersecurity content to be more relevant and uniquely applicable to daily tasks within the office.</w:t>
      </w:r>
    </w:p>
    <w:p w14:paraId="0A40F271" w14:textId="3B993077" w:rsidR="00D32CCA" w:rsidRPr="00301FA3" w:rsidRDefault="005272FB" w:rsidP="00523A58">
      <w:pPr>
        <w:rPr>
          <w:rFonts w:ascii="Arial" w:hAnsi="Arial" w:cs="Arial"/>
        </w:rPr>
      </w:pPr>
      <w:r w:rsidRPr="00301FA3">
        <w:rPr>
          <w:rFonts w:ascii="Arial" w:hAnsi="Arial" w:cs="Arial"/>
        </w:rPr>
        <w:lastRenderedPageBreak/>
        <w:br/>
        <w:t>Policy Acknowledgment: After the full completion of the training modules, staff members are obligated to digitally sign an agreement confirming that they have understood and agree to comply with FSL's security policies. This measure not only acts as an acknowledgment of the security content but also makes a formal record of compliance.</w:t>
      </w:r>
      <w:sdt>
        <w:sdtPr>
          <w:rPr>
            <w:rFonts w:ascii="Arial" w:hAnsi="Arial" w:cs="Arial"/>
          </w:rPr>
          <w:id w:val="1407263489"/>
          <w:citation/>
        </w:sdtPr>
        <w:sdtContent>
          <w:r w:rsidR="00584820" w:rsidRPr="00301FA3">
            <w:rPr>
              <w:rFonts w:ascii="Arial" w:hAnsi="Arial" w:cs="Arial"/>
            </w:rPr>
            <w:fldChar w:fldCharType="begin"/>
          </w:r>
          <w:r w:rsidR="00584820" w:rsidRPr="00301FA3">
            <w:rPr>
              <w:rFonts w:ascii="Arial" w:hAnsi="Arial" w:cs="Arial"/>
            </w:rPr>
            <w:instrText xml:space="preserve"> CITATION Puh10 \l 2057 </w:instrText>
          </w:r>
          <w:r w:rsidR="00584820" w:rsidRPr="00301FA3">
            <w:rPr>
              <w:rFonts w:ascii="Arial" w:hAnsi="Arial" w:cs="Arial"/>
            </w:rPr>
            <w:fldChar w:fldCharType="separate"/>
          </w:r>
          <w:r w:rsidR="00B90144" w:rsidRPr="00301FA3">
            <w:rPr>
              <w:rFonts w:ascii="Arial" w:hAnsi="Arial" w:cs="Arial"/>
              <w:noProof/>
            </w:rPr>
            <w:t xml:space="preserve"> [14]</w:t>
          </w:r>
          <w:r w:rsidR="00584820" w:rsidRPr="00301FA3">
            <w:rPr>
              <w:rFonts w:ascii="Arial" w:hAnsi="Arial" w:cs="Arial"/>
            </w:rPr>
            <w:fldChar w:fldCharType="end"/>
          </w:r>
        </w:sdtContent>
      </w:sdt>
    </w:p>
    <w:p w14:paraId="57A904E0" w14:textId="53E2A3AB" w:rsidR="004E5C7A" w:rsidRPr="00301FA3" w:rsidRDefault="004E5C7A" w:rsidP="00523A58">
      <w:pPr>
        <w:rPr>
          <w:rFonts w:ascii="Arial" w:hAnsi="Arial" w:cs="Arial"/>
        </w:rPr>
      </w:pPr>
      <w:r w:rsidRPr="00301FA3">
        <w:rPr>
          <w:rFonts w:ascii="Arial" w:hAnsi="Arial" w:cs="Arial"/>
        </w:rPr>
        <w:br/>
        <w:t>Full completion of this mandatory program is essential and non-negotiable for all employees to be granted access to the company's IT assets and other resources. To confirm that full participation and compliance is met, FSL will set a 100% compliance goal, raising necessary awareness of arising threats, and superiors will receive an automated report tracking their department's progress.</w:t>
      </w:r>
    </w:p>
    <w:p w14:paraId="2FAABDD6" w14:textId="004608E3" w:rsidR="000041EF" w:rsidRPr="00301FA3" w:rsidRDefault="00E51105" w:rsidP="00523A58">
      <w:pPr>
        <w:rPr>
          <w:rFonts w:ascii="Arial" w:hAnsi="Arial" w:cs="Arial"/>
          <w:b/>
          <w:bCs/>
          <w:sz w:val="32"/>
          <w:szCs w:val="32"/>
        </w:rPr>
      </w:pPr>
      <w:r w:rsidRPr="00301FA3">
        <w:rPr>
          <w:rFonts w:ascii="Arial" w:hAnsi="Arial" w:cs="Arial"/>
          <w:b/>
          <w:bCs/>
          <w:sz w:val="32"/>
          <w:szCs w:val="32"/>
        </w:rPr>
        <w:t>Recurring Awareness</w:t>
      </w:r>
      <w:r w:rsidR="00D34E25" w:rsidRPr="00301FA3">
        <w:rPr>
          <w:rFonts w:ascii="Arial" w:hAnsi="Arial" w:cs="Arial"/>
          <w:b/>
          <w:bCs/>
          <w:sz w:val="32"/>
          <w:szCs w:val="32"/>
        </w:rPr>
        <w:t>:</w:t>
      </w:r>
    </w:p>
    <w:p w14:paraId="63D33417" w14:textId="2973EDD5" w:rsidR="00004542" w:rsidRPr="00301FA3" w:rsidRDefault="00C703AC" w:rsidP="00FF4FA5">
      <w:pPr>
        <w:rPr>
          <w:rFonts w:ascii="Arial" w:hAnsi="Arial" w:cs="Arial"/>
        </w:rPr>
      </w:pPr>
      <w:r w:rsidRPr="00301FA3">
        <w:rPr>
          <w:rFonts w:ascii="Arial" w:hAnsi="Arial" w:cs="Arial"/>
        </w:rPr>
        <w:t>To maintain full confidentiality and security, FSL will implement a recurring awareness campaign throughout the year. This will include several components designed to strengthen the training process, raise awareness of arising threats and encourage mindful proactive security attitude.</w:t>
      </w:r>
    </w:p>
    <w:p w14:paraId="09974072" w14:textId="3D4C8F5B" w:rsidR="00BF31CA" w:rsidRPr="00301FA3" w:rsidRDefault="00BF31CA" w:rsidP="00FF4FA5">
      <w:pPr>
        <w:rPr>
          <w:rFonts w:ascii="Arial" w:hAnsi="Arial" w:cs="Arial"/>
        </w:rPr>
      </w:pPr>
      <w:r w:rsidRPr="00301FA3">
        <w:rPr>
          <w:rFonts w:ascii="Arial" w:hAnsi="Arial" w:cs="Arial"/>
        </w:rPr>
        <w:t xml:space="preserve">Simulated phishing Campaigns: Every quarter staff </w:t>
      </w:r>
      <w:proofErr w:type="gramStart"/>
      <w:r w:rsidRPr="00301FA3">
        <w:rPr>
          <w:rFonts w:ascii="Arial" w:hAnsi="Arial" w:cs="Arial"/>
        </w:rPr>
        <w:t>members</w:t>
      </w:r>
      <w:proofErr w:type="gramEnd"/>
      <w:r w:rsidRPr="00301FA3">
        <w:rPr>
          <w:rFonts w:ascii="Arial" w:hAnsi="Arial" w:cs="Arial"/>
        </w:rPr>
        <w:t xml:space="preserve"> will receive a simulated phishing attack in their inbox to test their awareness. These simulations are constructed to mimic the most recent tactics used by cybercriminals, such as impersonating CEO emails or phishing attack disguised as HR representative updates. Staff members who fail the simulation by clicking the fraudulent links will automatically be enrolled into a short module revising the contents again. These exercises will be track by every department within the organisation and the output results will be used as data to identify vulnerable areas the need additional resources. Most importantly these simulations are constructed as </w:t>
      </w:r>
      <w:proofErr w:type="gramStart"/>
      <w:r w:rsidRPr="00301FA3">
        <w:rPr>
          <w:rFonts w:ascii="Arial" w:hAnsi="Arial" w:cs="Arial"/>
        </w:rPr>
        <w:t>an</w:t>
      </w:r>
      <w:proofErr w:type="gramEnd"/>
      <w:r w:rsidRPr="00301FA3">
        <w:rPr>
          <w:rFonts w:ascii="Arial" w:hAnsi="Arial" w:cs="Arial"/>
        </w:rPr>
        <w:t xml:space="preserve"> learning opportunity, without disciplinary measures to those individuals who unfortunately fail the exercise.</w:t>
      </w:r>
      <w:sdt>
        <w:sdtPr>
          <w:rPr>
            <w:rFonts w:ascii="Arial" w:hAnsi="Arial" w:cs="Arial"/>
          </w:rPr>
          <w:id w:val="-241795178"/>
          <w:citation/>
        </w:sdtPr>
        <w:sdtContent>
          <w:r w:rsidR="005C14D6" w:rsidRPr="00301FA3">
            <w:rPr>
              <w:rFonts w:ascii="Arial" w:hAnsi="Arial" w:cs="Arial"/>
            </w:rPr>
            <w:fldChar w:fldCharType="begin"/>
          </w:r>
          <w:r w:rsidR="005C14D6" w:rsidRPr="00301FA3">
            <w:rPr>
              <w:rFonts w:ascii="Arial" w:hAnsi="Arial" w:cs="Arial"/>
            </w:rPr>
            <w:instrText xml:space="preserve"> CITATION Jen17 \l 2057 </w:instrText>
          </w:r>
          <w:r w:rsidR="005C14D6" w:rsidRPr="00301FA3">
            <w:rPr>
              <w:rFonts w:ascii="Arial" w:hAnsi="Arial" w:cs="Arial"/>
            </w:rPr>
            <w:fldChar w:fldCharType="separate"/>
          </w:r>
          <w:r w:rsidR="00B90144" w:rsidRPr="00301FA3">
            <w:rPr>
              <w:rFonts w:ascii="Arial" w:hAnsi="Arial" w:cs="Arial"/>
              <w:noProof/>
            </w:rPr>
            <w:t xml:space="preserve"> [15]</w:t>
          </w:r>
          <w:r w:rsidR="005C14D6" w:rsidRPr="00301FA3">
            <w:rPr>
              <w:rFonts w:ascii="Arial" w:hAnsi="Arial" w:cs="Arial"/>
            </w:rPr>
            <w:fldChar w:fldCharType="end"/>
          </w:r>
        </w:sdtContent>
      </w:sdt>
    </w:p>
    <w:p w14:paraId="53B86D8E" w14:textId="20361021" w:rsidR="0060471D" w:rsidRPr="00301FA3" w:rsidRDefault="0060471D" w:rsidP="00FF4FA5">
      <w:pPr>
        <w:rPr>
          <w:rFonts w:ascii="Arial" w:hAnsi="Arial" w:cs="Arial"/>
        </w:rPr>
      </w:pPr>
      <w:r w:rsidRPr="00301FA3">
        <w:rPr>
          <w:rFonts w:ascii="Arial" w:hAnsi="Arial" w:cs="Arial"/>
        </w:rPr>
        <w:t>Monthly Security Bulletins: To maintain a constant flow of useful cybersecurity information, FSL will compose and send out monthly newsletters that go over specific topics to raise awareness such as "Identifying Smishing", "Safe Remote Work Tips" or any recent cybersecurity threats that are uniquely relevant to the specific department like finance or HR. These bulletins also act as a reminder of core polices are protocols.</w:t>
      </w:r>
    </w:p>
    <w:p w14:paraId="066F51F5" w14:textId="0AC46A5D" w:rsidR="00BB11F3" w:rsidRPr="00301FA3" w:rsidRDefault="00B550BB" w:rsidP="00FF4FA5">
      <w:pPr>
        <w:rPr>
          <w:rFonts w:ascii="Arial" w:hAnsi="Arial" w:cs="Arial"/>
        </w:rPr>
      </w:pPr>
      <w:r w:rsidRPr="00301FA3">
        <w:rPr>
          <w:rFonts w:ascii="Arial" w:hAnsi="Arial" w:cs="Arial"/>
        </w:rPr>
        <w:t xml:space="preserve">Annual Refresher &amp; Updated Training: Employees will be obligated to complete a 30-minute </w:t>
      </w:r>
      <w:r w:rsidR="00C4389A" w:rsidRPr="00301FA3">
        <w:rPr>
          <w:rFonts w:ascii="Arial" w:hAnsi="Arial" w:cs="Arial"/>
        </w:rPr>
        <w:t>revise</w:t>
      </w:r>
      <w:r w:rsidR="00D05AC2" w:rsidRPr="00301FA3">
        <w:rPr>
          <w:rFonts w:ascii="Arial" w:hAnsi="Arial" w:cs="Arial"/>
        </w:rPr>
        <w:t>d</w:t>
      </w:r>
      <w:r w:rsidRPr="00301FA3">
        <w:rPr>
          <w:rFonts w:ascii="Arial" w:hAnsi="Arial" w:cs="Arial"/>
        </w:rPr>
        <w:t xml:space="preserve"> training session every work year. The course will be constantly updated on new emerging threats, review any documented or undocumented security changes to polices and strengthen key cybersecurity principles. The training curriculum will be updated every working year, ensuring that staff members are well informed of the latest risks and threats within the cybersecurity field.</w:t>
      </w:r>
    </w:p>
    <w:p w14:paraId="369F3E31" w14:textId="53E40751" w:rsidR="007A3928" w:rsidRPr="00301FA3" w:rsidRDefault="007A3928" w:rsidP="00FF4FA5">
      <w:pPr>
        <w:rPr>
          <w:rFonts w:ascii="Arial" w:hAnsi="Arial" w:cs="Arial"/>
        </w:rPr>
      </w:pPr>
      <w:r w:rsidRPr="00301FA3">
        <w:rPr>
          <w:rFonts w:ascii="Arial" w:hAnsi="Arial" w:cs="Arial"/>
        </w:rPr>
        <w:t xml:space="preserve">Security Champion Network: To further propagate a secure culture of security, FSL will deliver a security champion network within each respected department. </w:t>
      </w:r>
      <w:r w:rsidRPr="00301FA3">
        <w:rPr>
          <w:rFonts w:ascii="Arial" w:hAnsi="Arial" w:cs="Arial"/>
        </w:rPr>
        <w:lastRenderedPageBreak/>
        <w:t>Volunteers from each department will undergo further additional training upon request and act as an advisor, assisting their colleagues in retaining information about the best security practices. These security champions will also provide important, constructive feedback to the security department regarding the effectiveness of the awareness program, confirmin</w:t>
      </w:r>
      <w:r w:rsidRPr="00301FA3">
        <w:rPr>
          <w:rFonts w:ascii="Arial" w:hAnsi="Arial" w:cs="Arial"/>
          <w:u w:val="single"/>
        </w:rPr>
        <w:t>g th</w:t>
      </w:r>
      <w:r w:rsidRPr="00301FA3">
        <w:rPr>
          <w:rFonts w:ascii="Arial" w:hAnsi="Arial" w:cs="Arial"/>
        </w:rPr>
        <w:t xml:space="preserve">e </w:t>
      </w:r>
      <w:r w:rsidRPr="00301FA3">
        <w:rPr>
          <w:rFonts w:ascii="Arial" w:hAnsi="Arial" w:cs="Arial"/>
          <w:u w:val="single"/>
        </w:rPr>
        <w:t xml:space="preserve">that </w:t>
      </w:r>
      <w:r w:rsidRPr="00301FA3">
        <w:rPr>
          <w:rFonts w:ascii="Arial" w:hAnsi="Arial" w:cs="Arial"/>
        </w:rPr>
        <w:t>training stays relevant and practically applicable.</w:t>
      </w:r>
    </w:p>
    <w:p w14:paraId="0B2976B9" w14:textId="77777777" w:rsidR="00A12B59" w:rsidRPr="00301FA3" w:rsidRDefault="00004542">
      <w:pPr>
        <w:rPr>
          <w:rFonts w:ascii="Arial" w:hAnsi="Arial" w:cs="Arial"/>
          <w:b/>
          <w:bCs/>
          <w:sz w:val="32"/>
          <w:szCs w:val="32"/>
        </w:rPr>
      </w:pPr>
      <w:r w:rsidRPr="00301FA3">
        <w:rPr>
          <w:rFonts w:ascii="Arial" w:hAnsi="Arial" w:cs="Arial"/>
          <w:b/>
          <w:bCs/>
          <w:sz w:val="32"/>
          <w:szCs w:val="32"/>
        </w:rPr>
        <w:t>Evaluation &amp; Reinforcement</w:t>
      </w:r>
      <w:r w:rsidR="00A8340D" w:rsidRPr="00301FA3">
        <w:rPr>
          <w:rFonts w:ascii="Arial" w:hAnsi="Arial" w:cs="Arial"/>
          <w:b/>
          <w:bCs/>
          <w:sz w:val="32"/>
          <w:szCs w:val="32"/>
        </w:rPr>
        <w:t>:</w:t>
      </w:r>
      <w:bookmarkStart w:id="7" w:name="_Toc162914174"/>
    </w:p>
    <w:p w14:paraId="5D34CBAC" w14:textId="373D6BB6" w:rsidR="00A12B59" w:rsidRPr="00301FA3" w:rsidRDefault="00A12B59" w:rsidP="00A12B59">
      <w:pPr>
        <w:rPr>
          <w:rFonts w:ascii="Arial" w:hAnsi="Arial" w:cs="Arial"/>
          <w:color w:val="000000" w:themeColor="text1"/>
        </w:rPr>
      </w:pPr>
      <w:r w:rsidRPr="00301FA3">
        <w:rPr>
          <w:rFonts w:ascii="Arial" w:hAnsi="Arial" w:cs="Arial"/>
          <w:color w:val="000000" w:themeColor="text1"/>
        </w:rPr>
        <w:t xml:space="preserve">The overall success of the training and awareness program is </w:t>
      </w:r>
      <w:r w:rsidR="00383ECA" w:rsidRPr="00301FA3">
        <w:rPr>
          <w:rFonts w:ascii="Arial" w:hAnsi="Arial" w:cs="Arial"/>
          <w:color w:val="000000" w:themeColor="text1"/>
        </w:rPr>
        <w:t>dependent</w:t>
      </w:r>
      <w:r w:rsidRPr="00301FA3">
        <w:rPr>
          <w:rFonts w:ascii="Arial" w:hAnsi="Arial" w:cs="Arial"/>
          <w:color w:val="000000" w:themeColor="text1"/>
        </w:rPr>
        <w:t xml:space="preserve"> on the continuously evaluation of a variety of different Key Performance Indicators (KPIs):</w:t>
      </w:r>
    </w:p>
    <w:p w14:paraId="4D7660F9" w14:textId="77777777" w:rsidR="00A12B59" w:rsidRPr="00301FA3" w:rsidRDefault="00A12B59" w:rsidP="00A12B59">
      <w:pPr>
        <w:rPr>
          <w:rFonts w:ascii="Arial" w:hAnsi="Arial" w:cs="Arial"/>
          <w:color w:val="000000" w:themeColor="text1"/>
        </w:rPr>
      </w:pPr>
    </w:p>
    <w:p w14:paraId="517301FA" w14:textId="77777777" w:rsidR="00A12B59" w:rsidRPr="00301FA3" w:rsidRDefault="00A12B59" w:rsidP="00A12B59">
      <w:pPr>
        <w:rPr>
          <w:rFonts w:ascii="Arial" w:hAnsi="Arial" w:cs="Arial"/>
          <w:color w:val="000000" w:themeColor="text1"/>
        </w:rPr>
      </w:pPr>
      <w:r w:rsidRPr="00301FA3">
        <w:rPr>
          <w:rFonts w:ascii="Arial" w:hAnsi="Arial" w:cs="Arial"/>
          <w:color w:val="000000" w:themeColor="text1"/>
        </w:rPr>
        <w:t>The click through rate of Phishing simulations (with a goal of _&lt;5%)</w:t>
      </w:r>
    </w:p>
    <w:p w14:paraId="441FC5A3" w14:textId="77777777" w:rsidR="00A12B59" w:rsidRPr="00301FA3" w:rsidRDefault="00A12B59" w:rsidP="00A12B59">
      <w:pPr>
        <w:rPr>
          <w:rFonts w:ascii="Arial" w:hAnsi="Arial" w:cs="Arial"/>
          <w:color w:val="000000" w:themeColor="text1"/>
        </w:rPr>
      </w:pPr>
    </w:p>
    <w:p w14:paraId="3357BB1F" w14:textId="77777777" w:rsidR="00CF20D0" w:rsidRPr="00301FA3" w:rsidRDefault="00A12B59" w:rsidP="00A12B59">
      <w:pPr>
        <w:rPr>
          <w:rFonts w:ascii="Arial" w:hAnsi="Arial" w:cs="Arial"/>
          <w:color w:val="000000" w:themeColor="text1"/>
        </w:rPr>
      </w:pPr>
      <w:r w:rsidRPr="00301FA3">
        <w:rPr>
          <w:rFonts w:ascii="Arial" w:hAnsi="Arial" w:cs="Arial"/>
          <w:color w:val="000000" w:themeColor="text1"/>
        </w:rPr>
        <w:t>Completion rate of training (with a goal of 100% compliance)</w:t>
      </w:r>
    </w:p>
    <w:p w14:paraId="302FC589" w14:textId="77777777" w:rsidR="00CF20D0" w:rsidRPr="00301FA3" w:rsidRDefault="00CF20D0" w:rsidP="00CF20D0">
      <w:pPr>
        <w:rPr>
          <w:rFonts w:ascii="Arial" w:hAnsi="Arial" w:cs="Arial"/>
          <w:color w:val="000000" w:themeColor="text1"/>
        </w:rPr>
      </w:pPr>
      <w:r w:rsidRPr="00301FA3">
        <w:rPr>
          <w:rFonts w:ascii="Arial" w:hAnsi="Arial" w:cs="Arial"/>
          <w:color w:val="000000" w:themeColor="text1"/>
        </w:rPr>
        <w:t>Frequent employee feedback surveys to understand engagement and effectiveness.</w:t>
      </w:r>
    </w:p>
    <w:p w14:paraId="33B9F8FB" w14:textId="77777777" w:rsidR="00CF20D0" w:rsidRPr="00301FA3" w:rsidRDefault="00CF20D0" w:rsidP="00CF20D0">
      <w:pPr>
        <w:rPr>
          <w:rFonts w:ascii="Arial" w:hAnsi="Arial" w:cs="Arial"/>
          <w:color w:val="000000" w:themeColor="text1"/>
        </w:rPr>
      </w:pPr>
    </w:p>
    <w:p w14:paraId="570889CD" w14:textId="6D98F55E" w:rsidR="00E10BA4" w:rsidRPr="00301FA3" w:rsidRDefault="00CF20D0" w:rsidP="00CF20D0">
      <w:pPr>
        <w:rPr>
          <w:rFonts w:ascii="Arial" w:hAnsi="Arial" w:cs="Arial"/>
          <w:color w:val="000000" w:themeColor="text1"/>
        </w:rPr>
      </w:pPr>
      <w:r w:rsidRPr="00301FA3">
        <w:rPr>
          <w:rFonts w:ascii="Arial" w:hAnsi="Arial" w:cs="Arial"/>
          <w:color w:val="000000" w:themeColor="text1"/>
        </w:rPr>
        <w:t xml:space="preserve">Strong reinforcement will play a positive role in encouraging staff members. Department teams with the highest performance in phishing simulations or the highest training completion rates shall be recognised throughout the </w:t>
      </w:r>
      <w:r w:rsidR="00A52CF5" w:rsidRPr="00301FA3">
        <w:rPr>
          <w:rFonts w:ascii="Arial" w:hAnsi="Arial" w:cs="Arial"/>
          <w:color w:val="000000" w:themeColor="text1"/>
        </w:rPr>
        <w:t>company’s</w:t>
      </w:r>
      <w:r w:rsidRPr="00301FA3">
        <w:rPr>
          <w:rFonts w:ascii="Arial" w:hAnsi="Arial" w:cs="Arial"/>
          <w:color w:val="000000" w:themeColor="text1"/>
        </w:rPr>
        <w:t xml:space="preserve"> communication.</w:t>
      </w:r>
    </w:p>
    <w:p w14:paraId="68EB6F74" w14:textId="07DB8055" w:rsidR="00E35153" w:rsidRPr="00301FA3" w:rsidRDefault="00E35153" w:rsidP="00CF20D0">
      <w:pPr>
        <w:rPr>
          <w:rFonts w:ascii="Arial" w:hAnsi="Arial" w:cs="Arial"/>
        </w:rPr>
      </w:pPr>
      <w:r w:rsidRPr="00301FA3">
        <w:rPr>
          <w:rFonts w:ascii="Arial" w:hAnsi="Arial" w:cs="Arial"/>
        </w:rPr>
        <w:t>Ultimately, the constructed comprehensive training and awareness program is structured to transform employees from being in a place of vulnerability within FSL's security field to being in a position of being well informed and proficient. With adequate training, frequent reinforcement and active engagement, FSL will impose a security-aware culture that encourages staff members to conceal and protect confidential information and lower risks effectively.</w:t>
      </w:r>
    </w:p>
    <w:p w14:paraId="3AB6717B" w14:textId="77777777" w:rsidR="00A52CF5" w:rsidRPr="00301FA3" w:rsidRDefault="00A52CF5">
      <w:pPr>
        <w:rPr>
          <w:rFonts w:ascii="Arial" w:eastAsiaTheme="majorEastAsia" w:hAnsi="Arial" w:cs="Arial"/>
          <w:color w:val="0F4761" w:themeColor="accent1" w:themeShade="BF"/>
          <w:sz w:val="40"/>
          <w:szCs w:val="40"/>
        </w:rPr>
      </w:pPr>
      <w:r w:rsidRPr="00301FA3">
        <w:rPr>
          <w:rFonts w:ascii="Arial" w:hAnsi="Arial" w:cs="Arial"/>
        </w:rPr>
        <w:br w:type="page"/>
      </w:r>
    </w:p>
    <w:p w14:paraId="7D9B714F" w14:textId="200A0033" w:rsidR="0085418F" w:rsidRPr="00301FA3" w:rsidRDefault="0085418F" w:rsidP="009D1EB8">
      <w:pPr>
        <w:pStyle w:val="Heading1"/>
        <w:jc w:val="center"/>
        <w:rPr>
          <w:rFonts w:ascii="Arial" w:hAnsi="Arial" w:cs="Arial"/>
        </w:rPr>
      </w:pPr>
      <w:bookmarkStart w:id="8" w:name="_Toc217605428"/>
      <w:r w:rsidRPr="00301FA3">
        <w:rPr>
          <w:rFonts w:ascii="Arial" w:hAnsi="Arial" w:cs="Arial"/>
        </w:rPr>
        <w:lastRenderedPageBreak/>
        <w:t>Conclusion</w:t>
      </w:r>
      <w:bookmarkEnd w:id="7"/>
      <w:bookmarkEnd w:id="8"/>
    </w:p>
    <w:p w14:paraId="1D00C782" w14:textId="77777777" w:rsidR="002957EA" w:rsidRPr="00301FA3" w:rsidRDefault="002957EA" w:rsidP="002957EA">
      <w:pPr>
        <w:pStyle w:val="NormalWeb"/>
        <w:spacing w:after="0"/>
        <w:jc w:val="both"/>
        <w:rPr>
          <w:rFonts w:ascii="Arial" w:eastAsia="+mn-ea" w:hAnsi="Arial" w:cs="Arial"/>
          <w:color w:val="000000"/>
          <w:kern w:val="24"/>
        </w:rPr>
      </w:pPr>
      <w:r w:rsidRPr="00301FA3">
        <w:rPr>
          <w:rFonts w:ascii="Arial" w:eastAsia="+mn-ea" w:hAnsi="Arial" w:cs="Arial"/>
          <w:color w:val="000000"/>
          <w:kern w:val="24"/>
        </w:rPr>
        <w:t xml:space="preserve">This report has illustrated a comprehensive approach to reinforce the cybersecurity situation of </w:t>
      </w:r>
      <w:proofErr w:type="spellStart"/>
      <w:r w:rsidRPr="00301FA3">
        <w:rPr>
          <w:rFonts w:ascii="Arial" w:eastAsia="+mn-ea" w:hAnsi="Arial" w:cs="Arial"/>
          <w:color w:val="000000"/>
          <w:kern w:val="24"/>
        </w:rPr>
        <w:t>FinSecure</w:t>
      </w:r>
      <w:proofErr w:type="spellEnd"/>
      <w:r w:rsidRPr="00301FA3">
        <w:rPr>
          <w:rFonts w:ascii="Arial" w:eastAsia="+mn-ea" w:hAnsi="Arial" w:cs="Arial"/>
          <w:color w:val="000000"/>
          <w:kern w:val="24"/>
        </w:rPr>
        <w:t xml:space="preserve"> LTD is facing at the moment. Through a detailed audit of </w:t>
      </w:r>
      <w:proofErr w:type="spellStart"/>
      <w:r w:rsidRPr="00301FA3">
        <w:rPr>
          <w:rFonts w:ascii="Arial" w:eastAsia="+mn-ea" w:hAnsi="Arial" w:cs="Arial"/>
          <w:color w:val="000000"/>
          <w:kern w:val="24"/>
        </w:rPr>
        <w:t>FinSecure's</w:t>
      </w:r>
      <w:proofErr w:type="spellEnd"/>
      <w:r w:rsidRPr="00301FA3">
        <w:rPr>
          <w:rFonts w:ascii="Arial" w:eastAsia="+mn-ea" w:hAnsi="Arial" w:cs="Arial"/>
          <w:color w:val="000000"/>
          <w:kern w:val="24"/>
        </w:rPr>
        <w:t xml:space="preserve"> day-to-day operating environment, this report has displayed that cybersecurity is not only a technical issue but also a strategic business necessity.</w:t>
      </w:r>
    </w:p>
    <w:p w14:paraId="41F29580" w14:textId="77777777" w:rsidR="002957EA" w:rsidRPr="00301FA3" w:rsidRDefault="002957EA" w:rsidP="002957EA">
      <w:pPr>
        <w:pStyle w:val="NormalWeb"/>
        <w:spacing w:after="0"/>
        <w:jc w:val="both"/>
        <w:rPr>
          <w:rFonts w:ascii="Arial" w:eastAsia="+mn-ea" w:hAnsi="Arial" w:cs="Arial"/>
          <w:color w:val="000000"/>
          <w:kern w:val="24"/>
        </w:rPr>
      </w:pPr>
    </w:p>
    <w:p w14:paraId="125E3016" w14:textId="0DCDEF8D" w:rsidR="002957EA" w:rsidRPr="00301FA3" w:rsidRDefault="002957EA" w:rsidP="002957EA">
      <w:pPr>
        <w:pStyle w:val="NormalWeb"/>
        <w:spacing w:after="0"/>
        <w:jc w:val="both"/>
        <w:rPr>
          <w:rFonts w:ascii="Arial" w:eastAsia="+mn-ea" w:hAnsi="Arial" w:cs="Arial"/>
          <w:color w:val="000000"/>
          <w:kern w:val="24"/>
        </w:rPr>
      </w:pPr>
      <w:r w:rsidRPr="00301FA3">
        <w:rPr>
          <w:rFonts w:ascii="Arial" w:eastAsia="+mn-ea" w:hAnsi="Arial" w:cs="Arial"/>
          <w:color w:val="000000"/>
          <w:kern w:val="24"/>
        </w:rPr>
        <w:t xml:space="preserve">The abstract identification of both external and internal threats puts a spotlight on the vast amounts of attacks FSL faces in their day-to-day operations, including phishing, ransomware, unauthorised access, insider </w:t>
      </w:r>
      <w:r w:rsidR="00B92A4C" w:rsidRPr="00301FA3">
        <w:rPr>
          <w:rFonts w:ascii="Arial" w:eastAsia="+mn-ea" w:hAnsi="Arial" w:cs="Arial"/>
          <w:color w:val="000000"/>
          <w:kern w:val="24"/>
        </w:rPr>
        <w:t>compromissions</w:t>
      </w:r>
      <w:r w:rsidRPr="00301FA3">
        <w:rPr>
          <w:rFonts w:ascii="Arial" w:eastAsia="+mn-ea" w:hAnsi="Arial" w:cs="Arial"/>
          <w:color w:val="000000"/>
          <w:kern w:val="24"/>
        </w:rPr>
        <w:t xml:space="preserve"> and vulnerabilities introduced through remote working.</w:t>
      </w:r>
    </w:p>
    <w:p w14:paraId="426774A3" w14:textId="77777777" w:rsidR="002957EA" w:rsidRPr="00301FA3" w:rsidRDefault="002957EA" w:rsidP="002957EA">
      <w:pPr>
        <w:pStyle w:val="NormalWeb"/>
        <w:spacing w:after="0"/>
        <w:jc w:val="both"/>
        <w:rPr>
          <w:rFonts w:ascii="Arial" w:eastAsia="+mn-ea" w:hAnsi="Arial" w:cs="Arial"/>
          <w:color w:val="000000"/>
          <w:kern w:val="24"/>
        </w:rPr>
      </w:pPr>
    </w:p>
    <w:p w14:paraId="15F27758" w14:textId="77777777" w:rsidR="002957EA" w:rsidRPr="00301FA3" w:rsidRDefault="002957EA" w:rsidP="002957EA">
      <w:pPr>
        <w:pStyle w:val="NormalWeb"/>
        <w:spacing w:after="0"/>
        <w:jc w:val="both"/>
        <w:rPr>
          <w:rFonts w:ascii="Arial" w:eastAsia="+mn-ea" w:hAnsi="Arial" w:cs="Arial"/>
          <w:color w:val="000000"/>
          <w:kern w:val="24"/>
        </w:rPr>
      </w:pPr>
      <w:r w:rsidRPr="00301FA3">
        <w:rPr>
          <w:rFonts w:ascii="Arial" w:eastAsia="+mn-ea" w:hAnsi="Arial" w:cs="Arial"/>
          <w:color w:val="000000"/>
          <w:kern w:val="24"/>
        </w:rPr>
        <w:t>To acknowledge these risks, the report proposed multiple core security polices to implement aligned with the best practices of the NIST cybersecurity framework. Polices such as Acceptable Use, Password Management, Access Control, Data Classification and Incident Response were all displayed as a collective governance framework to follow and enforce as rules within the organisation.</w:t>
      </w:r>
    </w:p>
    <w:p w14:paraId="11D9348D" w14:textId="77777777" w:rsidR="002957EA" w:rsidRPr="00301FA3" w:rsidRDefault="002957EA" w:rsidP="002957EA">
      <w:pPr>
        <w:pStyle w:val="NormalWeb"/>
        <w:spacing w:after="0"/>
        <w:jc w:val="both"/>
        <w:rPr>
          <w:rFonts w:ascii="Arial" w:eastAsia="+mn-ea" w:hAnsi="Arial" w:cs="Arial"/>
          <w:color w:val="000000"/>
          <w:kern w:val="24"/>
        </w:rPr>
      </w:pPr>
    </w:p>
    <w:p w14:paraId="54C1C6EF" w14:textId="77777777" w:rsidR="002957EA" w:rsidRPr="00301FA3" w:rsidRDefault="002957EA" w:rsidP="002957EA">
      <w:pPr>
        <w:pStyle w:val="NormalWeb"/>
        <w:spacing w:after="0"/>
        <w:jc w:val="both"/>
        <w:rPr>
          <w:rFonts w:ascii="Arial" w:eastAsia="+mn-ea" w:hAnsi="Arial" w:cs="Arial"/>
          <w:color w:val="000000"/>
          <w:kern w:val="24"/>
        </w:rPr>
      </w:pPr>
      <w:r w:rsidRPr="00301FA3">
        <w:rPr>
          <w:rFonts w:ascii="Arial" w:eastAsia="+mn-ea" w:hAnsi="Arial" w:cs="Arial"/>
          <w:color w:val="000000"/>
          <w:kern w:val="24"/>
        </w:rPr>
        <w:t>The mitigation and implementation measures illustrated how these polices can be easily operational by the means of technical control such as two-factor authentication, network access control, encryption and structured incident response playbooks.</w:t>
      </w:r>
    </w:p>
    <w:p w14:paraId="28F9A421" w14:textId="77777777" w:rsidR="002957EA" w:rsidRPr="00301FA3" w:rsidRDefault="002957EA" w:rsidP="002957EA">
      <w:pPr>
        <w:pStyle w:val="NormalWeb"/>
        <w:spacing w:after="0"/>
        <w:jc w:val="both"/>
        <w:rPr>
          <w:rFonts w:ascii="Arial" w:eastAsia="+mn-ea" w:hAnsi="Arial" w:cs="Arial"/>
          <w:color w:val="000000"/>
          <w:kern w:val="24"/>
        </w:rPr>
      </w:pPr>
    </w:p>
    <w:p w14:paraId="5263B2D2" w14:textId="6E6D22DC" w:rsidR="0085418F" w:rsidRPr="00301FA3" w:rsidRDefault="002957EA" w:rsidP="002957EA">
      <w:pPr>
        <w:pStyle w:val="NormalWeb"/>
        <w:jc w:val="both"/>
        <w:rPr>
          <w:rFonts w:ascii="Arial" w:eastAsia="+mn-ea" w:hAnsi="Arial" w:cs="Arial"/>
          <w:color w:val="000000"/>
          <w:kern w:val="24"/>
        </w:rPr>
      </w:pPr>
      <w:r w:rsidRPr="00301FA3">
        <w:rPr>
          <w:rFonts w:ascii="Arial" w:eastAsia="+mn-ea" w:hAnsi="Arial" w:cs="Arial"/>
          <w:color w:val="000000"/>
          <w:kern w:val="24"/>
        </w:rPr>
        <w:t xml:space="preserve">Furthermore, the training and awareness program outlined the roles of employees as a vital defence force against threats, by implementing cybersecurity education into the onboarding process of a new hire into the company and </w:t>
      </w:r>
      <w:r w:rsidR="00B92A4C" w:rsidRPr="00301FA3">
        <w:rPr>
          <w:rFonts w:ascii="Arial" w:eastAsia="+mn-ea" w:hAnsi="Arial" w:cs="Arial"/>
          <w:color w:val="000000"/>
          <w:kern w:val="24"/>
        </w:rPr>
        <w:t>reoccurring</w:t>
      </w:r>
      <w:r w:rsidRPr="00301FA3">
        <w:rPr>
          <w:rFonts w:ascii="Arial" w:eastAsia="+mn-ea" w:hAnsi="Arial" w:cs="Arial"/>
          <w:color w:val="000000"/>
          <w:kern w:val="24"/>
        </w:rPr>
        <w:t xml:space="preserve"> awareness activities sent to inboxes. significantly reducing the possibility of human error should the threat occur again.</w:t>
      </w:r>
    </w:p>
    <w:p w14:paraId="759314E9" w14:textId="77777777" w:rsidR="009D1EB8" w:rsidRPr="00301FA3" w:rsidRDefault="009D1EB8">
      <w:pPr>
        <w:rPr>
          <w:rFonts w:ascii="Arial" w:eastAsiaTheme="majorEastAsia" w:hAnsi="Arial" w:cs="Arial"/>
          <w:b/>
          <w:bCs/>
          <w:color w:val="000000" w:themeColor="text1"/>
          <w:sz w:val="28"/>
          <w:szCs w:val="28"/>
        </w:rPr>
      </w:pPr>
      <w:bookmarkStart w:id="9" w:name="_Toc162914175"/>
      <w:r w:rsidRPr="00301FA3">
        <w:rPr>
          <w:rFonts w:ascii="Arial" w:hAnsi="Arial" w:cs="Arial"/>
          <w:b/>
          <w:bCs/>
          <w:color w:val="000000" w:themeColor="text1"/>
          <w:sz w:val="28"/>
          <w:szCs w:val="28"/>
        </w:rPr>
        <w:br w:type="page"/>
      </w:r>
    </w:p>
    <w:bookmarkEnd w:id="9" w:displacedByCustomXml="next"/>
    <w:bookmarkStart w:id="10" w:name="_Toc217605429" w:displacedByCustomXml="next"/>
    <w:sdt>
      <w:sdtPr>
        <w:rPr>
          <w:rFonts w:ascii="Arial" w:eastAsiaTheme="minorEastAsia" w:hAnsi="Arial" w:cs="Arial"/>
          <w:color w:val="auto"/>
          <w:sz w:val="24"/>
          <w:szCs w:val="24"/>
        </w:rPr>
        <w:id w:val="-1961404849"/>
        <w:docPartObj>
          <w:docPartGallery w:val="Bibliographies"/>
          <w:docPartUnique/>
        </w:docPartObj>
      </w:sdtPr>
      <w:sdtContent>
        <w:p w14:paraId="1A1A7E8E" w14:textId="702138C7" w:rsidR="009D1EB8" w:rsidRPr="00301FA3" w:rsidRDefault="009D1EB8" w:rsidP="009D1EB8">
          <w:pPr>
            <w:pStyle w:val="Heading1"/>
            <w:jc w:val="center"/>
            <w:rPr>
              <w:rFonts w:ascii="Arial" w:hAnsi="Arial" w:cs="Arial"/>
            </w:rPr>
          </w:pPr>
          <w:r w:rsidRPr="00301FA3">
            <w:rPr>
              <w:rFonts w:ascii="Arial" w:hAnsi="Arial" w:cs="Arial"/>
            </w:rPr>
            <w:t>References</w:t>
          </w:r>
          <w:bookmarkEnd w:id="10"/>
        </w:p>
        <w:sdt>
          <w:sdtPr>
            <w:rPr>
              <w:rFonts w:ascii="Arial" w:hAnsi="Arial" w:cs="Arial"/>
            </w:rPr>
            <w:id w:val="-573587230"/>
            <w:bibliography/>
          </w:sdtPr>
          <w:sdtContent>
            <w:p w14:paraId="126739AC" w14:textId="77777777" w:rsidR="00B90144" w:rsidRPr="00301FA3" w:rsidRDefault="009D1EB8">
              <w:pPr>
                <w:rPr>
                  <w:rFonts w:ascii="Arial" w:hAnsi="Arial" w:cs="Arial"/>
                  <w:noProof/>
                </w:rPr>
              </w:pPr>
              <w:r w:rsidRPr="00301FA3">
                <w:rPr>
                  <w:rFonts w:ascii="Arial" w:hAnsi="Arial" w:cs="Arial"/>
                </w:rPr>
                <w:fldChar w:fldCharType="begin"/>
              </w:r>
              <w:r w:rsidRPr="00301FA3">
                <w:rPr>
                  <w:rFonts w:ascii="Arial" w:hAnsi="Arial" w:cs="Arial"/>
                </w:rPr>
                <w:instrText xml:space="preserve"> BIBLIOGRAPHY </w:instrText>
              </w:r>
              <w:r w:rsidRPr="00301FA3">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640"/>
              </w:tblGrid>
              <w:tr w:rsidR="00B90144" w:rsidRPr="00301FA3" w14:paraId="1D225670" w14:textId="77777777">
                <w:trPr>
                  <w:divId w:val="707486319"/>
                  <w:tblCellSpacing w:w="15" w:type="dxa"/>
                </w:trPr>
                <w:tc>
                  <w:tcPr>
                    <w:tcW w:w="50" w:type="pct"/>
                    <w:hideMark/>
                  </w:tcPr>
                  <w:p w14:paraId="648A55D5" w14:textId="115F5C5E" w:rsidR="00B90144" w:rsidRPr="00301FA3" w:rsidRDefault="00B90144">
                    <w:pPr>
                      <w:pStyle w:val="Bibliography"/>
                      <w:rPr>
                        <w:rFonts w:ascii="Arial" w:hAnsi="Arial" w:cs="Arial"/>
                        <w:noProof/>
                        <w:kern w:val="0"/>
                      </w:rPr>
                    </w:pPr>
                    <w:r w:rsidRPr="00301FA3">
                      <w:rPr>
                        <w:rFonts w:ascii="Arial" w:hAnsi="Arial" w:cs="Arial"/>
                        <w:noProof/>
                      </w:rPr>
                      <w:t xml:space="preserve">[1] </w:t>
                    </w:r>
                  </w:p>
                </w:tc>
                <w:tc>
                  <w:tcPr>
                    <w:tcW w:w="0" w:type="auto"/>
                    <w:hideMark/>
                  </w:tcPr>
                  <w:p w14:paraId="2A0BAE16" w14:textId="77777777" w:rsidR="00B90144" w:rsidRPr="00301FA3" w:rsidRDefault="00B90144">
                    <w:pPr>
                      <w:pStyle w:val="Bibliography"/>
                      <w:rPr>
                        <w:rFonts w:ascii="Arial" w:hAnsi="Arial" w:cs="Arial"/>
                        <w:noProof/>
                      </w:rPr>
                    </w:pPr>
                    <w:r w:rsidRPr="00301FA3">
                      <w:rPr>
                        <w:rFonts w:ascii="Arial" w:hAnsi="Arial" w:cs="Arial"/>
                        <w:noProof/>
                      </w:rPr>
                      <w:t xml:space="preserve">A. K. Jain and B. B. Gupta, “A survey of phishing attack techniques, defence mechanisms and open research challenges,” vol. 16, p. 527–565, 2021. </w:t>
                    </w:r>
                  </w:p>
                </w:tc>
              </w:tr>
              <w:tr w:rsidR="00B90144" w:rsidRPr="00301FA3" w14:paraId="7EAFE028" w14:textId="77777777">
                <w:trPr>
                  <w:divId w:val="707486319"/>
                  <w:tblCellSpacing w:w="15" w:type="dxa"/>
                </w:trPr>
                <w:tc>
                  <w:tcPr>
                    <w:tcW w:w="50" w:type="pct"/>
                    <w:hideMark/>
                  </w:tcPr>
                  <w:p w14:paraId="495AD55D" w14:textId="77777777" w:rsidR="00B90144" w:rsidRPr="00301FA3" w:rsidRDefault="00B90144">
                    <w:pPr>
                      <w:pStyle w:val="Bibliography"/>
                      <w:rPr>
                        <w:rFonts w:ascii="Arial" w:hAnsi="Arial" w:cs="Arial"/>
                        <w:noProof/>
                      </w:rPr>
                    </w:pPr>
                    <w:r w:rsidRPr="00301FA3">
                      <w:rPr>
                        <w:rFonts w:ascii="Arial" w:hAnsi="Arial" w:cs="Arial"/>
                        <w:noProof/>
                      </w:rPr>
                      <w:t xml:space="preserve">[2] </w:t>
                    </w:r>
                  </w:p>
                </w:tc>
                <w:tc>
                  <w:tcPr>
                    <w:tcW w:w="0" w:type="auto"/>
                    <w:hideMark/>
                  </w:tcPr>
                  <w:p w14:paraId="3CB81FFC" w14:textId="77777777" w:rsidR="00B90144" w:rsidRPr="00301FA3" w:rsidRDefault="00B90144">
                    <w:pPr>
                      <w:pStyle w:val="Bibliography"/>
                      <w:rPr>
                        <w:rFonts w:ascii="Arial" w:hAnsi="Arial" w:cs="Arial"/>
                        <w:noProof/>
                      </w:rPr>
                    </w:pPr>
                    <w:r w:rsidRPr="00301FA3">
                      <w:rPr>
                        <w:rFonts w:ascii="Arial" w:hAnsi="Arial" w:cs="Arial"/>
                        <w:noProof/>
                      </w:rPr>
                      <w:t xml:space="preserve">A. Kharraz, W. Robertson, D. Balzarotti, L. Bilge and E. Kirda, “Cutting the Gordian knot: A look under the hood of ransomware attacks,” p. 279–294, 2016. </w:t>
                    </w:r>
                  </w:p>
                </w:tc>
              </w:tr>
              <w:tr w:rsidR="00B90144" w:rsidRPr="00301FA3" w14:paraId="42A0E4CC" w14:textId="77777777">
                <w:trPr>
                  <w:divId w:val="707486319"/>
                  <w:tblCellSpacing w:w="15" w:type="dxa"/>
                </w:trPr>
                <w:tc>
                  <w:tcPr>
                    <w:tcW w:w="50" w:type="pct"/>
                    <w:hideMark/>
                  </w:tcPr>
                  <w:p w14:paraId="3C376806" w14:textId="77777777" w:rsidR="00B90144" w:rsidRPr="00301FA3" w:rsidRDefault="00B90144">
                    <w:pPr>
                      <w:pStyle w:val="Bibliography"/>
                      <w:rPr>
                        <w:rFonts w:ascii="Arial" w:hAnsi="Arial" w:cs="Arial"/>
                        <w:noProof/>
                      </w:rPr>
                    </w:pPr>
                    <w:r w:rsidRPr="00301FA3">
                      <w:rPr>
                        <w:rFonts w:ascii="Arial" w:hAnsi="Arial" w:cs="Arial"/>
                        <w:noProof/>
                      </w:rPr>
                      <w:t xml:space="preserve">[3] </w:t>
                    </w:r>
                  </w:p>
                </w:tc>
                <w:tc>
                  <w:tcPr>
                    <w:tcW w:w="0" w:type="auto"/>
                    <w:hideMark/>
                  </w:tcPr>
                  <w:p w14:paraId="349E9402" w14:textId="77777777" w:rsidR="00B90144" w:rsidRPr="00301FA3" w:rsidRDefault="00B90144">
                    <w:pPr>
                      <w:pStyle w:val="Bibliography"/>
                      <w:rPr>
                        <w:rFonts w:ascii="Arial" w:hAnsi="Arial" w:cs="Arial"/>
                        <w:noProof/>
                      </w:rPr>
                    </w:pPr>
                    <w:r w:rsidRPr="00301FA3">
                      <w:rPr>
                        <w:rFonts w:ascii="Arial" w:hAnsi="Arial" w:cs="Arial"/>
                        <w:noProof/>
                      </w:rPr>
                      <w:t xml:space="preserve">P. Chen, L. Desmet and C. Huygens, “A study on advanced persistent threats,” vol. 12, p. 1–10, 2014. </w:t>
                    </w:r>
                  </w:p>
                </w:tc>
              </w:tr>
              <w:tr w:rsidR="00B90144" w:rsidRPr="00301FA3" w14:paraId="7E21F8D1" w14:textId="77777777">
                <w:trPr>
                  <w:divId w:val="707486319"/>
                  <w:tblCellSpacing w:w="15" w:type="dxa"/>
                </w:trPr>
                <w:tc>
                  <w:tcPr>
                    <w:tcW w:w="50" w:type="pct"/>
                    <w:hideMark/>
                  </w:tcPr>
                  <w:p w14:paraId="3176384F" w14:textId="77777777" w:rsidR="00B90144" w:rsidRPr="00301FA3" w:rsidRDefault="00B90144">
                    <w:pPr>
                      <w:pStyle w:val="Bibliography"/>
                      <w:rPr>
                        <w:rFonts w:ascii="Arial" w:hAnsi="Arial" w:cs="Arial"/>
                        <w:noProof/>
                      </w:rPr>
                    </w:pPr>
                    <w:r w:rsidRPr="00301FA3">
                      <w:rPr>
                        <w:rFonts w:ascii="Arial" w:hAnsi="Arial" w:cs="Arial"/>
                        <w:noProof/>
                      </w:rPr>
                      <w:t xml:space="preserve">[4] </w:t>
                    </w:r>
                  </w:p>
                </w:tc>
                <w:tc>
                  <w:tcPr>
                    <w:tcW w:w="0" w:type="auto"/>
                    <w:hideMark/>
                  </w:tcPr>
                  <w:p w14:paraId="1F5AEC25" w14:textId="77777777" w:rsidR="00B90144" w:rsidRPr="00301FA3" w:rsidRDefault="00B90144">
                    <w:pPr>
                      <w:pStyle w:val="Bibliography"/>
                      <w:rPr>
                        <w:rFonts w:ascii="Arial" w:hAnsi="Arial" w:cs="Arial"/>
                        <w:noProof/>
                      </w:rPr>
                    </w:pPr>
                    <w:r w:rsidRPr="00301FA3">
                      <w:rPr>
                        <w:rFonts w:ascii="Arial" w:hAnsi="Arial" w:cs="Arial"/>
                        <w:noProof/>
                      </w:rPr>
                      <w:t xml:space="preserve">C. Cummings, S. Misra, D. Upton and S. Sarma, “Insider threat modeling and simulation,” 2012. </w:t>
                    </w:r>
                  </w:p>
                </w:tc>
              </w:tr>
              <w:tr w:rsidR="00B90144" w:rsidRPr="00301FA3" w14:paraId="503CB454" w14:textId="77777777">
                <w:trPr>
                  <w:divId w:val="707486319"/>
                  <w:tblCellSpacing w:w="15" w:type="dxa"/>
                </w:trPr>
                <w:tc>
                  <w:tcPr>
                    <w:tcW w:w="50" w:type="pct"/>
                    <w:hideMark/>
                  </w:tcPr>
                  <w:p w14:paraId="78535EA9" w14:textId="77777777" w:rsidR="00B90144" w:rsidRPr="00301FA3" w:rsidRDefault="00B90144">
                    <w:pPr>
                      <w:pStyle w:val="Bibliography"/>
                      <w:rPr>
                        <w:rFonts w:ascii="Arial" w:hAnsi="Arial" w:cs="Arial"/>
                        <w:noProof/>
                      </w:rPr>
                    </w:pPr>
                    <w:r w:rsidRPr="00301FA3">
                      <w:rPr>
                        <w:rFonts w:ascii="Arial" w:hAnsi="Arial" w:cs="Arial"/>
                        <w:noProof/>
                      </w:rPr>
                      <w:t xml:space="preserve">[5] </w:t>
                    </w:r>
                  </w:p>
                </w:tc>
                <w:tc>
                  <w:tcPr>
                    <w:tcW w:w="0" w:type="auto"/>
                    <w:hideMark/>
                  </w:tcPr>
                  <w:p w14:paraId="31637999" w14:textId="77777777" w:rsidR="00B90144" w:rsidRPr="00301FA3" w:rsidRDefault="00B90144">
                    <w:pPr>
                      <w:pStyle w:val="Bibliography"/>
                      <w:rPr>
                        <w:rFonts w:ascii="Arial" w:hAnsi="Arial" w:cs="Arial"/>
                        <w:noProof/>
                      </w:rPr>
                    </w:pPr>
                    <w:r w:rsidRPr="00301FA3">
                      <w:rPr>
                        <w:rFonts w:ascii="Arial" w:hAnsi="Arial" w:cs="Arial"/>
                        <w:noProof/>
                      </w:rPr>
                      <w:t xml:space="preserve">P. Inglesant and M. Sasse, “The true cost of unusable password policies: Password use in the wild,” 2010. </w:t>
                    </w:r>
                  </w:p>
                </w:tc>
              </w:tr>
              <w:tr w:rsidR="00B90144" w:rsidRPr="00301FA3" w14:paraId="536373CF" w14:textId="77777777">
                <w:trPr>
                  <w:divId w:val="707486319"/>
                  <w:tblCellSpacing w:w="15" w:type="dxa"/>
                </w:trPr>
                <w:tc>
                  <w:tcPr>
                    <w:tcW w:w="50" w:type="pct"/>
                    <w:hideMark/>
                  </w:tcPr>
                  <w:p w14:paraId="43DEDAE0" w14:textId="77777777" w:rsidR="00B90144" w:rsidRPr="00301FA3" w:rsidRDefault="00B90144">
                    <w:pPr>
                      <w:pStyle w:val="Bibliography"/>
                      <w:rPr>
                        <w:rFonts w:ascii="Arial" w:hAnsi="Arial" w:cs="Arial"/>
                        <w:noProof/>
                      </w:rPr>
                    </w:pPr>
                    <w:r w:rsidRPr="00301FA3">
                      <w:rPr>
                        <w:rFonts w:ascii="Arial" w:hAnsi="Arial" w:cs="Arial"/>
                        <w:noProof/>
                      </w:rPr>
                      <w:t xml:space="preserve">[6] </w:t>
                    </w:r>
                  </w:p>
                </w:tc>
                <w:tc>
                  <w:tcPr>
                    <w:tcW w:w="0" w:type="auto"/>
                    <w:hideMark/>
                  </w:tcPr>
                  <w:p w14:paraId="577F8D7A" w14:textId="77777777" w:rsidR="00B90144" w:rsidRPr="00301FA3" w:rsidRDefault="00B90144">
                    <w:pPr>
                      <w:pStyle w:val="Bibliography"/>
                      <w:rPr>
                        <w:rFonts w:ascii="Arial" w:hAnsi="Arial" w:cs="Arial"/>
                        <w:noProof/>
                      </w:rPr>
                    </w:pPr>
                    <w:r w:rsidRPr="00301FA3">
                      <w:rPr>
                        <w:rFonts w:ascii="Arial" w:hAnsi="Arial" w:cs="Arial"/>
                        <w:noProof/>
                      </w:rPr>
                      <w:t xml:space="preserve">National Institute of Standards and Technology (NIST), “Framework for Improving Critical Infrastructure Cybersecurity,” 2018. </w:t>
                    </w:r>
                  </w:p>
                </w:tc>
              </w:tr>
              <w:tr w:rsidR="00B90144" w:rsidRPr="00301FA3" w14:paraId="62341E1C" w14:textId="77777777">
                <w:trPr>
                  <w:divId w:val="707486319"/>
                  <w:tblCellSpacing w:w="15" w:type="dxa"/>
                </w:trPr>
                <w:tc>
                  <w:tcPr>
                    <w:tcW w:w="50" w:type="pct"/>
                    <w:hideMark/>
                  </w:tcPr>
                  <w:p w14:paraId="295EBB05" w14:textId="77777777" w:rsidR="00B90144" w:rsidRPr="00301FA3" w:rsidRDefault="00B90144">
                    <w:pPr>
                      <w:pStyle w:val="Bibliography"/>
                      <w:rPr>
                        <w:rFonts w:ascii="Arial" w:hAnsi="Arial" w:cs="Arial"/>
                        <w:noProof/>
                      </w:rPr>
                    </w:pPr>
                    <w:r w:rsidRPr="00301FA3">
                      <w:rPr>
                        <w:rFonts w:ascii="Arial" w:hAnsi="Arial" w:cs="Arial"/>
                        <w:noProof/>
                      </w:rPr>
                      <w:t xml:space="preserve">[7] </w:t>
                    </w:r>
                  </w:p>
                </w:tc>
                <w:tc>
                  <w:tcPr>
                    <w:tcW w:w="0" w:type="auto"/>
                    <w:hideMark/>
                  </w:tcPr>
                  <w:p w14:paraId="32397B18" w14:textId="77777777" w:rsidR="00B90144" w:rsidRPr="00301FA3" w:rsidRDefault="00B90144">
                    <w:pPr>
                      <w:pStyle w:val="Bibliography"/>
                      <w:rPr>
                        <w:rFonts w:ascii="Arial" w:hAnsi="Arial" w:cs="Arial"/>
                        <w:noProof/>
                      </w:rPr>
                    </w:pPr>
                    <w:r w:rsidRPr="00301FA3">
                      <w:rPr>
                        <w:rFonts w:ascii="Arial" w:hAnsi="Arial" w:cs="Arial"/>
                        <w:noProof/>
                      </w:rPr>
                      <w:t xml:space="preserve">SANS Institute, “Acceptable use policy,” 2020. </w:t>
                    </w:r>
                  </w:p>
                </w:tc>
              </w:tr>
              <w:tr w:rsidR="00B90144" w:rsidRPr="00301FA3" w14:paraId="40903211" w14:textId="77777777">
                <w:trPr>
                  <w:divId w:val="707486319"/>
                  <w:tblCellSpacing w:w="15" w:type="dxa"/>
                </w:trPr>
                <w:tc>
                  <w:tcPr>
                    <w:tcW w:w="50" w:type="pct"/>
                    <w:hideMark/>
                  </w:tcPr>
                  <w:p w14:paraId="04740293" w14:textId="77777777" w:rsidR="00B90144" w:rsidRPr="00301FA3" w:rsidRDefault="00B90144">
                    <w:pPr>
                      <w:pStyle w:val="Bibliography"/>
                      <w:rPr>
                        <w:rFonts w:ascii="Arial" w:hAnsi="Arial" w:cs="Arial"/>
                        <w:noProof/>
                      </w:rPr>
                    </w:pPr>
                    <w:r w:rsidRPr="00301FA3">
                      <w:rPr>
                        <w:rFonts w:ascii="Arial" w:hAnsi="Arial" w:cs="Arial"/>
                        <w:noProof/>
                      </w:rPr>
                      <w:t xml:space="preserve">[8] </w:t>
                    </w:r>
                  </w:p>
                </w:tc>
                <w:tc>
                  <w:tcPr>
                    <w:tcW w:w="0" w:type="auto"/>
                    <w:hideMark/>
                  </w:tcPr>
                  <w:p w14:paraId="7193722E" w14:textId="77777777" w:rsidR="00B90144" w:rsidRPr="00301FA3" w:rsidRDefault="00B90144">
                    <w:pPr>
                      <w:pStyle w:val="Bibliography"/>
                      <w:rPr>
                        <w:rFonts w:ascii="Arial" w:hAnsi="Arial" w:cs="Arial"/>
                        <w:noProof/>
                      </w:rPr>
                    </w:pPr>
                    <w:r w:rsidRPr="00301FA3">
                      <w:rPr>
                        <w:rFonts w:ascii="Arial" w:hAnsi="Arial" w:cs="Arial"/>
                        <w:noProof/>
                      </w:rPr>
                      <w:t xml:space="preserve">R. Shay et al, “Can long passwords be secure and usable?,” p. 2927–2938, 2016. </w:t>
                    </w:r>
                  </w:p>
                </w:tc>
              </w:tr>
              <w:tr w:rsidR="00B90144" w:rsidRPr="00301FA3" w14:paraId="404BCC09" w14:textId="77777777">
                <w:trPr>
                  <w:divId w:val="707486319"/>
                  <w:tblCellSpacing w:w="15" w:type="dxa"/>
                </w:trPr>
                <w:tc>
                  <w:tcPr>
                    <w:tcW w:w="50" w:type="pct"/>
                    <w:hideMark/>
                  </w:tcPr>
                  <w:p w14:paraId="76DD8A9E" w14:textId="77777777" w:rsidR="00B90144" w:rsidRPr="00301FA3" w:rsidRDefault="00B90144">
                    <w:pPr>
                      <w:pStyle w:val="Bibliography"/>
                      <w:rPr>
                        <w:rFonts w:ascii="Arial" w:hAnsi="Arial" w:cs="Arial"/>
                        <w:noProof/>
                      </w:rPr>
                    </w:pPr>
                    <w:r w:rsidRPr="00301FA3">
                      <w:rPr>
                        <w:rFonts w:ascii="Arial" w:hAnsi="Arial" w:cs="Arial"/>
                        <w:noProof/>
                      </w:rPr>
                      <w:t xml:space="preserve">[9] </w:t>
                    </w:r>
                  </w:p>
                </w:tc>
                <w:tc>
                  <w:tcPr>
                    <w:tcW w:w="0" w:type="auto"/>
                    <w:hideMark/>
                  </w:tcPr>
                  <w:p w14:paraId="2C1BC470" w14:textId="77777777" w:rsidR="00B90144" w:rsidRPr="00301FA3" w:rsidRDefault="00B90144">
                    <w:pPr>
                      <w:pStyle w:val="Bibliography"/>
                      <w:rPr>
                        <w:rFonts w:ascii="Arial" w:hAnsi="Arial" w:cs="Arial"/>
                        <w:noProof/>
                      </w:rPr>
                    </w:pPr>
                    <w:r w:rsidRPr="00301FA3">
                      <w:rPr>
                        <w:rFonts w:ascii="Arial" w:hAnsi="Arial" w:cs="Arial"/>
                        <w:noProof/>
                      </w:rPr>
                      <w:t xml:space="preserve">S. Khan, R. Albarghothi and A. Ghorbani, “Data classification: A systematic review and future research directions,” vol. 130, p. 106463, 2021. </w:t>
                    </w:r>
                  </w:p>
                </w:tc>
              </w:tr>
              <w:tr w:rsidR="00B90144" w:rsidRPr="00301FA3" w14:paraId="2ECB07DA" w14:textId="77777777">
                <w:trPr>
                  <w:divId w:val="707486319"/>
                  <w:tblCellSpacing w:w="15" w:type="dxa"/>
                </w:trPr>
                <w:tc>
                  <w:tcPr>
                    <w:tcW w:w="50" w:type="pct"/>
                    <w:hideMark/>
                  </w:tcPr>
                  <w:p w14:paraId="36DF5CD2" w14:textId="77777777" w:rsidR="00B90144" w:rsidRPr="00301FA3" w:rsidRDefault="00B90144">
                    <w:pPr>
                      <w:pStyle w:val="Bibliography"/>
                      <w:rPr>
                        <w:rFonts w:ascii="Arial" w:hAnsi="Arial" w:cs="Arial"/>
                        <w:noProof/>
                      </w:rPr>
                    </w:pPr>
                    <w:r w:rsidRPr="00301FA3">
                      <w:rPr>
                        <w:rFonts w:ascii="Arial" w:hAnsi="Arial" w:cs="Arial"/>
                        <w:noProof/>
                      </w:rPr>
                      <w:t xml:space="preserve">[10] </w:t>
                    </w:r>
                  </w:p>
                </w:tc>
                <w:tc>
                  <w:tcPr>
                    <w:tcW w:w="0" w:type="auto"/>
                    <w:hideMark/>
                  </w:tcPr>
                  <w:p w14:paraId="31F8BF2E" w14:textId="77777777" w:rsidR="00B90144" w:rsidRPr="00301FA3" w:rsidRDefault="00B90144">
                    <w:pPr>
                      <w:pStyle w:val="Bibliography"/>
                      <w:rPr>
                        <w:rFonts w:ascii="Arial" w:hAnsi="Arial" w:cs="Arial"/>
                        <w:noProof/>
                      </w:rPr>
                    </w:pPr>
                    <w:r w:rsidRPr="00301FA3">
                      <w:rPr>
                        <w:rFonts w:ascii="Arial" w:hAnsi="Arial" w:cs="Arial"/>
                        <w:noProof/>
                      </w:rPr>
                      <w:t xml:space="preserve">P. Cichonski, T. Millar, T. Grance and K. Scarfone, “Computer Security Incident Handling Guide,” 2012. </w:t>
                    </w:r>
                  </w:p>
                </w:tc>
              </w:tr>
              <w:tr w:rsidR="00B90144" w:rsidRPr="00301FA3" w14:paraId="4A5295CE" w14:textId="77777777">
                <w:trPr>
                  <w:divId w:val="707486319"/>
                  <w:tblCellSpacing w:w="15" w:type="dxa"/>
                </w:trPr>
                <w:tc>
                  <w:tcPr>
                    <w:tcW w:w="50" w:type="pct"/>
                    <w:hideMark/>
                  </w:tcPr>
                  <w:p w14:paraId="3DF8FC41" w14:textId="77777777" w:rsidR="00B90144" w:rsidRPr="00301FA3" w:rsidRDefault="00B90144">
                    <w:pPr>
                      <w:pStyle w:val="Bibliography"/>
                      <w:rPr>
                        <w:rFonts w:ascii="Arial" w:hAnsi="Arial" w:cs="Arial"/>
                        <w:noProof/>
                      </w:rPr>
                    </w:pPr>
                    <w:r w:rsidRPr="00301FA3">
                      <w:rPr>
                        <w:rFonts w:ascii="Arial" w:hAnsi="Arial" w:cs="Arial"/>
                        <w:noProof/>
                      </w:rPr>
                      <w:t xml:space="preserve">[11] </w:t>
                    </w:r>
                  </w:p>
                </w:tc>
                <w:tc>
                  <w:tcPr>
                    <w:tcW w:w="0" w:type="auto"/>
                    <w:hideMark/>
                  </w:tcPr>
                  <w:p w14:paraId="13F21D16" w14:textId="77777777" w:rsidR="00B90144" w:rsidRPr="00301FA3" w:rsidRDefault="00B90144">
                    <w:pPr>
                      <w:pStyle w:val="Bibliography"/>
                      <w:rPr>
                        <w:rFonts w:ascii="Arial" w:hAnsi="Arial" w:cs="Arial"/>
                        <w:noProof/>
                      </w:rPr>
                    </w:pPr>
                    <w:r w:rsidRPr="00301FA3">
                      <w:rPr>
                        <w:rFonts w:ascii="Arial" w:hAnsi="Arial" w:cs="Arial"/>
                        <w:noProof/>
                      </w:rPr>
                      <w:t xml:space="preserve">A. Ometov et al, “Security and privacy for multi-factor authentication systems,” vol. 56, pp. 42–48,, 2018. </w:t>
                    </w:r>
                  </w:p>
                </w:tc>
              </w:tr>
              <w:tr w:rsidR="00B90144" w:rsidRPr="00301FA3" w14:paraId="2A5F6A0A" w14:textId="77777777">
                <w:trPr>
                  <w:divId w:val="707486319"/>
                  <w:tblCellSpacing w:w="15" w:type="dxa"/>
                </w:trPr>
                <w:tc>
                  <w:tcPr>
                    <w:tcW w:w="50" w:type="pct"/>
                    <w:hideMark/>
                  </w:tcPr>
                  <w:p w14:paraId="5D49DE3E" w14:textId="77777777" w:rsidR="00B90144" w:rsidRPr="00301FA3" w:rsidRDefault="00B90144">
                    <w:pPr>
                      <w:pStyle w:val="Bibliography"/>
                      <w:rPr>
                        <w:rFonts w:ascii="Arial" w:hAnsi="Arial" w:cs="Arial"/>
                        <w:noProof/>
                      </w:rPr>
                    </w:pPr>
                    <w:r w:rsidRPr="00301FA3">
                      <w:rPr>
                        <w:rFonts w:ascii="Arial" w:hAnsi="Arial" w:cs="Arial"/>
                        <w:noProof/>
                      </w:rPr>
                      <w:t xml:space="preserve">[12] </w:t>
                    </w:r>
                  </w:p>
                </w:tc>
                <w:tc>
                  <w:tcPr>
                    <w:tcW w:w="0" w:type="auto"/>
                    <w:hideMark/>
                  </w:tcPr>
                  <w:p w14:paraId="75DFEBA1" w14:textId="77777777" w:rsidR="00B90144" w:rsidRPr="00301FA3" w:rsidRDefault="00B90144">
                    <w:pPr>
                      <w:pStyle w:val="Bibliography"/>
                      <w:rPr>
                        <w:rFonts w:ascii="Arial" w:hAnsi="Arial" w:cs="Arial"/>
                        <w:noProof/>
                      </w:rPr>
                    </w:pPr>
                    <w:r w:rsidRPr="00301FA3">
                      <w:rPr>
                        <w:rFonts w:ascii="Arial" w:hAnsi="Arial" w:cs="Arial"/>
                        <w:noProof/>
                      </w:rPr>
                      <w:t xml:space="preserve">E. Barker and A. Roginsky, “Recommendation for Transitioning the Use of Cryptographic Algorithms and Key Lengths,” 2019. </w:t>
                    </w:r>
                  </w:p>
                </w:tc>
              </w:tr>
              <w:tr w:rsidR="00B90144" w:rsidRPr="00301FA3" w14:paraId="74164B3C" w14:textId="77777777">
                <w:trPr>
                  <w:divId w:val="707486319"/>
                  <w:tblCellSpacing w:w="15" w:type="dxa"/>
                </w:trPr>
                <w:tc>
                  <w:tcPr>
                    <w:tcW w:w="50" w:type="pct"/>
                    <w:hideMark/>
                  </w:tcPr>
                  <w:p w14:paraId="2973C080" w14:textId="77777777" w:rsidR="00B90144" w:rsidRPr="00301FA3" w:rsidRDefault="00B90144">
                    <w:pPr>
                      <w:pStyle w:val="Bibliography"/>
                      <w:rPr>
                        <w:rFonts w:ascii="Arial" w:hAnsi="Arial" w:cs="Arial"/>
                        <w:noProof/>
                      </w:rPr>
                    </w:pPr>
                    <w:r w:rsidRPr="00301FA3">
                      <w:rPr>
                        <w:rFonts w:ascii="Arial" w:hAnsi="Arial" w:cs="Arial"/>
                        <w:noProof/>
                      </w:rPr>
                      <w:t xml:space="preserve">[13] </w:t>
                    </w:r>
                  </w:p>
                </w:tc>
                <w:tc>
                  <w:tcPr>
                    <w:tcW w:w="0" w:type="auto"/>
                    <w:hideMark/>
                  </w:tcPr>
                  <w:p w14:paraId="58ACB12F" w14:textId="77777777" w:rsidR="00B90144" w:rsidRPr="00301FA3" w:rsidRDefault="00B90144">
                    <w:pPr>
                      <w:pStyle w:val="Bibliography"/>
                      <w:rPr>
                        <w:rFonts w:ascii="Arial" w:hAnsi="Arial" w:cs="Arial"/>
                        <w:noProof/>
                      </w:rPr>
                    </w:pPr>
                    <w:r w:rsidRPr="00301FA3">
                      <w:rPr>
                        <w:rFonts w:ascii="Arial" w:hAnsi="Arial" w:cs="Arial"/>
                        <w:noProof/>
                      </w:rPr>
                      <w:t xml:space="preserve">F. Menges and G. Pernul, “A security architecture for endpoint detection and response,” vol. 78, p. 37–50, 2018. </w:t>
                    </w:r>
                  </w:p>
                </w:tc>
              </w:tr>
              <w:tr w:rsidR="00B90144" w:rsidRPr="00301FA3" w14:paraId="683AE9B4" w14:textId="77777777">
                <w:trPr>
                  <w:divId w:val="707486319"/>
                  <w:tblCellSpacing w:w="15" w:type="dxa"/>
                </w:trPr>
                <w:tc>
                  <w:tcPr>
                    <w:tcW w:w="50" w:type="pct"/>
                    <w:hideMark/>
                  </w:tcPr>
                  <w:p w14:paraId="165143F8" w14:textId="77777777" w:rsidR="00B90144" w:rsidRPr="00301FA3" w:rsidRDefault="00B90144">
                    <w:pPr>
                      <w:pStyle w:val="Bibliography"/>
                      <w:rPr>
                        <w:rFonts w:ascii="Arial" w:hAnsi="Arial" w:cs="Arial"/>
                        <w:noProof/>
                      </w:rPr>
                    </w:pPr>
                    <w:r w:rsidRPr="00301FA3">
                      <w:rPr>
                        <w:rFonts w:ascii="Arial" w:hAnsi="Arial" w:cs="Arial"/>
                        <w:noProof/>
                      </w:rPr>
                      <w:t xml:space="preserve">[14] </w:t>
                    </w:r>
                  </w:p>
                </w:tc>
                <w:tc>
                  <w:tcPr>
                    <w:tcW w:w="0" w:type="auto"/>
                    <w:hideMark/>
                  </w:tcPr>
                  <w:p w14:paraId="46A94EA5" w14:textId="77777777" w:rsidR="00B90144" w:rsidRPr="00301FA3" w:rsidRDefault="00B90144">
                    <w:pPr>
                      <w:pStyle w:val="Bibliography"/>
                      <w:rPr>
                        <w:rFonts w:ascii="Arial" w:hAnsi="Arial" w:cs="Arial"/>
                        <w:noProof/>
                      </w:rPr>
                    </w:pPr>
                    <w:r w:rsidRPr="00301FA3">
                      <w:rPr>
                        <w:rFonts w:ascii="Arial" w:hAnsi="Arial" w:cs="Arial"/>
                        <w:noProof/>
                      </w:rPr>
                      <w:t xml:space="preserve">T. Puhakainen and M. Siponen, “improving employees’ compliance through information systems security training,” vol. 34, p. 757–778, 2010. </w:t>
                    </w:r>
                  </w:p>
                </w:tc>
              </w:tr>
              <w:tr w:rsidR="00B90144" w:rsidRPr="00301FA3" w14:paraId="7283BC4D" w14:textId="77777777">
                <w:trPr>
                  <w:divId w:val="707486319"/>
                  <w:tblCellSpacing w:w="15" w:type="dxa"/>
                </w:trPr>
                <w:tc>
                  <w:tcPr>
                    <w:tcW w:w="50" w:type="pct"/>
                    <w:hideMark/>
                  </w:tcPr>
                  <w:p w14:paraId="37248F75" w14:textId="77777777" w:rsidR="00B90144" w:rsidRPr="00301FA3" w:rsidRDefault="00B90144">
                    <w:pPr>
                      <w:pStyle w:val="Bibliography"/>
                      <w:rPr>
                        <w:rFonts w:ascii="Arial" w:hAnsi="Arial" w:cs="Arial"/>
                        <w:noProof/>
                      </w:rPr>
                    </w:pPr>
                    <w:r w:rsidRPr="00301FA3">
                      <w:rPr>
                        <w:rFonts w:ascii="Arial" w:hAnsi="Arial" w:cs="Arial"/>
                        <w:noProof/>
                      </w:rPr>
                      <w:t xml:space="preserve">[15] </w:t>
                    </w:r>
                  </w:p>
                </w:tc>
                <w:tc>
                  <w:tcPr>
                    <w:tcW w:w="0" w:type="auto"/>
                    <w:hideMark/>
                  </w:tcPr>
                  <w:p w14:paraId="10A05905" w14:textId="77777777" w:rsidR="00B90144" w:rsidRPr="00301FA3" w:rsidRDefault="00B90144">
                    <w:pPr>
                      <w:pStyle w:val="Bibliography"/>
                      <w:rPr>
                        <w:rFonts w:ascii="Arial" w:hAnsi="Arial" w:cs="Arial"/>
                        <w:noProof/>
                      </w:rPr>
                    </w:pPr>
                    <w:r w:rsidRPr="00301FA3">
                      <w:rPr>
                        <w:rFonts w:ascii="Arial" w:hAnsi="Arial" w:cs="Arial"/>
                        <w:noProof/>
                      </w:rPr>
                      <w:t xml:space="preserve">M. Jensen, J. Dinger, T. Wright and J. Thatcher, “Training to mitigate phishing attacks,” vol. 34, p. 597–626, 2017. </w:t>
                    </w:r>
                  </w:p>
                </w:tc>
              </w:tr>
            </w:tbl>
            <w:p w14:paraId="42DBCB9C" w14:textId="77777777" w:rsidR="00B90144" w:rsidRPr="00301FA3" w:rsidRDefault="00B90144">
              <w:pPr>
                <w:divId w:val="707486319"/>
                <w:rPr>
                  <w:rFonts w:ascii="Arial" w:eastAsia="Times New Roman" w:hAnsi="Arial" w:cs="Arial"/>
                  <w:noProof/>
                </w:rPr>
              </w:pPr>
            </w:p>
            <w:p w14:paraId="03B416D3" w14:textId="08D73210" w:rsidR="009D1EB8" w:rsidRPr="00301FA3" w:rsidRDefault="009D1EB8">
              <w:pPr>
                <w:rPr>
                  <w:rFonts w:ascii="Arial" w:hAnsi="Arial" w:cs="Arial"/>
                </w:rPr>
              </w:pPr>
              <w:r w:rsidRPr="00301FA3">
                <w:rPr>
                  <w:rFonts w:ascii="Arial" w:hAnsi="Arial" w:cs="Arial"/>
                  <w:b/>
                  <w:bCs/>
                  <w:noProof/>
                </w:rPr>
                <w:fldChar w:fldCharType="end"/>
              </w:r>
              <w:r w:rsidRPr="00301FA3">
                <w:rPr>
                  <w:rFonts w:ascii="Arial" w:hAnsi="Arial" w:cs="Arial"/>
                  <w:b/>
                  <w:bCs/>
                  <w:color w:val="000000" w:themeColor="text1"/>
                  <w:sz w:val="28"/>
                  <w:szCs w:val="28"/>
                </w:rPr>
                <w:br w:type="page"/>
              </w:r>
            </w:p>
          </w:sdtContent>
        </w:sdt>
      </w:sdtContent>
    </w:sdt>
    <w:bookmarkStart w:id="11" w:name="_Toc162914176" w:displacedByCustomXml="prev"/>
    <w:p w14:paraId="7E5E30A7" w14:textId="03D9FEF1" w:rsidR="006457C5" w:rsidRPr="00301FA3" w:rsidRDefault="0085418F" w:rsidP="000639B4">
      <w:pPr>
        <w:pStyle w:val="Heading1"/>
        <w:jc w:val="center"/>
        <w:rPr>
          <w:rFonts w:ascii="Arial" w:hAnsi="Arial" w:cs="Arial"/>
          <w:sz w:val="72"/>
          <w:szCs w:val="72"/>
        </w:rPr>
      </w:pPr>
      <w:bookmarkStart w:id="12" w:name="_Toc217605430"/>
      <w:r w:rsidRPr="00301FA3">
        <w:rPr>
          <w:rFonts w:ascii="Arial" w:hAnsi="Arial" w:cs="Arial"/>
          <w:sz w:val="72"/>
          <w:szCs w:val="72"/>
        </w:rPr>
        <w:lastRenderedPageBreak/>
        <w:t>Appendices</w:t>
      </w:r>
      <w:bookmarkEnd w:id="11"/>
      <w:bookmarkEnd w:id="12"/>
    </w:p>
    <w:p w14:paraId="3C4C93A4" w14:textId="163F8965" w:rsidR="000639B4" w:rsidRPr="00301FA3" w:rsidRDefault="00CB1F6A" w:rsidP="000639B4">
      <w:pPr>
        <w:jc w:val="center"/>
        <w:rPr>
          <w:rFonts w:ascii="Arial" w:hAnsi="Arial" w:cs="Arial"/>
          <w:sz w:val="36"/>
          <w:szCs w:val="36"/>
        </w:rPr>
      </w:pPr>
      <w:r w:rsidRPr="00301FA3">
        <w:rPr>
          <w:rFonts w:ascii="Arial" w:hAnsi="Arial" w:cs="Arial"/>
          <w:noProof/>
          <w:sz w:val="36"/>
          <w:szCs w:val="36"/>
        </w:rPr>
        <w:drawing>
          <wp:anchor distT="0" distB="0" distL="114300" distR="114300" simplePos="0" relativeHeight="251661312" behindDoc="0" locked="0" layoutInCell="1" allowOverlap="1" wp14:anchorId="01FF77FB" wp14:editId="6877EAB3">
            <wp:simplePos x="0" y="0"/>
            <wp:positionH relativeFrom="margin">
              <wp:posOffset>-505460</wp:posOffset>
            </wp:positionH>
            <wp:positionV relativeFrom="margin">
              <wp:posOffset>1259205</wp:posOffset>
            </wp:positionV>
            <wp:extent cx="6831965" cy="4629150"/>
            <wp:effectExtent l="0" t="0" r="0" b="0"/>
            <wp:wrapSquare wrapText="bothSides"/>
            <wp:docPr id="110331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15218" name="Picture 11033152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31965" cy="4629150"/>
                    </a:xfrm>
                    <a:prstGeom prst="rect">
                      <a:avLst/>
                    </a:prstGeom>
                  </pic:spPr>
                </pic:pic>
              </a:graphicData>
            </a:graphic>
            <wp14:sizeRelH relativeFrom="page">
              <wp14:pctWidth>0</wp14:pctWidth>
            </wp14:sizeRelH>
            <wp14:sizeRelV relativeFrom="page">
              <wp14:pctHeight>0</wp14:pctHeight>
            </wp14:sizeRelV>
          </wp:anchor>
        </w:drawing>
      </w:r>
      <w:r w:rsidR="000639B4" w:rsidRPr="00301FA3">
        <w:rPr>
          <w:rFonts w:ascii="Arial" w:hAnsi="Arial" w:cs="Arial"/>
          <w:sz w:val="36"/>
          <w:szCs w:val="36"/>
        </w:rPr>
        <w:t>Cisco Certificate</w:t>
      </w:r>
    </w:p>
    <w:p w14:paraId="11A88CA4" w14:textId="38A11215" w:rsidR="001B323F" w:rsidRPr="00301FA3" w:rsidRDefault="001B323F" w:rsidP="000639B4">
      <w:pPr>
        <w:jc w:val="center"/>
        <w:rPr>
          <w:rFonts w:ascii="Arial" w:hAnsi="Arial" w:cs="Arial"/>
          <w:sz w:val="36"/>
          <w:szCs w:val="36"/>
        </w:rPr>
      </w:pPr>
    </w:p>
    <w:p w14:paraId="5A741F19" w14:textId="77777777" w:rsidR="001B323F" w:rsidRPr="00301FA3" w:rsidRDefault="001B323F">
      <w:pPr>
        <w:rPr>
          <w:rFonts w:ascii="Arial" w:hAnsi="Arial" w:cs="Arial"/>
          <w:sz w:val="36"/>
          <w:szCs w:val="36"/>
        </w:rPr>
      </w:pPr>
      <w:r w:rsidRPr="00301FA3">
        <w:rPr>
          <w:rFonts w:ascii="Arial" w:hAnsi="Arial" w:cs="Arial"/>
          <w:sz w:val="36"/>
          <w:szCs w:val="36"/>
        </w:rPr>
        <w:br w:type="page"/>
      </w:r>
    </w:p>
    <w:p w14:paraId="072C9F68" w14:textId="13033E7C" w:rsidR="000639B4" w:rsidRPr="00301FA3" w:rsidRDefault="001B323F" w:rsidP="001B323F">
      <w:pPr>
        <w:pStyle w:val="Title"/>
        <w:jc w:val="center"/>
        <w:rPr>
          <w:rFonts w:ascii="Arial" w:hAnsi="Arial" w:cs="Arial"/>
        </w:rPr>
      </w:pPr>
      <w:r w:rsidRPr="00301FA3">
        <w:rPr>
          <w:rFonts w:ascii="Arial" w:hAnsi="Arial" w:cs="Arial"/>
          <w:noProof/>
        </w:rPr>
        <w:lastRenderedPageBreak/>
        <w:drawing>
          <wp:anchor distT="0" distB="0" distL="114300" distR="114300" simplePos="0" relativeHeight="251659264" behindDoc="0" locked="0" layoutInCell="1" allowOverlap="1" wp14:anchorId="3C5B1028" wp14:editId="50CB0374">
            <wp:simplePos x="0" y="0"/>
            <wp:positionH relativeFrom="margin">
              <wp:posOffset>-942975</wp:posOffset>
            </wp:positionH>
            <wp:positionV relativeFrom="margin">
              <wp:posOffset>497205</wp:posOffset>
            </wp:positionV>
            <wp:extent cx="7591425" cy="9824720"/>
            <wp:effectExtent l="0" t="0" r="0" b="0"/>
            <wp:wrapSquare wrapText="bothSides"/>
            <wp:docPr id="124033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30976" name="Picture 1240330976"/>
                    <pic:cNvPicPr/>
                  </pic:nvPicPr>
                  <pic:blipFill>
                    <a:blip r:embed="rId13">
                      <a:extLst>
                        <a:ext uri="{28A0092B-C50C-407E-A947-70E740481C1C}">
                          <a14:useLocalDpi xmlns:a14="http://schemas.microsoft.com/office/drawing/2010/main" val="0"/>
                        </a:ext>
                      </a:extLst>
                    </a:blip>
                    <a:stretch>
                      <a:fillRect/>
                    </a:stretch>
                  </pic:blipFill>
                  <pic:spPr>
                    <a:xfrm>
                      <a:off x="0" y="0"/>
                      <a:ext cx="7591425" cy="9824720"/>
                    </a:xfrm>
                    <a:prstGeom prst="rect">
                      <a:avLst/>
                    </a:prstGeom>
                  </pic:spPr>
                </pic:pic>
              </a:graphicData>
            </a:graphic>
            <wp14:sizeRelH relativeFrom="page">
              <wp14:pctWidth>0</wp14:pctWidth>
            </wp14:sizeRelH>
            <wp14:sizeRelV relativeFrom="page">
              <wp14:pctHeight>0</wp14:pctHeight>
            </wp14:sizeRelV>
          </wp:anchor>
        </w:drawing>
      </w:r>
      <w:r w:rsidRPr="00301FA3">
        <w:rPr>
          <w:rFonts w:ascii="Arial" w:hAnsi="Arial" w:cs="Arial"/>
        </w:rPr>
        <w:t>FSL Incident Response FlowChart</w:t>
      </w:r>
    </w:p>
    <w:p w14:paraId="7A8077F0" w14:textId="6D8FA197" w:rsidR="001B323F" w:rsidRPr="00301FA3" w:rsidRDefault="009368D7" w:rsidP="004B533D">
      <w:pPr>
        <w:pStyle w:val="Title"/>
        <w:jc w:val="center"/>
        <w:rPr>
          <w:rFonts w:ascii="Arial" w:hAnsi="Arial" w:cs="Arial"/>
        </w:rPr>
      </w:pPr>
      <w:r w:rsidRPr="00301FA3">
        <w:rPr>
          <w:rFonts w:ascii="Arial" w:hAnsi="Arial" w:cs="Arial"/>
        </w:rPr>
        <w:lastRenderedPageBreak/>
        <w:t xml:space="preserve">Board of </w:t>
      </w:r>
      <w:r w:rsidR="004B533D" w:rsidRPr="00301FA3">
        <w:rPr>
          <w:rFonts w:ascii="Arial" w:hAnsi="Arial" w:cs="Arial"/>
        </w:rPr>
        <w:t>Directors’</w:t>
      </w:r>
      <w:r w:rsidRPr="00301FA3">
        <w:rPr>
          <w:rFonts w:ascii="Arial" w:hAnsi="Arial" w:cs="Arial"/>
        </w:rPr>
        <w:t xml:space="preserve"> </w:t>
      </w:r>
      <w:r w:rsidR="004B533D" w:rsidRPr="00301FA3">
        <w:rPr>
          <w:rFonts w:ascii="Arial" w:hAnsi="Arial" w:cs="Arial"/>
        </w:rPr>
        <w:t>Proposal PowerPoint Presentation.</w:t>
      </w:r>
    </w:p>
    <w:p w14:paraId="13B68241" w14:textId="75F62C02" w:rsidR="00C37026" w:rsidRPr="00301FA3" w:rsidRDefault="00C37026" w:rsidP="00C37026">
      <w:pPr>
        <w:rPr>
          <w:rFonts w:ascii="Arial" w:hAnsi="Arial" w:cs="Arial"/>
        </w:rPr>
      </w:pPr>
      <w:r w:rsidRPr="00301FA3">
        <w:rPr>
          <w:rFonts w:ascii="Arial" w:hAnsi="Arial" w:cs="Arial"/>
        </w:rPr>
        <w:t>Link:</w:t>
      </w:r>
      <w:r w:rsidRPr="00301FA3">
        <w:rPr>
          <w:rFonts w:ascii="Arial" w:eastAsia="Times New Roman" w:hAnsi="Arial" w:cs="Arial"/>
          <w:kern w:val="0"/>
          <w:lang w:eastAsia="en-GB"/>
        </w:rPr>
        <w:t xml:space="preserve"> </w:t>
      </w:r>
      <w:hyperlink r:id="rId14" w:history="1">
        <w:proofErr w:type="spellStart"/>
        <w:r w:rsidRPr="00301FA3">
          <w:rPr>
            <w:rStyle w:val="Hyperlink"/>
            <w:rFonts w:ascii="Arial" w:hAnsi="Arial" w:cs="Arial"/>
          </w:rPr>
          <w:t>Finsecure</w:t>
        </w:r>
        <w:proofErr w:type="spellEnd"/>
        <w:r w:rsidRPr="00301FA3">
          <w:rPr>
            <w:rStyle w:val="Hyperlink"/>
            <w:rFonts w:ascii="Arial" w:hAnsi="Arial" w:cs="Arial"/>
          </w:rPr>
          <w:t xml:space="preserve"> ltd proposal presentation.pptx</w:t>
        </w:r>
      </w:hyperlink>
    </w:p>
    <w:p w14:paraId="14E1E235" w14:textId="6AA1B86C" w:rsidR="00631B0E" w:rsidRPr="00301FA3" w:rsidRDefault="00E95031" w:rsidP="00631B0E">
      <w:pPr>
        <w:rPr>
          <w:rFonts w:ascii="Arial" w:hAnsi="Arial" w:cs="Arial"/>
        </w:rPr>
      </w:pPr>
      <w:r w:rsidRPr="00301FA3">
        <w:rPr>
          <w:rFonts w:ascii="Arial" w:hAnsi="Arial" w:cs="Arial"/>
          <w:noProof/>
        </w:rPr>
        <w:drawing>
          <wp:inline distT="0" distB="0" distL="0" distR="0" wp14:anchorId="0B40BA42" wp14:editId="3F79E32D">
            <wp:extent cx="5731510" cy="3223895"/>
            <wp:effectExtent l="0" t="0" r="0" b="0"/>
            <wp:docPr id="17697796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7965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sidRPr="00301FA3">
        <w:rPr>
          <w:rFonts w:ascii="Arial" w:hAnsi="Arial" w:cs="Arial"/>
          <w:noProof/>
        </w:rPr>
        <w:drawing>
          <wp:inline distT="0" distB="0" distL="0" distR="0" wp14:anchorId="1DA5CCA6" wp14:editId="1C281736">
            <wp:extent cx="5731510" cy="3223895"/>
            <wp:effectExtent l="0" t="0" r="0" b="0"/>
            <wp:docPr id="3622227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2272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Pr="00301FA3">
        <w:rPr>
          <w:rFonts w:ascii="Arial" w:hAnsi="Arial" w:cs="Arial"/>
          <w:noProof/>
        </w:rPr>
        <w:lastRenderedPageBreak/>
        <w:drawing>
          <wp:inline distT="0" distB="0" distL="0" distR="0" wp14:anchorId="2BB10DDB" wp14:editId="22ADAE55">
            <wp:extent cx="5731510" cy="3223895"/>
            <wp:effectExtent l="0" t="0" r="0" b="0"/>
            <wp:docPr id="11755738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73836"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5F0331" w:rsidRPr="00301FA3">
        <w:rPr>
          <w:rFonts w:ascii="Arial" w:hAnsi="Arial" w:cs="Arial"/>
          <w:noProof/>
        </w:rPr>
        <w:drawing>
          <wp:inline distT="0" distB="0" distL="0" distR="0" wp14:anchorId="2498AE4F" wp14:editId="1CADB26E">
            <wp:extent cx="5731510" cy="3223895"/>
            <wp:effectExtent l="0" t="0" r="0" b="0"/>
            <wp:docPr id="7724788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78879"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5F0331" w:rsidRPr="00301FA3">
        <w:rPr>
          <w:rFonts w:ascii="Arial" w:hAnsi="Arial" w:cs="Arial"/>
          <w:noProof/>
        </w:rPr>
        <w:lastRenderedPageBreak/>
        <w:drawing>
          <wp:inline distT="0" distB="0" distL="0" distR="0" wp14:anchorId="3CA5F429" wp14:editId="1A987E1E">
            <wp:extent cx="5731510" cy="3223895"/>
            <wp:effectExtent l="0" t="0" r="0" b="0"/>
            <wp:docPr id="796182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8229"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5F0331" w:rsidRPr="00301FA3">
        <w:rPr>
          <w:rFonts w:ascii="Arial" w:hAnsi="Arial" w:cs="Arial"/>
          <w:noProof/>
        </w:rPr>
        <w:drawing>
          <wp:inline distT="0" distB="0" distL="0" distR="0" wp14:anchorId="2B48C3F8" wp14:editId="3D0910DF">
            <wp:extent cx="5731510" cy="3223895"/>
            <wp:effectExtent l="0" t="0" r="0" b="0"/>
            <wp:docPr id="15903631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6314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9B2FD0" w:rsidRPr="00301FA3">
        <w:rPr>
          <w:rFonts w:ascii="Arial" w:hAnsi="Arial" w:cs="Arial"/>
          <w:noProof/>
        </w:rPr>
        <w:lastRenderedPageBreak/>
        <w:drawing>
          <wp:inline distT="0" distB="0" distL="0" distR="0" wp14:anchorId="3DCB9D3B" wp14:editId="3FD13435">
            <wp:extent cx="5731510" cy="3223895"/>
            <wp:effectExtent l="0" t="0" r="0" b="0"/>
            <wp:docPr id="269249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4918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9B2FD0" w:rsidRPr="00301FA3">
        <w:rPr>
          <w:rFonts w:ascii="Arial" w:hAnsi="Arial" w:cs="Arial"/>
          <w:noProof/>
        </w:rPr>
        <w:drawing>
          <wp:inline distT="0" distB="0" distL="0" distR="0" wp14:anchorId="5CBB752A" wp14:editId="4F16CB4C">
            <wp:extent cx="5731510" cy="3223895"/>
            <wp:effectExtent l="0" t="0" r="0" b="0"/>
            <wp:docPr id="3238151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513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9B2FD0" w:rsidRPr="00301FA3">
        <w:rPr>
          <w:rFonts w:ascii="Arial" w:hAnsi="Arial" w:cs="Arial"/>
          <w:noProof/>
        </w:rPr>
        <w:lastRenderedPageBreak/>
        <w:drawing>
          <wp:inline distT="0" distB="0" distL="0" distR="0" wp14:anchorId="087C61D2" wp14:editId="3EA95167">
            <wp:extent cx="5731510" cy="3223895"/>
            <wp:effectExtent l="0" t="0" r="0" b="0"/>
            <wp:docPr id="2020688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688352"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009B2FD0" w:rsidRPr="00301FA3">
        <w:rPr>
          <w:rFonts w:ascii="Arial" w:hAnsi="Arial" w:cs="Arial"/>
          <w:noProof/>
        </w:rPr>
        <w:drawing>
          <wp:inline distT="0" distB="0" distL="0" distR="0" wp14:anchorId="592CEAF6" wp14:editId="3462F86D">
            <wp:extent cx="5731510" cy="3223895"/>
            <wp:effectExtent l="0" t="0" r="0" b="0"/>
            <wp:docPr id="5433234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3409"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sectPr w:rsidR="00631B0E" w:rsidRPr="00301FA3" w:rsidSect="00282BC6">
      <w:footerReference w:type="default" r:id="rId35"/>
      <w:pgSz w:w="11906" w:h="16838"/>
      <w:pgMar w:top="567"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2FB16" w14:textId="77777777" w:rsidR="00347E10" w:rsidRDefault="00347E10" w:rsidP="00DA3DEB">
      <w:pPr>
        <w:spacing w:after="0" w:line="240" w:lineRule="auto"/>
      </w:pPr>
      <w:r>
        <w:separator/>
      </w:r>
    </w:p>
  </w:endnote>
  <w:endnote w:type="continuationSeparator" w:id="0">
    <w:p w14:paraId="1C214035" w14:textId="77777777" w:rsidR="00347E10" w:rsidRDefault="00347E10"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C971" w14:textId="77777777" w:rsidR="00DA3DEB" w:rsidRDefault="00DA3DEB" w:rsidP="000639B4">
    <w:pPr>
      <w:tabs>
        <w:tab w:val="center" w:pos="4550"/>
        <w:tab w:val="left" w:pos="5818"/>
      </w:tabs>
      <w:ind w:right="260"/>
      <w:jc w:val="center"/>
      <w:rPr>
        <w:color w:val="071320" w:themeColor="text2" w:themeShade="80"/>
      </w:rPr>
    </w:pPr>
    <w:r>
      <w:rPr>
        <w:color w:val="2C7FCE" w:themeColor="text2" w:themeTint="99"/>
        <w:spacing w:val="60"/>
      </w:rPr>
      <w:t>Page</w:t>
    </w:r>
    <w:r w:rsidR="00541C12">
      <w:rPr>
        <w:color w:val="0A1D30" w:themeColor="text2" w:themeShade="BF"/>
      </w:rPr>
      <w:fldChar w:fldCharType="begin"/>
    </w:r>
    <w:r>
      <w:rPr>
        <w:color w:val="0A1D30" w:themeColor="text2" w:themeShade="BF"/>
      </w:rPr>
      <w:instrText>PAGE   \* MERGEFORMAT</w:instrText>
    </w:r>
    <w:r w:rsidR="00541C12">
      <w:rPr>
        <w:color w:val="0A1D30" w:themeColor="text2" w:themeShade="BF"/>
      </w:rPr>
      <w:fldChar w:fldCharType="separate"/>
    </w:r>
    <w:r w:rsidR="00DA7374">
      <w:rPr>
        <w:noProof/>
        <w:color w:val="0A1D30" w:themeColor="text2" w:themeShade="BF"/>
      </w:rPr>
      <w:t>1</w:t>
    </w:r>
    <w:r w:rsidR="00541C12">
      <w:rPr>
        <w:color w:val="0A1D30" w:themeColor="text2" w:themeShade="BF"/>
      </w:rPr>
      <w:fldChar w:fldCharType="end"/>
    </w:r>
    <w:r>
      <w:rPr>
        <w:color w:val="0A1D30" w:themeColor="text2" w:themeShade="BF"/>
      </w:rPr>
      <w:t xml:space="preserve"> | </w:t>
    </w:r>
    <w:fldSimple w:instr="NUMPAGES  \* Arabic  \* MERGEFORMAT">
      <w:r w:rsidR="00DA7374" w:rsidRPr="00DA7374">
        <w:rPr>
          <w:noProof/>
          <w:color w:val="0A1D30" w:themeColor="text2" w:themeShade="BF"/>
        </w:rPr>
        <w:t>6</w:t>
      </w:r>
    </w:fldSimple>
  </w:p>
  <w:p w14:paraId="2CD4E711"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C2C45" w14:textId="77777777" w:rsidR="00347E10" w:rsidRDefault="00347E10" w:rsidP="00DA3DEB">
      <w:pPr>
        <w:spacing w:after="0" w:line="240" w:lineRule="auto"/>
      </w:pPr>
      <w:r>
        <w:separator/>
      </w:r>
    </w:p>
  </w:footnote>
  <w:footnote w:type="continuationSeparator" w:id="0">
    <w:p w14:paraId="45D5EBF7" w14:textId="77777777" w:rsidR="00347E10" w:rsidRDefault="00347E10"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353331"/>
    <w:multiLevelType w:val="hybridMultilevel"/>
    <w:tmpl w:val="808A9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03FDC"/>
    <w:multiLevelType w:val="hybridMultilevel"/>
    <w:tmpl w:val="F6FA6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967276">
    <w:abstractNumId w:val="0"/>
  </w:num>
  <w:num w:numId="2" w16cid:durableId="1968192606">
    <w:abstractNumId w:val="3"/>
  </w:num>
  <w:num w:numId="3" w16cid:durableId="1227648257">
    <w:abstractNumId w:val="2"/>
  </w:num>
  <w:num w:numId="4" w16cid:durableId="1574394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8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3DEB"/>
    <w:rsid w:val="000041EF"/>
    <w:rsid w:val="00004542"/>
    <w:rsid w:val="00004CB8"/>
    <w:rsid w:val="000051B5"/>
    <w:rsid w:val="000054B2"/>
    <w:rsid w:val="000132B2"/>
    <w:rsid w:val="000209B2"/>
    <w:rsid w:val="00042A60"/>
    <w:rsid w:val="000639B4"/>
    <w:rsid w:val="00063F97"/>
    <w:rsid w:val="00072FCB"/>
    <w:rsid w:val="00076D1E"/>
    <w:rsid w:val="0007702E"/>
    <w:rsid w:val="00081670"/>
    <w:rsid w:val="00081FC6"/>
    <w:rsid w:val="00094004"/>
    <w:rsid w:val="00095867"/>
    <w:rsid w:val="000A7117"/>
    <w:rsid w:val="000C4FFE"/>
    <w:rsid w:val="000C6F75"/>
    <w:rsid w:val="000D5E78"/>
    <w:rsid w:val="000E79FB"/>
    <w:rsid w:val="000F3BDE"/>
    <w:rsid w:val="00105BB4"/>
    <w:rsid w:val="00124038"/>
    <w:rsid w:val="00135EB3"/>
    <w:rsid w:val="001744F3"/>
    <w:rsid w:val="001823D4"/>
    <w:rsid w:val="00185955"/>
    <w:rsid w:val="00187AF7"/>
    <w:rsid w:val="001A7666"/>
    <w:rsid w:val="001B323F"/>
    <w:rsid w:val="001B5D37"/>
    <w:rsid w:val="001C1590"/>
    <w:rsid w:val="001D35FB"/>
    <w:rsid w:val="001E5D0E"/>
    <w:rsid w:val="001F1C16"/>
    <w:rsid w:val="001F3A49"/>
    <w:rsid w:val="001F6AC8"/>
    <w:rsid w:val="002026D0"/>
    <w:rsid w:val="00202AC4"/>
    <w:rsid w:val="002043CD"/>
    <w:rsid w:val="00210F32"/>
    <w:rsid w:val="00220FE1"/>
    <w:rsid w:val="002219EE"/>
    <w:rsid w:val="00246DE8"/>
    <w:rsid w:val="00282BC6"/>
    <w:rsid w:val="00287FF0"/>
    <w:rsid w:val="002957EA"/>
    <w:rsid w:val="002A2462"/>
    <w:rsid w:val="002C3248"/>
    <w:rsid w:val="002D06B6"/>
    <w:rsid w:val="002E6D67"/>
    <w:rsid w:val="00301FA3"/>
    <w:rsid w:val="00310E1C"/>
    <w:rsid w:val="00311324"/>
    <w:rsid w:val="003361C2"/>
    <w:rsid w:val="00341328"/>
    <w:rsid w:val="003447E5"/>
    <w:rsid w:val="00347E10"/>
    <w:rsid w:val="00362080"/>
    <w:rsid w:val="00376476"/>
    <w:rsid w:val="00383ECA"/>
    <w:rsid w:val="00384450"/>
    <w:rsid w:val="00395C84"/>
    <w:rsid w:val="003B0692"/>
    <w:rsid w:val="003B34E4"/>
    <w:rsid w:val="003D26B4"/>
    <w:rsid w:val="003D687B"/>
    <w:rsid w:val="00402E6F"/>
    <w:rsid w:val="004056EF"/>
    <w:rsid w:val="00410747"/>
    <w:rsid w:val="004118FD"/>
    <w:rsid w:val="00413098"/>
    <w:rsid w:val="00430281"/>
    <w:rsid w:val="00443C05"/>
    <w:rsid w:val="004457BD"/>
    <w:rsid w:val="0045731A"/>
    <w:rsid w:val="00477594"/>
    <w:rsid w:val="004A2094"/>
    <w:rsid w:val="004B533D"/>
    <w:rsid w:val="004E43F5"/>
    <w:rsid w:val="004E5C7A"/>
    <w:rsid w:val="004E68E1"/>
    <w:rsid w:val="004F318C"/>
    <w:rsid w:val="004F6ED4"/>
    <w:rsid w:val="00523A58"/>
    <w:rsid w:val="0052652E"/>
    <w:rsid w:val="005272FB"/>
    <w:rsid w:val="00533221"/>
    <w:rsid w:val="00537A30"/>
    <w:rsid w:val="00541C12"/>
    <w:rsid w:val="005427CB"/>
    <w:rsid w:val="00544A24"/>
    <w:rsid w:val="00551DBE"/>
    <w:rsid w:val="0055475C"/>
    <w:rsid w:val="00555781"/>
    <w:rsid w:val="00584820"/>
    <w:rsid w:val="00594663"/>
    <w:rsid w:val="005B4122"/>
    <w:rsid w:val="005B6F69"/>
    <w:rsid w:val="005C14D6"/>
    <w:rsid w:val="005C4940"/>
    <w:rsid w:val="005D0179"/>
    <w:rsid w:val="005D3331"/>
    <w:rsid w:val="005D6E6A"/>
    <w:rsid w:val="005E71A8"/>
    <w:rsid w:val="005E7FF0"/>
    <w:rsid w:val="005F0331"/>
    <w:rsid w:val="005F5A29"/>
    <w:rsid w:val="0060471D"/>
    <w:rsid w:val="0060731D"/>
    <w:rsid w:val="006137E5"/>
    <w:rsid w:val="0062296A"/>
    <w:rsid w:val="00623A53"/>
    <w:rsid w:val="00627DE4"/>
    <w:rsid w:val="00631B0E"/>
    <w:rsid w:val="00631C5A"/>
    <w:rsid w:val="00644356"/>
    <w:rsid w:val="006457C5"/>
    <w:rsid w:val="00654725"/>
    <w:rsid w:val="006550F2"/>
    <w:rsid w:val="00662803"/>
    <w:rsid w:val="00662B46"/>
    <w:rsid w:val="00664E80"/>
    <w:rsid w:val="006722EF"/>
    <w:rsid w:val="00681FA1"/>
    <w:rsid w:val="0068666B"/>
    <w:rsid w:val="00686783"/>
    <w:rsid w:val="006A531F"/>
    <w:rsid w:val="006B118D"/>
    <w:rsid w:val="006B3BE9"/>
    <w:rsid w:val="006E08BB"/>
    <w:rsid w:val="006F4209"/>
    <w:rsid w:val="0071092F"/>
    <w:rsid w:val="00722392"/>
    <w:rsid w:val="007308F5"/>
    <w:rsid w:val="00734DFE"/>
    <w:rsid w:val="00744E6E"/>
    <w:rsid w:val="00750169"/>
    <w:rsid w:val="007619A7"/>
    <w:rsid w:val="0076276F"/>
    <w:rsid w:val="007637CB"/>
    <w:rsid w:val="00766076"/>
    <w:rsid w:val="00770C20"/>
    <w:rsid w:val="007718D3"/>
    <w:rsid w:val="00772028"/>
    <w:rsid w:val="007807B3"/>
    <w:rsid w:val="00797CD5"/>
    <w:rsid w:val="007A3928"/>
    <w:rsid w:val="007A793C"/>
    <w:rsid w:val="007B37BA"/>
    <w:rsid w:val="007E1CB7"/>
    <w:rsid w:val="007F54B7"/>
    <w:rsid w:val="00803B63"/>
    <w:rsid w:val="008128DF"/>
    <w:rsid w:val="00812DD3"/>
    <w:rsid w:val="008130C5"/>
    <w:rsid w:val="0082286E"/>
    <w:rsid w:val="00824616"/>
    <w:rsid w:val="0083476C"/>
    <w:rsid w:val="008355A6"/>
    <w:rsid w:val="008424BB"/>
    <w:rsid w:val="0085418F"/>
    <w:rsid w:val="00855B5E"/>
    <w:rsid w:val="008808FE"/>
    <w:rsid w:val="00895009"/>
    <w:rsid w:val="008A28AE"/>
    <w:rsid w:val="008C1C16"/>
    <w:rsid w:val="008C27C1"/>
    <w:rsid w:val="008C56E6"/>
    <w:rsid w:val="008D3E7D"/>
    <w:rsid w:val="008F3BAF"/>
    <w:rsid w:val="0090561E"/>
    <w:rsid w:val="00915689"/>
    <w:rsid w:val="009156AE"/>
    <w:rsid w:val="009174B4"/>
    <w:rsid w:val="00933B62"/>
    <w:rsid w:val="009368D7"/>
    <w:rsid w:val="009375A1"/>
    <w:rsid w:val="00950E1D"/>
    <w:rsid w:val="00966EA6"/>
    <w:rsid w:val="00973843"/>
    <w:rsid w:val="00986F4E"/>
    <w:rsid w:val="00991E27"/>
    <w:rsid w:val="0099758C"/>
    <w:rsid w:val="009B2FD0"/>
    <w:rsid w:val="009B5AFD"/>
    <w:rsid w:val="009D1EB8"/>
    <w:rsid w:val="009E2581"/>
    <w:rsid w:val="009E2DC6"/>
    <w:rsid w:val="009F613C"/>
    <w:rsid w:val="00A009D3"/>
    <w:rsid w:val="00A12B59"/>
    <w:rsid w:val="00A13FB9"/>
    <w:rsid w:val="00A2035B"/>
    <w:rsid w:val="00A34AEC"/>
    <w:rsid w:val="00A378AF"/>
    <w:rsid w:val="00A4737E"/>
    <w:rsid w:val="00A47A6B"/>
    <w:rsid w:val="00A52CF5"/>
    <w:rsid w:val="00A70BC8"/>
    <w:rsid w:val="00A765B3"/>
    <w:rsid w:val="00A77C34"/>
    <w:rsid w:val="00A8340D"/>
    <w:rsid w:val="00A84624"/>
    <w:rsid w:val="00A85A2A"/>
    <w:rsid w:val="00A92D7F"/>
    <w:rsid w:val="00AA14A9"/>
    <w:rsid w:val="00AD0A17"/>
    <w:rsid w:val="00AD2EC0"/>
    <w:rsid w:val="00AD3DCB"/>
    <w:rsid w:val="00AD4D1F"/>
    <w:rsid w:val="00AE3D08"/>
    <w:rsid w:val="00AE5FD7"/>
    <w:rsid w:val="00AF4E94"/>
    <w:rsid w:val="00AF56AE"/>
    <w:rsid w:val="00B000DF"/>
    <w:rsid w:val="00B10CFC"/>
    <w:rsid w:val="00B13186"/>
    <w:rsid w:val="00B234DE"/>
    <w:rsid w:val="00B24900"/>
    <w:rsid w:val="00B3102F"/>
    <w:rsid w:val="00B34792"/>
    <w:rsid w:val="00B35E6C"/>
    <w:rsid w:val="00B47AE3"/>
    <w:rsid w:val="00B54582"/>
    <w:rsid w:val="00B550BB"/>
    <w:rsid w:val="00B63A54"/>
    <w:rsid w:val="00B90144"/>
    <w:rsid w:val="00B92A4C"/>
    <w:rsid w:val="00B9659A"/>
    <w:rsid w:val="00BA77A8"/>
    <w:rsid w:val="00BB11F3"/>
    <w:rsid w:val="00BB1856"/>
    <w:rsid w:val="00BB26EF"/>
    <w:rsid w:val="00BB3D35"/>
    <w:rsid w:val="00BB3E6C"/>
    <w:rsid w:val="00BC35A0"/>
    <w:rsid w:val="00BF31CA"/>
    <w:rsid w:val="00BF4718"/>
    <w:rsid w:val="00C01506"/>
    <w:rsid w:val="00C200A2"/>
    <w:rsid w:val="00C225C1"/>
    <w:rsid w:val="00C256AF"/>
    <w:rsid w:val="00C34A06"/>
    <w:rsid w:val="00C37026"/>
    <w:rsid w:val="00C4389A"/>
    <w:rsid w:val="00C45817"/>
    <w:rsid w:val="00C57CC8"/>
    <w:rsid w:val="00C703AC"/>
    <w:rsid w:val="00C71277"/>
    <w:rsid w:val="00C73492"/>
    <w:rsid w:val="00C83195"/>
    <w:rsid w:val="00C83786"/>
    <w:rsid w:val="00CA638B"/>
    <w:rsid w:val="00CB1F6A"/>
    <w:rsid w:val="00CB53EC"/>
    <w:rsid w:val="00CB7B8D"/>
    <w:rsid w:val="00CD5605"/>
    <w:rsid w:val="00CE0C4A"/>
    <w:rsid w:val="00CE7DB6"/>
    <w:rsid w:val="00CF0B5C"/>
    <w:rsid w:val="00CF20D0"/>
    <w:rsid w:val="00CF3036"/>
    <w:rsid w:val="00CF7D5F"/>
    <w:rsid w:val="00D05AC2"/>
    <w:rsid w:val="00D13580"/>
    <w:rsid w:val="00D16F5B"/>
    <w:rsid w:val="00D1779C"/>
    <w:rsid w:val="00D17925"/>
    <w:rsid w:val="00D32CCA"/>
    <w:rsid w:val="00D34E25"/>
    <w:rsid w:val="00D646FC"/>
    <w:rsid w:val="00D64E8C"/>
    <w:rsid w:val="00D93F08"/>
    <w:rsid w:val="00D95B3C"/>
    <w:rsid w:val="00DA3DEB"/>
    <w:rsid w:val="00DA7374"/>
    <w:rsid w:val="00DB5BA0"/>
    <w:rsid w:val="00DC273F"/>
    <w:rsid w:val="00DC306A"/>
    <w:rsid w:val="00DC6513"/>
    <w:rsid w:val="00DF681F"/>
    <w:rsid w:val="00E04A95"/>
    <w:rsid w:val="00E10BA4"/>
    <w:rsid w:val="00E35153"/>
    <w:rsid w:val="00E46968"/>
    <w:rsid w:val="00E51105"/>
    <w:rsid w:val="00E6456D"/>
    <w:rsid w:val="00E67448"/>
    <w:rsid w:val="00E77565"/>
    <w:rsid w:val="00E95031"/>
    <w:rsid w:val="00EA6DD4"/>
    <w:rsid w:val="00EB0853"/>
    <w:rsid w:val="00ED276D"/>
    <w:rsid w:val="00ED3464"/>
    <w:rsid w:val="00EF579C"/>
    <w:rsid w:val="00EF5A12"/>
    <w:rsid w:val="00EF6C93"/>
    <w:rsid w:val="00F37F18"/>
    <w:rsid w:val="00F51A99"/>
    <w:rsid w:val="00F53238"/>
    <w:rsid w:val="00F57562"/>
    <w:rsid w:val="00F73CAF"/>
    <w:rsid w:val="00F7524B"/>
    <w:rsid w:val="00F85D08"/>
    <w:rsid w:val="00FA1AD7"/>
    <w:rsid w:val="00FA4E2D"/>
    <w:rsid w:val="00FA5051"/>
    <w:rsid w:val="00FB072D"/>
    <w:rsid w:val="00FB25BF"/>
    <w:rsid w:val="00FC1C5C"/>
    <w:rsid w:val="00FD1B56"/>
    <w:rsid w:val="00FE2A39"/>
    <w:rsid w:val="00FE7E1C"/>
    <w:rsid w:val="00FF3FE1"/>
    <w:rsid w:val="00FF4791"/>
    <w:rsid w:val="00FF4FA5"/>
    <w:rsid w:val="00FF588A"/>
    <w:rsid w:val="35AD857A"/>
    <w:rsid w:val="5528B877"/>
    <w:rsid w:val="5868FE75"/>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0793494D"/>
  <w15:docId w15:val="{8C252AAE-287B-4A83-AE51-8BEA9D07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D7F"/>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rPr>
  </w:style>
  <w:style w:type="character" w:customStyle="1" w:styleId="NoSpacingChar">
    <w:name w:val="No Spacing Char"/>
    <w:basedOn w:val="DefaultParagraphFont"/>
    <w:link w:val="NoSpacing"/>
    <w:uiPriority w:val="1"/>
    <w:rsid w:val="00DA3DEB"/>
    <w:rPr>
      <w:kern w:val="0"/>
      <w:sz w:val="22"/>
      <w:szCs w:val="22"/>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customStyle="1" w:styleId="UnresolvedMention1">
    <w:name w:val="Unresolved Mention1"/>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alloonText">
    <w:name w:val="Balloon Text"/>
    <w:basedOn w:val="Normal"/>
    <w:link w:val="BalloonTextChar"/>
    <w:uiPriority w:val="99"/>
    <w:semiHidden/>
    <w:unhideWhenUsed/>
    <w:rsid w:val="0085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8F"/>
    <w:rPr>
      <w:rFonts w:ascii="Tahoma" w:hAnsi="Tahoma" w:cs="Tahoma"/>
      <w:sz w:val="16"/>
      <w:szCs w:val="16"/>
    </w:rPr>
  </w:style>
  <w:style w:type="paragraph" w:styleId="NormalWeb">
    <w:name w:val="Normal (Web)"/>
    <w:basedOn w:val="Normal"/>
    <w:uiPriority w:val="99"/>
    <w:unhideWhenUsed/>
    <w:rsid w:val="0085418F"/>
    <w:pPr>
      <w:spacing w:before="100" w:beforeAutospacing="1" w:after="100" w:afterAutospacing="1" w:line="240" w:lineRule="auto"/>
    </w:pPr>
    <w:rPr>
      <w:rFonts w:ascii="Times New Roman" w:eastAsia="Times New Roman" w:hAnsi="Times New Roman" w:cs="Times New Roman"/>
      <w:kern w:val="0"/>
      <w:lang w:eastAsia="en-GB"/>
    </w:rPr>
  </w:style>
  <w:style w:type="character" w:styleId="UnresolvedMention">
    <w:name w:val="Unresolved Mention"/>
    <w:basedOn w:val="DefaultParagraphFont"/>
    <w:uiPriority w:val="99"/>
    <w:semiHidden/>
    <w:unhideWhenUsed/>
    <w:rsid w:val="005427CB"/>
    <w:rPr>
      <w:color w:val="605E5C"/>
      <w:shd w:val="clear" w:color="auto" w:fill="E1DFDD"/>
    </w:rPr>
  </w:style>
  <w:style w:type="paragraph" w:styleId="Bibliography">
    <w:name w:val="Bibliography"/>
    <w:basedOn w:val="Normal"/>
    <w:next w:val="Normal"/>
    <w:uiPriority w:val="37"/>
    <w:unhideWhenUsed/>
    <w:rsid w:val="00A47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6380">
      <w:bodyDiv w:val="1"/>
      <w:marLeft w:val="0"/>
      <w:marRight w:val="0"/>
      <w:marTop w:val="0"/>
      <w:marBottom w:val="0"/>
      <w:divBdr>
        <w:top w:val="none" w:sz="0" w:space="0" w:color="auto"/>
        <w:left w:val="none" w:sz="0" w:space="0" w:color="auto"/>
        <w:bottom w:val="none" w:sz="0" w:space="0" w:color="auto"/>
        <w:right w:val="none" w:sz="0" w:space="0" w:color="auto"/>
      </w:divBdr>
    </w:div>
    <w:div w:id="132725099">
      <w:bodyDiv w:val="1"/>
      <w:marLeft w:val="0"/>
      <w:marRight w:val="0"/>
      <w:marTop w:val="0"/>
      <w:marBottom w:val="0"/>
      <w:divBdr>
        <w:top w:val="none" w:sz="0" w:space="0" w:color="auto"/>
        <w:left w:val="none" w:sz="0" w:space="0" w:color="auto"/>
        <w:bottom w:val="none" w:sz="0" w:space="0" w:color="auto"/>
        <w:right w:val="none" w:sz="0" w:space="0" w:color="auto"/>
      </w:divBdr>
    </w:div>
    <w:div w:id="213010788">
      <w:bodyDiv w:val="1"/>
      <w:marLeft w:val="0"/>
      <w:marRight w:val="0"/>
      <w:marTop w:val="0"/>
      <w:marBottom w:val="0"/>
      <w:divBdr>
        <w:top w:val="none" w:sz="0" w:space="0" w:color="auto"/>
        <w:left w:val="none" w:sz="0" w:space="0" w:color="auto"/>
        <w:bottom w:val="none" w:sz="0" w:space="0" w:color="auto"/>
        <w:right w:val="none" w:sz="0" w:space="0" w:color="auto"/>
      </w:divBdr>
    </w:div>
    <w:div w:id="316108170">
      <w:bodyDiv w:val="1"/>
      <w:marLeft w:val="0"/>
      <w:marRight w:val="0"/>
      <w:marTop w:val="0"/>
      <w:marBottom w:val="0"/>
      <w:divBdr>
        <w:top w:val="none" w:sz="0" w:space="0" w:color="auto"/>
        <w:left w:val="none" w:sz="0" w:space="0" w:color="auto"/>
        <w:bottom w:val="none" w:sz="0" w:space="0" w:color="auto"/>
        <w:right w:val="none" w:sz="0" w:space="0" w:color="auto"/>
      </w:divBdr>
    </w:div>
    <w:div w:id="330914922">
      <w:bodyDiv w:val="1"/>
      <w:marLeft w:val="0"/>
      <w:marRight w:val="0"/>
      <w:marTop w:val="0"/>
      <w:marBottom w:val="0"/>
      <w:divBdr>
        <w:top w:val="none" w:sz="0" w:space="0" w:color="auto"/>
        <w:left w:val="none" w:sz="0" w:space="0" w:color="auto"/>
        <w:bottom w:val="none" w:sz="0" w:space="0" w:color="auto"/>
        <w:right w:val="none" w:sz="0" w:space="0" w:color="auto"/>
      </w:divBdr>
    </w:div>
    <w:div w:id="406923312">
      <w:bodyDiv w:val="1"/>
      <w:marLeft w:val="0"/>
      <w:marRight w:val="0"/>
      <w:marTop w:val="0"/>
      <w:marBottom w:val="0"/>
      <w:divBdr>
        <w:top w:val="none" w:sz="0" w:space="0" w:color="auto"/>
        <w:left w:val="none" w:sz="0" w:space="0" w:color="auto"/>
        <w:bottom w:val="none" w:sz="0" w:space="0" w:color="auto"/>
        <w:right w:val="none" w:sz="0" w:space="0" w:color="auto"/>
      </w:divBdr>
    </w:div>
    <w:div w:id="424494976">
      <w:bodyDiv w:val="1"/>
      <w:marLeft w:val="0"/>
      <w:marRight w:val="0"/>
      <w:marTop w:val="0"/>
      <w:marBottom w:val="0"/>
      <w:divBdr>
        <w:top w:val="none" w:sz="0" w:space="0" w:color="auto"/>
        <w:left w:val="none" w:sz="0" w:space="0" w:color="auto"/>
        <w:bottom w:val="none" w:sz="0" w:space="0" w:color="auto"/>
        <w:right w:val="none" w:sz="0" w:space="0" w:color="auto"/>
      </w:divBdr>
    </w:div>
    <w:div w:id="445466355">
      <w:bodyDiv w:val="1"/>
      <w:marLeft w:val="0"/>
      <w:marRight w:val="0"/>
      <w:marTop w:val="0"/>
      <w:marBottom w:val="0"/>
      <w:divBdr>
        <w:top w:val="none" w:sz="0" w:space="0" w:color="auto"/>
        <w:left w:val="none" w:sz="0" w:space="0" w:color="auto"/>
        <w:bottom w:val="none" w:sz="0" w:space="0" w:color="auto"/>
        <w:right w:val="none" w:sz="0" w:space="0" w:color="auto"/>
      </w:divBdr>
    </w:div>
    <w:div w:id="447041544">
      <w:bodyDiv w:val="1"/>
      <w:marLeft w:val="0"/>
      <w:marRight w:val="0"/>
      <w:marTop w:val="0"/>
      <w:marBottom w:val="0"/>
      <w:divBdr>
        <w:top w:val="none" w:sz="0" w:space="0" w:color="auto"/>
        <w:left w:val="none" w:sz="0" w:space="0" w:color="auto"/>
        <w:bottom w:val="none" w:sz="0" w:space="0" w:color="auto"/>
        <w:right w:val="none" w:sz="0" w:space="0" w:color="auto"/>
      </w:divBdr>
    </w:div>
    <w:div w:id="457333061">
      <w:bodyDiv w:val="1"/>
      <w:marLeft w:val="0"/>
      <w:marRight w:val="0"/>
      <w:marTop w:val="0"/>
      <w:marBottom w:val="0"/>
      <w:divBdr>
        <w:top w:val="none" w:sz="0" w:space="0" w:color="auto"/>
        <w:left w:val="none" w:sz="0" w:space="0" w:color="auto"/>
        <w:bottom w:val="none" w:sz="0" w:space="0" w:color="auto"/>
        <w:right w:val="none" w:sz="0" w:space="0" w:color="auto"/>
      </w:divBdr>
    </w:div>
    <w:div w:id="466969196">
      <w:bodyDiv w:val="1"/>
      <w:marLeft w:val="0"/>
      <w:marRight w:val="0"/>
      <w:marTop w:val="0"/>
      <w:marBottom w:val="0"/>
      <w:divBdr>
        <w:top w:val="none" w:sz="0" w:space="0" w:color="auto"/>
        <w:left w:val="none" w:sz="0" w:space="0" w:color="auto"/>
        <w:bottom w:val="none" w:sz="0" w:space="0" w:color="auto"/>
        <w:right w:val="none" w:sz="0" w:space="0" w:color="auto"/>
      </w:divBdr>
    </w:div>
    <w:div w:id="489752131">
      <w:bodyDiv w:val="1"/>
      <w:marLeft w:val="0"/>
      <w:marRight w:val="0"/>
      <w:marTop w:val="0"/>
      <w:marBottom w:val="0"/>
      <w:divBdr>
        <w:top w:val="none" w:sz="0" w:space="0" w:color="auto"/>
        <w:left w:val="none" w:sz="0" w:space="0" w:color="auto"/>
        <w:bottom w:val="none" w:sz="0" w:space="0" w:color="auto"/>
        <w:right w:val="none" w:sz="0" w:space="0" w:color="auto"/>
      </w:divBdr>
    </w:div>
    <w:div w:id="516697332">
      <w:bodyDiv w:val="1"/>
      <w:marLeft w:val="0"/>
      <w:marRight w:val="0"/>
      <w:marTop w:val="0"/>
      <w:marBottom w:val="0"/>
      <w:divBdr>
        <w:top w:val="none" w:sz="0" w:space="0" w:color="auto"/>
        <w:left w:val="none" w:sz="0" w:space="0" w:color="auto"/>
        <w:bottom w:val="none" w:sz="0" w:space="0" w:color="auto"/>
        <w:right w:val="none" w:sz="0" w:space="0" w:color="auto"/>
      </w:divBdr>
    </w:div>
    <w:div w:id="521171781">
      <w:bodyDiv w:val="1"/>
      <w:marLeft w:val="0"/>
      <w:marRight w:val="0"/>
      <w:marTop w:val="0"/>
      <w:marBottom w:val="0"/>
      <w:divBdr>
        <w:top w:val="none" w:sz="0" w:space="0" w:color="auto"/>
        <w:left w:val="none" w:sz="0" w:space="0" w:color="auto"/>
        <w:bottom w:val="none" w:sz="0" w:space="0" w:color="auto"/>
        <w:right w:val="none" w:sz="0" w:space="0" w:color="auto"/>
      </w:divBdr>
    </w:div>
    <w:div w:id="661009216">
      <w:bodyDiv w:val="1"/>
      <w:marLeft w:val="0"/>
      <w:marRight w:val="0"/>
      <w:marTop w:val="0"/>
      <w:marBottom w:val="0"/>
      <w:divBdr>
        <w:top w:val="none" w:sz="0" w:space="0" w:color="auto"/>
        <w:left w:val="none" w:sz="0" w:space="0" w:color="auto"/>
        <w:bottom w:val="none" w:sz="0" w:space="0" w:color="auto"/>
        <w:right w:val="none" w:sz="0" w:space="0" w:color="auto"/>
      </w:divBdr>
    </w:div>
    <w:div w:id="707486319">
      <w:bodyDiv w:val="1"/>
      <w:marLeft w:val="0"/>
      <w:marRight w:val="0"/>
      <w:marTop w:val="0"/>
      <w:marBottom w:val="0"/>
      <w:divBdr>
        <w:top w:val="none" w:sz="0" w:space="0" w:color="auto"/>
        <w:left w:val="none" w:sz="0" w:space="0" w:color="auto"/>
        <w:bottom w:val="none" w:sz="0" w:space="0" w:color="auto"/>
        <w:right w:val="none" w:sz="0" w:space="0" w:color="auto"/>
      </w:divBdr>
    </w:div>
    <w:div w:id="775977546">
      <w:bodyDiv w:val="1"/>
      <w:marLeft w:val="0"/>
      <w:marRight w:val="0"/>
      <w:marTop w:val="0"/>
      <w:marBottom w:val="0"/>
      <w:divBdr>
        <w:top w:val="none" w:sz="0" w:space="0" w:color="auto"/>
        <w:left w:val="none" w:sz="0" w:space="0" w:color="auto"/>
        <w:bottom w:val="none" w:sz="0" w:space="0" w:color="auto"/>
        <w:right w:val="none" w:sz="0" w:space="0" w:color="auto"/>
      </w:divBdr>
    </w:div>
    <w:div w:id="883759659">
      <w:bodyDiv w:val="1"/>
      <w:marLeft w:val="0"/>
      <w:marRight w:val="0"/>
      <w:marTop w:val="0"/>
      <w:marBottom w:val="0"/>
      <w:divBdr>
        <w:top w:val="none" w:sz="0" w:space="0" w:color="auto"/>
        <w:left w:val="none" w:sz="0" w:space="0" w:color="auto"/>
        <w:bottom w:val="none" w:sz="0" w:space="0" w:color="auto"/>
        <w:right w:val="none" w:sz="0" w:space="0" w:color="auto"/>
      </w:divBdr>
    </w:div>
    <w:div w:id="888422426">
      <w:bodyDiv w:val="1"/>
      <w:marLeft w:val="0"/>
      <w:marRight w:val="0"/>
      <w:marTop w:val="0"/>
      <w:marBottom w:val="0"/>
      <w:divBdr>
        <w:top w:val="none" w:sz="0" w:space="0" w:color="auto"/>
        <w:left w:val="none" w:sz="0" w:space="0" w:color="auto"/>
        <w:bottom w:val="none" w:sz="0" w:space="0" w:color="auto"/>
        <w:right w:val="none" w:sz="0" w:space="0" w:color="auto"/>
      </w:divBdr>
    </w:div>
    <w:div w:id="891428677">
      <w:bodyDiv w:val="1"/>
      <w:marLeft w:val="0"/>
      <w:marRight w:val="0"/>
      <w:marTop w:val="0"/>
      <w:marBottom w:val="0"/>
      <w:divBdr>
        <w:top w:val="none" w:sz="0" w:space="0" w:color="auto"/>
        <w:left w:val="none" w:sz="0" w:space="0" w:color="auto"/>
        <w:bottom w:val="none" w:sz="0" w:space="0" w:color="auto"/>
        <w:right w:val="none" w:sz="0" w:space="0" w:color="auto"/>
      </w:divBdr>
    </w:div>
    <w:div w:id="1011375752">
      <w:bodyDiv w:val="1"/>
      <w:marLeft w:val="0"/>
      <w:marRight w:val="0"/>
      <w:marTop w:val="0"/>
      <w:marBottom w:val="0"/>
      <w:divBdr>
        <w:top w:val="none" w:sz="0" w:space="0" w:color="auto"/>
        <w:left w:val="none" w:sz="0" w:space="0" w:color="auto"/>
        <w:bottom w:val="none" w:sz="0" w:space="0" w:color="auto"/>
        <w:right w:val="none" w:sz="0" w:space="0" w:color="auto"/>
      </w:divBdr>
    </w:div>
    <w:div w:id="1046837701">
      <w:bodyDiv w:val="1"/>
      <w:marLeft w:val="0"/>
      <w:marRight w:val="0"/>
      <w:marTop w:val="0"/>
      <w:marBottom w:val="0"/>
      <w:divBdr>
        <w:top w:val="none" w:sz="0" w:space="0" w:color="auto"/>
        <w:left w:val="none" w:sz="0" w:space="0" w:color="auto"/>
        <w:bottom w:val="none" w:sz="0" w:space="0" w:color="auto"/>
        <w:right w:val="none" w:sz="0" w:space="0" w:color="auto"/>
      </w:divBdr>
    </w:div>
    <w:div w:id="1061632600">
      <w:bodyDiv w:val="1"/>
      <w:marLeft w:val="0"/>
      <w:marRight w:val="0"/>
      <w:marTop w:val="0"/>
      <w:marBottom w:val="0"/>
      <w:divBdr>
        <w:top w:val="none" w:sz="0" w:space="0" w:color="auto"/>
        <w:left w:val="none" w:sz="0" w:space="0" w:color="auto"/>
        <w:bottom w:val="none" w:sz="0" w:space="0" w:color="auto"/>
        <w:right w:val="none" w:sz="0" w:space="0" w:color="auto"/>
      </w:divBdr>
    </w:div>
    <w:div w:id="1079209211">
      <w:bodyDiv w:val="1"/>
      <w:marLeft w:val="0"/>
      <w:marRight w:val="0"/>
      <w:marTop w:val="0"/>
      <w:marBottom w:val="0"/>
      <w:divBdr>
        <w:top w:val="none" w:sz="0" w:space="0" w:color="auto"/>
        <w:left w:val="none" w:sz="0" w:space="0" w:color="auto"/>
        <w:bottom w:val="none" w:sz="0" w:space="0" w:color="auto"/>
        <w:right w:val="none" w:sz="0" w:space="0" w:color="auto"/>
      </w:divBdr>
    </w:div>
    <w:div w:id="1110125082">
      <w:bodyDiv w:val="1"/>
      <w:marLeft w:val="0"/>
      <w:marRight w:val="0"/>
      <w:marTop w:val="0"/>
      <w:marBottom w:val="0"/>
      <w:divBdr>
        <w:top w:val="none" w:sz="0" w:space="0" w:color="auto"/>
        <w:left w:val="none" w:sz="0" w:space="0" w:color="auto"/>
        <w:bottom w:val="none" w:sz="0" w:space="0" w:color="auto"/>
        <w:right w:val="none" w:sz="0" w:space="0" w:color="auto"/>
      </w:divBdr>
    </w:div>
    <w:div w:id="1151752252">
      <w:bodyDiv w:val="1"/>
      <w:marLeft w:val="0"/>
      <w:marRight w:val="0"/>
      <w:marTop w:val="0"/>
      <w:marBottom w:val="0"/>
      <w:divBdr>
        <w:top w:val="none" w:sz="0" w:space="0" w:color="auto"/>
        <w:left w:val="none" w:sz="0" w:space="0" w:color="auto"/>
        <w:bottom w:val="none" w:sz="0" w:space="0" w:color="auto"/>
        <w:right w:val="none" w:sz="0" w:space="0" w:color="auto"/>
      </w:divBdr>
    </w:div>
    <w:div w:id="1251886843">
      <w:bodyDiv w:val="1"/>
      <w:marLeft w:val="0"/>
      <w:marRight w:val="0"/>
      <w:marTop w:val="0"/>
      <w:marBottom w:val="0"/>
      <w:divBdr>
        <w:top w:val="none" w:sz="0" w:space="0" w:color="auto"/>
        <w:left w:val="none" w:sz="0" w:space="0" w:color="auto"/>
        <w:bottom w:val="none" w:sz="0" w:space="0" w:color="auto"/>
        <w:right w:val="none" w:sz="0" w:space="0" w:color="auto"/>
      </w:divBdr>
    </w:div>
    <w:div w:id="1262492603">
      <w:bodyDiv w:val="1"/>
      <w:marLeft w:val="0"/>
      <w:marRight w:val="0"/>
      <w:marTop w:val="0"/>
      <w:marBottom w:val="0"/>
      <w:divBdr>
        <w:top w:val="none" w:sz="0" w:space="0" w:color="auto"/>
        <w:left w:val="none" w:sz="0" w:space="0" w:color="auto"/>
        <w:bottom w:val="none" w:sz="0" w:space="0" w:color="auto"/>
        <w:right w:val="none" w:sz="0" w:space="0" w:color="auto"/>
      </w:divBdr>
    </w:div>
    <w:div w:id="1304967548">
      <w:bodyDiv w:val="1"/>
      <w:marLeft w:val="0"/>
      <w:marRight w:val="0"/>
      <w:marTop w:val="0"/>
      <w:marBottom w:val="0"/>
      <w:divBdr>
        <w:top w:val="none" w:sz="0" w:space="0" w:color="auto"/>
        <w:left w:val="none" w:sz="0" w:space="0" w:color="auto"/>
        <w:bottom w:val="none" w:sz="0" w:space="0" w:color="auto"/>
        <w:right w:val="none" w:sz="0" w:space="0" w:color="auto"/>
      </w:divBdr>
    </w:div>
    <w:div w:id="1315648044">
      <w:bodyDiv w:val="1"/>
      <w:marLeft w:val="0"/>
      <w:marRight w:val="0"/>
      <w:marTop w:val="0"/>
      <w:marBottom w:val="0"/>
      <w:divBdr>
        <w:top w:val="none" w:sz="0" w:space="0" w:color="auto"/>
        <w:left w:val="none" w:sz="0" w:space="0" w:color="auto"/>
        <w:bottom w:val="none" w:sz="0" w:space="0" w:color="auto"/>
        <w:right w:val="none" w:sz="0" w:space="0" w:color="auto"/>
      </w:divBdr>
    </w:div>
    <w:div w:id="1389958540">
      <w:bodyDiv w:val="1"/>
      <w:marLeft w:val="0"/>
      <w:marRight w:val="0"/>
      <w:marTop w:val="0"/>
      <w:marBottom w:val="0"/>
      <w:divBdr>
        <w:top w:val="none" w:sz="0" w:space="0" w:color="auto"/>
        <w:left w:val="none" w:sz="0" w:space="0" w:color="auto"/>
        <w:bottom w:val="none" w:sz="0" w:space="0" w:color="auto"/>
        <w:right w:val="none" w:sz="0" w:space="0" w:color="auto"/>
      </w:divBdr>
    </w:div>
    <w:div w:id="1397557264">
      <w:bodyDiv w:val="1"/>
      <w:marLeft w:val="0"/>
      <w:marRight w:val="0"/>
      <w:marTop w:val="0"/>
      <w:marBottom w:val="0"/>
      <w:divBdr>
        <w:top w:val="none" w:sz="0" w:space="0" w:color="auto"/>
        <w:left w:val="none" w:sz="0" w:space="0" w:color="auto"/>
        <w:bottom w:val="none" w:sz="0" w:space="0" w:color="auto"/>
        <w:right w:val="none" w:sz="0" w:space="0" w:color="auto"/>
      </w:divBdr>
    </w:div>
    <w:div w:id="1427532319">
      <w:bodyDiv w:val="1"/>
      <w:marLeft w:val="0"/>
      <w:marRight w:val="0"/>
      <w:marTop w:val="0"/>
      <w:marBottom w:val="0"/>
      <w:divBdr>
        <w:top w:val="none" w:sz="0" w:space="0" w:color="auto"/>
        <w:left w:val="none" w:sz="0" w:space="0" w:color="auto"/>
        <w:bottom w:val="none" w:sz="0" w:space="0" w:color="auto"/>
        <w:right w:val="none" w:sz="0" w:space="0" w:color="auto"/>
      </w:divBdr>
    </w:div>
    <w:div w:id="1572425167">
      <w:bodyDiv w:val="1"/>
      <w:marLeft w:val="0"/>
      <w:marRight w:val="0"/>
      <w:marTop w:val="0"/>
      <w:marBottom w:val="0"/>
      <w:divBdr>
        <w:top w:val="none" w:sz="0" w:space="0" w:color="auto"/>
        <w:left w:val="none" w:sz="0" w:space="0" w:color="auto"/>
        <w:bottom w:val="none" w:sz="0" w:space="0" w:color="auto"/>
        <w:right w:val="none" w:sz="0" w:space="0" w:color="auto"/>
      </w:divBdr>
    </w:div>
    <w:div w:id="1584029746">
      <w:bodyDiv w:val="1"/>
      <w:marLeft w:val="0"/>
      <w:marRight w:val="0"/>
      <w:marTop w:val="0"/>
      <w:marBottom w:val="0"/>
      <w:divBdr>
        <w:top w:val="none" w:sz="0" w:space="0" w:color="auto"/>
        <w:left w:val="none" w:sz="0" w:space="0" w:color="auto"/>
        <w:bottom w:val="none" w:sz="0" w:space="0" w:color="auto"/>
        <w:right w:val="none" w:sz="0" w:space="0" w:color="auto"/>
      </w:divBdr>
    </w:div>
    <w:div w:id="1626932668">
      <w:bodyDiv w:val="1"/>
      <w:marLeft w:val="0"/>
      <w:marRight w:val="0"/>
      <w:marTop w:val="0"/>
      <w:marBottom w:val="0"/>
      <w:divBdr>
        <w:top w:val="none" w:sz="0" w:space="0" w:color="auto"/>
        <w:left w:val="none" w:sz="0" w:space="0" w:color="auto"/>
        <w:bottom w:val="none" w:sz="0" w:space="0" w:color="auto"/>
        <w:right w:val="none" w:sz="0" w:space="0" w:color="auto"/>
      </w:divBdr>
    </w:div>
    <w:div w:id="1646661993">
      <w:bodyDiv w:val="1"/>
      <w:marLeft w:val="0"/>
      <w:marRight w:val="0"/>
      <w:marTop w:val="0"/>
      <w:marBottom w:val="0"/>
      <w:divBdr>
        <w:top w:val="none" w:sz="0" w:space="0" w:color="auto"/>
        <w:left w:val="none" w:sz="0" w:space="0" w:color="auto"/>
        <w:bottom w:val="none" w:sz="0" w:space="0" w:color="auto"/>
        <w:right w:val="none" w:sz="0" w:space="0" w:color="auto"/>
      </w:divBdr>
    </w:div>
    <w:div w:id="1673024346">
      <w:bodyDiv w:val="1"/>
      <w:marLeft w:val="0"/>
      <w:marRight w:val="0"/>
      <w:marTop w:val="0"/>
      <w:marBottom w:val="0"/>
      <w:divBdr>
        <w:top w:val="none" w:sz="0" w:space="0" w:color="auto"/>
        <w:left w:val="none" w:sz="0" w:space="0" w:color="auto"/>
        <w:bottom w:val="none" w:sz="0" w:space="0" w:color="auto"/>
        <w:right w:val="none" w:sz="0" w:space="0" w:color="auto"/>
      </w:divBdr>
    </w:div>
    <w:div w:id="1721048774">
      <w:bodyDiv w:val="1"/>
      <w:marLeft w:val="0"/>
      <w:marRight w:val="0"/>
      <w:marTop w:val="0"/>
      <w:marBottom w:val="0"/>
      <w:divBdr>
        <w:top w:val="none" w:sz="0" w:space="0" w:color="auto"/>
        <w:left w:val="none" w:sz="0" w:space="0" w:color="auto"/>
        <w:bottom w:val="none" w:sz="0" w:space="0" w:color="auto"/>
        <w:right w:val="none" w:sz="0" w:space="0" w:color="auto"/>
      </w:divBdr>
    </w:div>
    <w:div w:id="1990746344">
      <w:bodyDiv w:val="1"/>
      <w:marLeft w:val="0"/>
      <w:marRight w:val="0"/>
      <w:marTop w:val="0"/>
      <w:marBottom w:val="0"/>
      <w:divBdr>
        <w:top w:val="none" w:sz="0" w:space="0" w:color="auto"/>
        <w:left w:val="none" w:sz="0" w:space="0" w:color="auto"/>
        <w:bottom w:val="none" w:sz="0" w:space="0" w:color="auto"/>
        <w:right w:val="none" w:sz="0" w:space="0" w:color="auto"/>
      </w:divBdr>
    </w:div>
    <w:div w:id="1997566252">
      <w:bodyDiv w:val="1"/>
      <w:marLeft w:val="0"/>
      <w:marRight w:val="0"/>
      <w:marTop w:val="0"/>
      <w:marBottom w:val="0"/>
      <w:divBdr>
        <w:top w:val="none" w:sz="0" w:space="0" w:color="auto"/>
        <w:left w:val="none" w:sz="0" w:space="0" w:color="auto"/>
        <w:bottom w:val="none" w:sz="0" w:space="0" w:color="auto"/>
        <w:right w:val="none" w:sz="0" w:space="0" w:color="auto"/>
      </w:divBdr>
    </w:div>
    <w:div w:id="1998604772">
      <w:bodyDiv w:val="1"/>
      <w:marLeft w:val="0"/>
      <w:marRight w:val="0"/>
      <w:marTop w:val="0"/>
      <w:marBottom w:val="0"/>
      <w:divBdr>
        <w:top w:val="none" w:sz="0" w:space="0" w:color="auto"/>
        <w:left w:val="none" w:sz="0" w:space="0" w:color="auto"/>
        <w:bottom w:val="none" w:sz="0" w:space="0" w:color="auto"/>
        <w:right w:val="none" w:sz="0" w:space="0" w:color="auto"/>
      </w:divBdr>
    </w:div>
    <w:div w:id="2076582808">
      <w:bodyDiv w:val="1"/>
      <w:marLeft w:val="0"/>
      <w:marRight w:val="0"/>
      <w:marTop w:val="0"/>
      <w:marBottom w:val="0"/>
      <w:divBdr>
        <w:top w:val="none" w:sz="0" w:space="0" w:color="auto"/>
        <w:left w:val="none" w:sz="0" w:space="0" w:color="auto"/>
        <w:bottom w:val="none" w:sz="0" w:space="0" w:color="auto"/>
        <w:right w:val="none" w:sz="0" w:space="0" w:color="auto"/>
      </w:divBdr>
    </w:div>
    <w:div w:id="2079354759">
      <w:bodyDiv w:val="1"/>
      <w:marLeft w:val="0"/>
      <w:marRight w:val="0"/>
      <w:marTop w:val="0"/>
      <w:marBottom w:val="0"/>
      <w:divBdr>
        <w:top w:val="none" w:sz="0" w:space="0" w:color="auto"/>
        <w:left w:val="none" w:sz="0" w:space="0" w:color="auto"/>
        <w:bottom w:val="none" w:sz="0" w:space="0" w:color="auto"/>
        <w:right w:val="none" w:sz="0" w:space="0" w:color="auto"/>
      </w:divBdr>
    </w:div>
    <w:div w:id="2082294211">
      <w:bodyDiv w:val="1"/>
      <w:marLeft w:val="0"/>
      <w:marRight w:val="0"/>
      <w:marTop w:val="0"/>
      <w:marBottom w:val="0"/>
      <w:divBdr>
        <w:top w:val="none" w:sz="0" w:space="0" w:color="auto"/>
        <w:left w:val="none" w:sz="0" w:space="0" w:color="auto"/>
        <w:bottom w:val="none" w:sz="0" w:space="0" w:color="auto"/>
        <w:right w:val="none" w:sz="0" w:space="0" w:color="auto"/>
      </w:divBdr>
    </w:div>
    <w:div w:id="2088069083">
      <w:bodyDiv w:val="1"/>
      <w:marLeft w:val="0"/>
      <w:marRight w:val="0"/>
      <w:marTop w:val="0"/>
      <w:marBottom w:val="0"/>
      <w:divBdr>
        <w:top w:val="none" w:sz="0" w:space="0" w:color="auto"/>
        <w:left w:val="none" w:sz="0" w:space="0" w:color="auto"/>
        <w:bottom w:val="none" w:sz="0" w:space="0" w:color="auto"/>
        <w:right w:val="none" w:sz="0" w:space="0" w:color="auto"/>
      </w:divBdr>
    </w:div>
    <w:div w:id="214272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6.svg"/><Relationship Id="rId26" Type="http://schemas.openxmlformats.org/officeDocument/2006/relationships/image" Target="media/image14.svg"/><Relationship Id="rId21" Type="http://schemas.openxmlformats.org/officeDocument/2006/relationships/image" Target="media/image9.png"/><Relationship Id="rId34" Type="http://schemas.openxmlformats.org/officeDocument/2006/relationships/image" Target="media/image22.sv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8.sv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svg"/><Relationship Id="rId32" Type="http://schemas.openxmlformats.org/officeDocument/2006/relationships/image" Target="media/image20.sv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sv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owtsd-my.sharepoint.com/:p:/g/personal/2429335_student_uwtsd_ac_uk/IQDj5p5Ir568TKA5_8MUcxRmAbtgl78fOQjQJ7ybJfqr44g?e=b0CFvB" TargetMode="External"/><Relationship Id="rId22" Type="http://schemas.openxmlformats.org/officeDocument/2006/relationships/image" Target="media/image10.svg"/><Relationship Id="rId27" Type="http://schemas.openxmlformats.org/officeDocument/2006/relationships/image" Target="media/image15.png"/><Relationship Id="rId30" Type="http://schemas.openxmlformats.org/officeDocument/2006/relationships/image" Target="media/image18.svg"/><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9" ma:contentTypeDescription="Create a new document." ma:contentTypeScope="" ma:versionID="95857c1e4d27a5b3f26782ce33c0cdac">
  <xsd:schema xmlns:xsd="http://www.w3.org/2001/XMLSchema" xmlns:xs="http://www.w3.org/2001/XMLSchema" xmlns:p="http://schemas.microsoft.com/office/2006/metadata/properties" xmlns:ns3="37a0acea-1511-41cc-bfdb-5619dd373231" targetNamespace="http://schemas.microsoft.com/office/2006/metadata/properties" ma:root="true" ma:fieldsID="7c578044c934bc510394b1681d4270ee"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Jai21</b:Tag>
    <b:SourceType>JournalArticle</b:SourceType>
    <b:Guid>{7D04BF4E-E4F4-46B3-B9B9-FC73306A1106}</b:Guid>
    <b:Title>A survey of phishing attack techniques, defence mechanisms and open research challenges</b:Title>
    <b:Year>2021</b:Year>
    <b:Pages>527–565</b:Pages>
    <b:Volume>16</b:Volume>
    <b:Author>
      <b:Author>
        <b:NameList>
          <b:Person>
            <b:Last>Jain</b:Last>
            <b:First>A. K</b:First>
          </b:Person>
          <b:Person>
            <b:Last>Gupta</b:Last>
            <b:First>B. B</b:First>
          </b:Person>
        </b:NameList>
      </b:Author>
    </b:Author>
    <b:RefOrder>1</b:RefOrder>
  </b:Source>
  <b:Source>
    <b:Tag>Kha16</b:Tag>
    <b:SourceType>JournalArticle</b:SourceType>
    <b:Guid>{C885FD66-DF9D-417F-8AC0-47C72C469E29}</b:Guid>
    <b:Title>Cutting the Gordian knot: A look under the hood of ransomware attacks</b:Title>
    <b:Year>2016</b:Year>
    <b:Pages>279–294</b:Pages>
    <b:Author>
      <b:Author>
        <b:NameList>
          <b:Person>
            <b:Last>Kharraz</b:Last>
            <b:First>A</b:First>
          </b:Person>
          <b:Person>
            <b:Last>Robertson</b:Last>
            <b:First>W</b:First>
          </b:Person>
          <b:Person>
            <b:Last>Balzarotti</b:Last>
            <b:First>D</b:First>
          </b:Person>
          <b:Person>
            <b:Last>Bilge</b:Last>
            <b:First>L</b:First>
          </b:Person>
          <b:Person>
            <b:Last>Kirda</b:Last>
            <b:First>E</b:First>
          </b:Person>
        </b:NameList>
      </b:Author>
    </b:Author>
    <b:RefOrder>2</b:RefOrder>
  </b:Source>
  <b:Source>
    <b:Tag>Che14</b:Tag>
    <b:SourceType>JournalArticle</b:SourceType>
    <b:Guid>{F277F55B-95C6-49AF-ABAE-9E3D6C1ED574}</b:Guid>
    <b:Title>A study on advanced persistent threats</b:Title>
    <b:Year>2014</b:Year>
    <b:Pages>1–10</b:Pages>
    <b:Volume>12</b:Volume>
    <b:Author>
      <b:Author>
        <b:NameList>
          <b:Person>
            <b:Last>Chen</b:Last>
            <b:First>P</b:First>
          </b:Person>
          <b:Person>
            <b:Last>Desmet</b:Last>
            <b:First>L</b:First>
          </b:Person>
          <b:Person>
            <b:Last>Huygens</b:Last>
            <b:First>C</b:First>
          </b:Person>
        </b:NameList>
      </b:Author>
    </b:Author>
    <b:RefOrder>3</b:RefOrder>
  </b:Source>
  <b:Source>
    <b:Tag>Cum12</b:Tag>
    <b:SourceType>JournalArticle</b:SourceType>
    <b:Guid>{E476CDF1-AF20-41D6-A7EE-393E09F6BFED}</b:Guid>
    <b:Title>Insider threat modeling and simulation</b:Title>
    <b:Year>2012</b:Year>
    <b:Author>
      <b:Author>
        <b:NameList>
          <b:Person>
            <b:Last>Cummings</b:Last>
            <b:First>C</b:First>
          </b:Person>
          <b:Person>
            <b:Last>Misra</b:Last>
            <b:First>S</b:First>
          </b:Person>
          <b:Person>
            <b:Last>Upton</b:Last>
            <b:First>D</b:First>
          </b:Person>
          <b:Person>
            <b:Last>Sarma</b:Last>
            <b:First>S</b:First>
          </b:Person>
        </b:NameList>
      </b:Author>
    </b:Author>
    <b:RefOrder>4</b:RefOrder>
  </b:Source>
  <b:Source>
    <b:Tag>Ing10</b:Tag>
    <b:SourceType>JournalArticle</b:SourceType>
    <b:Guid>{68C785FA-BF95-44B5-BBCC-5C07CED10669}</b:Guid>
    <b:Title>The true cost of unusable password policies: Password use in the wild</b:Title>
    <b:Year>2010</b:Year>
    <b:Author>
      <b:Author>
        <b:NameList>
          <b:Person>
            <b:Last>Inglesant</b:Last>
            <b:First>P</b:First>
          </b:Person>
          <b:Person>
            <b:Last>Sasse</b:Last>
            <b:First>M.A</b:First>
          </b:Person>
        </b:NameList>
      </b:Author>
    </b:Author>
    <b:RefOrder>5</b:RefOrder>
  </b:Source>
  <b:Source>
    <b:Tag>Nat18</b:Tag>
    <b:SourceType>JournalArticle</b:SourceType>
    <b:Guid>{DC4C11B2-7B00-4EF6-A544-62D093DD291C}</b:Guid>
    <b:Author>
      <b:Author>
        <b:Corporate>National Institute of Standards and Technology (NIST)</b:Corporate>
      </b:Author>
    </b:Author>
    <b:Title>Framework for Improving Critical Infrastructure Cybersecurity</b:Title>
    <b:Year>2018</b:Year>
    <b:RefOrder>6</b:RefOrder>
  </b:Source>
  <b:Source>
    <b:Tag>SAN20</b:Tag>
    <b:SourceType>JournalArticle</b:SourceType>
    <b:Guid>{72E5F0C4-9AB2-4E2F-99C7-F05E4D3A8086}</b:Guid>
    <b:Author>
      <b:Author>
        <b:Corporate>SANS Institute</b:Corporate>
      </b:Author>
    </b:Author>
    <b:Title>Acceptable use policy</b:Title>
    <b:Year>2020</b:Year>
    <b:RefOrder>7</b:RefOrder>
  </b:Source>
  <b:Source>
    <b:Tag>Sha16</b:Tag>
    <b:SourceType>JournalArticle</b:SourceType>
    <b:Guid>{C2E6CE4E-4504-49A1-A086-696B3C1723CE}</b:Guid>
    <b:Title>Can long passwords be secure and usable?</b:Title>
    <b:Year>2016</b:Year>
    <b:Pages>2927–2938</b:Pages>
    <b:Author>
      <b:Author>
        <b:NameList>
          <b:Person>
            <b:Last>Shay et al</b:Last>
            <b:First>R.</b:First>
          </b:Person>
        </b:NameList>
      </b:Author>
    </b:Author>
    <b:RefOrder>8</b:RefOrder>
  </b:Source>
  <b:Source>
    <b:Tag>Kha21</b:Tag>
    <b:SourceType>JournalArticle</b:SourceType>
    <b:Guid>{2E4804D8-5A19-421E-B474-AF9618A0603A}</b:Guid>
    <b:Title>Data classification: A systematic review and future research directions</b:Title>
    <b:Year>2021</b:Year>
    <b:Pages>106463</b:Pages>
    <b:Volume>130</b:Volume>
    <b:Author>
      <b:Author>
        <b:NameList>
          <b:Person>
            <b:Last>Khan</b:Last>
            <b:First>S.U</b:First>
          </b:Person>
          <b:Person>
            <b:Last>Albarghothi</b:Last>
            <b:First>R.W</b:First>
          </b:Person>
          <b:Person>
            <b:Last>Ghorbani</b:Last>
            <b:First>A.A</b:First>
          </b:Person>
        </b:NameList>
      </b:Author>
    </b:Author>
    <b:RefOrder>9</b:RefOrder>
  </b:Source>
  <b:Source>
    <b:Tag>Cic12</b:Tag>
    <b:SourceType>JournalArticle</b:SourceType>
    <b:Guid>{4FDBB8AB-BFDF-4FFF-B5A4-66935B79A932}</b:Guid>
    <b:Title>Computer Security Incident Handling Guide</b:Title>
    <b:Year>2012</b:Year>
    <b:Author>
      <b:Author>
        <b:NameList>
          <b:Person>
            <b:Last>Cichonski</b:Last>
            <b:First>P</b:First>
          </b:Person>
          <b:Person>
            <b:Last>Millar</b:Last>
            <b:First>T</b:First>
          </b:Person>
          <b:Person>
            <b:Last>Grance</b:Last>
            <b:First>T</b:First>
          </b:Person>
          <b:Person>
            <b:Last>Scarfone</b:Last>
            <b:First>K</b:First>
          </b:Person>
        </b:NameList>
      </b:Author>
    </b:Author>
    <b:RefOrder>10</b:RefOrder>
  </b:Source>
  <b:Source>
    <b:Tag>Ome18</b:Tag>
    <b:SourceType>JournalArticle</b:SourceType>
    <b:Guid>{58F9A02E-61E1-4952-9701-A13E9CBFADEE}</b:Guid>
    <b:Title>Security and privacy for multi-factor authentication systems</b:Title>
    <b:Year>2018</b:Year>
    <b:Pages>42–48,</b:Pages>
    <b:Volume>56</b:Volume>
    <b:Author>
      <b:Author>
        <b:NameList>
          <b:Person>
            <b:Last>Ometov et al</b:Last>
            <b:First>A</b:First>
          </b:Person>
        </b:NameList>
      </b:Author>
    </b:Author>
    <b:RefOrder>11</b:RefOrder>
  </b:Source>
  <b:Source>
    <b:Tag>Bar19</b:Tag>
    <b:SourceType>JournalArticle</b:SourceType>
    <b:Guid>{A6EA8626-63CE-437C-BDDF-50E1004E753F}</b:Guid>
    <b:Title>Recommendation for Transitioning the Use of Cryptographic Algorithms and Key Lengths</b:Title>
    <b:Year>2019</b:Year>
    <b:Author>
      <b:Author>
        <b:NameList>
          <b:Person>
            <b:Last>Barker</b:Last>
            <b:First>E</b:First>
          </b:Person>
          <b:Person>
            <b:Last>Roginsky</b:Last>
            <b:First>A</b:First>
          </b:Person>
        </b:NameList>
      </b:Author>
    </b:Author>
    <b:RefOrder>12</b:RefOrder>
  </b:Source>
  <b:Source>
    <b:Tag>Men18</b:Tag>
    <b:SourceType>JournalArticle</b:SourceType>
    <b:Guid>{C396292C-6122-4001-AD8A-99230F74BB52}</b:Guid>
    <b:Title>A security architecture for endpoint detection and response</b:Title>
    <b:Year>2018</b:Year>
    <b:Pages>37–50</b:Pages>
    <b:Volume>78</b:Volume>
    <b:Author>
      <b:Author>
        <b:NameList>
          <b:Person>
            <b:Last>Menges</b:Last>
            <b:First>F</b:First>
          </b:Person>
          <b:Person>
            <b:Last>Pernul</b:Last>
            <b:First>G</b:First>
          </b:Person>
        </b:NameList>
      </b:Author>
    </b:Author>
    <b:RefOrder>13</b:RefOrder>
  </b:Source>
  <b:Source>
    <b:Tag>Puh10</b:Tag>
    <b:SourceType>JournalArticle</b:SourceType>
    <b:Guid>{4910F716-6C9C-49D5-816E-9A3FF9D55C89}</b:Guid>
    <b:Title>improving employees’ compliance through information systems security training</b:Title>
    <b:Year>2010</b:Year>
    <b:Pages>757–778</b:Pages>
    <b:Volume>34</b:Volume>
    <b:Author>
      <b:Author>
        <b:NameList>
          <b:Person>
            <b:Last>Puhakainen</b:Last>
            <b:First>T</b:First>
          </b:Person>
          <b:Person>
            <b:Last>Siponen</b:Last>
            <b:First>M</b:First>
          </b:Person>
        </b:NameList>
      </b:Author>
    </b:Author>
    <b:RefOrder>14</b:RefOrder>
  </b:Source>
  <b:Source>
    <b:Tag>Jen17</b:Tag>
    <b:SourceType>JournalArticle</b:SourceType>
    <b:Guid>{6E99A644-F949-4716-89D1-833457F7A800}</b:Guid>
    <b:Title>Training to mitigate phishing attacks</b:Title>
    <b:Year>2017</b:Year>
    <b:Pages>597–626</b:Pages>
    <b:Volume>34</b:Volume>
    <b:Author>
      <b:Author>
        <b:NameList>
          <b:Person>
            <b:Last>Jensen</b:Last>
            <b:First>M</b:First>
          </b:Person>
          <b:Person>
            <b:Last>Dinger</b:Last>
            <b:First>J</b:First>
          </b:Person>
          <b:Person>
            <b:Last>Wright</b:Last>
            <b:First>T</b:First>
          </b:Person>
          <b:Person>
            <b:Last>Thatcher</b:Last>
            <b:First>J</b:First>
          </b:Person>
        </b:NameList>
      </b:Author>
    </b:Author>
    <b:RefOrder>15</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A2ED59-01DF-4DF3-9296-0486A9C28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9EFF92BA-E879-4451-BDFF-ECA261B721DF}">
  <ds:schemaRefs>
    <ds:schemaRef ds:uri="http://schemas.openxmlformats.org/officeDocument/2006/bibliography"/>
  </ds:schemaRefs>
</ds:datastoreItem>
</file>

<file path=customXml/itemProps5.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6629</TotalTime>
  <Pages>22</Pages>
  <Words>4135</Words>
  <Characters>23572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27652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NCE</dc:title>
  <dc:subject>Assignment 2: Computer Architecture &amp; Operating Systems</dc:subject>
  <dc:creator>Admin</dc:creator>
  <cp:keywords/>
  <cp:lastModifiedBy>Anthony Kituxi Alberto Mathias (2429335)</cp:lastModifiedBy>
  <cp:revision>228</cp:revision>
  <dcterms:created xsi:type="dcterms:W3CDTF">2025-10-13T05:52:00Z</dcterms:created>
  <dcterms:modified xsi:type="dcterms:W3CDTF">2025-12-26T01:37:00Z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