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3D5A" w:rsidRDefault="00160527" w:rsidP="004760FD">
      <w:pPr>
        <w:pStyle w:val="NormalWeb"/>
        <w:spacing w:before="0" w:beforeAutospacing="0" w:after="0" w:afterAutospacing="0"/>
        <w:ind w:left="-180" w:right="-334"/>
        <w:rPr>
          <w:lang w:val="cy-GB"/>
        </w:rPr>
      </w:pPr>
      <w:bookmarkStart w:id="0" w:name="_GoBack"/>
      <w:bookmarkEnd w:id="0"/>
      <w:r>
        <w:rPr>
          <w:noProof/>
          <w:lang w:eastAsia="en-GB"/>
        </w:rPr>
        <w:drawing>
          <wp:inline distT="0" distB="0" distL="0" distR="0">
            <wp:extent cx="2743200" cy="9779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977900"/>
                    </a:xfrm>
                    <a:prstGeom prst="rect">
                      <a:avLst/>
                    </a:prstGeom>
                    <a:noFill/>
                    <a:ln w="19050" cmpd="sng">
                      <a:solidFill>
                        <a:srgbClr val="000000"/>
                      </a:solidFill>
                      <a:miter lim="800000"/>
                      <a:headEnd/>
                      <a:tailEnd/>
                    </a:ln>
                    <a:effectLst/>
                  </pic:spPr>
                </pic:pic>
              </a:graphicData>
            </a:graphic>
          </wp:inline>
        </w:drawing>
      </w:r>
    </w:p>
    <w:p w:rsidR="00F33D5A" w:rsidRDefault="00F33D5A" w:rsidP="004760FD">
      <w:pPr>
        <w:pStyle w:val="Heading1"/>
        <w:rPr>
          <w:lang w:val="cy-GB"/>
        </w:rPr>
      </w:pPr>
      <w:r>
        <w:rPr>
          <w:lang w:val="cy-GB"/>
        </w:rPr>
        <w:t xml:space="preserve">Postgraduate Dissertation </w:t>
      </w:r>
      <w:r w:rsidRPr="0065654E">
        <w:rPr>
          <w:lang w:val="cy-GB"/>
        </w:rPr>
        <w:t>coversheet</w:t>
      </w:r>
      <w:r>
        <w:rPr>
          <w:lang w:val="cy-GB"/>
        </w:rPr>
        <w:t>&amp;</w:t>
      </w:r>
      <w:r w:rsidRPr="0065654E">
        <w:rPr>
          <w:lang w:val="cy-GB"/>
        </w:rPr>
        <w:t>feedback form</w:t>
      </w:r>
      <w:r>
        <w:rPr>
          <w:lang w:val="cy-GB"/>
        </w:rPr>
        <w:t xml:space="preserve">: </w:t>
      </w:r>
    </w:p>
    <w:p w:rsidR="00F33D5A" w:rsidRPr="002E67CE" w:rsidRDefault="00F33D5A" w:rsidP="004760FD">
      <w:pPr>
        <w:rPr>
          <w:lang w:val="cy-GB"/>
        </w:rPr>
      </w:pPr>
    </w:p>
    <w:p w:rsidR="00F33D5A" w:rsidRDefault="00F33D5A" w:rsidP="004760FD">
      <w:pPr>
        <w:pStyle w:val="Heading3"/>
        <w:jc w:val="center"/>
        <w:rPr>
          <w:lang w:val="cy-GB"/>
        </w:rPr>
      </w:pPr>
      <w:r>
        <w:rPr>
          <w:lang w:val="cy-GB"/>
        </w:rPr>
        <w:t>THIS SHEET MUST BE THE FIRST PAGE OF THE ASSIGNMENT YOU ARE SUBMITTING  (DO NOT SEND AS A SEPARATE FILE)</w:t>
      </w:r>
    </w:p>
    <w:p w:rsidR="00F33D5A" w:rsidRDefault="00F33D5A"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65"/>
        <w:gridCol w:w="423"/>
        <w:gridCol w:w="284"/>
        <w:gridCol w:w="1195"/>
        <w:gridCol w:w="282"/>
        <w:gridCol w:w="1701"/>
        <w:gridCol w:w="80"/>
      </w:tblGrid>
      <w:tr w:rsidR="00F33D5A" w:rsidRPr="002F467C" w:rsidTr="00337503">
        <w:trPr>
          <w:gridAfter w:val="1"/>
          <w:wAfter w:w="101" w:type="dxa"/>
          <w:trHeight w:val="614"/>
        </w:trPr>
        <w:tc>
          <w:tcPr>
            <w:tcW w:w="8751" w:type="dxa"/>
            <w:gridSpan w:val="6"/>
          </w:tcPr>
          <w:p w:rsidR="00F33D5A" w:rsidRPr="002F467C"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F33D5A" w:rsidRPr="002F467C" w:rsidTr="00337503">
        <w:trPr>
          <w:gridAfter w:val="1"/>
          <w:wAfter w:w="101" w:type="dxa"/>
          <w:trHeight w:val="718"/>
        </w:trPr>
        <w:tc>
          <w:tcPr>
            <w:tcW w:w="8751" w:type="dxa"/>
            <w:gridSpan w:val="6"/>
          </w:tcPr>
          <w:p w:rsidR="00F33D5A" w:rsidRPr="00F76C18" w:rsidRDefault="00F33D5A" w:rsidP="000004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36"/>
                <w:szCs w:val="24"/>
              </w:rPr>
              <w:t>IMOGEN SAFARI FLEUR GREY</w:t>
            </w:r>
          </w:p>
          <w:p w:rsidR="00F33D5A" w:rsidRPr="002F467C"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rPr>
              <w:t xml:space="preserve">Email: </w:t>
            </w:r>
            <w:r>
              <w:rPr>
                <w:rFonts w:ascii="Calibri" w:hAnsi="Calibri" w:cs="Tahoma"/>
                <w:i/>
                <w:sz w:val="24"/>
                <w:szCs w:val="24"/>
              </w:rPr>
              <w:t>1201925@student.uwtsd.ac.uk</w:t>
            </w:r>
          </w:p>
        </w:tc>
      </w:tr>
      <w:tr w:rsidR="00F33D5A" w:rsidRPr="002F467C" w:rsidTr="00337503">
        <w:trPr>
          <w:gridAfter w:val="1"/>
          <w:wAfter w:w="101" w:type="dxa"/>
          <w:trHeight w:val="849"/>
        </w:trPr>
        <w:tc>
          <w:tcPr>
            <w:tcW w:w="4788" w:type="dxa"/>
          </w:tcPr>
          <w:p w:rsidR="00F33D5A" w:rsidRDefault="00F33D5A" w:rsidP="000004C1">
            <w:pPr>
              <w:pStyle w:val="NormalWeb"/>
              <w:spacing w:before="0" w:beforeAutospacing="0" w:after="0" w:afterAutospacing="0"/>
              <w:ind w:right="34"/>
              <w:rPr>
                <w:rFonts w:ascii="Calibri" w:hAnsi="Calibri" w:cs="Tahoma"/>
                <w:i/>
                <w:sz w:val="24"/>
                <w:szCs w:val="24"/>
              </w:rPr>
            </w:pPr>
          </w:p>
          <w:p w:rsidR="00F33D5A" w:rsidRPr="002F467C"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AHAN7025</w:t>
            </w:r>
          </w:p>
        </w:tc>
        <w:tc>
          <w:tcPr>
            <w:tcW w:w="2262" w:type="dxa"/>
            <w:gridSpan w:val="4"/>
          </w:tcPr>
          <w:p w:rsidR="00F33D5A"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F33D5A" w:rsidRPr="002F467C" w:rsidRDefault="00F33D5A"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1201925</w:t>
            </w:r>
          </w:p>
        </w:tc>
        <w:tc>
          <w:tcPr>
            <w:tcW w:w="1701" w:type="dxa"/>
          </w:tcPr>
          <w:p w:rsidR="00F33D5A" w:rsidRPr="002F467C"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F33D5A" w:rsidRPr="002F467C" w:rsidRDefault="00F33D5A"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F33D5A" w:rsidRPr="002F467C" w:rsidTr="00337503">
        <w:trPr>
          <w:gridAfter w:val="1"/>
          <w:wAfter w:w="101" w:type="dxa"/>
          <w:trHeight w:val="820"/>
        </w:trPr>
        <w:tc>
          <w:tcPr>
            <w:tcW w:w="8751" w:type="dxa"/>
            <w:gridSpan w:val="6"/>
          </w:tcPr>
          <w:p w:rsidR="00F33D5A" w:rsidRDefault="00F33D5A"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rsidR="00F33D5A" w:rsidRDefault="00F33D5A" w:rsidP="000004C1">
            <w:pPr>
              <w:pStyle w:val="NormalWeb"/>
              <w:spacing w:before="0" w:beforeAutospacing="0" w:after="0" w:afterAutospacing="0"/>
              <w:ind w:right="34"/>
              <w:rPr>
                <w:rFonts w:ascii="Calibri" w:hAnsi="Calibri" w:cs="Tahoma"/>
                <w:i/>
                <w:sz w:val="24"/>
                <w:szCs w:val="24"/>
              </w:rPr>
            </w:pPr>
          </w:p>
          <w:p w:rsidR="00F33D5A" w:rsidRPr="00337503" w:rsidRDefault="00F33D5A" w:rsidP="00337503">
            <w:pPr>
              <w:jc w:val="center"/>
              <w:rPr>
                <w:rFonts w:ascii="Arial" w:hAnsi="Arial" w:cs="Arial"/>
              </w:rPr>
            </w:pPr>
            <w:r w:rsidRPr="00337503">
              <w:rPr>
                <w:rFonts w:ascii="Arial" w:hAnsi="Arial" w:cs="Arial"/>
              </w:rPr>
              <w:t xml:space="preserve">'REFLECTING ON ASTRONOMY AND HOROLOGY IN THE LITERARY MYTHOLOGIES OF WESTERN ASIA AND ARCHAIC </w:t>
            </w:r>
            <w:smartTag w:uri="urn:schemas-microsoft-com:office:smarttags" w:element="country-region">
              <w:smartTag w:uri="urn:schemas-microsoft-com:office:smarttags" w:element="place">
                <w:r w:rsidRPr="00337503">
                  <w:rPr>
                    <w:rFonts w:ascii="Arial" w:hAnsi="Arial" w:cs="Arial"/>
                  </w:rPr>
                  <w:t>GREECE</w:t>
                </w:r>
              </w:smartTag>
            </w:smartTag>
            <w:r w:rsidRPr="00337503">
              <w:rPr>
                <w:rFonts w:ascii="Arial" w:hAnsi="Arial" w:cs="Arial"/>
              </w:rPr>
              <w:t xml:space="preserve">: </w:t>
            </w:r>
          </w:p>
          <w:p w:rsidR="00F33D5A" w:rsidRPr="00337503" w:rsidRDefault="00F33D5A" w:rsidP="00337503">
            <w:pPr>
              <w:jc w:val="center"/>
              <w:rPr>
                <w:rFonts w:ascii="Arial" w:hAnsi="Arial" w:cs="Arial"/>
              </w:rPr>
            </w:pPr>
            <w:r w:rsidRPr="00337503">
              <w:rPr>
                <w:rFonts w:ascii="Arial" w:hAnsi="Arial" w:cs="Arial"/>
              </w:rPr>
              <w:t xml:space="preserve">TO WHAT EXTENT IS THE COSMOLOGY OF HOMER’S </w:t>
            </w:r>
            <w:r w:rsidRPr="00337503">
              <w:rPr>
                <w:rFonts w:ascii="Arial" w:hAnsi="Arial" w:cs="Arial"/>
                <w:i/>
              </w:rPr>
              <w:t xml:space="preserve">ODYSSEY </w:t>
            </w:r>
            <w:r w:rsidRPr="00337503">
              <w:rPr>
                <w:rFonts w:ascii="Arial" w:hAnsi="Arial" w:cs="Arial"/>
              </w:rPr>
              <w:t>INFLUENCED BY MESOPOTAMIAN LITERATURE?’</w:t>
            </w:r>
          </w:p>
          <w:p w:rsidR="00F33D5A" w:rsidRPr="00F76C18" w:rsidRDefault="00F33D5A" w:rsidP="000004C1">
            <w:pPr>
              <w:pStyle w:val="NormalWeb"/>
              <w:spacing w:before="0" w:beforeAutospacing="0" w:after="0" w:afterAutospacing="0"/>
              <w:ind w:right="34"/>
              <w:rPr>
                <w:rFonts w:ascii="Calibri" w:hAnsi="Calibri" w:cs="Tahoma"/>
                <w:i/>
                <w:sz w:val="36"/>
                <w:szCs w:val="24"/>
              </w:rPr>
            </w:pPr>
          </w:p>
        </w:tc>
      </w:tr>
      <w:tr w:rsidR="00F33D5A" w:rsidRPr="002F467C" w:rsidTr="00337503">
        <w:trPr>
          <w:gridAfter w:val="1"/>
          <w:wAfter w:w="101" w:type="dxa"/>
          <w:trHeight w:val="539"/>
        </w:trPr>
        <w:tc>
          <w:tcPr>
            <w:tcW w:w="5495" w:type="dxa"/>
            <w:gridSpan w:val="3"/>
          </w:tcPr>
          <w:p w:rsidR="00F33D5A" w:rsidRPr="002F467C" w:rsidRDefault="00F33D5A"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w:t>
            </w:r>
            <w:r>
              <w:rPr>
                <w:rFonts w:ascii="Calibri" w:hAnsi="Calibri" w:cs="Tahoma"/>
                <w:sz w:val="24"/>
                <w:szCs w:val="24"/>
              </w:rPr>
              <w:t>DR BERNADETTE BRADY</w:t>
            </w:r>
          </w:p>
        </w:tc>
        <w:tc>
          <w:tcPr>
            <w:tcW w:w="3256" w:type="dxa"/>
            <w:gridSpan w:val="3"/>
          </w:tcPr>
          <w:p w:rsidR="00F33D5A" w:rsidRPr="00337503" w:rsidRDefault="00F33D5A" w:rsidP="000004C1">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Pr>
                <w:rFonts w:ascii="Calibri" w:hAnsi="Calibri" w:cs="Tahoma"/>
                <w:sz w:val="24"/>
                <w:szCs w:val="24"/>
              </w:rPr>
              <w:t>14,963</w:t>
            </w:r>
          </w:p>
        </w:tc>
      </w:tr>
      <w:tr w:rsidR="00F33D5A" w:rsidRPr="002F467C" w:rsidTr="00337503">
        <w:trPr>
          <w:gridAfter w:val="1"/>
          <w:wAfter w:w="101" w:type="dxa"/>
          <w:trHeight w:val="978"/>
        </w:trPr>
        <w:tc>
          <w:tcPr>
            <w:tcW w:w="8751" w:type="dxa"/>
            <w:gridSpan w:val="6"/>
            <w:shd w:val="clear" w:color="auto" w:fill="D9D9D9"/>
          </w:tcPr>
          <w:p w:rsidR="00F33D5A" w:rsidRPr="00BB1492" w:rsidRDefault="00F33D5A"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rsidR="00F33D5A" w:rsidRPr="00BB1492" w:rsidRDefault="00F33D5A"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 xml:space="preserve"> IMOGEN SAFARI FLEUR GREY </w:t>
            </w:r>
            <w:r w:rsidRPr="00BB1492">
              <w:rPr>
                <w:rFonts w:ascii="Calibri" w:hAnsi="Calibri" w:cs="Tahoma"/>
                <w:color w:val="auto"/>
                <w:sz w:val="24"/>
                <w:szCs w:val="24"/>
              </w:rPr>
              <w:t>…………………</w:t>
            </w:r>
          </w:p>
          <w:p w:rsidR="00F33D5A" w:rsidRPr="00BB1492" w:rsidRDefault="00F33D5A"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r>
              <w:rPr>
                <w:rFonts w:ascii="Calibri" w:hAnsi="Calibri" w:cs="Calibri"/>
                <w:b/>
                <w:sz w:val="44"/>
                <w:szCs w:val="44"/>
              </w:rPr>
              <w:sym w:font="Wingdings" w:char="F0FE"/>
            </w:r>
          </w:p>
          <w:p w:rsidR="00F33D5A" w:rsidRPr="00BB1492" w:rsidRDefault="00F33D5A"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F33D5A" w:rsidRPr="002F467C" w:rsidTr="00337503">
        <w:trPr>
          <w:gridAfter w:val="1"/>
          <w:wAfter w:w="101" w:type="dxa"/>
          <w:trHeight w:val="3972"/>
        </w:trPr>
        <w:tc>
          <w:tcPr>
            <w:tcW w:w="8751" w:type="dxa"/>
            <w:gridSpan w:val="6"/>
          </w:tcPr>
          <w:p w:rsidR="00F33D5A" w:rsidRPr="002F467C" w:rsidRDefault="00F33D5A"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F33D5A" w:rsidRDefault="00F33D5A" w:rsidP="000004C1">
            <w:pPr>
              <w:pStyle w:val="NormalWeb"/>
              <w:rPr>
                <w:rFonts w:ascii="Calibri" w:hAnsi="Calibri" w:cs="Tahoma"/>
                <w:sz w:val="24"/>
                <w:szCs w:val="24"/>
              </w:rPr>
            </w:pPr>
            <w:r w:rsidRPr="002F467C">
              <w:rPr>
                <w:rFonts w:ascii="Calibri" w:hAnsi="Calibri" w:cs="Tahoma"/>
                <w:i/>
                <w:sz w:val="24"/>
                <w:szCs w:val="24"/>
              </w:rPr>
              <w:t>Comments:</w:t>
            </w:r>
            <w:r>
              <w:rPr>
                <w:rFonts w:ascii="Calibri" w:hAnsi="Calibri" w:cs="Tahoma"/>
                <w:sz w:val="24"/>
                <w:szCs w:val="24"/>
              </w:rPr>
              <w:t>Note: This dissertation is marked under the new marking system, where 50% is the lowest passing mark.</w:t>
            </w:r>
          </w:p>
          <w:p w:rsidR="00F33D5A" w:rsidRDefault="00F33D5A" w:rsidP="000004C1">
            <w:pPr>
              <w:pStyle w:val="NormalWeb"/>
              <w:rPr>
                <w:rFonts w:ascii="Calibri" w:hAnsi="Calibri" w:cs="Tahoma"/>
                <w:sz w:val="24"/>
                <w:szCs w:val="24"/>
              </w:rPr>
            </w:pPr>
            <w:r>
              <w:rPr>
                <w:rFonts w:ascii="Calibri" w:hAnsi="Calibri" w:cs="Tahoma"/>
                <w:sz w:val="24"/>
                <w:szCs w:val="24"/>
              </w:rPr>
              <w:t xml:space="preserve">The dissertation outlines the history of scholarship in the area of the cross-cultural connections between Homer’s works (here mainly the </w:t>
            </w:r>
            <w:r w:rsidRPr="00E630FE">
              <w:rPr>
                <w:rFonts w:ascii="Calibri" w:hAnsi="Calibri" w:cs="Tahoma"/>
                <w:i/>
                <w:sz w:val="24"/>
                <w:szCs w:val="24"/>
              </w:rPr>
              <w:t>Odyssey</w:t>
            </w:r>
            <w:r>
              <w:rPr>
                <w:rFonts w:ascii="Calibri" w:hAnsi="Calibri" w:cs="Tahoma"/>
                <w:sz w:val="24"/>
                <w:szCs w:val="24"/>
              </w:rPr>
              <w:t xml:space="preserve">) and Mesopotamian works like the Gilgamesh epic and </w:t>
            </w:r>
            <w:r w:rsidRPr="00E630FE">
              <w:rPr>
                <w:rFonts w:ascii="Calibri" w:hAnsi="Calibri" w:cs="Tahoma"/>
                <w:i/>
                <w:sz w:val="24"/>
                <w:szCs w:val="24"/>
              </w:rPr>
              <w:t>Atrahasis</w:t>
            </w:r>
            <w:r>
              <w:rPr>
                <w:rFonts w:ascii="Calibri" w:hAnsi="Calibri" w:cs="Tahoma"/>
                <w:sz w:val="24"/>
                <w:szCs w:val="24"/>
              </w:rPr>
              <w:t>. The intention is to focus on the astronomical and horological connections and borrowings from Mesopotamian practices in Homer. The connections between Homer and Mesopotamian works have a long history in scholarship, from Jensen and others in the late 19</w:t>
            </w:r>
            <w:r w:rsidRPr="000E1BF0">
              <w:rPr>
                <w:rFonts w:ascii="Calibri" w:hAnsi="Calibri" w:cs="Tahoma"/>
                <w:sz w:val="24"/>
                <w:szCs w:val="24"/>
                <w:vertAlign w:val="superscript"/>
              </w:rPr>
              <w:t>th</w:t>
            </w:r>
            <w:r>
              <w:rPr>
                <w:rFonts w:ascii="Calibri" w:hAnsi="Calibri" w:cs="Tahoma"/>
                <w:sz w:val="24"/>
                <w:szCs w:val="24"/>
              </w:rPr>
              <w:t xml:space="preserve"> and early 20</w:t>
            </w:r>
            <w:r w:rsidRPr="00E630FE">
              <w:rPr>
                <w:rFonts w:ascii="Calibri" w:hAnsi="Calibri" w:cs="Tahoma"/>
                <w:sz w:val="24"/>
                <w:szCs w:val="24"/>
                <w:vertAlign w:val="superscript"/>
              </w:rPr>
              <w:t>th</w:t>
            </w:r>
            <w:r>
              <w:rPr>
                <w:rFonts w:ascii="Calibri" w:hAnsi="Calibri" w:cs="Tahoma"/>
                <w:sz w:val="24"/>
                <w:szCs w:val="24"/>
              </w:rPr>
              <w:t xml:space="preserve"> centuries through to recent works such as that by Jeffrey Cooley. Your focus is on the astronomical portions of Homer as derived from </w:t>
            </w:r>
            <w:smartTag w:uri="urn:schemas-microsoft-com:office:smarttags" w:element="place">
              <w:r>
                <w:rPr>
                  <w:rFonts w:ascii="Calibri" w:hAnsi="Calibri" w:cs="Tahoma"/>
                  <w:sz w:val="24"/>
                  <w:szCs w:val="24"/>
                </w:rPr>
                <w:t>Mesopotamia</w:t>
              </w:r>
            </w:smartTag>
            <w:r>
              <w:rPr>
                <w:rFonts w:ascii="Calibri" w:hAnsi="Calibri" w:cs="Tahoma"/>
                <w:sz w:val="24"/>
                <w:szCs w:val="24"/>
              </w:rPr>
              <w:t xml:space="preserve">. These too have been addressed in scholarly literature (see, e.g., Cooley, </w:t>
            </w:r>
            <w:r w:rsidRPr="000E1BF0">
              <w:rPr>
                <w:rFonts w:ascii="Calibri" w:hAnsi="Calibri" w:cs="Tahoma"/>
                <w:i/>
                <w:sz w:val="24"/>
                <w:szCs w:val="24"/>
              </w:rPr>
              <w:t>Poetic Astronomy</w:t>
            </w:r>
            <w:r>
              <w:rPr>
                <w:rFonts w:ascii="Calibri" w:hAnsi="Calibri" w:cs="Tahoma"/>
                <w:sz w:val="24"/>
                <w:szCs w:val="24"/>
              </w:rPr>
              <w:t xml:space="preserve">). </w:t>
            </w:r>
          </w:p>
          <w:p w:rsidR="00F33D5A" w:rsidRDefault="00F33D5A" w:rsidP="000004C1">
            <w:pPr>
              <w:pStyle w:val="NormalWeb"/>
              <w:rPr>
                <w:rFonts w:ascii="Calibri" w:hAnsi="Calibri" w:cs="Tahoma"/>
                <w:sz w:val="24"/>
                <w:szCs w:val="24"/>
              </w:rPr>
            </w:pPr>
            <w:r>
              <w:rPr>
                <w:rFonts w:ascii="Calibri" w:hAnsi="Calibri" w:cs="Tahoma"/>
                <w:sz w:val="24"/>
                <w:szCs w:val="24"/>
              </w:rPr>
              <w:t>Chapter 1 is a good beginning, where you list the examples of cultural transmission in Homer, using the examples covered by scholars such as West, Burkert, Penglase, Louden and Dalley. This material is mostly appropriately referenced; however, there are two places where you have not attributed the ideas and words of Dalley and Burkert (pp. 3 and 7): I have expanded on your incorrect use of sources and referencing below.</w:t>
            </w:r>
          </w:p>
          <w:p w:rsidR="00F33D5A" w:rsidRDefault="00F33D5A" w:rsidP="000004C1">
            <w:pPr>
              <w:pStyle w:val="NormalWeb"/>
              <w:rPr>
                <w:rFonts w:ascii="Calibri" w:hAnsi="Calibri" w:cs="Tahoma"/>
                <w:sz w:val="24"/>
                <w:szCs w:val="24"/>
              </w:rPr>
            </w:pPr>
            <w:r>
              <w:rPr>
                <w:rFonts w:ascii="Calibri" w:hAnsi="Calibri" w:cs="Tahoma"/>
                <w:sz w:val="24"/>
                <w:szCs w:val="24"/>
              </w:rPr>
              <w:t xml:space="preserve">You discuss specific portions of Mesopotamian and Homeric texts which purport to show connections and derivations. Some of your proposals lack evidentiary support. For example, the argument about Taurus, a solar eclipse and Aldebaran in the Odyssey’s Cyclops episode (pp. 21-22) is founded on untenable suppositions and speculation. Furthermore, you rely on dubious scholarship to advance your ideas (Wood and Wood, </w:t>
            </w:r>
            <w:r w:rsidRPr="00E630FE">
              <w:rPr>
                <w:rFonts w:ascii="Calibri" w:hAnsi="Calibri" w:cs="Tahoma"/>
                <w:i/>
                <w:sz w:val="24"/>
                <w:szCs w:val="24"/>
              </w:rPr>
              <w:t>Homer</w:t>
            </w:r>
            <w:r w:rsidRPr="00DA01C6">
              <w:rPr>
                <w:rFonts w:ascii="Calibri" w:hAnsi="Calibri" w:cs="Tahoma"/>
                <w:i/>
                <w:sz w:val="24"/>
                <w:szCs w:val="24"/>
              </w:rPr>
              <w:t>’</w:t>
            </w:r>
            <w:r w:rsidRPr="00E630FE">
              <w:rPr>
                <w:rFonts w:ascii="Calibri" w:hAnsi="Calibri" w:cs="Tahoma"/>
                <w:i/>
                <w:sz w:val="24"/>
                <w:szCs w:val="24"/>
              </w:rPr>
              <w:t>s Secret Odyssey</w:t>
            </w:r>
            <w:r>
              <w:rPr>
                <w:rFonts w:ascii="Calibri" w:hAnsi="Calibri" w:cs="Tahoma"/>
                <w:sz w:val="24"/>
                <w:szCs w:val="24"/>
              </w:rPr>
              <w:t xml:space="preserve">; Alice Bailey, </w:t>
            </w:r>
            <w:r w:rsidRPr="000E1BF0">
              <w:rPr>
                <w:rFonts w:ascii="Calibri" w:hAnsi="Calibri" w:cs="Tahoma"/>
                <w:i/>
                <w:sz w:val="24"/>
                <w:szCs w:val="24"/>
              </w:rPr>
              <w:t>The Labours of Hercules: An Astronomical Interpretation</w:t>
            </w:r>
            <w:r>
              <w:rPr>
                <w:rFonts w:ascii="Calibri" w:hAnsi="Calibri" w:cs="Tahoma"/>
                <w:sz w:val="24"/>
                <w:szCs w:val="24"/>
              </w:rPr>
              <w:t>). Other portions of your dissertation repeat the ideas of earlier scholarship (e.g. pp. 26, 29-30 [Gilbert Murray], M. L. West, Walter Burkert, Gregory Nagy) but often without proper attribution.</w:t>
            </w:r>
          </w:p>
          <w:p w:rsidR="00F33D5A" w:rsidRDefault="00F33D5A" w:rsidP="000004C1">
            <w:pPr>
              <w:pStyle w:val="NormalWeb"/>
              <w:rPr>
                <w:rFonts w:ascii="Calibri" w:hAnsi="Calibri" w:cs="Tahoma"/>
                <w:sz w:val="24"/>
                <w:szCs w:val="24"/>
              </w:rPr>
            </w:pPr>
            <w:r>
              <w:rPr>
                <w:rFonts w:ascii="Calibri" w:hAnsi="Calibri" w:cs="Tahoma"/>
                <w:sz w:val="24"/>
                <w:szCs w:val="24"/>
              </w:rPr>
              <w:t xml:space="preserve">On pp. 40-44, where you discuss connections between Odysseus and the sun, you seem to be somewhat inconsistent in your argument: you claim that some scholars equate Odysseus with the sun (you mention Gilbert Murray, p. 40: </w:t>
            </w:r>
            <w:r w:rsidRPr="00481BED">
              <w:rPr>
                <w:rFonts w:ascii="Calibri" w:hAnsi="Calibri" w:cs="Tahoma"/>
                <w:sz w:val="24"/>
                <w:szCs w:val="24"/>
              </w:rPr>
              <w:t>‘</w:t>
            </w:r>
            <w:r w:rsidRPr="00E630FE">
              <w:rPr>
                <w:rFonts w:ascii="Calibri" w:hAnsi="Calibri" w:cs="Arial"/>
                <w:sz w:val="24"/>
              </w:rPr>
              <w:t xml:space="preserve">The notion that Odysseus was a personification of the sun... was further argued by Gilbert Murray in </w:t>
            </w:r>
            <w:r w:rsidRPr="00E630FE">
              <w:rPr>
                <w:rFonts w:ascii="Calibri" w:hAnsi="Calibri" w:cs="Arial"/>
                <w:i/>
                <w:sz w:val="24"/>
              </w:rPr>
              <w:t>The Rise of the Greek Epic</w:t>
            </w:r>
            <w:r>
              <w:rPr>
                <w:rFonts w:ascii="Calibri" w:hAnsi="Calibri" w:cs="Arial"/>
                <w:sz w:val="24"/>
              </w:rPr>
              <w:t>’</w:t>
            </w:r>
            <w:r w:rsidRPr="00481BED">
              <w:rPr>
                <w:rFonts w:ascii="Calibri" w:hAnsi="Calibri" w:cs="Tahoma"/>
                <w:sz w:val="24"/>
                <w:szCs w:val="24"/>
              </w:rPr>
              <w:t>),</w:t>
            </w:r>
            <w:r>
              <w:rPr>
                <w:rFonts w:ascii="Calibri" w:hAnsi="Calibri" w:cs="Tahoma"/>
                <w:sz w:val="24"/>
                <w:szCs w:val="24"/>
              </w:rPr>
              <w:t xml:space="preserve"> but then later in the section  (p. 44) you seem to say that Murray is, in fact, not equating Odysseus and the sun: ‘his solar characteristics and associations, as Murray said, are unavoidable’. Your discussion of </w:t>
            </w:r>
            <w:r w:rsidRPr="0049565B">
              <w:rPr>
                <w:rFonts w:ascii="Calibri" w:hAnsi="Calibri" w:cs="Tahoma"/>
                <w:noProof/>
                <w:sz w:val="24"/>
                <w:szCs w:val="24"/>
                <w:lang w:val="el-GR"/>
              </w:rPr>
              <w:t>τροπή</w:t>
            </w:r>
            <w:r>
              <w:rPr>
                <w:rFonts w:ascii="Calibri" w:hAnsi="Calibri" w:cs="Tahoma"/>
                <w:sz w:val="24"/>
                <w:szCs w:val="24"/>
              </w:rPr>
              <w:t xml:space="preserve"> in this section with regard to the adjective </w:t>
            </w:r>
            <w:r w:rsidRPr="000E1BF0">
              <w:rPr>
                <w:rFonts w:ascii="Calibri" w:hAnsi="Calibri" w:cs="Tahoma"/>
                <w:i/>
                <w:sz w:val="24"/>
                <w:szCs w:val="24"/>
              </w:rPr>
              <w:t>polytropos</w:t>
            </w:r>
            <w:r>
              <w:rPr>
                <w:rFonts w:ascii="Calibri" w:hAnsi="Calibri" w:cs="Tahoma"/>
                <w:sz w:val="24"/>
                <w:szCs w:val="24"/>
              </w:rPr>
              <w:t xml:space="preserve"> applied to Odysseus is interesting and adds to the evidence of Odysseus having certain similarities to the sun. However, your argument is seriously weakened by your assumption of a solar eclipse, especially in Book 20: this notion is controversial (even in antiquity) and mostly rejected by scholarship (you do not seem to know of, or do not consider worthy of discussion, this controversy about solar eclipses which is important for your argument: for instance, see </w:t>
            </w:r>
            <w:r>
              <w:t xml:space="preserve">Peter Gainsford, </w:t>
            </w:r>
            <w:r w:rsidRPr="000E1BF0">
              <w:rPr>
                <w:i/>
              </w:rPr>
              <w:t>TAPA</w:t>
            </w:r>
            <w:r>
              <w:t xml:space="preserve">  142 (2012),  1-22: </w:t>
            </w:r>
            <w:r w:rsidRPr="00155911">
              <w:lastRenderedPageBreak/>
              <w:t>https://www.academia.edu/622261/Odyssey_20.356-57_and_the_Eclipse_of_1178_BCE_A_Response_to_Baikouzis_and_Magnasco</w:t>
            </w:r>
            <w:r>
              <w:t>.</w:t>
            </w:r>
          </w:p>
          <w:p w:rsidR="00F33D5A" w:rsidRDefault="00F33D5A" w:rsidP="000004C1">
            <w:pPr>
              <w:pStyle w:val="NormalWeb"/>
              <w:rPr>
                <w:rFonts w:ascii="Calibri" w:hAnsi="Calibri" w:cs="Tahoma"/>
                <w:sz w:val="24"/>
                <w:szCs w:val="24"/>
              </w:rPr>
            </w:pPr>
            <w:r>
              <w:rPr>
                <w:rFonts w:ascii="Calibri" w:hAnsi="Calibri" w:cs="Tahoma"/>
                <w:sz w:val="24"/>
                <w:szCs w:val="24"/>
              </w:rPr>
              <w:t xml:space="preserve">However, the most serious flaw in this dissertation is your repeated plagiarism of earlier secondary scholarship. (By plagiarism, I mean non-attribution by you of content from previous scholars. This takes two forms: 1) the use of paraphrase or verbatim recital of another scholar’s words without attribution and 2) the use of the primary sources of another scholar, using their identical words and in some cases, their [obscure] references without attribution that the discovery of those sources are the research of that scholar. In this second type of plagiarism, you cite an author’s primary sources verbatim and in the same order, without acknowledgement, </w:t>
            </w:r>
            <w:r w:rsidRPr="00560FC0">
              <w:rPr>
                <w:rFonts w:ascii="Calibri" w:hAnsi="Calibri" w:cs="Tahoma"/>
                <w:sz w:val="24"/>
                <w:szCs w:val="24"/>
              </w:rPr>
              <w:t>suggesting</w:t>
            </w:r>
            <w:r>
              <w:rPr>
                <w:rFonts w:ascii="Calibri" w:hAnsi="Calibri" w:cs="Tahoma"/>
                <w:sz w:val="24"/>
                <w:szCs w:val="24"/>
              </w:rPr>
              <w:t xml:space="preserve"> that you have only reproduced the scholar’s research and evidence and did not examine the primary source yourself. See Examples 1, 3, 4, 5, 7, 9, 12 and 14 below. </w:t>
            </w:r>
          </w:p>
          <w:p w:rsidR="00F33D5A" w:rsidRDefault="00F33D5A" w:rsidP="000004C1">
            <w:pPr>
              <w:pStyle w:val="NormalWeb"/>
              <w:rPr>
                <w:rFonts w:ascii="Calibri" w:hAnsi="Calibri" w:cs="Tahoma"/>
                <w:sz w:val="24"/>
                <w:szCs w:val="24"/>
              </w:rPr>
            </w:pPr>
            <w:r>
              <w:rPr>
                <w:rFonts w:ascii="Calibri" w:hAnsi="Calibri" w:cs="Tahoma"/>
                <w:sz w:val="24"/>
                <w:szCs w:val="24"/>
              </w:rPr>
              <w:t>Therefore, this dissertation shows lack of originality in research of primary sources. This lack of originality, and/or lack of engagement with primary sources, is also reflected in your selection of popular literature as commented on above.</w:t>
            </w:r>
            <w:ins w:id="1" w:author="Author" w:date="2015-12-01T16:14:00Z">
              <w:r w:rsidR="00560FC0">
                <w:rPr>
                  <w:rFonts w:ascii="Calibri" w:hAnsi="Calibri" w:cs="Tahoma"/>
                  <w:sz w:val="24"/>
                  <w:szCs w:val="24"/>
                </w:rPr>
                <w:t xml:space="preserve"> </w:t>
              </w:r>
            </w:ins>
            <w:r>
              <w:rPr>
                <w:rFonts w:ascii="Calibri" w:hAnsi="Calibri" w:cs="Tahoma"/>
                <w:sz w:val="24"/>
                <w:szCs w:val="24"/>
              </w:rPr>
              <w:t xml:space="preserve">It shows a lack of critical thinking which is more indicative of an undergraduate approach than that of a Master’s student. </w:t>
            </w:r>
          </w:p>
          <w:p w:rsidR="00F33D5A" w:rsidRDefault="00F33D5A" w:rsidP="000004C1">
            <w:pPr>
              <w:pStyle w:val="NormalWeb"/>
              <w:rPr>
                <w:rFonts w:ascii="Calibri" w:hAnsi="Calibri" w:cs="Tahoma"/>
                <w:sz w:val="24"/>
                <w:szCs w:val="24"/>
              </w:rPr>
            </w:pPr>
            <w:r>
              <w:rPr>
                <w:rFonts w:ascii="Calibri" w:hAnsi="Calibri" w:cs="Tahoma"/>
                <w:sz w:val="24"/>
                <w:szCs w:val="24"/>
              </w:rPr>
              <w:t>I document the plagiarism here by order of occurrence (not severity or type):</w:t>
            </w:r>
          </w:p>
          <w:p w:rsidR="00F33D5A" w:rsidRDefault="00F33D5A" w:rsidP="0090253B">
            <w:r>
              <w:t>Note: plagiarism of phraseology in red; plagiarism of original sources in green.</w:t>
            </w:r>
          </w:p>
          <w:p w:rsidR="00F33D5A" w:rsidRDefault="00F33D5A" w:rsidP="0090253B">
            <w:r>
              <w:t>Examples:</w:t>
            </w:r>
          </w:p>
          <w:p w:rsidR="00F33D5A" w:rsidRPr="00D305C2" w:rsidRDefault="00F33D5A" w:rsidP="0090253B">
            <w:r>
              <w:t>(Plagiarism of original sources and phraseology)</w:t>
            </w:r>
          </w:p>
          <w:p w:rsidR="00F33D5A" w:rsidRDefault="00F33D5A" w:rsidP="0090253B">
            <w:r>
              <w:rPr>
                <w:b/>
              </w:rPr>
              <w:t xml:space="preserve">(1) </w:t>
            </w:r>
            <w:r w:rsidRPr="00126710">
              <w:rPr>
                <w:b/>
              </w:rPr>
              <w:t>Grey, p. iii</w:t>
            </w:r>
            <w:r>
              <w:rPr>
                <w:rFonts w:ascii="Arial" w:hAnsi="Arial" w:cs="Arial"/>
                <w:bCs/>
                <w:color w:val="000000"/>
              </w:rPr>
              <w:t>:</w:t>
            </w:r>
            <w:r w:rsidRPr="00745BDD">
              <w:rPr>
                <w:rFonts w:ascii="Arial" w:hAnsi="Arial" w:cs="Arial"/>
                <w:bCs/>
                <w:color w:val="000000"/>
              </w:rPr>
              <w:t xml:space="preserve">Amongst the various material items and abilities spread from East to West was the innovation of alphabetic writing, which </w:t>
            </w:r>
            <w:r w:rsidRPr="000E1BF0">
              <w:rPr>
                <w:rFonts w:ascii="Arial" w:hAnsi="Arial" w:cs="Arial"/>
                <w:bCs/>
                <w:color w:val="FF0000"/>
              </w:rPr>
              <w:t>the Greeks themselves called Phoenician.</w:t>
            </w:r>
            <w:r w:rsidRPr="000E1BF0">
              <w:rPr>
                <w:rFonts w:ascii="Arial" w:hAnsi="Arial" w:cs="Arial"/>
                <w:bCs/>
                <w:color w:val="FF0000"/>
                <w:vertAlign w:val="superscript"/>
              </w:rPr>
              <w:t>vi</w:t>
            </w:r>
            <w:r w:rsidRPr="001F3E06">
              <w:rPr>
                <w:color w:val="008000"/>
              </w:rPr>
              <w:t xml:space="preserve">Herodotus </w:t>
            </w:r>
            <w:r w:rsidRPr="001F3E06">
              <w:rPr>
                <w:i/>
                <w:color w:val="008000"/>
              </w:rPr>
              <w:t>Histories</w:t>
            </w:r>
            <w:r w:rsidRPr="001F3E06">
              <w:rPr>
                <w:color w:val="008000"/>
              </w:rPr>
              <w:t xml:space="preserve">: V.58.2; </w:t>
            </w:r>
            <w:r w:rsidRPr="001F3E06">
              <w:rPr>
                <w:i/>
                <w:color w:val="008000"/>
              </w:rPr>
              <w:t xml:space="preserve">SIG </w:t>
            </w:r>
            <w:r w:rsidRPr="001F3E06">
              <w:rPr>
                <w:color w:val="008000"/>
              </w:rPr>
              <w:t>38.37</w:t>
            </w:r>
            <w:r w:rsidRPr="00745BDD">
              <w:t>.</w:t>
            </w:r>
          </w:p>
          <w:p w:rsidR="00F33D5A" w:rsidRDefault="00F33D5A" w:rsidP="0090253B">
            <w:r w:rsidRPr="00C37B20">
              <w:rPr>
                <w:b/>
              </w:rPr>
              <w:t xml:space="preserve">West, M. L., </w:t>
            </w:r>
            <w:r w:rsidRPr="00C37B20">
              <w:rPr>
                <w:b/>
                <w:i/>
              </w:rPr>
              <w:t>The East Face of Helicon: West Asiatic Elements in Greek Poetry</w:t>
            </w:r>
            <w:r w:rsidRPr="00C37B20">
              <w:rPr>
                <w:b/>
              </w:rPr>
              <w:t>, Oxford 1997, p. 24:</w:t>
            </w:r>
            <w:r>
              <w:t xml:space="preserve"> ‘When we come to the alphabetic writing of the historical period, </w:t>
            </w:r>
            <w:smartTag w:uri="urn:schemas-microsoft-com:office:smarttags" w:element="State">
              <w:smartTag w:uri="urn:schemas-microsoft-com:office:smarttags" w:element="country-region">
                <w:smartTag w:uri="urn:schemas-microsoft-com:office:smarttags" w:element="place">
                  <w:r>
                    <w:t>Greece</w:t>
                  </w:r>
                </w:smartTag>
              </w:smartTag>
            </w:smartTag>
            <w:r>
              <w:t xml:space="preserve">’s debt to the east stands forth in sharp relief. </w:t>
            </w:r>
            <w:r w:rsidRPr="00865B04">
              <w:rPr>
                <w:color w:val="FF0000"/>
              </w:rPr>
              <w:t>The Greeks themselves called</w:t>
            </w:r>
            <w:r>
              <w:t xml:space="preserve"> their alphabetic characters </w:t>
            </w:r>
            <w:r w:rsidRPr="00835031">
              <w:rPr>
                <w:color w:val="FF0000"/>
              </w:rPr>
              <w:t>“Phoenecian”</w:t>
            </w:r>
            <w:r>
              <w:t xml:space="preserve">, [fn 101: </w:t>
            </w:r>
            <w:r w:rsidRPr="001F3E06">
              <w:rPr>
                <w:color w:val="008000"/>
              </w:rPr>
              <w:t xml:space="preserve">Hdt. 5. 58. 2, </w:t>
            </w:r>
            <w:r w:rsidRPr="001F3E06">
              <w:rPr>
                <w:i/>
                <w:color w:val="008000"/>
              </w:rPr>
              <w:t>SIG</w:t>
            </w:r>
            <w:r w:rsidRPr="001F3E06">
              <w:rPr>
                <w:color w:val="008000"/>
              </w:rPr>
              <w:t xml:space="preserve"> 38. 37</w:t>
            </w:r>
            <w:r>
              <w:t>....]’ [The similar words, with the exact citation, in the exact order could be coincidental, even though there are other sources which could have been used to back up such a statement. However, the many examples cited below where similar words with exact referencing is used push this coincidence into the realm of the impossible. Thus this shows the reproduction of the other scholar’s research work without acknowledgement and therefore brings into question your own use of primary sources.]</w:t>
            </w:r>
          </w:p>
          <w:p w:rsidR="00F33D5A" w:rsidRDefault="00F33D5A" w:rsidP="0090253B"/>
          <w:p w:rsidR="00F33D5A" w:rsidRPr="00D305C2" w:rsidRDefault="00F33D5A" w:rsidP="0090253B">
            <w:r>
              <w:t>(Plagiarism of phraseology:)</w:t>
            </w:r>
          </w:p>
          <w:p w:rsidR="00F33D5A" w:rsidRPr="00652FE0" w:rsidRDefault="00F33D5A" w:rsidP="0090253B">
            <w:pPr>
              <w:rPr>
                <w:rFonts w:ascii="Arial" w:hAnsi="Arial" w:cs="Arial"/>
                <w:color w:val="000000"/>
              </w:rPr>
            </w:pPr>
            <w:r>
              <w:rPr>
                <w:b/>
              </w:rPr>
              <w:t xml:space="preserve">(2) </w:t>
            </w:r>
            <w:r w:rsidRPr="00D0797E">
              <w:rPr>
                <w:b/>
              </w:rPr>
              <w:t>Grey, p. 3:</w:t>
            </w:r>
            <w:r w:rsidRPr="00745BDD">
              <w:rPr>
                <w:rFonts w:ascii="Arial" w:hAnsi="Arial" w:cs="Arial"/>
              </w:rPr>
              <w:t xml:space="preserve">The </w:t>
            </w:r>
            <w:r w:rsidRPr="00D0797E">
              <w:rPr>
                <w:rFonts w:ascii="Arial" w:hAnsi="Arial" w:cs="Arial"/>
                <w:color w:val="FF0000"/>
              </w:rPr>
              <w:t>Mesopotamian tradition ascribed authorship</w:t>
            </w:r>
            <w:r w:rsidRPr="00745BDD">
              <w:rPr>
                <w:rFonts w:ascii="Arial" w:hAnsi="Arial" w:cs="Arial"/>
              </w:rPr>
              <w:t xml:space="preserve"> of the text </w:t>
            </w:r>
            <w:r w:rsidRPr="00D0797E">
              <w:rPr>
                <w:rFonts w:ascii="Arial" w:hAnsi="Arial" w:cs="Arial"/>
                <w:color w:val="FF0000"/>
              </w:rPr>
              <w:t>to Sin-leqe-unnini, a lamentation priest and scribe of the Kassite period</w:t>
            </w:r>
            <w:r w:rsidRPr="00745BDD">
              <w:rPr>
                <w:rFonts w:ascii="Arial" w:hAnsi="Arial" w:cs="Arial"/>
              </w:rPr>
              <w:t xml:space="preserve"> (1531-1155BCE) – though establishing </w:t>
            </w:r>
            <w:r w:rsidRPr="00D0797E">
              <w:rPr>
                <w:rFonts w:ascii="Arial" w:hAnsi="Arial" w:cs="Arial"/>
                <w:color w:val="FF0000"/>
              </w:rPr>
              <w:t>to what extent he</w:t>
            </w:r>
            <w:r w:rsidRPr="00745BDD">
              <w:rPr>
                <w:rFonts w:ascii="Arial" w:hAnsi="Arial" w:cs="Arial"/>
              </w:rPr>
              <w:t xml:space="preserve"> adapted an established </w:t>
            </w:r>
            <w:r w:rsidRPr="00D0797E">
              <w:rPr>
                <w:rFonts w:ascii="Arial" w:hAnsi="Arial" w:cs="Arial"/>
                <w:color w:val="FF0000"/>
              </w:rPr>
              <w:t>oral narrative and</w:t>
            </w:r>
            <w:r w:rsidRPr="00745BDD">
              <w:rPr>
                <w:rFonts w:ascii="Arial" w:hAnsi="Arial" w:cs="Arial"/>
              </w:rPr>
              <w:t xml:space="preserve"> whether or not, or how, he </w:t>
            </w:r>
            <w:r w:rsidRPr="00D0797E">
              <w:rPr>
                <w:rFonts w:ascii="Arial" w:hAnsi="Arial" w:cs="Arial"/>
                <w:color w:val="FF0000"/>
              </w:rPr>
              <w:t>divided it into eleven tablets</w:t>
            </w:r>
            <w:r w:rsidRPr="00745BDD">
              <w:rPr>
                <w:rFonts w:ascii="Arial" w:hAnsi="Arial" w:cs="Arial"/>
              </w:rPr>
              <w:t xml:space="preserve"> is problematical.</w:t>
            </w:r>
            <w:r>
              <w:rPr>
                <w:rFonts w:ascii="Arial" w:hAnsi="Arial" w:cs="Arial"/>
                <w:color w:val="000000"/>
              </w:rPr>
              <w:t>[no source cited here]</w:t>
            </w:r>
          </w:p>
          <w:p w:rsidR="00F33D5A" w:rsidRDefault="00F33D5A" w:rsidP="0090253B">
            <w:r w:rsidRPr="00D0797E">
              <w:rPr>
                <w:b/>
              </w:rPr>
              <w:t xml:space="preserve">Dalley, Stephanie, </w:t>
            </w:r>
            <w:r w:rsidRPr="00D0797E">
              <w:rPr>
                <w:b/>
                <w:i/>
                <w:iCs/>
              </w:rPr>
              <w:t>Myths from Mesopotamia: Creation, the Flood, Gilgamesh, and Others</w:t>
            </w:r>
            <w:r w:rsidRPr="00D0797E">
              <w:rPr>
                <w:b/>
              </w:rPr>
              <w:t>, Oxford 1989, repr. 1991, p. 47:</w:t>
            </w:r>
            <w:r>
              <w:t xml:space="preserve"> ‘</w:t>
            </w:r>
            <w:r w:rsidRPr="00D0797E">
              <w:rPr>
                <w:color w:val="FF0000"/>
              </w:rPr>
              <w:t xml:space="preserve">Mesopotamian tradition ascribed the </w:t>
            </w:r>
            <w:r w:rsidRPr="00D0797E">
              <w:rPr>
                <w:color w:val="FF0000"/>
              </w:rPr>
              <w:lastRenderedPageBreak/>
              <w:t>authorship</w:t>
            </w:r>
            <w:r>
              <w:t xml:space="preserve"> of the seventh-century version found at </w:t>
            </w:r>
            <w:smartTag w:uri="urn:schemas-microsoft-com:office:smarttags" w:element="State">
              <w:smartTag w:uri="urn:schemas-microsoft-com:office:smarttags" w:element="City">
                <w:smartTag w:uri="urn:schemas-microsoft-com:office:smarttags" w:element="place">
                  <w:r>
                    <w:t>Nineveh</w:t>
                  </w:r>
                </w:smartTag>
              </w:smartTag>
            </w:smartTag>
            <w:r w:rsidRPr="00D0797E">
              <w:rPr>
                <w:color w:val="FF0000"/>
              </w:rPr>
              <w:t xml:space="preserve">to </w:t>
            </w:r>
            <w:r w:rsidRPr="00652FE0">
              <w:rPr>
                <w:color w:val="000000"/>
              </w:rPr>
              <w:t>one</w:t>
            </w:r>
            <w:r w:rsidRPr="00D0797E">
              <w:rPr>
                <w:color w:val="FF0000"/>
              </w:rPr>
              <w:t xml:space="preserve"> Sin-leqe-unnini, a master scribe and lamentation priest of the Kassite period</w:t>
            </w:r>
            <w:r>
              <w:t xml:space="preserve">.... But we shall probably never know </w:t>
            </w:r>
            <w:r w:rsidRPr="00D0797E">
              <w:rPr>
                <w:color w:val="FF0000"/>
              </w:rPr>
              <w:t>to what extent he</w:t>
            </w:r>
            <w:r>
              <w:t xml:space="preserve"> took a ready-formed </w:t>
            </w:r>
            <w:r w:rsidRPr="00D0797E">
              <w:rPr>
                <w:color w:val="FF0000"/>
              </w:rPr>
              <w:t>oral narrative</w:t>
            </w:r>
            <w:r>
              <w:t xml:space="preserve"> and just </w:t>
            </w:r>
            <w:r w:rsidRPr="00D0797E">
              <w:rPr>
                <w:color w:val="FF0000"/>
              </w:rPr>
              <w:t>divided the text up into eleven tablets</w:t>
            </w:r>
            <w:r>
              <w:t>.</w:t>
            </w:r>
          </w:p>
          <w:p w:rsidR="00F33D5A" w:rsidRDefault="00F33D5A" w:rsidP="0090253B"/>
          <w:p w:rsidR="00F33D5A" w:rsidRPr="004B1154" w:rsidRDefault="00F33D5A" w:rsidP="0090253B">
            <w:pPr>
              <w:pStyle w:val="FootnoteText"/>
              <w:rPr>
                <w:rFonts w:ascii="Times New Roman" w:hAnsi="Times New Roman"/>
                <w:sz w:val="24"/>
                <w:szCs w:val="24"/>
              </w:rPr>
            </w:pPr>
            <w:r>
              <w:rPr>
                <w:rFonts w:ascii="Times New Roman" w:hAnsi="Times New Roman"/>
                <w:sz w:val="24"/>
                <w:szCs w:val="24"/>
              </w:rPr>
              <w:t>(Plagiarism of original sources and phraseology:)</w:t>
            </w:r>
          </w:p>
          <w:p w:rsidR="00F33D5A" w:rsidRPr="00126710" w:rsidRDefault="00F33D5A" w:rsidP="0090253B">
            <w:pPr>
              <w:pStyle w:val="FootnoteText"/>
              <w:rPr>
                <w:rFonts w:ascii="Times New Roman" w:hAnsi="Times New Roman"/>
                <w:sz w:val="24"/>
                <w:szCs w:val="24"/>
              </w:rPr>
            </w:pPr>
            <w:r>
              <w:rPr>
                <w:rFonts w:ascii="Times New Roman" w:hAnsi="Times New Roman"/>
                <w:b/>
                <w:sz w:val="24"/>
                <w:szCs w:val="24"/>
              </w:rPr>
              <w:t xml:space="preserve">(3) </w:t>
            </w:r>
            <w:r w:rsidRPr="003D2124">
              <w:rPr>
                <w:rFonts w:ascii="Times New Roman" w:hAnsi="Times New Roman"/>
                <w:b/>
                <w:sz w:val="24"/>
                <w:szCs w:val="24"/>
              </w:rPr>
              <w:t>Grey, p. 24:</w:t>
            </w:r>
            <w:r w:rsidRPr="003D2124">
              <w:rPr>
                <w:rFonts w:ascii="Arial" w:hAnsi="Arial" w:cs="Arial"/>
                <w:color w:val="FF0000"/>
                <w:sz w:val="24"/>
              </w:rPr>
              <w:t>Circe’s island is called Aiaia</w:t>
            </w:r>
            <w:r w:rsidRPr="00745BDD">
              <w:rPr>
                <w:rFonts w:ascii="Arial" w:hAnsi="Arial" w:cs="Arial"/>
                <w:sz w:val="24"/>
              </w:rPr>
              <w:t xml:space="preserve"> a </w:t>
            </w:r>
            <w:r w:rsidRPr="003D2124">
              <w:rPr>
                <w:rFonts w:ascii="Arial" w:hAnsi="Arial" w:cs="Arial"/>
                <w:color w:val="FF0000"/>
                <w:sz w:val="24"/>
              </w:rPr>
              <w:t>name</w:t>
            </w:r>
            <w:r w:rsidRPr="00745BDD">
              <w:rPr>
                <w:rFonts w:ascii="Arial" w:hAnsi="Arial" w:cs="Arial"/>
                <w:sz w:val="24"/>
              </w:rPr>
              <w:t xml:space="preserve"> unmistakably </w:t>
            </w:r>
            <w:r w:rsidRPr="003D2124">
              <w:rPr>
                <w:rFonts w:ascii="Arial" w:hAnsi="Arial" w:cs="Arial"/>
                <w:color w:val="FF0000"/>
                <w:sz w:val="24"/>
              </w:rPr>
              <w:t>related to Aia, which</w:t>
            </w:r>
            <w:r w:rsidRPr="00745BDD">
              <w:rPr>
                <w:rFonts w:ascii="Arial" w:hAnsi="Arial" w:cs="Arial"/>
                <w:sz w:val="24"/>
              </w:rPr>
              <w:t xml:space="preserve"> according to </w:t>
            </w:r>
            <w:r w:rsidRPr="003D2124">
              <w:rPr>
                <w:rFonts w:ascii="Arial" w:hAnsi="Arial" w:cs="Arial"/>
                <w:color w:val="FF0000"/>
                <w:sz w:val="24"/>
              </w:rPr>
              <w:t>Mimnermus</w:t>
            </w:r>
            <w:r w:rsidRPr="00745BDD">
              <w:rPr>
                <w:rFonts w:ascii="Arial" w:hAnsi="Arial" w:cs="Arial"/>
                <w:sz w:val="24"/>
              </w:rPr>
              <w:t xml:space="preserve"> was </w:t>
            </w:r>
            <w:r w:rsidRPr="003D2124">
              <w:rPr>
                <w:rFonts w:ascii="Arial" w:hAnsi="Arial" w:cs="Arial"/>
                <w:color w:val="FF0000"/>
                <w:sz w:val="24"/>
              </w:rPr>
              <w:t>the land of the Golden Fleece</w:t>
            </w:r>
            <w:r w:rsidRPr="00745BDD">
              <w:rPr>
                <w:rFonts w:ascii="Arial" w:hAnsi="Arial" w:cs="Arial"/>
                <w:sz w:val="24"/>
              </w:rPr>
              <w:t xml:space="preserve">, home of </w:t>
            </w:r>
            <w:r w:rsidRPr="00E96C96">
              <w:rPr>
                <w:rFonts w:ascii="Arial" w:hAnsi="Arial" w:cs="Arial"/>
                <w:color w:val="FF0000"/>
                <w:sz w:val="24"/>
              </w:rPr>
              <w:t>Aietes – Circe’s brother</w:t>
            </w:r>
            <w:r w:rsidRPr="00745BDD">
              <w:rPr>
                <w:rFonts w:ascii="Arial" w:hAnsi="Arial" w:cs="Arial"/>
                <w:sz w:val="24"/>
              </w:rPr>
              <w:t xml:space="preserve">, for both </w:t>
            </w:r>
            <w:r w:rsidRPr="00E96C96">
              <w:rPr>
                <w:rFonts w:ascii="Arial" w:hAnsi="Arial" w:cs="Arial"/>
                <w:color w:val="FF0000"/>
                <w:sz w:val="24"/>
              </w:rPr>
              <w:t>are the children of Helios and Perse</w:t>
            </w:r>
            <w:r w:rsidRPr="00745BDD">
              <w:rPr>
                <w:rFonts w:ascii="Arial" w:hAnsi="Arial" w:cs="Arial"/>
                <w:sz w:val="24"/>
              </w:rPr>
              <w:t>.</w:t>
            </w:r>
            <w:r w:rsidRPr="003D2124">
              <w:rPr>
                <w:rFonts w:ascii="Arial" w:hAnsi="Arial" w:cs="Arial"/>
                <w:color w:val="FF0000"/>
                <w:sz w:val="24"/>
                <w:vertAlign w:val="superscript"/>
              </w:rPr>
              <w:t>93</w:t>
            </w:r>
            <w:r w:rsidRPr="004B1154">
              <w:rPr>
                <w:color w:val="008000"/>
              </w:rPr>
              <w:t xml:space="preserve">Mimnermus XI.12a; </w:t>
            </w:r>
            <w:r w:rsidRPr="004B1154">
              <w:rPr>
                <w:i/>
                <w:color w:val="008000"/>
              </w:rPr>
              <w:t>Odyssey</w:t>
            </w:r>
            <w:r w:rsidRPr="004B1154">
              <w:rPr>
                <w:color w:val="008000"/>
              </w:rPr>
              <w:t>: X.135-9</w:t>
            </w:r>
            <w:r w:rsidRPr="00745BDD">
              <w:t>.</w:t>
            </w:r>
            <w:r>
              <w:rPr>
                <w:rFonts w:ascii="Times New Roman" w:hAnsi="Times New Roman"/>
                <w:sz w:val="24"/>
                <w:szCs w:val="24"/>
              </w:rPr>
              <w:t>[NO CITATION OF WEST APPEARS]</w:t>
            </w:r>
          </w:p>
          <w:p w:rsidR="00F33D5A" w:rsidRDefault="00F33D5A" w:rsidP="0090253B">
            <w:r w:rsidRPr="00E96C96">
              <w:rPr>
                <w:b/>
              </w:rPr>
              <w:t xml:space="preserve">West, </w:t>
            </w:r>
            <w:r w:rsidRPr="00387F8F">
              <w:rPr>
                <w:b/>
                <w:i/>
              </w:rPr>
              <w:t>The East Face of Helicon</w:t>
            </w:r>
            <w:r>
              <w:rPr>
                <w:b/>
              </w:rPr>
              <w:t xml:space="preserve">, </w:t>
            </w:r>
            <w:r w:rsidRPr="00E96C96">
              <w:rPr>
                <w:b/>
              </w:rPr>
              <w:t>p. 407:</w:t>
            </w:r>
            <w:r>
              <w:t xml:space="preserve"> ‘</w:t>
            </w:r>
            <w:r w:rsidRPr="003D2124">
              <w:rPr>
                <w:color w:val="FF0000"/>
              </w:rPr>
              <w:t xml:space="preserve">Circe’s island is called </w:t>
            </w:r>
            <w:r w:rsidRPr="003D2124">
              <w:rPr>
                <w:noProof/>
                <w:color w:val="FF0000"/>
                <w:lang w:val="el-GR"/>
              </w:rPr>
              <w:t>Αἰαίη</w:t>
            </w:r>
            <w:r w:rsidRPr="003D2124">
              <w:rPr>
                <w:noProof/>
                <w:lang w:val="el-GR"/>
              </w:rPr>
              <w:t xml:space="preserve"> νῆσος</w:t>
            </w:r>
            <w:r w:rsidRPr="003D2124">
              <w:t xml:space="preserve">, </w:t>
            </w:r>
            <w:r w:rsidRPr="003D2124">
              <w:rPr>
                <w:noProof/>
                <w:lang w:val="el-GR"/>
              </w:rPr>
              <w:t>“</w:t>
            </w:r>
            <w:r w:rsidRPr="003D2124">
              <w:rPr>
                <w:noProof/>
              </w:rPr>
              <w:t>t</w:t>
            </w:r>
            <w:r w:rsidRPr="003D2124">
              <w:rPr>
                <w:noProof/>
                <w:lang w:val="el-GR"/>
              </w:rPr>
              <w:t>h</w:t>
            </w:r>
            <w:r>
              <w:rPr>
                <w:noProof/>
              </w:rPr>
              <w:t>e</w:t>
            </w:r>
            <w:r w:rsidRPr="003D2124">
              <w:t xml:space="preserve"> Aiaian island</w:t>
            </w:r>
            <w:r>
              <w:t xml:space="preserve">”.... The name is manifestly </w:t>
            </w:r>
            <w:r w:rsidRPr="003D2124">
              <w:rPr>
                <w:color w:val="FF0000"/>
              </w:rPr>
              <w:t>related to Aia, which</w:t>
            </w:r>
            <w:r>
              <w:t xml:space="preserve"> appears in </w:t>
            </w:r>
            <w:r w:rsidRPr="003D2124">
              <w:rPr>
                <w:color w:val="FF0000"/>
              </w:rPr>
              <w:t>Mimnermus</w:t>
            </w:r>
            <w:r>
              <w:t xml:space="preserve"> as </w:t>
            </w:r>
            <w:r w:rsidRPr="003D2124">
              <w:rPr>
                <w:color w:val="FF0000"/>
              </w:rPr>
              <w:t>the land of the Golden Fleece</w:t>
            </w:r>
            <w:r>
              <w:t xml:space="preserve">...and to </w:t>
            </w:r>
            <w:r w:rsidRPr="003D2124">
              <w:rPr>
                <w:color w:val="FF0000"/>
              </w:rPr>
              <w:t>Aietes...Circe’s brother</w:t>
            </w:r>
            <w:r>
              <w:t xml:space="preserve">; they </w:t>
            </w:r>
            <w:r w:rsidRPr="003D2124">
              <w:rPr>
                <w:color w:val="FF0000"/>
              </w:rPr>
              <w:t>are the children of the Sun and</w:t>
            </w:r>
            <w:r>
              <w:t xml:space="preserve"> the Oceanid </w:t>
            </w:r>
            <w:r w:rsidRPr="003D2124">
              <w:rPr>
                <w:color w:val="FF0000"/>
              </w:rPr>
              <w:t>Perse</w:t>
            </w:r>
            <w:r>
              <w:t xml:space="preserve">. [fn8: </w:t>
            </w:r>
            <w:r w:rsidRPr="004B1154">
              <w:rPr>
                <w:color w:val="008000"/>
              </w:rPr>
              <w:t>Mimn. 11.2, 11a; Od. 10, 135-9</w:t>
            </w:r>
            <w:r>
              <w:t>.]’</w:t>
            </w:r>
          </w:p>
          <w:p w:rsidR="00F33D5A" w:rsidRDefault="00F33D5A" w:rsidP="0090253B"/>
          <w:p w:rsidR="00F33D5A" w:rsidRDefault="00F33D5A" w:rsidP="0090253B">
            <w:r>
              <w:t>(Plagiarism of original sources and phraseology:)</w:t>
            </w:r>
          </w:p>
          <w:p w:rsidR="00F33D5A" w:rsidRDefault="00F33D5A" w:rsidP="0090253B">
            <w:r>
              <w:rPr>
                <w:b/>
              </w:rPr>
              <w:t xml:space="preserve">(4) </w:t>
            </w:r>
            <w:r w:rsidRPr="00E96C96">
              <w:rPr>
                <w:b/>
              </w:rPr>
              <w:t>Grey, p. 24:</w:t>
            </w:r>
            <w:r w:rsidRPr="00745BDD">
              <w:rPr>
                <w:rFonts w:ascii="Arial" w:hAnsi="Arial" w:cs="Arial"/>
              </w:rPr>
              <w:t xml:space="preserve">In the Greek tradition then </w:t>
            </w:r>
            <w:r w:rsidRPr="00E96C96">
              <w:rPr>
                <w:rFonts w:ascii="Arial" w:hAnsi="Arial" w:cs="Arial"/>
                <w:color w:val="FF0000"/>
              </w:rPr>
              <w:t>‘Aia’</w:t>
            </w:r>
            <w:r w:rsidRPr="00745BDD">
              <w:rPr>
                <w:rFonts w:ascii="Arial" w:hAnsi="Arial" w:cs="Arial"/>
              </w:rPr>
              <w:t xml:space="preserve"> is a term </w:t>
            </w:r>
            <w:r w:rsidRPr="00E96C96">
              <w:rPr>
                <w:rFonts w:ascii="Arial" w:hAnsi="Arial" w:cs="Arial"/>
                <w:color w:val="FF0000"/>
              </w:rPr>
              <w:t>intimately connected to the Sun and his place of rising</w:t>
            </w:r>
            <w:r w:rsidRPr="00745BDD">
              <w:rPr>
                <w:rFonts w:ascii="Arial" w:hAnsi="Arial" w:cs="Arial"/>
              </w:rPr>
              <w:t xml:space="preserve">, just as </w:t>
            </w:r>
            <w:r w:rsidRPr="00E96C96">
              <w:rPr>
                <w:rFonts w:ascii="Arial" w:hAnsi="Arial" w:cs="Arial"/>
                <w:color w:val="FF0000"/>
              </w:rPr>
              <w:t>the Babylonian goddess Aya is the goddess of dawn and wife of the Sun-god</w:t>
            </w:r>
            <w:r w:rsidRPr="00745BDD">
              <w:rPr>
                <w:rFonts w:ascii="Arial" w:hAnsi="Arial" w:cs="Arial"/>
              </w:rPr>
              <w:t>.</w:t>
            </w:r>
            <w:r>
              <w:rPr>
                <w:rFonts w:ascii="Arial" w:hAnsi="Arial" w:cs="Arial"/>
                <w:vertAlign w:val="superscript"/>
              </w:rPr>
              <w:t>94</w:t>
            </w:r>
            <w:r w:rsidRPr="00745BDD">
              <w:rPr>
                <w:i/>
              </w:rPr>
              <w:t>Gilgamesh</w:t>
            </w:r>
            <w:r w:rsidRPr="00745BDD">
              <w:t xml:space="preserve">: III.ii.20; </w:t>
            </w:r>
            <w:r w:rsidRPr="004B1154">
              <w:rPr>
                <w:color w:val="008000"/>
              </w:rPr>
              <w:t>Burkert, W. (1979)</w:t>
            </w:r>
            <w:r w:rsidRPr="004B1154">
              <w:rPr>
                <w:i/>
                <w:color w:val="008000"/>
              </w:rPr>
              <w:t xml:space="preserve"> Structure and History in Greek Mythology and Ritual</w:t>
            </w:r>
            <w:r w:rsidRPr="004B1154">
              <w:rPr>
                <w:color w:val="008000"/>
              </w:rPr>
              <w:t xml:space="preserve"> California: University of California Press: 10</w:t>
            </w:r>
            <w:r w:rsidRPr="00E96C96">
              <w:rPr>
                <w:color w:val="FF0000"/>
              </w:rPr>
              <w:t xml:space="preserve">, and; </w:t>
            </w:r>
            <w:r w:rsidRPr="004B1154">
              <w:rPr>
                <w:color w:val="008000"/>
              </w:rPr>
              <w:t xml:space="preserve">Tallqvist, K. L. (1938) </w:t>
            </w:r>
            <w:r w:rsidRPr="004B1154">
              <w:rPr>
                <w:i/>
                <w:color w:val="008000"/>
              </w:rPr>
              <w:t>AkkadischeGötterepitheta</w:t>
            </w:r>
            <w:r w:rsidRPr="004B1154">
              <w:rPr>
                <w:color w:val="008000"/>
              </w:rPr>
              <w:t>Hildesheim: Olms: 245</w:t>
            </w:r>
            <w:r w:rsidRPr="00745BDD">
              <w:t>.</w:t>
            </w:r>
            <w:r>
              <w:t xml:space="preserve"> [NO CITATION OF WEST APPEARS]</w:t>
            </w:r>
          </w:p>
          <w:p w:rsidR="00F33D5A" w:rsidRDefault="00F33D5A" w:rsidP="0090253B">
            <w:r w:rsidRPr="00E96C96">
              <w:rPr>
                <w:b/>
              </w:rPr>
              <w:t xml:space="preserve">West, </w:t>
            </w:r>
            <w:r w:rsidRPr="00387F8F">
              <w:rPr>
                <w:b/>
                <w:i/>
              </w:rPr>
              <w:t>The East Face of Helicon</w:t>
            </w:r>
            <w:r>
              <w:rPr>
                <w:b/>
              </w:rPr>
              <w:t xml:space="preserve">, </w:t>
            </w:r>
            <w:r w:rsidRPr="00E96C96">
              <w:rPr>
                <w:b/>
              </w:rPr>
              <w:t>p. 407:</w:t>
            </w:r>
            <w:r>
              <w:t xml:space="preserve"> ‘The name </w:t>
            </w:r>
            <w:r w:rsidRPr="00E96C96">
              <w:rPr>
                <w:color w:val="FF0000"/>
              </w:rPr>
              <w:t>Aia</w:t>
            </w:r>
            <w:r>
              <w:t xml:space="preserve"> and its derivatives...have an </w:t>
            </w:r>
            <w:r w:rsidRPr="00E96C96">
              <w:rPr>
                <w:color w:val="FF0000"/>
              </w:rPr>
              <w:t>intimate connection with the Sun-god and with the place of his rising</w:t>
            </w:r>
            <w:r>
              <w:t xml:space="preserve">. It seems impossible to separate this from the name of </w:t>
            </w:r>
            <w:r w:rsidRPr="00E96C96">
              <w:rPr>
                <w:color w:val="FF0000"/>
              </w:rPr>
              <w:t>the Babylonian goddess Aya, who is the Sun-god’s wife and a goddess of the dawn</w:t>
            </w:r>
            <w:r>
              <w:t xml:space="preserve">...[fn9: </w:t>
            </w:r>
            <w:r w:rsidRPr="004B1154">
              <w:rPr>
                <w:color w:val="008000"/>
              </w:rPr>
              <w:t>Burkert (1979), 10</w:t>
            </w:r>
            <w:r w:rsidRPr="00E96C96">
              <w:rPr>
                <w:color w:val="FF0000"/>
              </w:rPr>
              <w:t xml:space="preserve">. For Aya cf. </w:t>
            </w:r>
            <w:r w:rsidRPr="004B1154">
              <w:rPr>
                <w:color w:val="008000"/>
              </w:rPr>
              <w:t>Tallqvist (1938), 245</w:t>
            </w:r>
            <w:r>
              <w:t>.]’</w:t>
            </w:r>
          </w:p>
          <w:p w:rsidR="00F33D5A" w:rsidRDefault="00F33D5A" w:rsidP="0090253B"/>
          <w:p w:rsidR="00F33D5A" w:rsidRDefault="00F33D5A" w:rsidP="0090253B">
            <w:r>
              <w:t>(Plagiarism of original sources and phraseology:)</w:t>
            </w:r>
          </w:p>
          <w:p w:rsidR="00F33D5A" w:rsidRPr="00126710" w:rsidRDefault="00F33D5A" w:rsidP="0090253B">
            <w:pPr>
              <w:rPr>
                <w:color w:val="000000"/>
              </w:rPr>
            </w:pPr>
            <w:r>
              <w:rPr>
                <w:b/>
              </w:rPr>
              <w:t xml:space="preserve">(5) </w:t>
            </w:r>
            <w:r w:rsidRPr="00126710">
              <w:rPr>
                <w:b/>
              </w:rPr>
              <w:t>Grey, pp. 24-25:</w:t>
            </w:r>
            <w:r w:rsidRPr="00126710">
              <w:rPr>
                <w:rFonts w:ascii="Arial" w:hAnsi="Arial" w:cs="Arial"/>
                <w:color w:val="FF0000"/>
              </w:rPr>
              <w:t xml:space="preserve">In the </w:t>
            </w:r>
            <w:r w:rsidRPr="00126710">
              <w:rPr>
                <w:rFonts w:ascii="Arial" w:hAnsi="Arial" w:cs="Arial"/>
                <w:i/>
                <w:color w:val="FF0000"/>
              </w:rPr>
              <w:t>Odyssey</w:t>
            </w:r>
            <w:r w:rsidRPr="00126710">
              <w:rPr>
                <w:rFonts w:ascii="Arial" w:hAnsi="Arial" w:cs="Arial"/>
                <w:color w:val="FF0000"/>
              </w:rPr>
              <w:t xml:space="preserve"> it is Circe’s island that Odysseus</w:t>
            </w:r>
            <w:r w:rsidRPr="00745BDD">
              <w:rPr>
                <w:rFonts w:ascii="Arial" w:hAnsi="Arial" w:cs="Arial"/>
              </w:rPr>
              <w:t xml:space="preserve"> first reaches upon leaving the Underworld, much as </w:t>
            </w:r>
            <w:r w:rsidRPr="00126710">
              <w:rPr>
                <w:rFonts w:ascii="Arial" w:hAnsi="Arial" w:cs="Arial"/>
                <w:color w:val="FF0000"/>
              </w:rPr>
              <w:t>there was a Gate of Ishtar and Aya leading out of the underworldthrough which</w:t>
            </w:r>
            <w:r w:rsidRPr="00745BDD">
              <w:rPr>
                <w:rFonts w:ascii="Arial" w:hAnsi="Arial" w:cs="Arial"/>
              </w:rPr>
              <w:t xml:space="preserve"> Ishtar (as </w:t>
            </w:r>
            <w:r w:rsidRPr="00126710">
              <w:rPr>
                <w:rFonts w:ascii="Arial" w:hAnsi="Arial" w:cs="Arial"/>
                <w:color w:val="FF0000"/>
              </w:rPr>
              <w:t>the Morning Star</w:t>
            </w:r>
            <w:r w:rsidRPr="00745BDD">
              <w:rPr>
                <w:rFonts w:ascii="Arial" w:hAnsi="Arial" w:cs="Arial"/>
              </w:rPr>
              <w:t xml:space="preserve"> Venus) and Aya </w:t>
            </w:r>
            <w:r w:rsidRPr="00126710">
              <w:rPr>
                <w:rFonts w:ascii="Arial" w:hAnsi="Arial" w:cs="Arial"/>
                <w:color w:val="FF0000"/>
              </w:rPr>
              <w:t>(the light of dawn) appeared</w:t>
            </w:r>
            <w:r w:rsidRPr="00745BDD">
              <w:rPr>
                <w:rFonts w:ascii="Arial" w:hAnsi="Arial" w:cs="Arial"/>
              </w:rPr>
              <w:t>.</w:t>
            </w:r>
            <w:r w:rsidRPr="0045360C">
              <w:rPr>
                <w:rFonts w:ascii="Arial" w:hAnsi="Arial" w:cs="Arial"/>
                <w:color w:val="000000"/>
                <w:vertAlign w:val="superscript"/>
              </w:rPr>
              <w:t>95</w:t>
            </w:r>
            <w:r w:rsidRPr="0045360C">
              <w:rPr>
                <w:color w:val="008000"/>
              </w:rPr>
              <w:t xml:space="preserve">Livingstone, A. (1989) </w:t>
            </w:r>
            <w:r w:rsidRPr="0045360C">
              <w:rPr>
                <w:i/>
                <w:color w:val="008000"/>
              </w:rPr>
              <w:t>CPLM</w:t>
            </w:r>
            <w:r w:rsidRPr="0045360C">
              <w:rPr>
                <w:color w:val="008000"/>
              </w:rPr>
              <w:t xml:space="preserve"> no.32 (</w:t>
            </w:r>
            <w:r w:rsidRPr="0045360C">
              <w:rPr>
                <w:i/>
                <w:color w:val="008000"/>
              </w:rPr>
              <w:t>The Underworld Vision of an Assyrian Prince</w:t>
            </w:r>
            <w:r w:rsidRPr="0045360C">
              <w:rPr>
                <w:color w:val="008000"/>
              </w:rPr>
              <w:t>) rev.19.</w:t>
            </w:r>
            <w:r>
              <w:rPr>
                <w:color w:val="000000"/>
              </w:rPr>
              <w:t>[NO CITATION OF WEST APPEARS]</w:t>
            </w:r>
          </w:p>
          <w:p w:rsidR="00F33D5A" w:rsidRDefault="00F33D5A" w:rsidP="0090253B">
            <w:r w:rsidRPr="00600751">
              <w:rPr>
                <w:b/>
                <w:color w:val="000000"/>
              </w:rPr>
              <w:t xml:space="preserve">West, </w:t>
            </w:r>
            <w:r w:rsidRPr="00387F8F">
              <w:rPr>
                <w:b/>
                <w:i/>
              </w:rPr>
              <w:t>The East Face of Helicon</w:t>
            </w:r>
            <w:r>
              <w:rPr>
                <w:b/>
              </w:rPr>
              <w:t xml:space="preserve">, </w:t>
            </w:r>
            <w:r w:rsidRPr="00600751">
              <w:rPr>
                <w:b/>
                <w:color w:val="000000"/>
              </w:rPr>
              <w:t>p. 407:</w:t>
            </w:r>
            <w:r>
              <w:t xml:space="preserve"> ‘</w:t>
            </w:r>
            <w:r w:rsidRPr="00126710">
              <w:rPr>
                <w:color w:val="FF0000"/>
              </w:rPr>
              <w:t>There was a gate of Ishtar (and) Aya leading out of the underworld</w:t>
            </w:r>
            <w:r>
              <w:t xml:space="preserve"> into the light, [fn10:</w:t>
            </w:r>
            <w:r w:rsidRPr="0045360C">
              <w:rPr>
                <w:i/>
                <w:color w:val="008000"/>
              </w:rPr>
              <w:t>CPLM</w:t>
            </w:r>
            <w:r w:rsidRPr="0045360C">
              <w:rPr>
                <w:color w:val="008000"/>
              </w:rPr>
              <w:t xml:space="preserve"> no. 32 (</w:t>
            </w:r>
            <w:r w:rsidRPr="0045360C">
              <w:rPr>
                <w:i/>
                <w:color w:val="008000"/>
              </w:rPr>
              <w:t>The UnderworldVision of an Assyrian Prince</w:t>
            </w:r>
            <w:r w:rsidRPr="0045360C">
              <w:rPr>
                <w:color w:val="008000"/>
              </w:rPr>
              <w:t>) rev. 19</w:t>
            </w:r>
            <w:r>
              <w:t xml:space="preserve">.] no doubt the opening </w:t>
            </w:r>
            <w:r w:rsidRPr="00126710">
              <w:rPr>
                <w:color w:val="FF0000"/>
              </w:rPr>
              <w:t>through which the Morning Star</w:t>
            </w:r>
            <w:r>
              <w:t xml:space="preserve"> and </w:t>
            </w:r>
            <w:r w:rsidRPr="00126710">
              <w:rPr>
                <w:color w:val="FF0000"/>
              </w:rPr>
              <w:t>the light of dawn appeared</w:t>
            </w:r>
            <w:r>
              <w:t xml:space="preserve">. </w:t>
            </w:r>
            <w:r w:rsidRPr="00126710">
              <w:rPr>
                <w:color w:val="FF0000"/>
              </w:rPr>
              <w:t xml:space="preserve">In the </w:t>
            </w:r>
            <w:r w:rsidRPr="00126710">
              <w:rPr>
                <w:i/>
                <w:color w:val="FF0000"/>
              </w:rPr>
              <w:t>Odyssey</w:t>
            </w:r>
            <w:r w:rsidRPr="00126710">
              <w:rPr>
                <w:color w:val="FF0000"/>
              </w:rPr>
              <w:t xml:space="preserve"> it is from the Aiaian island that the hero sails</w:t>
            </w:r>
            <w:r>
              <w:t>...’</w:t>
            </w:r>
          </w:p>
          <w:p w:rsidR="00F33D5A" w:rsidRDefault="00F33D5A" w:rsidP="0090253B"/>
          <w:p w:rsidR="00F33D5A" w:rsidRDefault="00F33D5A" w:rsidP="0090253B">
            <w:r>
              <w:t>(Plagiarism of phraseology:)</w:t>
            </w:r>
          </w:p>
          <w:p w:rsidR="00F33D5A" w:rsidRDefault="00F33D5A" w:rsidP="0090253B">
            <w:pPr>
              <w:rPr>
                <w:rFonts w:ascii="Arial" w:hAnsi="Arial" w:cs="Arial"/>
              </w:rPr>
            </w:pPr>
            <w:r>
              <w:rPr>
                <w:b/>
                <w:color w:val="000000"/>
              </w:rPr>
              <w:t xml:space="preserve">(6) </w:t>
            </w:r>
            <w:r w:rsidRPr="00600751">
              <w:rPr>
                <w:b/>
                <w:color w:val="000000"/>
              </w:rPr>
              <w:t>Grey, p. 25:</w:t>
            </w:r>
            <w:r w:rsidRPr="00745BDD">
              <w:rPr>
                <w:rFonts w:ascii="Arial" w:hAnsi="Arial" w:cs="Arial"/>
              </w:rPr>
              <w:t xml:space="preserve">Finally, Circe is associated with both the sun, and the Akkadian goddess Aya, through the translation of her name: </w:t>
            </w:r>
            <w:r w:rsidRPr="00C37B20">
              <w:rPr>
                <w:rFonts w:ascii="Arial" w:hAnsi="Arial" w:cs="Arial"/>
                <w:i/>
                <w:color w:val="FF0000"/>
              </w:rPr>
              <w:t>Κιρκη</w:t>
            </w:r>
            <w:r w:rsidRPr="00745BDD">
              <w:rPr>
                <w:rFonts w:ascii="Arial" w:hAnsi="Arial" w:cs="Arial"/>
              </w:rPr>
              <w:t xml:space="preserve">, the </w:t>
            </w:r>
            <w:r w:rsidRPr="00C37B20">
              <w:rPr>
                <w:rFonts w:ascii="Arial" w:hAnsi="Arial" w:cs="Arial"/>
                <w:color w:val="FF0000"/>
              </w:rPr>
              <w:t>feminine form</w:t>
            </w:r>
            <w:r w:rsidRPr="00745BDD">
              <w:rPr>
                <w:rFonts w:ascii="Arial" w:hAnsi="Arial" w:cs="Arial"/>
              </w:rPr>
              <w:t xml:space="preserve"> of </w:t>
            </w:r>
            <w:r w:rsidRPr="00C37B20">
              <w:rPr>
                <w:rFonts w:ascii="Arial" w:hAnsi="Arial" w:cs="Arial"/>
                <w:i/>
                <w:color w:val="FF0000"/>
              </w:rPr>
              <w:t>kirkos</w:t>
            </w:r>
            <w:r w:rsidRPr="00745BDD">
              <w:rPr>
                <w:rFonts w:ascii="Arial" w:hAnsi="Arial" w:cs="Arial"/>
              </w:rPr>
              <w:t xml:space="preserve">– </w:t>
            </w:r>
            <w:r w:rsidRPr="00C37B20">
              <w:rPr>
                <w:rFonts w:ascii="Arial" w:hAnsi="Arial" w:cs="Arial"/>
                <w:color w:val="FF0000"/>
              </w:rPr>
              <w:t>‘falcon’</w:t>
            </w:r>
            <w:r w:rsidRPr="00745BDD">
              <w:rPr>
                <w:rFonts w:ascii="Arial" w:hAnsi="Arial" w:cs="Arial"/>
              </w:rPr>
              <w:t xml:space="preserve">. This is a </w:t>
            </w:r>
            <w:r w:rsidRPr="00600751">
              <w:rPr>
                <w:rFonts w:ascii="Arial" w:hAnsi="Arial" w:cs="Arial"/>
                <w:color w:val="FF0000"/>
              </w:rPr>
              <w:t>bird</w:t>
            </w:r>
            <w:r w:rsidRPr="00745BDD">
              <w:rPr>
                <w:rFonts w:ascii="Arial" w:hAnsi="Arial" w:cs="Arial"/>
              </w:rPr>
              <w:t xml:space="preserve"> associated in </w:t>
            </w:r>
            <w:r w:rsidRPr="00600751">
              <w:rPr>
                <w:rFonts w:ascii="Arial" w:hAnsi="Arial" w:cs="Arial"/>
                <w:color w:val="FF0000"/>
              </w:rPr>
              <w:t>Egyptian</w:t>
            </w:r>
            <w:r w:rsidRPr="00745BDD">
              <w:rPr>
                <w:rFonts w:ascii="Arial" w:hAnsi="Arial" w:cs="Arial"/>
              </w:rPr>
              <w:t xml:space="preserve"> culture with </w:t>
            </w:r>
            <w:r w:rsidRPr="00600751">
              <w:rPr>
                <w:rFonts w:ascii="Arial" w:hAnsi="Arial" w:cs="Arial"/>
                <w:color w:val="FF0000"/>
              </w:rPr>
              <w:t>the Sun-god</w:t>
            </w:r>
            <w:r w:rsidRPr="00745BDD">
              <w:rPr>
                <w:rFonts w:ascii="Arial" w:hAnsi="Arial" w:cs="Arial"/>
              </w:rPr>
              <w:t xml:space="preserve">, </w:t>
            </w:r>
            <w:r w:rsidRPr="00600751">
              <w:rPr>
                <w:rFonts w:ascii="Arial" w:hAnsi="Arial" w:cs="Arial"/>
                <w:color w:val="FF0000"/>
              </w:rPr>
              <w:t>an icon which influenced Phoenician art</w:t>
            </w:r>
            <w:r w:rsidRPr="00745BDD">
              <w:rPr>
                <w:rFonts w:ascii="Arial" w:hAnsi="Arial" w:cs="Arial"/>
              </w:rPr>
              <w:t>.</w:t>
            </w:r>
            <w:r>
              <w:rPr>
                <w:rFonts w:ascii="Arial" w:hAnsi="Arial" w:cs="Arial"/>
              </w:rPr>
              <w:t xml:space="preserve"> [NO SOURCE CITED FOR THIS SENTENCE]</w:t>
            </w:r>
          </w:p>
          <w:p w:rsidR="00F33D5A" w:rsidRDefault="00F33D5A" w:rsidP="0090253B">
            <w:r w:rsidRPr="00600751">
              <w:rPr>
                <w:b/>
              </w:rPr>
              <w:t xml:space="preserve">West, </w:t>
            </w:r>
            <w:r w:rsidRPr="00387F8F">
              <w:rPr>
                <w:b/>
                <w:i/>
              </w:rPr>
              <w:t>The East Face of Helicon</w:t>
            </w:r>
            <w:r>
              <w:rPr>
                <w:b/>
              </w:rPr>
              <w:t xml:space="preserve">, </w:t>
            </w:r>
            <w:r w:rsidRPr="00600751">
              <w:rPr>
                <w:b/>
              </w:rPr>
              <w:t>p. 408:</w:t>
            </w:r>
            <w:r>
              <w:t xml:space="preserve"> What of the name Circe, </w:t>
            </w:r>
            <w:r w:rsidRPr="00600751">
              <w:rPr>
                <w:i/>
                <w:color w:val="FF0000"/>
              </w:rPr>
              <w:t>Kirkē</w:t>
            </w:r>
            <w:r>
              <w:t xml:space="preserve">? It is most obviously explained as a </w:t>
            </w:r>
            <w:r w:rsidRPr="00600751">
              <w:rPr>
                <w:color w:val="FF0000"/>
              </w:rPr>
              <w:t>feminine form</w:t>
            </w:r>
            <w:r>
              <w:t xml:space="preserve"> corresponding to </w:t>
            </w:r>
            <w:r w:rsidRPr="00600751">
              <w:rPr>
                <w:i/>
                <w:color w:val="FF0000"/>
              </w:rPr>
              <w:t>kirkos</w:t>
            </w:r>
            <w:r>
              <w:t xml:space="preserve"> “hawk, </w:t>
            </w:r>
            <w:r w:rsidRPr="00600751">
              <w:rPr>
                <w:color w:val="FF0000"/>
              </w:rPr>
              <w:t>falcon</w:t>
            </w:r>
            <w:r>
              <w:t xml:space="preserve">”. ... </w:t>
            </w:r>
            <w:r>
              <w:lastRenderedPageBreak/>
              <w:t xml:space="preserve">But it may be recalled that in </w:t>
            </w:r>
            <w:r w:rsidRPr="00600751">
              <w:rPr>
                <w:color w:val="FF0000"/>
              </w:rPr>
              <w:t>Egyptian iconography the Sun-god is represented as a falcon</w:t>
            </w:r>
            <w:r>
              <w:t xml:space="preserve">, or with a falcon’s head, and this also appears under </w:t>
            </w:r>
            <w:r w:rsidRPr="00600751">
              <w:rPr>
                <w:color w:val="FF0000"/>
              </w:rPr>
              <w:t>Egyptian influence in Phoenecian art</w:t>
            </w:r>
            <w:r>
              <w:t>.’</w:t>
            </w:r>
          </w:p>
          <w:p w:rsidR="00F33D5A" w:rsidRDefault="00F33D5A" w:rsidP="0090253B"/>
          <w:p w:rsidR="00F33D5A" w:rsidRDefault="00F33D5A" w:rsidP="0090253B">
            <w:r>
              <w:t>(Plagiarism of original sources:)</w:t>
            </w:r>
          </w:p>
          <w:p w:rsidR="00F33D5A" w:rsidRDefault="00F33D5A" w:rsidP="0090253B">
            <w:r>
              <w:rPr>
                <w:b/>
              </w:rPr>
              <w:t xml:space="preserve">(7) </w:t>
            </w:r>
            <w:r w:rsidRPr="005A0997">
              <w:rPr>
                <w:b/>
              </w:rPr>
              <w:t>Grey, p. 26:</w:t>
            </w:r>
            <w:r w:rsidRPr="00745BDD">
              <w:rPr>
                <w:rFonts w:ascii="Arial" w:hAnsi="Arial" w:cs="Arial"/>
                <w:i/>
              </w:rPr>
              <w:t>φυλακαι</w:t>
            </w:r>
            <w:r w:rsidRPr="00745BDD">
              <w:rPr>
                <w:rFonts w:ascii="Arial" w:hAnsi="Arial" w:cs="Arial"/>
              </w:rPr>
              <w:t>.</w:t>
            </w:r>
            <w:r w:rsidRPr="0045360C">
              <w:rPr>
                <w:rFonts w:ascii="Arial" w:hAnsi="Arial" w:cs="Arial"/>
                <w:color w:val="000000"/>
                <w:vertAlign w:val="superscript"/>
              </w:rPr>
              <w:t>100</w:t>
            </w:r>
            <w:r w:rsidRPr="0045360C">
              <w:rPr>
                <w:color w:val="008000"/>
              </w:rPr>
              <w:t xml:space="preserve">Homer </w:t>
            </w:r>
            <w:r w:rsidRPr="0045360C">
              <w:rPr>
                <w:i/>
                <w:color w:val="008000"/>
              </w:rPr>
              <w:t>Iliad</w:t>
            </w:r>
            <w:r w:rsidRPr="0045360C">
              <w:rPr>
                <w:color w:val="008000"/>
              </w:rPr>
              <w:t>: X.252</w:t>
            </w:r>
            <w:r w:rsidRPr="0045360C">
              <w:rPr>
                <w:i/>
                <w:color w:val="008000"/>
              </w:rPr>
              <w:t>f.</w:t>
            </w:r>
            <w:r w:rsidRPr="0045360C">
              <w:rPr>
                <w:color w:val="008000"/>
              </w:rPr>
              <w:t>,</w:t>
            </w:r>
            <w:r w:rsidRPr="0045360C">
              <w:rPr>
                <w:i/>
                <w:color w:val="008000"/>
              </w:rPr>
              <w:t>Odyssey</w:t>
            </w:r>
            <w:r w:rsidRPr="0045360C">
              <w:rPr>
                <w:color w:val="008000"/>
              </w:rPr>
              <w:t>: XII.312, XIV.483; Stesichorus</w:t>
            </w:r>
            <w:r w:rsidRPr="0045360C">
              <w:rPr>
                <w:i/>
                <w:color w:val="008000"/>
              </w:rPr>
              <w:t xml:space="preserve">PMGF </w:t>
            </w:r>
            <w:r w:rsidRPr="0045360C">
              <w:rPr>
                <w:color w:val="008000"/>
              </w:rPr>
              <w:t xml:space="preserve">268; Simonides </w:t>
            </w:r>
            <w:r w:rsidRPr="0045360C">
              <w:rPr>
                <w:i/>
                <w:color w:val="008000"/>
              </w:rPr>
              <w:t xml:space="preserve">PMG </w:t>
            </w:r>
            <w:r w:rsidRPr="0045360C">
              <w:rPr>
                <w:color w:val="008000"/>
              </w:rPr>
              <w:t xml:space="preserve">644 (both ap. sch. </w:t>
            </w:r>
            <w:r w:rsidRPr="0045360C">
              <w:rPr>
                <w:i/>
                <w:color w:val="008000"/>
              </w:rPr>
              <w:t xml:space="preserve">Rhesus </w:t>
            </w:r>
            <w:r w:rsidRPr="0045360C">
              <w:rPr>
                <w:color w:val="008000"/>
              </w:rPr>
              <w:t xml:space="preserve">5); </w:t>
            </w:r>
            <w:r w:rsidRPr="0045360C">
              <w:rPr>
                <w:i/>
                <w:color w:val="008000"/>
              </w:rPr>
              <w:t xml:space="preserve">Rhesus </w:t>
            </w:r>
            <w:r w:rsidRPr="0045360C">
              <w:rPr>
                <w:color w:val="008000"/>
              </w:rPr>
              <w:t xml:space="preserve">5, 527-545; Herodotus </w:t>
            </w:r>
            <w:r w:rsidRPr="0045360C">
              <w:rPr>
                <w:i/>
                <w:color w:val="008000"/>
              </w:rPr>
              <w:t>Histories</w:t>
            </w:r>
            <w:r w:rsidRPr="0045360C">
              <w:rPr>
                <w:color w:val="008000"/>
              </w:rPr>
              <w:t>: IX.51.3</w:t>
            </w:r>
            <w:r w:rsidRPr="00745BDD">
              <w:t xml:space="preserve">. See also, </w:t>
            </w:r>
            <w:r w:rsidRPr="00745BDD">
              <w:rPr>
                <w:i/>
              </w:rPr>
              <w:t>LSJ</w:t>
            </w:r>
            <w:r w:rsidRPr="00745BDD">
              <w:t xml:space="preserve">: s.v. </w:t>
            </w:r>
            <w:r w:rsidRPr="00745BDD">
              <w:rPr>
                <w:i/>
              </w:rPr>
              <w:t>φυλακ-</w:t>
            </w:r>
            <w:r w:rsidRPr="00745BDD">
              <w:t>.</w:t>
            </w:r>
            <w:r>
              <w:t xml:space="preserve"> [NO ACKNOWLEDGEMENT THAT THESE ARE WEST’S SOURCES]</w:t>
            </w:r>
          </w:p>
          <w:p w:rsidR="00F33D5A" w:rsidRDefault="00F33D5A" w:rsidP="0090253B">
            <w:r w:rsidRPr="005A0997">
              <w:rPr>
                <w:b/>
              </w:rPr>
              <w:t xml:space="preserve">West, </w:t>
            </w:r>
            <w:r w:rsidRPr="00387F8F">
              <w:rPr>
                <w:b/>
                <w:i/>
              </w:rPr>
              <w:t>The East Face of Helicon</w:t>
            </w:r>
            <w:r>
              <w:rPr>
                <w:b/>
              </w:rPr>
              <w:t xml:space="preserve">, </w:t>
            </w:r>
            <w:r w:rsidRPr="005A0997">
              <w:rPr>
                <w:b/>
              </w:rPr>
              <w:t>p. 27, n. 110:</w:t>
            </w:r>
            <w:r w:rsidRPr="0045360C">
              <w:rPr>
                <w:i/>
                <w:color w:val="008000"/>
              </w:rPr>
              <w:t>Il.</w:t>
            </w:r>
            <w:r w:rsidRPr="0045360C">
              <w:rPr>
                <w:color w:val="008000"/>
              </w:rPr>
              <w:t xml:space="preserve"> 10. 252 f., </w:t>
            </w:r>
            <w:r w:rsidRPr="0045360C">
              <w:rPr>
                <w:i/>
                <w:color w:val="008000"/>
              </w:rPr>
              <w:t>Od.</w:t>
            </w:r>
            <w:r w:rsidRPr="0045360C">
              <w:rPr>
                <w:color w:val="008000"/>
              </w:rPr>
              <w:t xml:space="preserve"> 12, 312, 14, 483; Stes. PMGF 268, Simon. PMG 644 (both ap. schol. </w:t>
            </w:r>
            <w:r w:rsidRPr="0045360C">
              <w:rPr>
                <w:i/>
                <w:color w:val="008000"/>
              </w:rPr>
              <w:t>Rhes</w:t>
            </w:r>
            <w:r w:rsidRPr="0045360C">
              <w:rPr>
                <w:color w:val="008000"/>
              </w:rPr>
              <w:t>. 5</w:t>
            </w:r>
            <w:r>
              <w:t xml:space="preserve">; it is not clear whether they use the word ‘watch’); </w:t>
            </w:r>
            <w:r w:rsidRPr="0045360C">
              <w:rPr>
                <w:i/>
                <w:color w:val="008000"/>
              </w:rPr>
              <w:t>Rhes.</w:t>
            </w:r>
            <w:r w:rsidRPr="0045360C">
              <w:rPr>
                <w:color w:val="008000"/>
              </w:rPr>
              <w:t xml:space="preserve"> 5, 527-45; Hdt. 9. 51. 3.</w:t>
            </w:r>
            <w:r>
              <w:t xml:space="preserve"> ...</w:t>
            </w:r>
          </w:p>
          <w:p w:rsidR="00F33D5A" w:rsidRDefault="00F33D5A" w:rsidP="0090253B"/>
          <w:p w:rsidR="00F33D5A" w:rsidRPr="0045360C" w:rsidRDefault="00F33D5A" w:rsidP="0090253B">
            <w:r>
              <w:t>(Plagiarism of phraseology:)</w:t>
            </w:r>
          </w:p>
          <w:p w:rsidR="00F33D5A" w:rsidRDefault="00F33D5A" w:rsidP="0090253B">
            <w:pPr>
              <w:rPr>
                <w:rFonts w:ascii="Arial" w:hAnsi="Arial" w:cs="Arial"/>
              </w:rPr>
            </w:pPr>
            <w:r>
              <w:rPr>
                <w:b/>
              </w:rPr>
              <w:t xml:space="preserve">(8) </w:t>
            </w:r>
            <w:r w:rsidRPr="005A0997">
              <w:rPr>
                <w:b/>
              </w:rPr>
              <w:t xml:space="preserve">Grey, p. 26: </w:t>
            </w:r>
            <w:r w:rsidRPr="00745BDD">
              <w:rPr>
                <w:rFonts w:ascii="Arial" w:hAnsi="Arial" w:cs="Arial"/>
              </w:rPr>
              <w:t xml:space="preserve">This Greek term </w:t>
            </w:r>
            <w:r w:rsidRPr="005A0997">
              <w:rPr>
                <w:rFonts w:ascii="Arial" w:hAnsi="Arial" w:cs="Arial"/>
                <w:color w:val="FF0000"/>
              </w:rPr>
              <w:t>corresponds closely in most of its senses to</w:t>
            </w:r>
            <w:r w:rsidRPr="00745BDD">
              <w:rPr>
                <w:rFonts w:ascii="Arial" w:hAnsi="Arial" w:cs="Arial"/>
              </w:rPr>
              <w:t xml:space="preserve"> the </w:t>
            </w:r>
            <w:r w:rsidRPr="005A0997">
              <w:rPr>
                <w:rFonts w:ascii="Arial" w:hAnsi="Arial" w:cs="Arial"/>
                <w:color w:val="FF0000"/>
              </w:rPr>
              <w:t>Akkadian</w:t>
            </w:r>
            <w:r w:rsidRPr="00745BDD">
              <w:rPr>
                <w:rFonts w:ascii="Arial" w:hAnsi="Arial" w:cs="Arial"/>
              </w:rPr>
              <w:t xml:space="preserve"> term </w:t>
            </w:r>
            <w:r w:rsidRPr="005A0997">
              <w:rPr>
                <w:rFonts w:ascii="Arial" w:hAnsi="Arial" w:cs="Arial"/>
                <w:i/>
                <w:color w:val="FF0000"/>
              </w:rPr>
              <w:t>maṣṣartu</w:t>
            </w:r>
            <w:r>
              <w:rPr>
                <w:rFonts w:ascii="Arial" w:hAnsi="Arial" w:cs="Arial"/>
              </w:rPr>
              <w:t>. [NO CITATION TO WEST APPEARS]</w:t>
            </w:r>
          </w:p>
          <w:p w:rsidR="00F33D5A" w:rsidRDefault="00F33D5A" w:rsidP="0090253B">
            <w:r w:rsidRPr="005A0997">
              <w:rPr>
                <w:b/>
              </w:rPr>
              <w:t xml:space="preserve">West, </w:t>
            </w:r>
            <w:r w:rsidRPr="00387F8F">
              <w:rPr>
                <w:b/>
                <w:i/>
              </w:rPr>
              <w:t>The East Face of Helicon</w:t>
            </w:r>
            <w:r>
              <w:rPr>
                <w:b/>
              </w:rPr>
              <w:t xml:space="preserve">, </w:t>
            </w:r>
            <w:r w:rsidRPr="005A0997">
              <w:rPr>
                <w:b/>
              </w:rPr>
              <w:t>p. 27:</w:t>
            </w:r>
            <w:r>
              <w:t xml:space="preserve"> The word </w:t>
            </w:r>
            <w:r w:rsidRPr="005A0997">
              <w:rPr>
                <w:noProof/>
                <w:lang w:val="el-GR"/>
              </w:rPr>
              <w:t>φυλακή</w:t>
            </w:r>
            <w:r w:rsidRPr="005A0997">
              <w:rPr>
                <w:color w:val="FF0000"/>
              </w:rPr>
              <w:t>corresponds closely in most of its senses</w:t>
            </w:r>
            <w:r w:rsidRPr="005A0997">
              <w:t xml:space="preserve">, including this one, </w:t>
            </w:r>
            <w:r w:rsidRPr="005A0997">
              <w:rPr>
                <w:color w:val="FF0000"/>
              </w:rPr>
              <w:t xml:space="preserve">to Akkadian </w:t>
            </w:r>
            <w:r w:rsidRPr="005A0997">
              <w:rPr>
                <w:i/>
                <w:color w:val="FF0000"/>
              </w:rPr>
              <w:t>maṣṣartu</w:t>
            </w:r>
            <w:r w:rsidRPr="005A0997">
              <w:t>.’</w:t>
            </w:r>
          </w:p>
          <w:p w:rsidR="00F33D5A" w:rsidRDefault="00F33D5A" w:rsidP="0090253B"/>
          <w:p w:rsidR="00F33D5A" w:rsidRDefault="00F33D5A" w:rsidP="0045360C">
            <w:r>
              <w:t>(Plagiarism of original sources and phraseology:)</w:t>
            </w:r>
          </w:p>
          <w:p w:rsidR="00F33D5A" w:rsidRDefault="00F33D5A" w:rsidP="0090253B">
            <w:r>
              <w:rPr>
                <w:b/>
              </w:rPr>
              <w:t xml:space="preserve">(9) </w:t>
            </w:r>
            <w:r w:rsidRPr="00772FD6">
              <w:rPr>
                <w:b/>
              </w:rPr>
              <w:t>Grey, p. 26:</w:t>
            </w:r>
            <w:r w:rsidRPr="0091445C">
              <w:rPr>
                <w:rFonts w:ascii="Arial" w:hAnsi="Arial" w:cs="Arial"/>
                <w:color w:val="FF0000"/>
              </w:rPr>
              <w:t>The Babylonians divided</w:t>
            </w:r>
            <w:r w:rsidRPr="00745BDD">
              <w:rPr>
                <w:rFonts w:ascii="Arial" w:hAnsi="Arial" w:cs="Arial"/>
              </w:rPr>
              <w:t xml:space="preserve"> both </w:t>
            </w:r>
            <w:r w:rsidRPr="0091445C">
              <w:rPr>
                <w:rFonts w:ascii="Arial" w:hAnsi="Arial" w:cs="Arial"/>
                <w:color w:val="FF0000"/>
              </w:rPr>
              <w:t xml:space="preserve">nightand dayinto three </w:t>
            </w:r>
            <w:r w:rsidRPr="0091445C">
              <w:rPr>
                <w:rFonts w:ascii="Arial" w:hAnsi="Arial" w:cs="Arial"/>
                <w:i/>
                <w:color w:val="FF0000"/>
              </w:rPr>
              <w:t>maṣṣarātu</w:t>
            </w:r>
            <w:r w:rsidRPr="00745BDD">
              <w:rPr>
                <w:rFonts w:ascii="Arial" w:hAnsi="Arial" w:cs="Arial"/>
              </w:rPr>
              <w:t xml:space="preserve"> from at least the </w:t>
            </w:r>
            <w:r w:rsidRPr="0091445C">
              <w:rPr>
                <w:rFonts w:ascii="Arial" w:hAnsi="Arial" w:cs="Arial"/>
                <w:color w:val="FF0000"/>
              </w:rPr>
              <w:t>26</w:t>
            </w:r>
            <w:r w:rsidRPr="0091445C">
              <w:rPr>
                <w:rFonts w:ascii="Arial" w:hAnsi="Arial" w:cs="Arial"/>
                <w:color w:val="FF0000"/>
                <w:vertAlign w:val="superscript"/>
              </w:rPr>
              <w:t>th</w:t>
            </w:r>
            <w:r w:rsidRPr="0091445C">
              <w:rPr>
                <w:rFonts w:ascii="Arial" w:hAnsi="Arial" w:cs="Arial"/>
                <w:color w:val="FF0000"/>
              </w:rPr>
              <w:t xml:space="preserve"> century</w:t>
            </w:r>
            <w:r w:rsidRPr="00745BDD">
              <w:rPr>
                <w:rFonts w:ascii="Arial" w:hAnsi="Arial" w:cs="Arial"/>
              </w:rPr>
              <w:t xml:space="preserve"> BCE, demonstrated for example in this </w:t>
            </w:r>
            <w:r w:rsidRPr="0091445C">
              <w:rPr>
                <w:rFonts w:ascii="Arial" w:hAnsi="Arial" w:cs="Arial"/>
                <w:color w:val="FF0000"/>
              </w:rPr>
              <w:t>Old Babylonian letter</w:t>
            </w:r>
            <w:r w:rsidRPr="00745BDD">
              <w:rPr>
                <w:rFonts w:ascii="Arial" w:hAnsi="Arial" w:cs="Arial"/>
              </w:rPr>
              <w:t xml:space="preserve"> which reads: </w:t>
            </w:r>
            <w:r w:rsidRPr="0091445C">
              <w:rPr>
                <w:rFonts w:ascii="Arial" w:hAnsi="Arial" w:cs="Arial"/>
                <w:color w:val="FF0000"/>
              </w:rPr>
              <w:t>‘in the night at the third watch (</w:t>
            </w:r>
            <w:r w:rsidRPr="0091445C">
              <w:rPr>
                <w:rFonts w:ascii="Arial" w:hAnsi="Arial" w:cs="Arial"/>
                <w:i/>
                <w:color w:val="FF0000"/>
              </w:rPr>
              <w:t>mūš um šaluštimaṣṣarti</w:t>
            </w:r>
            <w:r w:rsidRPr="0091445C">
              <w:rPr>
                <w:rFonts w:ascii="Arial" w:hAnsi="Arial" w:cs="Arial"/>
                <w:color w:val="FF0000"/>
              </w:rPr>
              <w:t>)’</w:t>
            </w:r>
            <w:r w:rsidRPr="00745BDD">
              <w:rPr>
                <w:rFonts w:ascii="Arial" w:hAnsi="Arial" w:cs="Arial"/>
              </w:rPr>
              <w:t>.</w:t>
            </w:r>
            <w:r>
              <w:rPr>
                <w:rFonts w:ascii="Arial" w:hAnsi="Arial" w:cs="Arial"/>
                <w:vertAlign w:val="superscript"/>
              </w:rPr>
              <w:t>102</w:t>
            </w:r>
            <w:r w:rsidRPr="0045360C">
              <w:rPr>
                <w:color w:val="008000"/>
              </w:rPr>
              <w:t xml:space="preserve">Englund, R. K. (1988) ‘Administrative Time-Keeping in Ancient Mesopotamia’, in, </w:t>
            </w:r>
            <w:r w:rsidRPr="0045360C">
              <w:rPr>
                <w:i/>
                <w:color w:val="008000"/>
              </w:rPr>
              <w:t>Journal of the Economic and Social History of the Orient</w:t>
            </w:r>
            <w:r w:rsidRPr="0045360C">
              <w:rPr>
                <w:color w:val="008000"/>
              </w:rPr>
              <w:t xml:space="preserve"> 31: 167</w:t>
            </w:r>
            <w:r w:rsidRPr="00745BDD">
              <w:t>.</w:t>
            </w:r>
            <w:r>
              <w:t xml:space="preserve"> [NO ATTRIBUTION TO WEST]</w:t>
            </w:r>
          </w:p>
          <w:p w:rsidR="00F33D5A" w:rsidRDefault="00F33D5A" w:rsidP="0090253B">
            <w:r w:rsidRPr="00772FD6">
              <w:rPr>
                <w:b/>
              </w:rPr>
              <w:t xml:space="preserve">West, </w:t>
            </w:r>
            <w:r w:rsidRPr="00387F8F">
              <w:rPr>
                <w:b/>
                <w:i/>
              </w:rPr>
              <w:t>The East Face of Helicon</w:t>
            </w:r>
            <w:r>
              <w:rPr>
                <w:b/>
              </w:rPr>
              <w:t xml:space="preserve">, </w:t>
            </w:r>
            <w:r w:rsidRPr="00772FD6">
              <w:rPr>
                <w:b/>
              </w:rPr>
              <w:t>p. 27 and n. 111:</w:t>
            </w:r>
            <w:r w:rsidRPr="0091445C">
              <w:rPr>
                <w:color w:val="FF0000"/>
              </w:rPr>
              <w:t>The Babylonians</w:t>
            </w:r>
            <w:r>
              <w:t xml:space="preserve"> from the earliest times </w:t>
            </w:r>
            <w:r w:rsidRPr="0091445C">
              <w:rPr>
                <w:color w:val="FF0000"/>
              </w:rPr>
              <w:t>divided the night</w:t>
            </w:r>
            <w:r>
              <w:t xml:space="preserve"> (</w:t>
            </w:r>
            <w:r w:rsidRPr="0091445C">
              <w:rPr>
                <w:color w:val="FF0000"/>
              </w:rPr>
              <w:t>and</w:t>
            </w:r>
            <w:r>
              <w:t xml:space="preserve"> also the </w:t>
            </w:r>
            <w:r w:rsidRPr="0091445C">
              <w:rPr>
                <w:color w:val="FF0000"/>
              </w:rPr>
              <w:t>day</w:t>
            </w:r>
            <w:r>
              <w:t xml:space="preserve">) </w:t>
            </w:r>
            <w:r w:rsidRPr="0091445C">
              <w:rPr>
                <w:color w:val="FF0000"/>
              </w:rPr>
              <w:t xml:space="preserve">into three </w:t>
            </w:r>
            <w:r w:rsidRPr="0091445C">
              <w:rPr>
                <w:i/>
                <w:color w:val="FF0000"/>
              </w:rPr>
              <w:t>maṣṣarātu</w:t>
            </w:r>
            <w:r>
              <w:t xml:space="preserve">; an expression such as </w:t>
            </w:r>
            <w:r w:rsidRPr="0091445C">
              <w:rPr>
                <w:color w:val="FF0000"/>
              </w:rPr>
              <w:t>“in the night at the third watch” (</w:t>
            </w:r>
            <w:r w:rsidRPr="0091445C">
              <w:rPr>
                <w:i/>
                <w:color w:val="FF0000"/>
              </w:rPr>
              <w:t>mūšum šalušti maṣṣarti</w:t>
            </w:r>
            <w:r w:rsidRPr="0091445C">
              <w:rPr>
                <w:color w:val="FF0000"/>
              </w:rPr>
              <w:t>) in an Old Babylonian letter</w:t>
            </w:r>
            <w:r>
              <w:t xml:space="preserve"> exactly parallels Herodotus “in the night at the second watch” </w:t>
            </w:r>
            <w:r w:rsidRPr="00772FD6">
              <w:rPr>
                <w:noProof/>
                <w:lang w:val="el-GR"/>
              </w:rPr>
              <w:t>ἐπεὰν τῆς νυκτὸς ἦι δευτέρη φυλακή</w:t>
            </w:r>
            <w:r>
              <w:t xml:space="preserve">. [fn 111: See </w:t>
            </w:r>
            <w:r w:rsidRPr="00772FD6">
              <w:rPr>
                <w:i/>
              </w:rPr>
              <w:t>CAD</w:t>
            </w:r>
            <w:r>
              <w:t xml:space="preserve"> s.v. maṣṣartu, §3d. Tripartition of day and night can be traced back to the Sumerian Fara period (c. </w:t>
            </w:r>
            <w:r w:rsidRPr="0091445C">
              <w:rPr>
                <w:color w:val="FF0000"/>
              </w:rPr>
              <w:t>26</w:t>
            </w:r>
            <w:r w:rsidRPr="0091445C">
              <w:rPr>
                <w:color w:val="FF0000"/>
                <w:vertAlign w:val="superscript"/>
              </w:rPr>
              <w:t>th</w:t>
            </w:r>
            <w:r w:rsidRPr="0091445C">
              <w:rPr>
                <w:color w:val="FF0000"/>
              </w:rPr>
              <w:t xml:space="preserve"> century</w:t>
            </w:r>
            <w:r>
              <w:t xml:space="preserve">): </w:t>
            </w:r>
            <w:r w:rsidRPr="0045360C">
              <w:rPr>
                <w:color w:val="008000"/>
              </w:rPr>
              <w:t xml:space="preserve">R. K. Englund, </w:t>
            </w:r>
            <w:r w:rsidRPr="0045360C">
              <w:rPr>
                <w:i/>
                <w:color w:val="008000"/>
              </w:rPr>
              <w:t>Journal of the Economic and Social History of the Orient</w:t>
            </w:r>
            <w:r w:rsidRPr="0045360C">
              <w:rPr>
                <w:color w:val="008000"/>
              </w:rPr>
              <w:t xml:space="preserve"> 31, 1988, 167</w:t>
            </w:r>
            <w:r>
              <w:t>.</w:t>
            </w:r>
          </w:p>
          <w:p w:rsidR="00F33D5A" w:rsidRDefault="00F33D5A" w:rsidP="0090253B"/>
          <w:p w:rsidR="00F33D5A" w:rsidRDefault="00F33D5A" w:rsidP="0090253B">
            <w:r>
              <w:t>(Plagiarism of phraseology:)</w:t>
            </w:r>
          </w:p>
          <w:p w:rsidR="00F33D5A" w:rsidRDefault="00F33D5A" w:rsidP="0090253B">
            <w:pPr>
              <w:pStyle w:val="FootnoteText"/>
              <w:rPr>
                <w:rFonts w:ascii="Arial" w:hAnsi="Arial" w:cs="Arial"/>
                <w:sz w:val="24"/>
              </w:rPr>
            </w:pPr>
            <w:r>
              <w:rPr>
                <w:rFonts w:ascii="Times New Roman" w:hAnsi="Times New Roman"/>
                <w:b/>
                <w:sz w:val="24"/>
                <w:szCs w:val="24"/>
              </w:rPr>
              <w:t xml:space="preserve">(10) Grey, p. 28: </w:t>
            </w:r>
            <w:r w:rsidRPr="00745BDD">
              <w:rPr>
                <w:rFonts w:ascii="Arial" w:hAnsi="Arial" w:cs="Arial"/>
                <w:sz w:val="24"/>
              </w:rPr>
              <w:t xml:space="preserve">One such </w:t>
            </w:r>
            <w:r w:rsidRPr="008A576D">
              <w:rPr>
                <w:rFonts w:ascii="Arial" w:hAnsi="Arial" w:cs="Arial"/>
                <w:color w:val="FF0000"/>
                <w:sz w:val="24"/>
              </w:rPr>
              <w:t>recurring motif</w:t>
            </w:r>
            <w:r w:rsidRPr="00745BDD">
              <w:rPr>
                <w:rFonts w:ascii="Arial" w:hAnsi="Arial" w:cs="Arial"/>
                <w:sz w:val="24"/>
              </w:rPr>
              <w:t xml:space="preserve"> is </w:t>
            </w:r>
            <w:r w:rsidRPr="008A576D">
              <w:rPr>
                <w:rFonts w:ascii="Arial" w:hAnsi="Arial" w:cs="Arial"/>
                <w:color w:val="FF0000"/>
                <w:sz w:val="24"/>
              </w:rPr>
              <w:t>that something</w:t>
            </w:r>
            <w:r w:rsidRPr="00745BDD">
              <w:rPr>
                <w:rFonts w:ascii="Arial" w:hAnsi="Arial" w:cs="Arial"/>
                <w:sz w:val="24"/>
              </w:rPr>
              <w:t xml:space="preserve"> will occur </w:t>
            </w:r>
            <w:r w:rsidRPr="008A576D">
              <w:rPr>
                <w:rFonts w:ascii="Arial" w:hAnsi="Arial" w:cs="Arial"/>
                <w:color w:val="FF0000"/>
                <w:sz w:val="24"/>
              </w:rPr>
              <w:t>for six days</w:t>
            </w:r>
            <w:r w:rsidRPr="00745BDD">
              <w:rPr>
                <w:rFonts w:ascii="Arial" w:hAnsi="Arial" w:cs="Arial"/>
                <w:sz w:val="24"/>
              </w:rPr>
              <w:t xml:space="preserve">, </w:t>
            </w:r>
            <w:r w:rsidRPr="008A576D">
              <w:rPr>
                <w:rFonts w:ascii="Arial" w:hAnsi="Arial" w:cs="Arial"/>
                <w:color w:val="FF0000"/>
                <w:sz w:val="24"/>
              </w:rPr>
              <w:t>and</w:t>
            </w:r>
            <w:r w:rsidRPr="00745BDD">
              <w:rPr>
                <w:rFonts w:ascii="Arial" w:hAnsi="Arial" w:cs="Arial"/>
                <w:sz w:val="24"/>
              </w:rPr>
              <w:t xml:space="preserve"> it is </w:t>
            </w:r>
            <w:r w:rsidRPr="008A576D">
              <w:rPr>
                <w:rFonts w:ascii="Arial" w:hAnsi="Arial" w:cs="Arial"/>
                <w:color w:val="FF0000"/>
                <w:sz w:val="24"/>
              </w:rPr>
              <w:t>on the seventh</w:t>
            </w:r>
            <w:r w:rsidRPr="00745BDD">
              <w:rPr>
                <w:rFonts w:ascii="Arial" w:hAnsi="Arial" w:cs="Arial"/>
                <w:sz w:val="24"/>
              </w:rPr>
              <w:t xml:space="preserve"> that something </w:t>
            </w:r>
            <w:r w:rsidRPr="008A576D">
              <w:rPr>
                <w:rFonts w:ascii="Arial" w:hAnsi="Arial" w:cs="Arial"/>
                <w:color w:val="FF0000"/>
                <w:sz w:val="24"/>
              </w:rPr>
              <w:t>new</w:t>
            </w:r>
            <w:r w:rsidRPr="00745BDD">
              <w:rPr>
                <w:rFonts w:ascii="Arial" w:hAnsi="Arial" w:cs="Arial"/>
                <w:sz w:val="24"/>
              </w:rPr>
              <w:t xml:space="preserve"> occurs.In the </w:t>
            </w:r>
            <w:r w:rsidRPr="00745BDD">
              <w:rPr>
                <w:rFonts w:ascii="Arial" w:hAnsi="Arial" w:cs="Arial"/>
                <w:i/>
                <w:sz w:val="24"/>
              </w:rPr>
              <w:t>Odyssey</w:t>
            </w:r>
            <w:r w:rsidRPr="00745BDD">
              <w:rPr>
                <w:rFonts w:ascii="Arial" w:hAnsi="Arial" w:cs="Arial"/>
                <w:sz w:val="24"/>
              </w:rPr>
              <w:t xml:space="preserve">, for example, </w:t>
            </w:r>
            <w:r w:rsidRPr="008A576D">
              <w:rPr>
                <w:rFonts w:ascii="Arial" w:hAnsi="Arial" w:cs="Arial"/>
                <w:color w:val="FF0000"/>
                <w:sz w:val="24"/>
              </w:rPr>
              <w:t>the men sail for six days and</w:t>
            </w:r>
            <w:r w:rsidRPr="00745BDD">
              <w:rPr>
                <w:rFonts w:ascii="Arial" w:hAnsi="Arial" w:cs="Arial"/>
                <w:sz w:val="24"/>
              </w:rPr>
              <w:t xml:space="preserve"> it is </w:t>
            </w:r>
            <w:r w:rsidRPr="008A576D">
              <w:rPr>
                <w:rFonts w:ascii="Arial" w:hAnsi="Arial" w:cs="Arial"/>
                <w:color w:val="FF0000"/>
                <w:sz w:val="24"/>
              </w:rPr>
              <w:t>on the seventh that they reach Telepylos</w:t>
            </w:r>
            <w:r w:rsidRPr="00745BDD">
              <w:rPr>
                <w:rFonts w:ascii="Arial" w:hAnsi="Arial" w:cs="Arial"/>
                <w:sz w:val="24"/>
              </w:rPr>
              <w:t xml:space="preserve">. The men </w:t>
            </w:r>
            <w:r w:rsidRPr="008A576D">
              <w:rPr>
                <w:rFonts w:ascii="Arial" w:hAnsi="Arial" w:cs="Arial"/>
                <w:color w:val="FF0000"/>
                <w:sz w:val="24"/>
              </w:rPr>
              <w:t>feast for six days on the cattle of Helios, and</w:t>
            </w:r>
            <w:r w:rsidRPr="00745BDD">
              <w:rPr>
                <w:rFonts w:ascii="Arial" w:hAnsi="Arial" w:cs="Arial"/>
                <w:sz w:val="24"/>
              </w:rPr>
              <w:t xml:space="preserve"> it is </w:t>
            </w:r>
            <w:r w:rsidRPr="008A576D">
              <w:rPr>
                <w:rFonts w:ascii="Arial" w:hAnsi="Arial" w:cs="Arial"/>
                <w:color w:val="FF0000"/>
                <w:sz w:val="24"/>
              </w:rPr>
              <w:t>on the seventh</w:t>
            </w:r>
            <w:r w:rsidRPr="00745BDD">
              <w:rPr>
                <w:rFonts w:ascii="Arial" w:hAnsi="Arial" w:cs="Arial"/>
                <w:sz w:val="24"/>
              </w:rPr>
              <w:t xml:space="preserve"> they leave. </w:t>
            </w:r>
            <w:r>
              <w:rPr>
                <w:rFonts w:ascii="Arial" w:hAnsi="Arial" w:cs="Arial"/>
                <w:sz w:val="24"/>
              </w:rPr>
              <w:t>[NO CITATION HERE]</w:t>
            </w:r>
          </w:p>
          <w:p w:rsidR="00F33D5A" w:rsidRDefault="00F33D5A" w:rsidP="0090253B">
            <w:pPr>
              <w:pStyle w:val="FootnoteText"/>
              <w:rPr>
                <w:rFonts w:ascii="Times New Roman" w:hAnsi="Times New Roman"/>
                <w:sz w:val="24"/>
                <w:szCs w:val="24"/>
              </w:rPr>
            </w:pPr>
            <w:r w:rsidRPr="00387F8F">
              <w:rPr>
                <w:rFonts w:ascii="Times New Roman" w:hAnsi="Times New Roman"/>
                <w:b/>
                <w:sz w:val="24"/>
                <w:szCs w:val="24"/>
              </w:rPr>
              <w:t xml:space="preserve">West, </w:t>
            </w:r>
            <w:r w:rsidRPr="00387F8F">
              <w:rPr>
                <w:rFonts w:ascii="Times New Roman" w:hAnsi="Times New Roman"/>
                <w:b/>
                <w:i/>
                <w:sz w:val="24"/>
                <w:szCs w:val="24"/>
              </w:rPr>
              <w:t>The East Face of Helicon</w:t>
            </w:r>
            <w:r w:rsidRPr="00387F8F">
              <w:rPr>
                <w:rFonts w:ascii="Times New Roman" w:hAnsi="Times New Roman"/>
                <w:b/>
                <w:sz w:val="24"/>
                <w:szCs w:val="24"/>
              </w:rPr>
              <w:t>, p. 175:</w:t>
            </w:r>
            <w:r>
              <w:rPr>
                <w:rFonts w:ascii="Times New Roman" w:hAnsi="Times New Roman"/>
                <w:sz w:val="24"/>
                <w:szCs w:val="24"/>
              </w:rPr>
              <w:t xml:space="preserve"> ‘Perhaps more striking is the </w:t>
            </w:r>
            <w:r w:rsidRPr="008A576D">
              <w:rPr>
                <w:rFonts w:ascii="Times New Roman" w:hAnsi="Times New Roman"/>
                <w:color w:val="FF0000"/>
                <w:sz w:val="24"/>
                <w:szCs w:val="24"/>
              </w:rPr>
              <w:t>recurrent motif that something</w:t>
            </w:r>
            <w:r>
              <w:rPr>
                <w:rFonts w:ascii="Times New Roman" w:hAnsi="Times New Roman"/>
                <w:sz w:val="24"/>
                <w:szCs w:val="24"/>
              </w:rPr>
              <w:t xml:space="preserve"> goes on </w:t>
            </w:r>
            <w:r w:rsidRPr="008A576D">
              <w:rPr>
                <w:rFonts w:ascii="Times New Roman" w:hAnsi="Times New Roman"/>
                <w:color w:val="FF0000"/>
                <w:sz w:val="24"/>
                <w:szCs w:val="24"/>
              </w:rPr>
              <w:t>for six days and on the seventh</w:t>
            </w:r>
            <w:r>
              <w:rPr>
                <w:rFonts w:ascii="Times New Roman" w:hAnsi="Times New Roman"/>
                <w:sz w:val="24"/>
                <w:szCs w:val="24"/>
              </w:rPr>
              <w:t xml:space="preserve"> there is a </w:t>
            </w:r>
            <w:r w:rsidRPr="008A576D">
              <w:rPr>
                <w:rFonts w:ascii="Times New Roman" w:hAnsi="Times New Roman"/>
                <w:color w:val="FF0000"/>
                <w:sz w:val="24"/>
                <w:szCs w:val="24"/>
              </w:rPr>
              <w:t>new</w:t>
            </w:r>
            <w:r>
              <w:rPr>
                <w:rFonts w:ascii="Times New Roman" w:hAnsi="Times New Roman"/>
                <w:sz w:val="24"/>
                <w:szCs w:val="24"/>
              </w:rPr>
              <w:t xml:space="preserve"> development. ... </w:t>
            </w:r>
            <w:r w:rsidRPr="008A576D">
              <w:rPr>
                <w:rFonts w:ascii="Times New Roman" w:hAnsi="Times New Roman"/>
                <w:color w:val="FF0000"/>
                <w:sz w:val="24"/>
                <w:szCs w:val="24"/>
              </w:rPr>
              <w:t>The men sail</w:t>
            </w:r>
            <w:r>
              <w:rPr>
                <w:rFonts w:ascii="Times New Roman" w:hAnsi="Times New Roman"/>
                <w:sz w:val="24"/>
                <w:szCs w:val="24"/>
              </w:rPr>
              <w:t xml:space="preserve"> on </w:t>
            </w:r>
            <w:r w:rsidRPr="008A576D">
              <w:rPr>
                <w:rFonts w:ascii="Times New Roman" w:hAnsi="Times New Roman"/>
                <w:color w:val="FF0000"/>
                <w:sz w:val="24"/>
                <w:szCs w:val="24"/>
              </w:rPr>
              <w:t>for six days, and on the seventh they reach Telepylos.For six days they feast on the sun-god’s cattle, andon the seventh</w:t>
            </w:r>
            <w:r>
              <w:rPr>
                <w:rFonts w:ascii="Times New Roman" w:hAnsi="Times New Roman"/>
                <w:sz w:val="24"/>
                <w:szCs w:val="24"/>
              </w:rPr>
              <w:t xml:space="preserve"> they set sail.’</w:t>
            </w:r>
          </w:p>
          <w:p w:rsidR="00F33D5A" w:rsidRDefault="00F33D5A" w:rsidP="0090253B">
            <w:pPr>
              <w:pStyle w:val="FootnoteText"/>
              <w:rPr>
                <w:rFonts w:ascii="Times New Roman" w:hAnsi="Times New Roman"/>
                <w:sz w:val="24"/>
                <w:szCs w:val="24"/>
              </w:rPr>
            </w:pPr>
          </w:p>
          <w:p w:rsidR="00F33D5A" w:rsidRPr="0045360C" w:rsidRDefault="00F33D5A" w:rsidP="0090253B">
            <w:pPr>
              <w:pStyle w:val="FootnoteText"/>
              <w:rPr>
                <w:rFonts w:ascii="Times New Roman" w:hAnsi="Times New Roman"/>
                <w:sz w:val="24"/>
                <w:szCs w:val="24"/>
              </w:rPr>
            </w:pPr>
            <w:r w:rsidRPr="0045360C">
              <w:rPr>
                <w:rFonts w:ascii="Times New Roman" w:hAnsi="Times New Roman"/>
                <w:sz w:val="24"/>
                <w:szCs w:val="24"/>
              </w:rPr>
              <w:t>(Plagiarism of phraseology:)</w:t>
            </w:r>
          </w:p>
          <w:p w:rsidR="00F33D5A" w:rsidRDefault="00F33D5A" w:rsidP="0090253B">
            <w:pPr>
              <w:pStyle w:val="FootnoteText"/>
              <w:rPr>
                <w:rFonts w:ascii="Arial" w:hAnsi="Arial" w:cs="Arial"/>
                <w:sz w:val="24"/>
              </w:rPr>
            </w:pPr>
            <w:r>
              <w:rPr>
                <w:rFonts w:ascii="Times New Roman" w:hAnsi="Times New Roman"/>
                <w:b/>
                <w:sz w:val="24"/>
                <w:szCs w:val="24"/>
              </w:rPr>
              <w:t xml:space="preserve">(11) </w:t>
            </w:r>
            <w:r w:rsidRPr="00387F8F">
              <w:rPr>
                <w:rFonts w:ascii="Times New Roman" w:hAnsi="Times New Roman"/>
                <w:b/>
                <w:sz w:val="24"/>
                <w:szCs w:val="24"/>
              </w:rPr>
              <w:t>Grey, p. 28:</w:t>
            </w:r>
            <w:r w:rsidRPr="00745BDD">
              <w:rPr>
                <w:rFonts w:ascii="Arial" w:hAnsi="Arial" w:cs="Arial"/>
                <w:sz w:val="24"/>
              </w:rPr>
              <w:t xml:space="preserve">in </w:t>
            </w:r>
            <w:r w:rsidRPr="00387F8F">
              <w:rPr>
                <w:rFonts w:ascii="Arial" w:hAnsi="Arial" w:cs="Arial"/>
                <w:i/>
                <w:color w:val="FF0000"/>
                <w:sz w:val="24"/>
              </w:rPr>
              <w:t>Nergal and Ereshkigal</w:t>
            </w:r>
            <w:r w:rsidRPr="00387F8F">
              <w:rPr>
                <w:rFonts w:ascii="Arial" w:hAnsi="Arial" w:cs="Arial"/>
                <w:color w:val="FF0000"/>
                <w:sz w:val="24"/>
              </w:rPr>
              <w:t xml:space="preserve"> the deities make love for six days</w:t>
            </w:r>
            <w:r w:rsidRPr="00745BDD">
              <w:rPr>
                <w:rFonts w:ascii="Arial" w:hAnsi="Arial" w:cs="Arial"/>
                <w:sz w:val="24"/>
              </w:rPr>
              <w:t xml:space="preserve"> and on </w:t>
            </w:r>
            <w:r w:rsidRPr="00387F8F">
              <w:rPr>
                <w:rFonts w:ascii="Arial" w:hAnsi="Arial" w:cs="Arial"/>
                <w:color w:val="FF0000"/>
                <w:sz w:val="24"/>
              </w:rPr>
              <w:t>the seventh</w:t>
            </w:r>
            <w:r w:rsidRPr="00745BDD">
              <w:rPr>
                <w:rFonts w:ascii="Arial" w:hAnsi="Arial" w:cs="Arial"/>
                <w:sz w:val="24"/>
              </w:rPr>
              <w:t xml:space="preserve"> the story continues, whilst </w:t>
            </w:r>
            <w:r w:rsidRPr="00387F8F">
              <w:rPr>
                <w:rFonts w:ascii="Arial" w:hAnsi="Arial" w:cs="Arial"/>
                <w:color w:val="FF0000"/>
                <w:sz w:val="24"/>
              </w:rPr>
              <w:t xml:space="preserve">in the </w:t>
            </w:r>
            <w:r w:rsidRPr="00387F8F">
              <w:rPr>
                <w:rFonts w:ascii="Arial" w:hAnsi="Arial" w:cs="Arial"/>
                <w:i/>
                <w:color w:val="FF0000"/>
                <w:sz w:val="24"/>
              </w:rPr>
              <w:t>Gilgamesh</w:t>
            </w:r>
            <w:r w:rsidRPr="00387F8F">
              <w:rPr>
                <w:rFonts w:ascii="Arial" w:hAnsi="Arial" w:cs="Arial"/>
                <w:color w:val="FF0000"/>
                <w:sz w:val="24"/>
              </w:rPr>
              <w:t xml:space="preserve"> Enkidu makes love to Shamhat for six days</w:t>
            </w:r>
            <w:r w:rsidRPr="00745BDD">
              <w:rPr>
                <w:rFonts w:ascii="Arial" w:hAnsi="Arial" w:cs="Arial"/>
                <w:sz w:val="24"/>
              </w:rPr>
              <w:t xml:space="preserve"> before leaving her on the seventh.</w:t>
            </w:r>
            <w:r>
              <w:rPr>
                <w:rFonts w:ascii="Arial" w:hAnsi="Arial" w:cs="Arial"/>
                <w:sz w:val="24"/>
              </w:rPr>
              <w:t xml:space="preserve"> [NO CITATION HERE]</w:t>
            </w:r>
          </w:p>
          <w:p w:rsidR="00F33D5A" w:rsidRDefault="00F33D5A" w:rsidP="0090253B">
            <w:pPr>
              <w:pStyle w:val="FootnoteText"/>
              <w:rPr>
                <w:rFonts w:ascii="Times New Roman" w:hAnsi="Times New Roman"/>
                <w:sz w:val="24"/>
              </w:rPr>
            </w:pPr>
            <w:r w:rsidRPr="00387F8F">
              <w:rPr>
                <w:rFonts w:ascii="Times New Roman" w:hAnsi="Times New Roman"/>
                <w:b/>
                <w:sz w:val="24"/>
              </w:rPr>
              <w:lastRenderedPageBreak/>
              <w:t xml:space="preserve">West, </w:t>
            </w:r>
            <w:r w:rsidRPr="00387F8F">
              <w:rPr>
                <w:rFonts w:ascii="Times New Roman" w:hAnsi="Times New Roman"/>
                <w:b/>
                <w:i/>
                <w:sz w:val="24"/>
                <w:szCs w:val="24"/>
              </w:rPr>
              <w:t>The East Face of Helicon</w:t>
            </w:r>
            <w:r w:rsidRPr="00387F8F">
              <w:rPr>
                <w:rFonts w:ascii="Times New Roman" w:hAnsi="Times New Roman"/>
                <w:b/>
                <w:sz w:val="24"/>
                <w:szCs w:val="24"/>
              </w:rPr>
              <w:t>,</w:t>
            </w:r>
            <w:r w:rsidRPr="00387F8F">
              <w:rPr>
                <w:rFonts w:ascii="Times New Roman" w:hAnsi="Times New Roman"/>
                <w:b/>
                <w:sz w:val="24"/>
              </w:rPr>
              <w:t>pp. 175-76:</w:t>
            </w:r>
            <w:r w:rsidRPr="00387F8F">
              <w:rPr>
                <w:rFonts w:ascii="Times New Roman" w:hAnsi="Times New Roman"/>
                <w:sz w:val="24"/>
              </w:rPr>
              <w:t xml:space="preserve"> ‘So in two passages of </w:t>
            </w:r>
            <w:r w:rsidRPr="00387F8F">
              <w:rPr>
                <w:rFonts w:ascii="Times New Roman" w:hAnsi="Times New Roman"/>
                <w:i/>
                <w:color w:val="FF0000"/>
                <w:sz w:val="24"/>
              </w:rPr>
              <w:t>Nergal and Ereshkigal</w:t>
            </w:r>
            <w:r w:rsidRPr="00387F8F">
              <w:rPr>
                <w:rFonts w:ascii="Times New Roman" w:hAnsi="Times New Roman"/>
                <w:color w:val="FF0000"/>
                <w:sz w:val="24"/>
              </w:rPr>
              <w:t>: for six days the two deities make love</w:t>
            </w:r>
            <w:r w:rsidRPr="00387F8F">
              <w:rPr>
                <w:rFonts w:ascii="Times New Roman" w:hAnsi="Times New Roman"/>
                <w:sz w:val="24"/>
              </w:rPr>
              <w:t xml:space="preserve">, and “when </w:t>
            </w:r>
            <w:r w:rsidRPr="00387F8F">
              <w:rPr>
                <w:rFonts w:ascii="Times New Roman" w:hAnsi="Times New Roman"/>
                <w:color w:val="FF0000"/>
                <w:sz w:val="24"/>
              </w:rPr>
              <w:t>the seventh</w:t>
            </w:r>
            <w:r w:rsidRPr="00387F8F">
              <w:rPr>
                <w:rFonts w:ascii="Times New Roman" w:hAnsi="Times New Roman"/>
                <w:sz w:val="24"/>
              </w:rPr>
              <w:t xml:space="preserve"> arrived” [p. 176] </w:t>
            </w:r>
            <w:r w:rsidRPr="00387F8F">
              <w:rPr>
                <w:rFonts w:ascii="Times New Roman" w:hAnsi="Times New Roman"/>
                <w:color w:val="FF0000"/>
                <w:sz w:val="24"/>
              </w:rPr>
              <w:t>the story</w:t>
            </w:r>
            <w:r w:rsidRPr="00387F8F">
              <w:rPr>
                <w:rFonts w:ascii="Times New Roman" w:hAnsi="Times New Roman"/>
                <w:sz w:val="24"/>
              </w:rPr>
              <w:t xml:space="preserve"> moves on. </w:t>
            </w:r>
            <w:r w:rsidRPr="00387F8F">
              <w:rPr>
                <w:rFonts w:ascii="Times New Roman" w:hAnsi="Times New Roman"/>
                <w:color w:val="FF0000"/>
                <w:sz w:val="24"/>
              </w:rPr>
              <w:t>In the Gilgamesh</w:t>
            </w:r>
            <w:r w:rsidRPr="00387F8F">
              <w:rPr>
                <w:rFonts w:ascii="Times New Roman" w:hAnsi="Times New Roman"/>
                <w:sz w:val="24"/>
              </w:rPr>
              <w:t xml:space="preserve"> epic </w:t>
            </w:r>
            <w:r w:rsidRPr="00387F8F">
              <w:rPr>
                <w:rFonts w:ascii="Times New Roman" w:hAnsi="Times New Roman"/>
                <w:color w:val="FF0000"/>
                <w:sz w:val="24"/>
              </w:rPr>
              <w:t>Enkidu makes love to Shamhat for six days</w:t>
            </w:r>
            <w:r w:rsidRPr="00387F8F">
              <w:rPr>
                <w:rFonts w:ascii="Times New Roman" w:hAnsi="Times New Roman"/>
                <w:sz w:val="24"/>
              </w:rPr>
              <w:t xml:space="preserve"> and seven nights, and then he goes off...’.</w:t>
            </w:r>
          </w:p>
          <w:p w:rsidR="00F33D5A" w:rsidRPr="00387F8F" w:rsidRDefault="00F33D5A" w:rsidP="0090253B">
            <w:pPr>
              <w:pStyle w:val="FootnoteText"/>
              <w:rPr>
                <w:rFonts w:ascii="Times New Roman" w:hAnsi="Times New Roman"/>
                <w:sz w:val="24"/>
              </w:rPr>
            </w:pPr>
          </w:p>
          <w:p w:rsidR="00F33D5A" w:rsidRDefault="00F33D5A" w:rsidP="0045360C">
            <w:r>
              <w:t>(Plagiarism of original sources and phraseology:)</w:t>
            </w:r>
          </w:p>
          <w:p w:rsidR="00F33D5A" w:rsidRDefault="00F33D5A" w:rsidP="0090253B">
            <w:pPr>
              <w:pStyle w:val="FootnoteText"/>
              <w:rPr>
                <w:rFonts w:ascii="Times New Roman" w:hAnsi="Times New Roman"/>
                <w:sz w:val="24"/>
                <w:szCs w:val="24"/>
              </w:rPr>
            </w:pPr>
            <w:r>
              <w:rPr>
                <w:rFonts w:ascii="Times New Roman" w:hAnsi="Times New Roman"/>
                <w:b/>
                <w:sz w:val="24"/>
                <w:szCs w:val="24"/>
              </w:rPr>
              <w:t xml:space="preserve">(12) </w:t>
            </w:r>
            <w:r w:rsidRPr="002934F9">
              <w:rPr>
                <w:rFonts w:ascii="Times New Roman" w:hAnsi="Times New Roman"/>
                <w:b/>
                <w:sz w:val="24"/>
                <w:szCs w:val="24"/>
              </w:rPr>
              <w:t>Grey, p. 33:</w:t>
            </w:r>
            <w:r>
              <w:rPr>
                <w:rFonts w:ascii="Times New Roman" w:hAnsi="Times New Roman"/>
                <w:sz w:val="24"/>
                <w:szCs w:val="24"/>
              </w:rPr>
              <w:t xml:space="preserve"> ...</w:t>
            </w:r>
            <w:r w:rsidRPr="00E157F4">
              <w:rPr>
                <w:rFonts w:ascii="Arial" w:hAnsi="Arial" w:cs="Arial"/>
                <w:sz w:val="24"/>
                <w:szCs w:val="24"/>
              </w:rPr>
              <w:t xml:space="preserve">as </w:t>
            </w:r>
            <w:r w:rsidRPr="00E157F4">
              <w:rPr>
                <w:rFonts w:ascii="Arial" w:hAnsi="Arial" w:cs="Arial"/>
                <w:color w:val="FF0000"/>
                <w:sz w:val="24"/>
                <w:szCs w:val="24"/>
              </w:rPr>
              <w:t>Plato and Aristotle</w:t>
            </w:r>
            <w:r w:rsidRPr="00E157F4">
              <w:rPr>
                <w:rFonts w:ascii="Arial" w:hAnsi="Arial" w:cs="Arial"/>
                <w:sz w:val="24"/>
                <w:szCs w:val="24"/>
              </w:rPr>
              <w:t xml:space="preserve"> noted, </w:t>
            </w:r>
            <w:r w:rsidRPr="00E157F4">
              <w:rPr>
                <w:rFonts w:ascii="Arial" w:hAnsi="Arial" w:cs="Arial"/>
                <w:color w:val="FF0000"/>
                <w:sz w:val="24"/>
              </w:rPr>
              <w:t>th</w:t>
            </w:r>
            <w:r w:rsidRPr="002934F9">
              <w:rPr>
                <w:rFonts w:ascii="Arial" w:hAnsi="Arial" w:cs="Arial"/>
                <w:color w:val="FF0000"/>
                <w:sz w:val="24"/>
              </w:rPr>
              <w:t>is is the only passage</w:t>
            </w:r>
            <w:r w:rsidRPr="005C34D4">
              <w:rPr>
                <w:rFonts w:ascii="Arial" w:hAnsi="Arial" w:cs="Arial"/>
                <w:sz w:val="24"/>
              </w:rPr>
              <w:t xml:space="preserve"> with</w:t>
            </w:r>
            <w:r w:rsidRPr="002934F9">
              <w:rPr>
                <w:rFonts w:ascii="Arial" w:hAnsi="Arial" w:cs="Arial"/>
                <w:color w:val="FF0000"/>
                <w:sz w:val="24"/>
              </w:rPr>
              <w:t>inthe Homeric</w:t>
            </w:r>
            <w:r w:rsidRPr="005C34D4">
              <w:rPr>
                <w:rFonts w:ascii="Arial" w:hAnsi="Arial" w:cs="Arial"/>
                <w:sz w:val="24"/>
              </w:rPr>
              <w:t xml:space="preserve"> tradition </w:t>
            </w:r>
            <w:r w:rsidRPr="002934F9">
              <w:rPr>
                <w:rFonts w:ascii="Arial" w:hAnsi="Arial" w:cs="Arial"/>
                <w:color w:val="FF0000"/>
                <w:sz w:val="24"/>
              </w:rPr>
              <w:t>where cosmogony</w:t>
            </w:r>
            <w:r w:rsidRPr="005C34D4">
              <w:rPr>
                <w:rFonts w:ascii="Arial" w:hAnsi="Arial" w:cs="Arial"/>
                <w:sz w:val="24"/>
              </w:rPr>
              <w:t xml:space="preserve"> is really brought </w:t>
            </w:r>
            <w:r w:rsidRPr="002934F9">
              <w:rPr>
                <w:rFonts w:ascii="Arial" w:hAnsi="Arial" w:cs="Arial"/>
                <w:color w:val="FF0000"/>
                <w:sz w:val="24"/>
              </w:rPr>
              <w:t>to the fore</w:t>
            </w:r>
            <w:r w:rsidRPr="005C34D4">
              <w:rPr>
                <w:rFonts w:ascii="Arial" w:hAnsi="Arial" w:cs="Arial"/>
                <w:sz w:val="24"/>
              </w:rPr>
              <w:t>.</w:t>
            </w:r>
            <w:r>
              <w:rPr>
                <w:rStyle w:val="match-text"/>
                <w:rFonts w:ascii="Arial" w:hAnsi="Arial" w:cs="Arial"/>
                <w:sz w:val="24"/>
                <w:vertAlign w:val="superscript"/>
              </w:rPr>
              <w:t>132</w:t>
            </w:r>
            <w:r w:rsidRPr="0045360C">
              <w:rPr>
                <w:color w:val="008000"/>
              </w:rPr>
              <w:t xml:space="preserve">Aristotle </w:t>
            </w:r>
            <w:r w:rsidRPr="0045360C">
              <w:rPr>
                <w:i/>
                <w:color w:val="008000"/>
              </w:rPr>
              <w:t>Metaphysics</w:t>
            </w:r>
            <w:r w:rsidRPr="0045360C">
              <w:rPr>
                <w:color w:val="008000"/>
              </w:rPr>
              <w:t>: 987b27</w:t>
            </w:r>
            <w:r>
              <w:t>[sic]</w:t>
            </w:r>
            <w:r w:rsidRPr="00745BDD">
              <w:t xml:space="preserve">; </w:t>
            </w:r>
            <w:r w:rsidRPr="0045360C">
              <w:rPr>
                <w:color w:val="008000"/>
              </w:rPr>
              <w:t xml:space="preserve">Plato </w:t>
            </w:r>
            <w:r w:rsidRPr="0045360C">
              <w:rPr>
                <w:i/>
                <w:color w:val="008000"/>
              </w:rPr>
              <w:t>Cratylos</w:t>
            </w:r>
            <w:r w:rsidRPr="0045360C">
              <w:rPr>
                <w:color w:val="008000"/>
              </w:rPr>
              <w:t xml:space="preserve">: 402b, </w:t>
            </w:r>
            <w:r w:rsidRPr="0045360C">
              <w:rPr>
                <w:i/>
                <w:color w:val="008000"/>
              </w:rPr>
              <w:t>Theaetetus</w:t>
            </w:r>
            <w:r w:rsidRPr="0045360C">
              <w:rPr>
                <w:color w:val="008000"/>
              </w:rPr>
              <w:t xml:space="preserve"> 152e</w:t>
            </w:r>
            <w:r w:rsidRPr="00745BDD">
              <w:t>.</w:t>
            </w:r>
            <w:r>
              <w:rPr>
                <w:rFonts w:ascii="Arial" w:hAnsi="Arial" w:cs="Arial"/>
                <w:sz w:val="24"/>
              </w:rPr>
              <w:t xml:space="preserve"> [NO CITATION OF BURKERT HERE. Note: in the reference to the </w:t>
            </w:r>
            <w:r w:rsidRPr="003162D5">
              <w:rPr>
                <w:rFonts w:ascii="Arial" w:hAnsi="Arial" w:cs="Arial"/>
                <w:i/>
                <w:sz w:val="24"/>
              </w:rPr>
              <w:t>Metaphysics</w:t>
            </w:r>
            <w:r>
              <w:rPr>
                <w:rFonts w:ascii="Arial" w:hAnsi="Arial" w:cs="Arial"/>
                <w:sz w:val="24"/>
              </w:rPr>
              <w:t xml:space="preserve"> you have made a typo: 987b27 instead of Burkert’s 983b27, which is the passage that actually refers to Oceanus and Tethys]</w:t>
            </w:r>
          </w:p>
          <w:p w:rsidR="00F33D5A" w:rsidRDefault="00F33D5A" w:rsidP="0090253B">
            <w:pPr>
              <w:pStyle w:val="FootnoteText"/>
              <w:rPr>
                <w:rFonts w:ascii="Times New Roman" w:hAnsi="Times New Roman"/>
                <w:sz w:val="24"/>
                <w:szCs w:val="24"/>
              </w:rPr>
            </w:pPr>
            <w:r w:rsidRPr="002934F9">
              <w:rPr>
                <w:rFonts w:ascii="Times New Roman" w:hAnsi="Times New Roman"/>
                <w:b/>
                <w:sz w:val="24"/>
                <w:szCs w:val="24"/>
              </w:rPr>
              <w:t xml:space="preserve">Burkert, Walter, </w:t>
            </w:r>
            <w:r w:rsidRPr="002934F9">
              <w:rPr>
                <w:rFonts w:ascii="Times New Roman" w:hAnsi="Times New Roman"/>
                <w:b/>
                <w:i/>
                <w:sz w:val="24"/>
                <w:szCs w:val="24"/>
              </w:rPr>
              <w:t>Babylon, Memphis, Persepolis: Eastern Concepts of Greek Culture</w:t>
            </w:r>
            <w:r w:rsidRPr="002934F9">
              <w:rPr>
                <w:rFonts w:ascii="Times New Roman" w:hAnsi="Times New Roman"/>
                <w:b/>
                <w:sz w:val="24"/>
                <w:szCs w:val="24"/>
              </w:rPr>
              <w:t xml:space="preserve"> (Cambridge, MA, 2004), p. 30:</w:t>
            </w:r>
            <w:r>
              <w:rPr>
                <w:rFonts w:ascii="Times New Roman" w:hAnsi="Times New Roman"/>
                <w:sz w:val="24"/>
                <w:szCs w:val="24"/>
              </w:rPr>
              <w:t xml:space="preserve"> ‘...</w:t>
            </w:r>
            <w:r w:rsidRPr="002934F9">
              <w:rPr>
                <w:rFonts w:ascii="Times New Roman" w:hAnsi="Times New Roman"/>
                <w:color w:val="FF0000"/>
                <w:sz w:val="24"/>
                <w:szCs w:val="24"/>
              </w:rPr>
              <w:t>this is the only passage in the Homeric</w:t>
            </w:r>
            <w:r>
              <w:rPr>
                <w:rFonts w:ascii="Times New Roman" w:hAnsi="Times New Roman"/>
                <w:sz w:val="24"/>
                <w:szCs w:val="24"/>
              </w:rPr>
              <w:t xml:space="preserve"> compositions </w:t>
            </w:r>
            <w:r w:rsidRPr="002934F9">
              <w:rPr>
                <w:rFonts w:ascii="Times New Roman" w:hAnsi="Times New Roman"/>
                <w:color w:val="FF0000"/>
                <w:sz w:val="24"/>
                <w:szCs w:val="24"/>
              </w:rPr>
              <w:t>where cosmogony</w:t>
            </w:r>
            <w:r>
              <w:rPr>
                <w:rFonts w:ascii="Times New Roman" w:hAnsi="Times New Roman"/>
                <w:sz w:val="24"/>
                <w:szCs w:val="24"/>
              </w:rPr>
              <w:t xml:space="preserve"> unexpectedly comes </w:t>
            </w:r>
            <w:r w:rsidRPr="002934F9">
              <w:rPr>
                <w:rFonts w:ascii="Times New Roman" w:hAnsi="Times New Roman"/>
                <w:color w:val="FF0000"/>
                <w:sz w:val="24"/>
                <w:szCs w:val="24"/>
              </w:rPr>
              <w:t>to the fore</w:t>
            </w:r>
            <w:r>
              <w:rPr>
                <w:rFonts w:ascii="Times New Roman" w:hAnsi="Times New Roman"/>
                <w:sz w:val="24"/>
                <w:szCs w:val="24"/>
              </w:rPr>
              <w:t>.’</w:t>
            </w:r>
          </w:p>
          <w:p w:rsidR="00F33D5A" w:rsidRDefault="00F33D5A" w:rsidP="0090253B">
            <w:pPr>
              <w:pStyle w:val="FootnoteText"/>
              <w:rPr>
                <w:rFonts w:ascii="Times New Roman" w:hAnsi="Times New Roman"/>
                <w:sz w:val="24"/>
                <w:szCs w:val="24"/>
              </w:rPr>
            </w:pPr>
            <w:r w:rsidRPr="005407C5">
              <w:rPr>
                <w:rFonts w:ascii="Times New Roman" w:hAnsi="Times New Roman"/>
                <w:b/>
                <w:sz w:val="24"/>
                <w:szCs w:val="24"/>
              </w:rPr>
              <w:t xml:space="preserve">Sim. at Burkert, </w:t>
            </w:r>
            <w:r w:rsidRPr="005407C5">
              <w:rPr>
                <w:rFonts w:ascii="Times New Roman" w:hAnsi="Times New Roman"/>
                <w:b/>
                <w:i/>
                <w:sz w:val="24"/>
                <w:szCs w:val="24"/>
              </w:rPr>
              <w:t>The Orientalizing Revolution</w:t>
            </w:r>
            <w:r>
              <w:rPr>
                <w:rFonts w:ascii="Times New Roman" w:hAnsi="Times New Roman"/>
                <w:b/>
                <w:sz w:val="24"/>
                <w:szCs w:val="24"/>
              </w:rPr>
              <w:t xml:space="preserve">: </w:t>
            </w:r>
            <w:r>
              <w:rPr>
                <w:rFonts w:ascii="Times New Roman" w:hAnsi="Times New Roman"/>
                <w:b/>
                <w:i/>
                <w:sz w:val="24"/>
                <w:szCs w:val="24"/>
              </w:rPr>
              <w:t>Near Eastern Influence on Greek Culture in the Early Archaic Age</w:t>
            </w:r>
            <w:r w:rsidRPr="005407C5">
              <w:rPr>
                <w:rFonts w:ascii="Times New Roman" w:hAnsi="Times New Roman"/>
                <w:b/>
                <w:sz w:val="24"/>
                <w:szCs w:val="24"/>
              </w:rPr>
              <w:t xml:space="preserve">, </w:t>
            </w:r>
            <w:r>
              <w:rPr>
                <w:rFonts w:ascii="Times New Roman" w:hAnsi="Times New Roman"/>
                <w:b/>
                <w:sz w:val="24"/>
                <w:szCs w:val="24"/>
              </w:rPr>
              <w:t xml:space="preserve">Cambridge, MA, 1992, </w:t>
            </w:r>
            <w:r w:rsidRPr="005407C5">
              <w:rPr>
                <w:rFonts w:ascii="Times New Roman" w:hAnsi="Times New Roman"/>
                <w:b/>
                <w:sz w:val="24"/>
                <w:szCs w:val="24"/>
              </w:rPr>
              <w:t>p. 91, and n. 10:</w:t>
            </w:r>
            <w:r>
              <w:rPr>
                <w:rFonts w:ascii="Times New Roman" w:hAnsi="Times New Roman"/>
                <w:sz w:val="24"/>
                <w:szCs w:val="24"/>
              </w:rPr>
              <w:t xml:space="preserve"> ‘There is, above all, a peculiarity of content which was noted even by Plato and may have also been noticed and exploited before Plato by the pre-Socratics: [fn10: </w:t>
            </w:r>
            <w:r w:rsidRPr="005A625B">
              <w:rPr>
                <w:rFonts w:ascii="Times New Roman" w:hAnsi="Times New Roman"/>
                <w:color w:val="008000"/>
                <w:sz w:val="24"/>
                <w:szCs w:val="24"/>
              </w:rPr>
              <w:t xml:space="preserve">Plat. </w:t>
            </w:r>
            <w:r w:rsidRPr="005A625B">
              <w:rPr>
                <w:rFonts w:ascii="Times New Roman" w:hAnsi="Times New Roman"/>
                <w:i/>
                <w:color w:val="008000"/>
                <w:sz w:val="24"/>
                <w:szCs w:val="24"/>
              </w:rPr>
              <w:t>Krat.</w:t>
            </w:r>
            <w:r w:rsidRPr="005A625B">
              <w:rPr>
                <w:rFonts w:ascii="Times New Roman" w:hAnsi="Times New Roman"/>
                <w:color w:val="008000"/>
                <w:sz w:val="24"/>
                <w:szCs w:val="24"/>
              </w:rPr>
              <w:t xml:space="preserve"> 402ab</w:t>
            </w:r>
            <w:r>
              <w:rPr>
                <w:rFonts w:ascii="Times New Roman" w:hAnsi="Times New Roman"/>
                <w:sz w:val="24"/>
                <w:szCs w:val="24"/>
              </w:rPr>
              <w:t xml:space="preserve">; </w:t>
            </w:r>
            <w:r w:rsidRPr="005A625B">
              <w:rPr>
                <w:rFonts w:ascii="Times New Roman" w:hAnsi="Times New Roman"/>
                <w:i/>
                <w:color w:val="008000"/>
                <w:sz w:val="24"/>
                <w:szCs w:val="24"/>
              </w:rPr>
              <w:t>Tht.</w:t>
            </w:r>
            <w:r w:rsidRPr="005A625B">
              <w:rPr>
                <w:rFonts w:ascii="Times New Roman" w:hAnsi="Times New Roman"/>
                <w:color w:val="008000"/>
                <w:sz w:val="24"/>
                <w:szCs w:val="24"/>
              </w:rPr>
              <w:t xml:space="preserve"> 152e</w:t>
            </w:r>
            <w:r>
              <w:rPr>
                <w:rFonts w:ascii="Times New Roman" w:hAnsi="Times New Roman"/>
                <w:sz w:val="24"/>
                <w:szCs w:val="24"/>
              </w:rPr>
              <w:t xml:space="preserve">, 180c-d; cf. Tim. 40e; </w:t>
            </w:r>
            <w:r w:rsidRPr="005A625B">
              <w:rPr>
                <w:rFonts w:ascii="Times New Roman" w:hAnsi="Times New Roman"/>
                <w:i/>
                <w:color w:val="008000"/>
                <w:sz w:val="24"/>
                <w:szCs w:val="24"/>
              </w:rPr>
              <w:t>Arist. Met.</w:t>
            </w:r>
            <w:r w:rsidRPr="005A625B">
              <w:rPr>
                <w:rFonts w:ascii="Times New Roman" w:hAnsi="Times New Roman"/>
                <w:color w:val="008000"/>
                <w:sz w:val="24"/>
                <w:szCs w:val="24"/>
              </w:rPr>
              <w:t xml:space="preserve"> 983b27</w:t>
            </w:r>
            <w:r>
              <w:rPr>
                <w:rFonts w:ascii="Times New Roman" w:hAnsi="Times New Roman"/>
                <w:sz w:val="24"/>
                <w:szCs w:val="24"/>
              </w:rPr>
              <w:t xml:space="preserve">;...] </w:t>
            </w:r>
            <w:r w:rsidRPr="003162D5">
              <w:rPr>
                <w:rFonts w:ascii="Times New Roman" w:hAnsi="Times New Roman"/>
                <w:color w:val="FF0000"/>
                <w:sz w:val="24"/>
                <w:szCs w:val="24"/>
              </w:rPr>
              <w:t>This is the only passage in the Homeric</w:t>
            </w:r>
            <w:r>
              <w:rPr>
                <w:rFonts w:ascii="Times New Roman" w:hAnsi="Times New Roman"/>
                <w:sz w:val="24"/>
                <w:szCs w:val="24"/>
              </w:rPr>
              <w:t xml:space="preserve"> canon </w:t>
            </w:r>
            <w:r w:rsidRPr="003162D5">
              <w:rPr>
                <w:rFonts w:ascii="Times New Roman" w:hAnsi="Times New Roman"/>
                <w:color w:val="FF0000"/>
                <w:sz w:val="24"/>
                <w:szCs w:val="24"/>
              </w:rPr>
              <w:t>where,</w:t>
            </w:r>
            <w:r>
              <w:rPr>
                <w:rFonts w:ascii="Times New Roman" w:hAnsi="Times New Roman"/>
                <w:sz w:val="24"/>
                <w:szCs w:val="24"/>
              </w:rPr>
              <w:t xml:space="preserve"> quite unexpectedly, </w:t>
            </w:r>
            <w:r w:rsidRPr="003162D5">
              <w:rPr>
                <w:rFonts w:ascii="Times New Roman" w:hAnsi="Times New Roman"/>
                <w:color w:val="FF0000"/>
                <w:sz w:val="24"/>
                <w:szCs w:val="24"/>
              </w:rPr>
              <w:t>a cosmogonic theme</w:t>
            </w:r>
            <w:r>
              <w:rPr>
                <w:rFonts w:ascii="Times New Roman" w:hAnsi="Times New Roman"/>
                <w:sz w:val="24"/>
                <w:szCs w:val="24"/>
              </w:rPr>
              <w:t xml:space="preserve"> comes </w:t>
            </w:r>
            <w:r w:rsidRPr="003162D5">
              <w:rPr>
                <w:rFonts w:ascii="Times New Roman" w:hAnsi="Times New Roman"/>
                <w:color w:val="FF0000"/>
                <w:sz w:val="24"/>
                <w:szCs w:val="24"/>
              </w:rPr>
              <w:t>to the fore</w:t>
            </w:r>
            <w:r>
              <w:rPr>
                <w:rFonts w:ascii="Times New Roman" w:hAnsi="Times New Roman"/>
                <w:sz w:val="24"/>
                <w:szCs w:val="24"/>
              </w:rPr>
              <w:t>.’</w:t>
            </w:r>
          </w:p>
          <w:p w:rsidR="00F33D5A" w:rsidRDefault="00F33D5A" w:rsidP="0090253B">
            <w:pPr>
              <w:pStyle w:val="FootnoteText"/>
              <w:rPr>
                <w:rFonts w:ascii="Times New Roman" w:hAnsi="Times New Roman"/>
                <w:sz w:val="24"/>
                <w:szCs w:val="24"/>
              </w:rPr>
            </w:pPr>
          </w:p>
          <w:p w:rsidR="00F33D5A" w:rsidRDefault="00F33D5A" w:rsidP="0090253B">
            <w:pPr>
              <w:pStyle w:val="FootnoteText"/>
              <w:rPr>
                <w:rFonts w:ascii="Times New Roman" w:hAnsi="Times New Roman"/>
                <w:sz w:val="24"/>
                <w:szCs w:val="24"/>
              </w:rPr>
            </w:pPr>
            <w:r>
              <w:rPr>
                <w:rFonts w:ascii="Times New Roman" w:hAnsi="Times New Roman"/>
                <w:sz w:val="24"/>
                <w:szCs w:val="24"/>
              </w:rPr>
              <w:t>(Plagiarism of phraseology:)</w:t>
            </w:r>
          </w:p>
          <w:p w:rsidR="00F33D5A" w:rsidRDefault="00F33D5A" w:rsidP="0090253B">
            <w:pPr>
              <w:pStyle w:val="FootnoteText"/>
              <w:rPr>
                <w:rFonts w:ascii="Arial" w:hAnsi="Arial" w:cs="Arial"/>
                <w:sz w:val="24"/>
              </w:rPr>
            </w:pPr>
            <w:r>
              <w:rPr>
                <w:rFonts w:ascii="Times New Roman" w:hAnsi="Times New Roman"/>
                <w:b/>
                <w:sz w:val="24"/>
                <w:szCs w:val="24"/>
              </w:rPr>
              <w:t xml:space="preserve">(13) </w:t>
            </w:r>
            <w:r w:rsidRPr="00B26226">
              <w:rPr>
                <w:rFonts w:ascii="Times New Roman" w:hAnsi="Times New Roman"/>
                <w:b/>
                <w:sz w:val="24"/>
                <w:szCs w:val="24"/>
              </w:rPr>
              <w:t>Grey, p. 33:</w:t>
            </w:r>
            <w:r w:rsidRPr="005C34D4">
              <w:rPr>
                <w:rFonts w:ascii="Arial" w:hAnsi="Arial" w:cs="Arial"/>
                <w:sz w:val="24"/>
              </w:rPr>
              <w:t>Oceanus and Tethys: ‘origin’ and ‘mother’.</w:t>
            </w:r>
            <w:r>
              <w:rPr>
                <w:rFonts w:ascii="Arial" w:hAnsi="Arial" w:cs="Arial"/>
                <w:sz w:val="24"/>
              </w:rPr>
              <w:t xml:space="preserve"> [NO CITATION HERE]</w:t>
            </w:r>
          </w:p>
          <w:p w:rsidR="00F33D5A" w:rsidRDefault="00F33D5A" w:rsidP="0090253B">
            <w:pPr>
              <w:pStyle w:val="FootnoteText"/>
              <w:rPr>
                <w:rFonts w:ascii="Times New Roman" w:hAnsi="Times New Roman"/>
                <w:sz w:val="24"/>
              </w:rPr>
            </w:pPr>
            <w:r w:rsidRPr="00B26226">
              <w:rPr>
                <w:rFonts w:ascii="Times New Roman" w:hAnsi="Times New Roman"/>
                <w:b/>
                <w:sz w:val="24"/>
              </w:rPr>
              <w:t xml:space="preserve">Burkert, </w:t>
            </w:r>
            <w:r w:rsidRPr="00B26226">
              <w:rPr>
                <w:rFonts w:ascii="Times New Roman" w:hAnsi="Times New Roman"/>
                <w:b/>
                <w:i/>
                <w:sz w:val="24"/>
              </w:rPr>
              <w:t>Babylon</w:t>
            </w:r>
            <w:r w:rsidRPr="00B26226">
              <w:rPr>
                <w:rFonts w:ascii="Times New Roman" w:hAnsi="Times New Roman"/>
                <w:b/>
                <w:sz w:val="24"/>
              </w:rPr>
              <w:t>, p. 30:</w:t>
            </w:r>
            <w:r w:rsidRPr="00B26226">
              <w:rPr>
                <w:rFonts w:ascii="Times New Roman" w:hAnsi="Times New Roman"/>
                <w:sz w:val="24"/>
              </w:rPr>
              <w:t xml:space="preserve"> ‘Oceanus and Tethys, “origin” and “mother,”...’</w:t>
            </w:r>
          </w:p>
          <w:p w:rsidR="00F33D5A" w:rsidRPr="00B26226" w:rsidRDefault="00F33D5A" w:rsidP="0090253B">
            <w:pPr>
              <w:pStyle w:val="FootnoteText"/>
              <w:rPr>
                <w:rFonts w:ascii="Times New Roman" w:hAnsi="Times New Roman"/>
                <w:sz w:val="24"/>
                <w:szCs w:val="24"/>
              </w:rPr>
            </w:pPr>
          </w:p>
          <w:p w:rsidR="00F33D5A" w:rsidRDefault="00F33D5A" w:rsidP="0090253B">
            <w:pPr>
              <w:pStyle w:val="FootnoteText"/>
              <w:rPr>
                <w:rFonts w:ascii="Times New Roman" w:hAnsi="Times New Roman"/>
                <w:b/>
                <w:sz w:val="24"/>
                <w:szCs w:val="24"/>
              </w:rPr>
            </w:pPr>
            <w:r>
              <w:rPr>
                <w:rFonts w:ascii="Times New Roman" w:hAnsi="Times New Roman"/>
                <w:sz w:val="24"/>
                <w:szCs w:val="24"/>
              </w:rPr>
              <w:t>(Plagiarism of original sources and phraseology:)</w:t>
            </w:r>
          </w:p>
          <w:p w:rsidR="00F33D5A" w:rsidRPr="00631B6C" w:rsidRDefault="00F33D5A" w:rsidP="0090253B">
            <w:pPr>
              <w:pStyle w:val="FootnoteText"/>
              <w:rPr>
                <w:rFonts w:ascii="Times New Roman" w:hAnsi="Times New Roman"/>
                <w:sz w:val="24"/>
                <w:szCs w:val="24"/>
              </w:rPr>
            </w:pPr>
            <w:r>
              <w:rPr>
                <w:rFonts w:ascii="Times New Roman" w:hAnsi="Times New Roman"/>
                <w:b/>
                <w:sz w:val="24"/>
                <w:szCs w:val="24"/>
              </w:rPr>
              <w:t xml:space="preserve">(14) </w:t>
            </w:r>
            <w:r w:rsidRPr="002934F9">
              <w:rPr>
                <w:rFonts w:ascii="Times New Roman" w:hAnsi="Times New Roman"/>
                <w:b/>
                <w:sz w:val="24"/>
                <w:szCs w:val="24"/>
              </w:rPr>
              <w:t>Grey, p. 34:</w:t>
            </w:r>
            <w:r w:rsidRPr="005C34D4">
              <w:rPr>
                <w:rFonts w:ascii="Arial" w:hAnsi="Arial" w:cs="Arial"/>
                <w:sz w:val="24"/>
              </w:rPr>
              <w:t>‘</w:t>
            </w:r>
            <w:r w:rsidRPr="00631B6C">
              <w:rPr>
                <w:rFonts w:ascii="Arial" w:hAnsi="Arial" w:cs="Arial"/>
                <w:color w:val="FF0000"/>
                <w:sz w:val="24"/>
              </w:rPr>
              <w:t>They grasped the flask of lots by the neck, they cast the lots; the gods made the division: Anu went up to heaven’ a second god– there is a</w:t>
            </w:r>
            <w:r w:rsidRPr="005378F3">
              <w:rPr>
                <w:rFonts w:ascii="Arial" w:hAnsi="Arial" w:cs="Arial"/>
                <w:color w:val="FF0000"/>
                <w:sz w:val="24"/>
              </w:rPr>
              <w:t>lacuna</w:t>
            </w:r>
            <w:r w:rsidRPr="00631B6C">
              <w:rPr>
                <w:rFonts w:ascii="Arial" w:hAnsi="Arial" w:cs="Arial"/>
                <w:color w:val="FF0000"/>
                <w:sz w:val="24"/>
              </w:rPr>
              <w:t>here</w:t>
            </w:r>
            <w:r w:rsidRPr="005C34D4">
              <w:rPr>
                <w:rFonts w:ascii="Arial" w:hAnsi="Arial" w:cs="Arial"/>
                <w:sz w:val="24"/>
              </w:rPr>
              <w:t xml:space="preserve"> but it </w:t>
            </w:r>
            <w:r w:rsidRPr="00631B6C">
              <w:rPr>
                <w:rFonts w:ascii="Arial" w:hAnsi="Arial" w:cs="Arial"/>
                <w:color w:val="FF0000"/>
                <w:sz w:val="24"/>
              </w:rPr>
              <w:t>must be Enlil– ‘took the earth, for his subjects’, and ‘the bolts, the bar of the sea, were set for Enki, the far-sighted’</w:t>
            </w:r>
            <w:r w:rsidRPr="005C34D4">
              <w:rPr>
                <w:rFonts w:ascii="Arial" w:hAnsi="Arial" w:cs="Arial"/>
                <w:sz w:val="24"/>
              </w:rPr>
              <w:t>.</w:t>
            </w:r>
            <w:r>
              <w:rPr>
                <w:rFonts w:ascii="Arial" w:hAnsi="Arial" w:cs="Arial"/>
                <w:vertAlign w:val="superscript"/>
              </w:rPr>
              <w:t xml:space="preserve">132 </w:t>
            </w:r>
            <w:r w:rsidRPr="005A625B">
              <w:rPr>
                <w:i/>
                <w:color w:val="008000"/>
              </w:rPr>
              <w:t>Atrahasis</w:t>
            </w:r>
            <w:r w:rsidRPr="005A625B">
              <w:rPr>
                <w:color w:val="008000"/>
              </w:rPr>
              <w:t>: I.11-16</w:t>
            </w:r>
            <w:r w:rsidRPr="00745BDD">
              <w:t>.</w:t>
            </w:r>
            <w:r w:rsidRPr="00631B6C">
              <w:rPr>
                <w:rFonts w:ascii="Times New Roman" w:hAnsi="Times New Roman"/>
                <w:sz w:val="24"/>
                <w:szCs w:val="24"/>
              </w:rPr>
              <w:t xml:space="preserve">[NO CITATION OF BURKERT, </w:t>
            </w:r>
            <w:r>
              <w:rPr>
                <w:rFonts w:ascii="Times New Roman" w:hAnsi="Times New Roman"/>
                <w:sz w:val="24"/>
                <w:szCs w:val="24"/>
              </w:rPr>
              <w:t>whose modified translation this is (you state your intention to cite Dalley in the beginning of the dissertation, but her translation, p. 9, is different); and you include Burkert’s remarks outside of the quotation WITHOUT ATTRIBUTION</w:t>
            </w:r>
            <w:r w:rsidRPr="00631B6C">
              <w:rPr>
                <w:rFonts w:ascii="Times New Roman" w:hAnsi="Times New Roman"/>
                <w:sz w:val="24"/>
                <w:szCs w:val="24"/>
              </w:rPr>
              <w:t>]</w:t>
            </w:r>
          </w:p>
          <w:p w:rsidR="00F33D5A" w:rsidRDefault="00F33D5A" w:rsidP="0090253B">
            <w:pPr>
              <w:pStyle w:val="FootnoteText"/>
              <w:rPr>
                <w:rFonts w:ascii="Times New Roman" w:hAnsi="Times New Roman"/>
                <w:sz w:val="24"/>
                <w:szCs w:val="24"/>
              </w:rPr>
            </w:pPr>
            <w:r w:rsidRPr="00387F8F">
              <w:rPr>
                <w:rFonts w:ascii="Times New Roman" w:hAnsi="Times New Roman"/>
                <w:b/>
                <w:sz w:val="24"/>
                <w:szCs w:val="24"/>
              </w:rPr>
              <w:t xml:space="preserve">Burkert, </w:t>
            </w:r>
            <w:r w:rsidRPr="00387F8F">
              <w:rPr>
                <w:rFonts w:ascii="Times New Roman" w:hAnsi="Times New Roman"/>
                <w:b/>
                <w:i/>
                <w:sz w:val="24"/>
                <w:szCs w:val="24"/>
              </w:rPr>
              <w:t>The Orientalizing Revolution</w:t>
            </w:r>
            <w:r w:rsidRPr="00387F8F">
              <w:rPr>
                <w:rFonts w:ascii="Times New Roman" w:hAnsi="Times New Roman"/>
                <w:b/>
                <w:sz w:val="24"/>
                <w:szCs w:val="24"/>
              </w:rPr>
              <w:t>, p. 90:</w:t>
            </w:r>
            <w:r>
              <w:rPr>
                <w:rFonts w:ascii="Times New Roman" w:hAnsi="Times New Roman"/>
                <w:sz w:val="24"/>
                <w:szCs w:val="24"/>
              </w:rPr>
              <w:t xml:space="preserve"> ‘“</w:t>
            </w:r>
            <w:r w:rsidRPr="00631B6C">
              <w:rPr>
                <w:rFonts w:ascii="Times New Roman" w:hAnsi="Times New Roman"/>
                <w:color w:val="FF0000"/>
                <w:sz w:val="24"/>
                <w:szCs w:val="24"/>
              </w:rPr>
              <w:t>They grasped the flask of lots by the neck, they cast the lots; the gods made the division:Anu went up to heaven</w:t>
            </w:r>
            <w:r>
              <w:rPr>
                <w:rFonts w:ascii="Times New Roman" w:hAnsi="Times New Roman"/>
                <w:color w:val="FF0000"/>
                <w:sz w:val="24"/>
                <w:szCs w:val="24"/>
              </w:rPr>
              <w:t xml:space="preserve">.” A second god – there is a lacuna </w:t>
            </w:r>
            <w:r w:rsidRPr="005378F3">
              <w:rPr>
                <w:rFonts w:ascii="Times New Roman" w:hAnsi="Times New Roman"/>
                <w:color w:val="000000"/>
                <w:sz w:val="24"/>
                <w:szCs w:val="24"/>
              </w:rPr>
              <w:t>in the text</w:t>
            </w:r>
            <w:r>
              <w:rPr>
                <w:rFonts w:ascii="Times New Roman" w:hAnsi="Times New Roman"/>
                <w:color w:val="FF0000"/>
                <w:sz w:val="24"/>
                <w:szCs w:val="24"/>
              </w:rPr>
              <w:t xml:space="preserve"> here – “took the earth, for his subjects”; and “the bolts, the bar of the sea, were set for Enki, the far-sighted</w:t>
            </w:r>
            <w:r w:rsidRPr="005378F3">
              <w:rPr>
                <w:rFonts w:ascii="Times New Roman" w:hAnsi="Times New Roman"/>
                <w:color w:val="000000"/>
                <w:sz w:val="24"/>
                <w:szCs w:val="24"/>
              </w:rPr>
              <w:t xml:space="preserve">.”[fn4: </w:t>
            </w:r>
            <w:r w:rsidRPr="005378F3">
              <w:rPr>
                <w:rFonts w:ascii="Times New Roman" w:hAnsi="Times New Roman"/>
                <w:i/>
                <w:color w:val="000000"/>
                <w:sz w:val="24"/>
                <w:szCs w:val="24"/>
              </w:rPr>
              <w:t>Atrahasis</w:t>
            </w:r>
            <w:r w:rsidRPr="005378F3">
              <w:rPr>
                <w:rFonts w:ascii="Times New Roman" w:hAnsi="Times New Roman"/>
                <w:color w:val="000000"/>
                <w:sz w:val="24"/>
                <w:szCs w:val="24"/>
              </w:rPr>
              <w:t xml:space="preserve"> I 7-10 = Gilgamesh XI 15-18 (the word translated “sheriff” in line 10 by Lambert and Millard is problematic; see there note p. 147: “contre-maître”; Bottéro and Kramer 530: “canal-controller”; Dalley 9);</w:t>
            </w:r>
            <w:r w:rsidRPr="005A625B">
              <w:rPr>
                <w:rFonts w:ascii="Times New Roman" w:hAnsi="Times New Roman"/>
                <w:color w:val="008000"/>
                <w:sz w:val="24"/>
                <w:szCs w:val="24"/>
              </w:rPr>
              <w:t>Atrahasis I 11-17</w:t>
            </w:r>
            <w:r w:rsidRPr="005378F3">
              <w:rPr>
                <w:rFonts w:ascii="Times New Roman" w:hAnsi="Times New Roman"/>
                <w:color w:val="000000"/>
                <w:sz w:val="24"/>
                <w:szCs w:val="24"/>
              </w:rPr>
              <w:t>; the</w:t>
            </w:r>
            <w:r>
              <w:rPr>
                <w:rFonts w:ascii="Times New Roman" w:hAnsi="Times New Roman"/>
                <w:color w:val="FF0000"/>
                <w:sz w:val="24"/>
                <w:szCs w:val="24"/>
              </w:rPr>
              <w:t xml:space="preserve"> translation </w:t>
            </w:r>
            <w:r w:rsidRPr="005378F3">
              <w:rPr>
                <w:rFonts w:ascii="Times New Roman" w:hAnsi="Times New Roman"/>
                <w:color w:val="000000"/>
                <w:sz w:val="24"/>
                <w:szCs w:val="24"/>
              </w:rPr>
              <w:t>by Lambert and Millard</w:t>
            </w:r>
            <w:r>
              <w:rPr>
                <w:rFonts w:ascii="Times New Roman" w:hAnsi="Times New Roman"/>
                <w:color w:val="FF0000"/>
                <w:sz w:val="24"/>
                <w:szCs w:val="24"/>
              </w:rPr>
              <w:t xml:space="preserve"> has been modified here, following von Soden and Dalley</w:t>
            </w:r>
            <w:r w:rsidRPr="005378F3">
              <w:rPr>
                <w:rFonts w:ascii="Times New Roman" w:hAnsi="Times New Roman"/>
                <w:color w:val="000000"/>
                <w:sz w:val="24"/>
                <w:szCs w:val="24"/>
              </w:rPr>
              <w:t>.]</w:t>
            </w:r>
            <w:r>
              <w:rPr>
                <w:rFonts w:ascii="Times New Roman" w:hAnsi="Times New Roman"/>
                <w:color w:val="FF0000"/>
                <w:sz w:val="24"/>
                <w:szCs w:val="24"/>
              </w:rPr>
              <w:t xml:space="preserve"> Enlil</w:t>
            </w:r>
            <w:r w:rsidRPr="005378F3">
              <w:rPr>
                <w:rFonts w:ascii="Times New Roman" w:hAnsi="Times New Roman"/>
                <w:color w:val="000000"/>
                <w:sz w:val="24"/>
                <w:szCs w:val="24"/>
              </w:rPr>
              <w:t xml:space="preserve">, the most active of the gods, surelybelongs </w:t>
            </w:r>
            <w:r w:rsidRPr="005378F3">
              <w:rPr>
                <w:rFonts w:ascii="Times New Roman" w:hAnsi="Times New Roman"/>
                <w:color w:val="FF0000"/>
                <w:sz w:val="24"/>
                <w:szCs w:val="24"/>
              </w:rPr>
              <w:t xml:space="preserve">in </w:t>
            </w:r>
            <w:r>
              <w:rPr>
                <w:rFonts w:ascii="Times New Roman" w:hAnsi="Times New Roman"/>
                <w:color w:val="FF0000"/>
                <w:sz w:val="24"/>
                <w:szCs w:val="24"/>
              </w:rPr>
              <w:t>the lacuna...</w:t>
            </w:r>
            <w:r>
              <w:rPr>
                <w:rFonts w:ascii="Times New Roman" w:hAnsi="Times New Roman"/>
                <w:color w:val="000000"/>
                <w:sz w:val="24"/>
                <w:szCs w:val="24"/>
              </w:rPr>
              <w:t>’</w:t>
            </w:r>
          </w:p>
          <w:p w:rsidR="00F33D5A" w:rsidRDefault="00F33D5A" w:rsidP="0090253B">
            <w:pPr>
              <w:pStyle w:val="FootnoteText"/>
              <w:rPr>
                <w:rFonts w:ascii="Times New Roman" w:hAnsi="Times New Roman"/>
                <w:sz w:val="24"/>
                <w:szCs w:val="24"/>
              </w:rPr>
            </w:pPr>
            <w:r w:rsidRPr="00387F8F">
              <w:rPr>
                <w:rFonts w:ascii="Times New Roman" w:hAnsi="Times New Roman"/>
                <w:b/>
                <w:sz w:val="24"/>
                <w:szCs w:val="24"/>
              </w:rPr>
              <w:t xml:space="preserve">Burkert, </w:t>
            </w:r>
            <w:r w:rsidRPr="00387F8F">
              <w:rPr>
                <w:rFonts w:ascii="Times New Roman" w:hAnsi="Times New Roman"/>
                <w:b/>
                <w:i/>
                <w:sz w:val="24"/>
                <w:szCs w:val="24"/>
              </w:rPr>
              <w:t>Babylon, Memphis, Persepolis</w:t>
            </w:r>
            <w:r w:rsidRPr="00387F8F">
              <w:rPr>
                <w:rFonts w:ascii="Times New Roman" w:hAnsi="Times New Roman"/>
                <w:b/>
                <w:sz w:val="24"/>
                <w:szCs w:val="24"/>
              </w:rPr>
              <w:t>, p. 35:</w:t>
            </w:r>
            <w:r>
              <w:rPr>
                <w:rFonts w:ascii="Times New Roman" w:hAnsi="Times New Roman"/>
                <w:sz w:val="24"/>
                <w:szCs w:val="24"/>
              </w:rPr>
              <w:t xml:space="preserve"> ‘“</w:t>
            </w:r>
            <w:r w:rsidRPr="00631B6C">
              <w:rPr>
                <w:rFonts w:ascii="Times New Roman" w:hAnsi="Times New Roman"/>
                <w:color w:val="FF0000"/>
                <w:sz w:val="24"/>
                <w:szCs w:val="24"/>
              </w:rPr>
              <w:t>They grasped the flask of lots by the neck, they cast the lots; the gods made the division: Anu went up to heaven,” a second god– there is a</w:t>
            </w:r>
            <w:r>
              <w:rPr>
                <w:rFonts w:ascii="Times New Roman" w:hAnsi="Times New Roman"/>
                <w:sz w:val="24"/>
                <w:szCs w:val="24"/>
              </w:rPr>
              <w:t xml:space="preserve"> gap in the text </w:t>
            </w:r>
            <w:r w:rsidRPr="00631B6C">
              <w:rPr>
                <w:rFonts w:ascii="Times New Roman" w:hAnsi="Times New Roman"/>
                <w:color w:val="FF0000"/>
                <w:sz w:val="24"/>
                <w:szCs w:val="24"/>
              </w:rPr>
              <w:t xml:space="preserve">here – “took the earth, for his subjects,” and “the </w:t>
            </w:r>
            <w:r w:rsidRPr="00631B6C">
              <w:rPr>
                <w:rFonts w:ascii="Times New Roman" w:hAnsi="Times New Roman"/>
                <w:color w:val="FF0000"/>
                <w:sz w:val="24"/>
                <w:szCs w:val="24"/>
              </w:rPr>
              <w:lastRenderedPageBreak/>
              <w:t>bolts, the bar of the sea, were set for Enki the far-sighted.”Enlil,</w:t>
            </w:r>
            <w:r>
              <w:rPr>
                <w:rFonts w:ascii="Times New Roman" w:hAnsi="Times New Roman"/>
                <w:sz w:val="24"/>
                <w:szCs w:val="24"/>
              </w:rPr>
              <w:t xml:space="preserve"> the most active of the gods, </w:t>
            </w:r>
            <w:r w:rsidRPr="00631B6C">
              <w:rPr>
                <w:rFonts w:ascii="Times New Roman" w:hAnsi="Times New Roman"/>
                <w:color w:val="FF0000"/>
                <w:sz w:val="24"/>
                <w:szCs w:val="24"/>
              </w:rPr>
              <w:t>must have been mentioned in the gap</w:t>
            </w:r>
            <w:r>
              <w:rPr>
                <w:rFonts w:ascii="Times New Roman" w:hAnsi="Times New Roman"/>
                <w:sz w:val="24"/>
                <w:szCs w:val="24"/>
              </w:rPr>
              <w:t>...’</w:t>
            </w:r>
          </w:p>
          <w:p w:rsidR="00F33D5A" w:rsidRDefault="00F33D5A" w:rsidP="0090253B">
            <w:pPr>
              <w:pStyle w:val="FootnoteText"/>
              <w:rPr>
                <w:rFonts w:ascii="Times New Roman" w:hAnsi="Times New Roman"/>
                <w:sz w:val="24"/>
                <w:szCs w:val="24"/>
              </w:rPr>
            </w:pPr>
          </w:p>
          <w:p w:rsidR="00F33D5A" w:rsidRDefault="00F33D5A" w:rsidP="0090253B">
            <w:pPr>
              <w:pStyle w:val="FootnoteText"/>
              <w:rPr>
                <w:rFonts w:ascii="Times New Roman" w:hAnsi="Times New Roman"/>
                <w:sz w:val="24"/>
                <w:szCs w:val="24"/>
              </w:rPr>
            </w:pPr>
            <w:r>
              <w:rPr>
                <w:rFonts w:ascii="Times New Roman" w:hAnsi="Times New Roman"/>
                <w:sz w:val="24"/>
                <w:szCs w:val="24"/>
              </w:rPr>
              <w:t>Additional examples gleaned from Turnitin software:</w:t>
            </w:r>
          </w:p>
          <w:p w:rsidR="00F33D5A" w:rsidRDefault="00F33D5A" w:rsidP="0090253B">
            <w:pPr>
              <w:pStyle w:val="FootnoteText"/>
              <w:rPr>
                <w:rFonts w:ascii="Times New Roman" w:hAnsi="Times New Roman"/>
                <w:sz w:val="24"/>
                <w:szCs w:val="24"/>
              </w:rPr>
            </w:pPr>
            <w:r>
              <w:rPr>
                <w:rFonts w:ascii="Times New Roman" w:hAnsi="Times New Roman"/>
                <w:sz w:val="24"/>
                <w:szCs w:val="24"/>
              </w:rPr>
              <w:t>(Plagiarism of phraseology:)</w:t>
            </w:r>
          </w:p>
          <w:p w:rsidR="00F33D5A" w:rsidRDefault="00F33D5A" w:rsidP="0090253B">
            <w:pPr>
              <w:pStyle w:val="FootnoteText"/>
              <w:rPr>
                <w:rFonts w:ascii="Arial" w:hAnsi="Arial" w:cs="Arial"/>
                <w:sz w:val="24"/>
                <w:szCs w:val="24"/>
              </w:rPr>
            </w:pPr>
            <w:r w:rsidRPr="00E630FE">
              <w:rPr>
                <w:rFonts w:ascii="Times New Roman" w:hAnsi="Times New Roman"/>
                <w:b/>
                <w:sz w:val="24"/>
                <w:szCs w:val="24"/>
              </w:rPr>
              <w:t>Grey, p. 7</w:t>
            </w:r>
            <w:r w:rsidRPr="00E630FE">
              <w:rPr>
                <w:rFonts w:ascii="Arial" w:hAnsi="Arial" w:cs="Arial"/>
                <w:b/>
                <w:sz w:val="24"/>
                <w:szCs w:val="24"/>
              </w:rPr>
              <w:t>:</w:t>
            </w:r>
            <w:r w:rsidRPr="00CF33BF">
              <w:rPr>
                <w:rFonts w:ascii="Arial" w:hAnsi="Arial" w:cs="Arial"/>
                <w:color w:val="FF0000"/>
                <w:sz w:val="24"/>
                <w:szCs w:val="24"/>
              </w:rPr>
              <w:t>a long verse repeated without strophic division'</w:t>
            </w:r>
            <w:r w:rsidRPr="00CF33BF">
              <w:rPr>
                <w:rFonts w:ascii="Arial" w:hAnsi="Arial" w:cs="Arial"/>
                <w:sz w:val="24"/>
                <w:szCs w:val="24"/>
              </w:rPr>
              <w:t>.</w:t>
            </w:r>
          </w:p>
          <w:p w:rsidR="00F33D5A" w:rsidRDefault="00F33D5A" w:rsidP="0090253B">
            <w:pPr>
              <w:pStyle w:val="FootnoteText"/>
              <w:rPr>
                <w:rFonts w:ascii="Times New Roman" w:hAnsi="Times New Roman"/>
                <w:sz w:val="24"/>
                <w:szCs w:val="24"/>
              </w:rPr>
            </w:pPr>
            <w:r w:rsidRPr="00E630FE">
              <w:rPr>
                <w:rFonts w:ascii="Times New Roman" w:hAnsi="Times New Roman"/>
                <w:b/>
                <w:sz w:val="24"/>
                <w:szCs w:val="24"/>
              </w:rPr>
              <w:t xml:space="preserve">Burkert, Walter, </w:t>
            </w:r>
            <w:r w:rsidRPr="00DA01C6">
              <w:rPr>
                <w:rFonts w:ascii="Times New Roman" w:hAnsi="Times New Roman"/>
                <w:b/>
                <w:sz w:val="24"/>
                <w:szCs w:val="24"/>
              </w:rPr>
              <w:t>‘</w:t>
            </w:r>
            <w:r w:rsidRPr="00E630FE">
              <w:rPr>
                <w:rFonts w:ascii="Times New Roman" w:hAnsi="Times New Roman"/>
                <w:b/>
                <w:sz w:val="24"/>
                <w:szCs w:val="24"/>
              </w:rPr>
              <w:t>Near Eastern Connections</w:t>
            </w:r>
            <w:r w:rsidRPr="00DA01C6">
              <w:rPr>
                <w:rFonts w:ascii="Times New Roman" w:hAnsi="Times New Roman"/>
                <w:b/>
                <w:sz w:val="24"/>
                <w:szCs w:val="24"/>
              </w:rPr>
              <w:t>’</w:t>
            </w:r>
            <w:r w:rsidRPr="00E630FE">
              <w:rPr>
                <w:rFonts w:ascii="Times New Roman" w:hAnsi="Times New Roman"/>
                <w:b/>
                <w:sz w:val="24"/>
                <w:szCs w:val="24"/>
              </w:rPr>
              <w:t xml:space="preserve"> in </w:t>
            </w:r>
            <w:r w:rsidRPr="00E630FE">
              <w:rPr>
                <w:rFonts w:ascii="Times New Roman" w:hAnsi="Times New Roman"/>
                <w:b/>
                <w:i/>
                <w:sz w:val="24"/>
                <w:szCs w:val="24"/>
              </w:rPr>
              <w:t>A Companion to Ancient Epic</w:t>
            </w:r>
            <w:r w:rsidRPr="00E630FE">
              <w:rPr>
                <w:rFonts w:ascii="Times New Roman" w:hAnsi="Times New Roman"/>
                <w:b/>
                <w:sz w:val="24"/>
                <w:szCs w:val="24"/>
              </w:rPr>
              <w:t>, ed. John Miles Foley, Blackwell 2005, p. 297:</w:t>
            </w:r>
            <w:r>
              <w:rPr>
                <w:rFonts w:ascii="Times New Roman" w:hAnsi="Times New Roman"/>
                <w:sz w:val="24"/>
                <w:szCs w:val="24"/>
              </w:rPr>
              <w:t>‘</w:t>
            </w:r>
            <w:r w:rsidRPr="00CF33BF">
              <w:rPr>
                <w:rFonts w:ascii="Times New Roman" w:hAnsi="Times New Roman"/>
                <w:sz w:val="24"/>
                <w:szCs w:val="24"/>
              </w:rPr>
              <w:t xml:space="preserve">...in Greek as in Akkadian, </w:t>
            </w:r>
            <w:r w:rsidRPr="00CF33BF">
              <w:rPr>
                <w:rFonts w:ascii="Times New Roman" w:hAnsi="Times New Roman"/>
                <w:color w:val="FF0000"/>
                <w:sz w:val="24"/>
                <w:szCs w:val="24"/>
              </w:rPr>
              <w:t>a long verse</w:t>
            </w:r>
            <w:r w:rsidRPr="00CF33BF">
              <w:rPr>
                <w:rFonts w:ascii="Times New Roman" w:hAnsi="Times New Roman"/>
                <w:sz w:val="24"/>
                <w:szCs w:val="24"/>
              </w:rPr>
              <w:t xml:space="preserve"> is employed, </w:t>
            </w:r>
            <w:r w:rsidRPr="00CF33BF">
              <w:rPr>
                <w:rFonts w:ascii="Times New Roman" w:hAnsi="Times New Roman"/>
                <w:color w:val="FF0000"/>
                <w:sz w:val="24"/>
                <w:szCs w:val="24"/>
              </w:rPr>
              <w:t>repeated</w:t>
            </w:r>
            <w:r w:rsidRPr="00CF33BF">
              <w:rPr>
                <w:rFonts w:ascii="Times New Roman" w:hAnsi="Times New Roman"/>
                <w:sz w:val="24"/>
                <w:szCs w:val="24"/>
              </w:rPr>
              <w:t xml:space="preserve"> indefinitely </w:t>
            </w:r>
            <w:r w:rsidRPr="00CF33BF">
              <w:rPr>
                <w:rFonts w:ascii="Times New Roman" w:hAnsi="Times New Roman"/>
                <w:color w:val="FF0000"/>
                <w:sz w:val="24"/>
                <w:szCs w:val="24"/>
              </w:rPr>
              <w:t>without strophic division</w:t>
            </w:r>
            <w:r w:rsidRPr="00CF33BF">
              <w:rPr>
                <w:rFonts w:ascii="Times New Roman" w:hAnsi="Times New Roman"/>
                <w:sz w:val="24"/>
                <w:szCs w:val="24"/>
              </w:rPr>
              <w:t>.</w:t>
            </w:r>
            <w:r>
              <w:rPr>
                <w:rFonts w:ascii="Times New Roman" w:hAnsi="Times New Roman"/>
                <w:sz w:val="24"/>
                <w:szCs w:val="24"/>
              </w:rPr>
              <w:t>’</w:t>
            </w:r>
          </w:p>
          <w:p w:rsidR="00F33D5A" w:rsidRDefault="00F33D5A" w:rsidP="0090253B">
            <w:pPr>
              <w:pStyle w:val="FootnoteText"/>
              <w:rPr>
                <w:rFonts w:ascii="Times New Roman" w:hAnsi="Times New Roman"/>
                <w:sz w:val="24"/>
                <w:szCs w:val="24"/>
              </w:rPr>
            </w:pPr>
            <w:r>
              <w:rPr>
                <w:rFonts w:ascii="Times New Roman" w:hAnsi="Times New Roman"/>
                <w:sz w:val="24"/>
                <w:szCs w:val="24"/>
              </w:rPr>
              <w:t>(Plagiarism of phraseology:)</w:t>
            </w:r>
          </w:p>
          <w:p w:rsidR="00F33D5A" w:rsidRDefault="00F33D5A" w:rsidP="0090253B">
            <w:pPr>
              <w:pStyle w:val="FootnoteText"/>
              <w:rPr>
                <w:rFonts w:ascii="Arial" w:hAnsi="Arial" w:cs="Arial"/>
                <w:sz w:val="24"/>
                <w:szCs w:val="24"/>
              </w:rPr>
            </w:pPr>
            <w:r w:rsidRPr="00E630FE">
              <w:rPr>
                <w:rFonts w:ascii="Times New Roman" w:hAnsi="Times New Roman"/>
                <w:b/>
                <w:sz w:val="24"/>
                <w:szCs w:val="24"/>
              </w:rPr>
              <w:t>Grey, p. 19:</w:t>
            </w:r>
            <w:r w:rsidRPr="00745BDD">
              <w:rPr>
                <w:rFonts w:ascii="Arial" w:hAnsi="Arial" w:cs="Arial"/>
                <w:sz w:val="24"/>
                <w:szCs w:val="24"/>
              </w:rPr>
              <w:t xml:space="preserve">The </w:t>
            </w:r>
            <w:r w:rsidRPr="000A7410">
              <w:rPr>
                <w:rFonts w:ascii="Arial" w:hAnsi="Arial" w:cs="Arial"/>
                <w:i/>
                <w:color w:val="FF0000"/>
                <w:sz w:val="24"/>
                <w:szCs w:val="24"/>
              </w:rPr>
              <w:t xml:space="preserve">MUL.APIN </w:t>
            </w:r>
            <w:r w:rsidRPr="000A7410">
              <w:rPr>
                <w:rFonts w:ascii="Arial" w:hAnsi="Arial" w:cs="Arial"/>
                <w:color w:val="FF0000"/>
                <w:sz w:val="24"/>
                <w:szCs w:val="24"/>
              </w:rPr>
              <w:t>systematises and records celestial</w:t>
            </w:r>
            <w:r w:rsidRPr="00745BDD">
              <w:rPr>
                <w:rFonts w:ascii="Arial" w:hAnsi="Arial" w:cs="Arial"/>
                <w:sz w:val="24"/>
                <w:szCs w:val="24"/>
              </w:rPr>
              <w:t xml:space="preserve"> events, and </w:t>
            </w:r>
            <w:r w:rsidRPr="000A7410">
              <w:rPr>
                <w:rFonts w:ascii="Arial" w:hAnsi="Arial" w:cs="Arial"/>
                <w:color w:val="FF0000"/>
                <w:sz w:val="24"/>
                <w:szCs w:val="24"/>
              </w:rPr>
              <w:t>also divides the stars into the paths of the gods Anu, Enlil, and Ea based on their stellar latitudes</w:t>
            </w:r>
            <w:r w:rsidRPr="00745BDD">
              <w:rPr>
                <w:rFonts w:ascii="Arial" w:hAnsi="Arial" w:cs="Arial"/>
                <w:sz w:val="24"/>
                <w:szCs w:val="24"/>
              </w:rPr>
              <w:t>.</w:t>
            </w:r>
            <w:r>
              <w:rPr>
                <w:rFonts w:ascii="Arial" w:hAnsi="Arial" w:cs="Arial"/>
                <w:sz w:val="24"/>
                <w:szCs w:val="24"/>
              </w:rPr>
              <w:t xml:space="preserve"> [NO CITATION GIVEN HERE]</w:t>
            </w:r>
          </w:p>
          <w:p w:rsidR="00F33D5A" w:rsidRPr="00CF33BF" w:rsidRDefault="00F33D5A" w:rsidP="0090253B">
            <w:pPr>
              <w:pStyle w:val="FootnoteText"/>
              <w:rPr>
                <w:rFonts w:ascii="Times New Roman" w:hAnsi="Times New Roman"/>
                <w:sz w:val="24"/>
                <w:szCs w:val="24"/>
              </w:rPr>
            </w:pPr>
            <w:r w:rsidRPr="00E630FE">
              <w:rPr>
                <w:rStyle w:val="match-text"/>
                <w:b/>
                <w:sz w:val="24"/>
                <w:szCs w:val="24"/>
              </w:rPr>
              <w:t>Compare:</w:t>
            </w:r>
            <w:hyperlink r:id="rId7" w:history="1">
              <w:r w:rsidRPr="00956371">
                <w:rPr>
                  <w:rStyle w:val="Hyperlink"/>
                </w:rPr>
                <w:t>http://www.sydneyobservatory.com.au/2014/dr-pryke-considers-taurus-and-the-bull-of-heaven-in-mesopotamian-myth-and-astronomy/?session-id=ca09a37e93b625a7096b95a939d7d07f</w:t>
              </w:r>
            </w:hyperlink>
            <w:r w:rsidRPr="00E630FE">
              <w:rPr>
                <w:rStyle w:val="match-text"/>
                <w:color w:val="FF0000"/>
                <w:sz w:val="24"/>
                <w:szCs w:val="24"/>
              </w:rPr>
              <w:t>Mul.Apin systematises and records</w:t>
            </w:r>
            <w:r w:rsidRPr="00E630FE">
              <w:rPr>
                <w:sz w:val="24"/>
                <w:szCs w:val="24"/>
              </w:rPr>
              <w:t xml:space="preserve"> various </w:t>
            </w:r>
            <w:r w:rsidRPr="00E630FE">
              <w:rPr>
                <w:rStyle w:val="match-text"/>
                <w:color w:val="FF0000"/>
                <w:sz w:val="24"/>
                <w:szCs w:val="24"/>
              </w:rPr>
              <w:t>celestial</w:t>
            </w:r>
            <w:r w:rsidRPr="00E630FE">
              <w:rPr>
                <w:sz w:val="24"/>
                <w:szCs w:val="24"/>
              </w:rPr>
              <w:t xml:space="preserve"> phenomena, while </w:t>
            </w:r>
            <w:r w:rsidRPr="00E630FE">
              <w:rPr>
                <w:rStyle w:val="match-text"/>
                <w:color w:val="FF0000"/>
                <w:sz w:val="24"/>
                <w:szCs w:val="24"/>
              </w:rPr>
              <w:t>also</w:t>
            </w:r>
            <w:r w:rsidRPr="00E630FE">
              <w:rPr>
                <w:color w:val="FF0000"/>
                <w:sz w:val="24"/>
                <w:szCs w:val="24"/>
              </w:rPr>
              <w:t xml:space="preserve"> dividing </w:t>
            </w:r>
            <w:r w:rsidRPr="00E630FE">
              <w:rPr>
                <w:rStyle w:val="match-text"/>
                <w:color w:val="FF0000"/>
                <w:sz w:val="24"/>
                <w:szCs w:val="24"/>
              </w:rPr>
              <w:t>the stars into paths of Anu, Enlil and Ea, based on stellar latitudes.</w:t>
            </w:r>
          </w:p>
          <w:p w:rsidR="00F33D5A" w:rsidRDefault="00F33D5A" w:rsidP="000004C1">
            <w:pPr>
              <w:pStyle w:val="NormalWeb"/>
              <w:rPr>
                <w:rFonts w:ascii="Calibri" w:hAnsi="Calibri" w:cs="Tahoma"/>
                <w:sz w:val="24"/>
                <w:szCs w:val="24"/>
              </w:rPr>
            </w:pPr>
            <w:r>
              <w:rPr>
                <w:rFonts w:ascii="Calibri" w:hAnsi="Calibri" w:cs="Tahoma"/>
                <w:sz w:val="24"/>
                <w:szCs w:val="24"/>
              </w:rPr>
              <w:t xml:space="preserve">NOTE: I do not claim to have discovered all instances of plagiarism in this dissertation. </w:t>
            </w:r>
          </w:p>
          <w:p w:rsidR="00F33D5A" w:rsidRDefault="00F33D5A" w:rsidP="000004C1">
            <w:pPr>
              <w:pStyle w:val="NormalWeb"/>
              <w:rPr>
                <w:rFonts w:ascii="Calibri" w:hAnsi="Calibri" w:cs="Tahoma"/>
                <w:sz w:val="24"/>
                <w:szCs w:val="24"/>
              </w:rPr>
            </w:pPr>
            <w:r>
              <w:rPr>
                <w:rFonts w:ascii="Calibri" w:hAnsi="Calibri" w:cs="Tahoma"/>
                <w:sz w:val="24"/>
                <w:szCs w:val="24"/>
              </w:rPr>
              <w:t>The dissertation is written in adequate English, although there are instances of faulty grammar and punctuation. You seem familiar with the literature in question. Although you claim to know ancient Greek, many times (almost always, I think) you do not use the proper diacritics when you write Greek words (e.g. p. 21, ‘</w:t>
            </w:r>
            <w:r w:rsidRPr="00E630FE">
              <w:rPr>
                <w:rFonts w:ascii="Calibri" w:hAnsi="Calibri" w:cs="Tahoma"/>
                <w:sz w:val="24"/>
                <w:szCs w:val="24"/>
              </w:rPr>
              <w:t>Κυκλωπες</w:t>
            </w:r>
            <w:r>
              <w:rPr>
                <w:rFonts w:ascii="Calibri" w:hAnsi="Calibri" w:cs="Tahoma"/>
                <w:sz w:val="24"/>
                <w:szCs w:val="24"/>
              </w:rPr>
              <w:t>’;  p. 26, ‘</w:t>
            </w:r>
            <w:r w:rsidRPr="00E630FE">
              <w:rPr>
                <w:rFonts w:ascii="Calibri" w:hAnsi="Calibri" w:cs="Tahoma"/>
                <w:sz w:val="24"/>
                <w:szCs w:val="24"/>
              </w:rPr>
              <w:t>φυλακαι</w:t>
            </w:r>
            <w:r>
              <w:rPr>
                <w:rFonts w:ascii="Calibri" w:hAnsi="Calibri" w:cs="Tahoma"/>
                <w:sz w:val="24"/>
                <w:szCs w:val="24"/>
              </w:rPr>
              <w:t>’; p. 29, ‘</w:t>
            </w:r>
            <w:r w:rsidRPr="00E630FE">
              <w:rPr>
                <w:rFonts w:ascii="Calibri" w:hAnsi="Calibri" w:cs="Arial"/>
                <w:i/>
                <w:sz w:val="24"/>
                <w:szCs w:val="24"/>
              </w:rPr>
              <w:t>ενιαυτοι</w:t>
            </w:r>
            <w:r w:rsidRPr="00DA01C6">
              <w:rPr>
                <w:rFonts w:ascii="Calibri" w:hAnsi="Calibri" w:cs="Arial"/>
                <w:sz w:val="24"/>
                <w:szCs w:val="24"/>
              </w:rPr>
              <w:t>’</w:t>
            </w:r>
            <w:r>
              <w:rPr>
                <w:rFonts w:ascii="Calibri" w:hAnsi="Calibri" w:cs="Arial"/>
                <w:sz w:val="24"/>
                <w:szCs w:val="24"/>
              </w:rPr>
              <w:t>; p. 38, ‘</w:t>
            </w:r>
            <w:r w:rsidRPr="00BF6542">
              <w:rPr>
                <w:rFonts w:ascii="Arial" w:hAnsi="Arial" w:cs="Arial"/>
                <w:i/>
                <w:sz w:val="24"/>
              </w:rPr>
              <w:t>κατα</w:t>
            </w:r>
            <w:r w:rsidRPr="00BF6542">
              <w:rPr>
                <w:rFonts w:ascii="Arial" w:hAnsi="Arial" w:cs="Arial"/>
                <w:sz w:val="24"/>
              </w:rPr>
              <w:t xml:space="preserve"> ‘down’ and </w:t>
            </w:r>
            <w:r w:rsidRPr="00BF6542">
              <w:rPr>
                <w:rFonts w:ascii="Arial" w:hAnsi="Arial" w:cs="Arial"/>
                <w:i/>
                <w:sz w:val="24"/>
              </w:rPr>
              <w:t>βαινω</w:t>
            </w:r>
            <w:r w:rsidRPr="00BF6542">
              <w:rPr>
                <w:rFonts w:ascii="Arial" w:hAnsi="Arial" w:cs="Arial"/>
                <w:sz w:val="24"/>
              </w:rPr>
              <w:t xml:space="preserve"> ‘go’</w:t>
            </w:r>
            <w:r>
              <w:rPr>
                <w:rFonts w:ascii="Arial" w:hAnsi="Arial" w:cs="Arial"/>
                <w:sz w:val="24"/>
              </w:rPr>
              <w:t xml:space="preserve">’; p. 39, </w:t>
            </w:r>
            <w:r w:rsidRPr="00BF6542">
              <w:rPr>
                <w:rFonts w:ascii="Arial" w:hAnsi="Arial" w:cs="Arial"/>
                <w:i/>
                <w:sz w:val="24"/>
              </w:rPr>
              <w:t>Κιρκη</w:t>
            </w:r>
            <w:r>
              <w:rPr>
                <w:rFonts w:ascii="Calibri" w:hAnsi="Calibri" w:cs="Tahoma"/>
                <w:sz w:val="24"/>
                <w:szCs w:val="24"/>
              </w:rPr>
              <w:t xml:space="preserve">). Your analyses of Greek both on its own and in relation to Mesopotamian languages is predominantly founded on other scholars’ work, which you do not always acknowledge [e.g., see </w:t>
            </w:r>
            <w:r w:rsidRPr="00E630FE">
              <w:rPr>
                <w:rFonts w:ascii="Calibri" w:hAnsi="Calibri" w:cs="Tahoma"/>
                <w:noProof/>
                <w:sz w:val="24"/>
                <w:szCs w:val="24"/>
                <w:lang w:val="el-GR"/>
              </w:rPr>
              <w:t xml:space="preserve">φυλακή </w:t>
            </w:r>
            <w:r>
              <w:rPr>
                <w:rFonts w:ascii="Calibri" w:hAnsi="Calibri" w:cs="Tahoma"/>
                <w:sz w:val="24"/>
                <w:szCs w:val="24"/>
              </w:rPr>
              <w:t xml:space="preserve">section, p. 26]. There are instances of your citation of primary sources (references to </w:t>
            </w:r>
            <w:r w:rsidRPr="00E630FE">
              <w:rPr>
                <w:rFonts w:ascii="Calibri" w:hAnsi="Calibri" w:cs="Tahoma"/>
                <w:i/>
                <w:sz w:val="24"/>
                <w:szCs w:val="24"/>
              </w:rPr>
              <w:t>SIG</w:t>
            </w:r>
            <w:r>
              <w:rPr>
                <w:rFonts w:ascii="Calibri" w:hAnsi="Calibri" w:cs="Tahoma"/>
                <w:sz w:val="24"/>
                <w:szCs w:val="24"/>
              </w:rPr>
              <w:t xml:space="preserve">, </w:t>
            </w:r>
            <w:r w:rsidRPr="00E630FE">
              <w:rPr>
                <w:rFonts w:ascii="Calibri" w:hAnsi="Calibri" w:cs="Tahoma"/>
                <w:i/>
                <w:sz w:val="24"/>
                <w:szCs w:val="24"/>
              </w:rPr>
              <w:t>CPLM</w:t>
            </w:r>
            <w:r>
              <w:rPr>
                <w:rFonts w:ascii="Calibri" w:hAnsi="Calibri" w:cs="Tahoma"/>
                <w:sz w:val="24"/>
                <w:szCs w:val="24"/>
              </w:rPr>
              <w:t xml:space="preserve">) that are verbatim citations of other scholars’ citations (pointed out in the plagiarism section); your miscitation/typo of a passage in Aristotle’s </w:t>
            </w:r>
            <w:r w:rsidRPr="00E630FE">
              <w:rPr>
                <w:rFonts w:ascii="Calibri" w:hAnsi="Calibri" w:cs="Tahoma"/>
                <w:i/>
                <w:sz w:val="24"/>
                <w:szCs w:val="24"/>
              </w:rPr>
              <w:t>Metaphysics</w:t>
            </w:r>
            <w:r>
              <w:rPr>
                <w:rFonts w:ascii="Calibri" w:hAnsi="Calibri" w:cs="Tahoma"/>
                <w:sz w:val="24"/>
                <w:szCs w:val="24"/>
              </w:rPr>
              <w:t xml:space="preserve"> was originally cited correctly by Burkert.) </w:t>
            </w:r>
          </w:p>
          <w:p w:rsidR="00F33D5A" w:rsidRDefault="00F33D5A" w:rsidP="000004C1">
            <w:pPr>
              <w:pStyle w:val="NormalWeb"/>
              <w:rPr>
                <w:rFonts w:ascii="Calibri" w:hAnsi="Calibri" w:cs="Tahoma"/>
                <w:sz w:val="24"/>
                <w:szCs w:val="24"/>
              </w:rPr>
            </w:pPr>
            <w:r>
              <w:rPr>
                <w:rFonts w:ascii="Calibri" w:hAnsi="Calibri" w:cs="Tahoma"/>
                <w:sz w:val="24"/>
                <w:szCs w:val="24"/>
              </w:rPr>
              <w:t>The dissertation is organised in a reasonably orderly form. The bibliography is laid out in an orderly fashion, although sometimes there is missing publication information and some punctuation issues.</w:t>
            </w:r>
          </w:p>
          <w:p w:rsidR="00F33D5A" w:rsidRDefault="00F33D5A" w:rsidP="000004C1">
            <w:pPr>
              <w:pStyle w:val="NormalWeb"/>
              <w:rPr>
                <w:rFonts w:ascii="Calibri" w:hAnsi="Calibri" w:cs="Tahoma"/>
                <w:sz w:val="24"/>
                <w:szCs w:val="24"/>
              </w:rPr>
            </w:pPr>
            <w:r>
              <w:rPr>
                <w:rFonts w:ascii="Calibri" w:hAnsi="Calibri" w:cs="Tahoma"/>
                <w:sz w:val="24"/>
                <w:szCs w:val="24"/>
              </w:rPr>
              <w:t xml:space="preserve">Regarding the mark for this dissertation: </w:t>
            </w:r>
          </w:p>
          <w:p w:rsidR="00F33D5A" w:rsidRPr="00E630FE" w:rsidRDefault="00F33D5A" w:rsidP="00AD16F9">
            <w:pPr>
              <w:jc w:val="both"/>
              <w:rPr>
                <w:rFonts w:ascii="Calibri" w:hAnsi="Calibri" w:cs="Arial"/>
              </w:rPr>
            </w:pPr>
            <w:r>
              <w:rPr>
                <w:rFonts w:ascii="Calibri" w:hAnsi="Calibri" w:cs="Tahoma"/>
              </w:rPr>
              <w:t>The Student Handbook states: ‘</w:t>
            </w:r>
            <w:r w:rsidRPr="00E630FE">
              <w:rPr>
                <w:rFonts w:ascii="Calibri" w:hAnsi="Calibri" w:cs="Arial"/>
                <w:szCs w:val="22"/>
              </w:rPr>
              <w:t>However, the unattributed quotation of other people</w:t>
            </w:r>
            <w:r>
              <w:rPr>
                <w:rFonts w:ascii="Calibri" w:hAnsi="Calibri" w:cs="Arial"/>
                <w:szCs w:val="22"/>
              </w:rPr>
              <w:t>’</w:t>
            </w:r>
            <w:r w:rsidRPr="00E630FE">
              <w:rPr>
                <w:rFonts w:ascii="Calibri" w:hAnsi="Calibri" w:cs="Arial"/>
                <w:szCs w:val="22"/>
              </w:rPr>
              <w:t>s work in their own words is also plagiarism.</w:t>
            </w:r>
            <w:r>
              <w:rPr>
                <w:rFonts w:ascii="Calibri" w:hAnsi="Calibri" w:cs="Arial"/>
                <w:szCs w:val="22"/>
              </w:rPr>
              <w:t>’</w:t>
            </w:r>
            <w:r w:rsidRPr="00E630FE">
              <w:rPr>
                <w:rFonts w:ascii="Calibri" w:hAnsi="Calibri" w:cs="Arial"/>
                <w:szCs w:val="22"/>
              </w:rPr>
              <w:t xml:space="preserve"> And, </w:t>
            </w:r>
            <w:r>
              <w:rPr>
                <w:rFonts w:ascii="Calibri" w:hAnsi="Calibri" w:cs="Arial"/>
                <w:szCs w:val="22"/>
              </w:rPr>
              <w:t>‘</w:t>
            </w:r>
            <w:r w:rsidRPr="00E630FE">
              <w:rPr>
                <w:rFonts w:ascii="Calibri" w:hAnsi="Calibri" w:cs="Arial"/>
                <w:szCs w:val="22"/>
              </w:rPr>
              <w:t>Severe cases of plagiarism are also likely to result in a zero mark for the piece of work concerned, but may have much more serious consequences (including outright failure of your Diploma/MA), especially where the assessed work carries a high credit weighting or there are repeated instances of plagiarism.</w:t>
            </w:r>
            <w:r w:rsidRPr="002C0A3B">
              <w:rPr>
                <w:rFonts w:ascii="Calibri" w:hAnsi="Calibri" w:cs="Arial"/>
                <w:szCs w:val="22"/>
              </w:rPr>
              <w:t>’</w:t>
            </w:r>
            <w:r w:rsidRPr="00E630FE">
              <w:rPr>
                <w:rFonts w:ascii="Calibri" w:hAnsi="Calibri" w:cs="Arial"/>
                <w:szCs w:val="22"/>
              </w:rPr>
              <w:t xml:space="preserve">  And, from the Writing Guidlines MA CAA, October 2014, p. 19: </w:t>
            </w:r>
            <w:r>
              <w:rPr>
                <w:rFonts w:ascii="Calibri" w:hAnsi="Calibri" w:cs="Arial"/>
                <w:szCs w:val="22"/>
              </w:rPr>
              <w:t>‘</w:t>
            </w:r>
            <w:r w:rsidRPr="00E630FE">
              <w:rPr>
                <w:rFonts w:ascii="Calibri" w:hAnsi="Calibri" w:cs="Arial"/>
                <w:szCs w:val="22"/>
              </w:rPr>
              <w:t>Plagiarism is the use of other people</w:t>
            </w:r>
            <w:r>
              <w:rPr>
                <w:rFonts w:ascii="Calibri" w:hAnsi="Calibri" w:cs="Arial"/>
                <w:szCs w:val="22"/>
              </w:rPr>
              <w:t>’</w:t>
            </w:r>
            <w:r w:rsidRPr="00E630FE">
              <w:rPr>
                <w:rFonts w:ascii="Calibri" w:hAnsi="Calibri" w:cs="Arial"/>
                <w:szCs w:val="22"/>
              </w:rPr>
              <w:t>s words without attribution.</w:t>
            </w:r>
            <w:r>
              <w:rPr>
                <w:rFonts w:ascii="Calibri" w:hAnsi="Calibri" w:cs="Arial"/>
                <w:szCs w:val="22"/>
              </w:rPr>
              <w:t>’</w:t>
            </w:r>
          </w:p>
          <w:p w:rsidR="00F33D5A" w:rsidRDefault="00F33D5A" w:rsidP="00637C05">
            <w:pPr>
              <w:pStyle w:val="NormalWeb"/>
              <w:rPr>
                <w:rFonts w:ascii="Calibri" w:hAnsi="Calibri" w:cs="Tahoma"/>
                <w:sz w:val="24"/>
                <w:szCs w:val="24"/>
              </w:rPr>
            </w:pPr>
            <w:r>
              <w:rPr>
                <w:rFonts w:ascii="Calibri" w:hAnsi="Calibri" w:cs="Tahoma"/>
                <w:sz w:val="24"/>
                <w:szCs w:val="24"/>
              </w:rPr>
              <w:lastRenderedPageBreak/>
              <w:t>So, even though there are some virtues in this dissertation, the use of flimsy arguments relying in part on unreliable sources, ignorance of scholarly debates affecting your arguments, lack of evidence-based originality and critical thinking, combined with the instances of plagiarism, whether due to carelessness or sloppiness, necessitate a failing mark for this dissertation.</w:t>
            </w:r>
          </w:p>
          <w:p w:rsidR="00F33D5A" w:rsidRPr="002F467C" w:rsidRDefault="00F33D5A" w:rsidP="000004C1">
            <w:pPr>
              <w:pStyle w:val="NormalWeb"/>
              <w:rPr>
                <w:rFonts w:ascii="Calibri" w:hAnsi="Calibri" w:cs="Tahoma"/>
                <w:i/>
                <w:sz w:val="24"/>
                <w:szCs w:val="24"/>
              </w:rPr>
            </w:pPr>
          </w:p>
        </w:tc>
      </w:tr>
      <w:tr w:rsidR="00F33D5A" w:rsidRPr="002F467C" w:rsidTr="00337503">
        <w:trPr>
          <w:gridAfter w:val="1"/>
          <w:wAfter w:w="101" w:type="dxa"/>
          <w:trHeight w:val="492"/>
        </w:trPr>
        <w:tc>
          <w:tcPr>
            <w:tcW w:w="6768" w:type="dxa"/>
            <w:gridSpan w:val="4"/>
          </w:tcPr>
          <w:p w:rsidR="00F33D5A" w:rsidRPr="00B12C4F" w:rsidRDefault="00F33D5A"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Pr>
                <w:rFonts w:ascii="Calibri" w:hAnsi="Calibri" w:cs="Tahoma"/>
                <w:sz w:val="24"/>
                <w:szCs w:val="24"/>
              </w:rPr>
              <w:t xml:space="preserve"> 45%</w:t>
            </w:r>
          </w:p>
          <w:p w:rsidR="00F33D5A" w:rsidRPr="002F467C" w:rsidRDefault="00F33D5A" w:rsidP="000004C1">
            <w:pPr>
              <w:pStyle w:val="NormalWeb"/>
              <w:ind w:left="142" w:right="34"/>
              <w:rPr>
                <w:rFonts w:ascii="Calibri" w:hAnsi="Calibri" w:cs="Tahoma"/>
                <w:i/>
                <w:sz w:val="24"/>
                <w:szCs w:val="24"/>
              </w:rPr>
            </w:pPr>
            <w:r w:rsidRPr="00B12C4F">
              <w:rPr>
                <w:rFonts w:ascii="Calibri" w:hAnsi="Calibri" w:cs="Tahoma"/>
                <w:sz w:val="24"/>
                <w:szCs w:val="24"/>
              </w:rPr>
              <w:t>Signature:</w:t>
            </w:r>
            <w:r w:rsidR="00160527">
              <w:rPr>
                <w:rFonts w:ascii="Calibri" w:hAnsi="Calibri" w:cs="Tahoma"/>
                <w:noProof/>
                <w:sz w:val="24"/>
                <w:szCs w:val="24"/>
                <w:lang w:eastAsia="en-GB"/>
              </w:rPr>
              <w:drawing>
                <wp:inline distT="0" distB="0" distL="0" distR="0">
                  <wp:extent cx="1868805" cy="3975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8805" cy="397510"/>
                          </a:xfrm>
                          <a:prstGeom prst="rect">
                            <a:avLst/>
                          </a:prstGeom>
                          <a:noFill/>
                          <a:ln>
                            <a:noFill/>
                          </a:ln>
                        </pic:spPr>
                      </pic:pic>
                    </a:graphicData>
                  </a:graphic>
                </wp:inline>
              </w:drawing>
            </w:r>
          </w:p>
        </w:tc>
        <w:tc>
          <w:tcPr>
            <w:tcW w:w="1983" w:type="dxa"/>
            <w:gridSpan w:val="2"/>
          </w:tcPr>
          <w:p w:rsidR="00F33D5A" w:rsidRPr="00E630FE" w:rsidRDefault="00F33D5A" w:rsidP="000004C1">
            <w:pPr>
              <w:pStyle w:val="NormalWeb"/>
              <w:spacing w:after="0"/>
              <w:ind w:left="142" w:right="34"/>
              <w:rPr>
                <w:rFonts w:ascii="Calibri" w:hAnsi="Calibri" w:cs="Tahoma"/>
                <w:sz w:val="24"/>
                <w:szCs w:val="24"/>
              </w:rPr>
            </w:pPr>
            <w:r w:rsidRPr="002F467C">
              <w:rPr>
                <w:rFonts w:ascii="Calibri" w:hAnsi="Calibri" w:cs="Tahoma"/>
                <w:i/>
                <w:sz w:val="24"/>
                <w:szCs w:val="24"/>
              </w:rPr>
              <w:t>Date:</w:t>
            </w:r>
            <w:r>
              <w:rPr>
                <w:rFonts w:ascii="Calibri" w:hAnsi="Calibri" w:cs="Tahoma"/>
                <w:sz w:val="24"/>
                <w:szCs w:val="24"/>
              </w:rPr>
              <w:t xml:space="preserve"> 29 Nov 2015</w:t>
            </w:r>
          </w:p>
        </w:tc>
      </w:tr>
      <w:tr w:rsidR="00F33D5A" w:rsidRPr="000F2F33" w:rsidTr="00337503">
        <w:tc>
          <w:tcPr>
            <w:tcW w:w="8852" w:type="dxa"/>
            <w:gridSpan w:val="7"/>
          </w:tcPr>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i/>
                <w:sz w:val="24"/>
                <w:szCs w:val="24"/>
              </w:rPr>
              <w:t>For completion by the second marker</w:t>
            </w:r>
            <w:r w:rsidRPr="000F2F33">
              <w:rPr>
                <w:rFonts w:ascii="Calibri" w:hAnsi="Calibri" w:cs="Tahoma"/>
                <w:bCs/>
                <w:sz w:val="24"/>
                <w:szCs w:val="24"/>
              </w:rPr>
              <w:t>:</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Comments:</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This dissertation considers the influence of Mesopotamian astronomy upon the writing of Homer. In turning to your research proposal you argue for using Cooley’s methodology and suggest that you are going to apply a rigour</w:t>
            </w:r>
            <w:r>
              <w:rPr>
                <w:rFonts w:ascii="Calibri" w:hAnsi="Calibri" w:cs="Tahoma"/>
                <w:bCs/>
                <w:sz w:val="24"/>
                <w:szCs w:val="24"/>
              </w:rPr>
              <w:t>ou</w:t>
            </w:r>
            <w:r w:rsidRPr="000F2F33">
              <w:rPr>
                <w:rFonts w:ascii="Calibri" w:hAnsi="Calibri" w:cs="Tahoma"/>
                <w:bCs/>
                <w:sz w:val="24"/>
                <w:szCs w:val="24"/>
              </w:rPr>
              <w:t xml:space="preserve">s methodology for examining the Mesopotamian celestial elements in Homer’s work. Just to remind you of your methodology from your proposal: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8916A8">
            <w:pPr>
              <w:pStyle w:val="NormalWeb"/>
              <w:spacing w:before="0" w:beforeAutospacing="0" w:after="0" w:afterAutospacing="0"/>
              <w:ind w:left="720"/>
              <w:rPr>
                <w:rFonts w:ascii="Calibri" w:hAnsi="Calibri" w:cs="Tahoma"/>
                <w:bCs/>
                <w:sz w:val="24"/>
                <w:szCs w:val="24"/>
              </w:rPr>
            </w:pPr>
            <w:r>
              <w:rPr>
                <w:rFonts w:ascii="Arial" w:hAnsi="Arial" w:cs="Arial"/>
              </w:rPr>
              <w:t>For the likelihood of celestial influence</w:t>
            </w:r>
            <w:r>
              <w:rPr>
                <w:rStyle w:val="FootnoteReference"/>
                <w:rFonts w:ascii="Arial" w:hAnsi="Arial" w:cs="Arial"/>
              </w:rPr>
              <w:footnoteReference w:id="1"/>
            </w:r>
            <w:r>
              <w:rPr>
                <w:rFonts w:ascii="Arial" w:hAnsi="Arial" w:cs="Arial"/>
              </w:rPr>
              <w:t xml:space="preserve"> within the narrative the text must contain; a) an astral feature or phenomenon, or; b) terminology contained in contemporary astronomical texts, or; c) concepts demonstrably used in contemporary astronomical texts. Whilst for the examination of literary parallels or influence between Near Eastern and Greek sources, the text must; a) exist in a time where there is a possibility of cultural influence, and also; b) contain similar motifs which are numerous, complex and detailed. However, because this study is primarily a literary one, rather than a scientific one, it will prioritise the use of literary symbolism and celestial imagery (as literary tropes) over the scientific rigmarole imposed by Cooley. For example by analysing literary motifs which contain symbolism connected to constellations and astronomical phenomena that are expressed in the Mesopotamian mythic narratives. Though it will endeavour to retain the spirit of Cooley’s methodology.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And your academic rational</w:t>
            </w:r>
            <w:r>
              <w:rPr>
                <w:rFonts w:ascii="Calibri" w:hAnsi="Calibri" w:cs="Tahoma"/>
                <w:bCs/>
                <w:sz w:val="24"/>
                <w:szCs w:val="24"/>
              </w:rPr>
              <w:t>e</w:t>
            </w:r>
            <w:r w:rsidRPr="000F2F33">
              <w:rPr>
                <w:rFonts w:ascii="Calibri" w:hAnsi="Calibri" w:cs="Tahoma"/>
                <w:bCs/>
                <w:sz w:val="24"/>
                <w:szCs w:val="24"/>
              </w:rPr>
              <w:t xml:space="preserve"> was that Cooley’s work and his methodology could be extended, via what you argued as privileging literary symbolism over scientific concerns.  However, your dissertation struggles with this aim, or more importantly you do not </w:t>
            </w:r>
            <w:r w:rsidR="00560FC0">
              <w:rPr>
                <w:rFonts w:ascii="Calibri" w:hAnsi="Calibri" w:cs="Tahoma"/>
                <w:bCs/>
                <w:sz w:val="24"/>
                <w:szCs w:val="24"/>
              </w:rPr>
              <w:t>follow through on</w:t>
            </w:r>
            <w:r w:rsidR="00560FC0" w:rsidRPr="000F2F33">
              <w:rPr>
                <w:rFonts w:ascii="Calibri" w:hAnsi="Calibri" w:cs="Tahoma"/>
                <w:bCs/>
                <w:sz w:val="24"/>
                <w:szCs w:val="24"/>
              </w:rPr>
              <w:t xml:space="preserve"> </w:t>
            </w:r>
            <w:r w:rsidRPr="000F2F33">
              <w:rPr>
                <w:rFonts w:ascii="Calibri" w:hAnsi="Calibri" w:cs="Tahoma"/>
                <w:bCs/>
                <w:sz w:val="24"/>
                <w:szCs w:val="24"/>
              </w:rPr>
              <w:t xml:space="preserve">this aim in your dissertation.  For instead you begin with </w:t>
            </w:r>
            <w:r w:rsidRPr="000F2F33">
              <w:rPr>
                <w:rFonts w:ascii="Calibri" w:hAnsi="Calibri" w:cs="Tahoma"/>
                <w:bCs/>
                <w:sz w:val="24"/>
                <w:szCs w:val="24"/>
              </w:rPr>
              <w:lastRenderedPageBreak/>
              <w:t>a sweeping overview of the history of the two regions and here you</w:t>
            </w:r>
            <w:r>
              <w:rPr>
                <w:rFonts w:ascii="Calibri" w:hAnsi="Calibri" w:cs="Tahoma"/>
                <w:bCs/>
                <w:sz w:val="24"/>
                <w:szCs w:val="24"/>
              </w:rPr>
              <w:t>r</w:t>
            </w:r>
            <w:r w:rsidRPr="000F2F33">
              <w:rPr>
                <w:rFonts w:ascii="Calibri" w:hAnsi="Calibri" w:cs="Tahoma"/>
                <w:bCs/>
                <w:sz w:val="24"/>
                <w:szCs w:val="24"/>
              </w:rPr>
              <w:t xml:space="preserve"> work becomes a listing of evidence</w:t>
            </w:r>
            <w:r>
              <w:rPr>
                <w:rFonts w:ascii="Calibri" w:hAnsi="Calibri" w:cs="Tahoma"/>
                <w:bCs/>
                <w:sz w:val="24"/>
                <w:szCs w:val="24"/>
              </w:rPr>
              <w:t>,</w:t>
            </w:r>
            <w:r w:rsidRPr="000F2F33">
              <w:rPr>
                <w:rFonts w:ascii="Calibri" w:hAnsi="Calibri" w:cs="Tahoma"/>
                <w:bCs/>
                <w:sz w:val="24"/>
                <w:szCs w:val="24"/>
              </w:rPr>
              <w:t xml:space="preserve"> and within this listing of evidence you have a tendency to cite opinions as facts. For example, in an early first paragraph you make the statement:</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ind w:left="720"/>
              <w:rPr>
                <w:rFonts w:ascii="Calibri" w:hAnsi="Calibri" w:cs="Arial"/>
                <w:sz w:val="24"/>
                <w:szCs w:val="24"/>
              </w:rPr>
            </w:pPr>
            <w:r w:rsidRPr="000F2F33">
              <w:rPr>
                <w:rFonts w:ascii="Calibri" w:hAnsi="Calibri" w:cs="Arial"/>
                <w:sz w:val="24"/>
                <w:szCs w:val="24"/>
              </w:rPr>
              <w:t>Yet alongside this distinction Mesopotamia can also claim the accolade ‘birthplace of astronomy’ in part due to the innovation of cuneiform writing which allowed records of their extensive celestial observations to survive.</w:t>
            </w:r>
          </w:p>
          <w:p w:rsidR="00F33D5A" w:rsidRPr="000F2F33" w:rsidRDefault="00F33D5A" w:rsidP="005A5135">
            <w:pPr>
              <w:pStyle w:val="NormalWeb"/>
              <w:spacing w:before="0" w:beforeAutospacing="0" w:after="0" w:afterAutospacing="0"/>
              <w:ind w:left="720"/>
              <w:rPr>
                <w:rFonts w:ascii="Calibri" w:hAnsi="Calibri" w:cs="Arial"/>
                <w:sz w:val="24"/>
                <w:szCs w:val="24"/>
              </w:rPr>
            </w:pPr>
          </w:p>
          <w:p w:rsidR="00F33D5A" w:rsidRPr="000F2F33" w:rsidRDefault="00F33D5A" w:rsidP="005A5135">
            <w:pPr>
              <w:pStyle w:val="NormalWeb"/>
              <w:spacing w:before="0" w:beforeAutospacing="0" w:after="0" w:afterAutospacing="0"/>
              <w:rPr>
                <w:rFonts w:ascii="Calibri" w:hAnsi="Calibri" w:cs="Arial"/>
                <w:sz w:val="24"/>
                <w:szCs w:val="24"/>
              </w:rPr>
            </w:pPr>
            <w:r w:rsidRPr="000F2F33">
              <w:rPr>
                <w:rFonts w:ascii="Calibri" w:hAnsi="Calibri" w:cs="Arial"/>
                <w:sz w:val="24"/>
                <w:szCs w:val="24"/>
              </w:rPr>
              <w:t xml:space="preserve">You give a citation (in Roman numerals) to Campion. But the argument that Mesopotamia is the ‘birthplace of astronomy’ can be challenged. Thus to avoid this being a sweeping statement you need to write this as ‘Campion argues that….’, thereby presenting the views of others with a critical mind. However, in checking Campion and your reference I note that you give the page numbers of 34-67. This </w:t>
            </w:r>
            <w:r>
              <w:rPr>
                <w:rFonts w:ascii="Calibri" w:hAnsi="Calibri" w:cs="Arial"/>
                <w:sz w:val="24"/>
                <w:szCs w:val="24"/>
              </w:rPr>
              <w:t>encompasses</w:t>
            </w:r>
            <w:r w:rsidRPr="000F2F33">
              <w:rPr>
                <w:rFonts w:ascii="Calibri" w:hAnsi="Calibri" w:cs="Arial"/>
                <w:sz w:val="24"/>
                <w:szCs w:val="24"/>
              </w:rPr>
              <w:t xml:space="preserve"> his two chapters on this topic, </w:t>
            </w:r>
            <w:r>
              <w:rPr>
                <w:rFonts w:ascii="Calibri" w:hAnsi="Calibri" w:cs="Arial"/>
                <w:sz w:val="24"/>
                <w:szCs w:val="24"/>
              </w:rPr>
              <w:t xml:space="preserve">and </w:t>
            </w:r>
            <w:r w:rsidRPr="000F2F33">
              <w:rPr>
                <w:rFonts w:ascii="Calibri" w:hAnsi="Calibri" w:cs="Arial"/>
                <w:sz w:val="24"/>
                <w:szCs w:val="24"/>
              </w:rPr>
              <w:t>actually they are not page</w:t>
            </w:r>
            <w:r>
              <w:rPr>
                <w:rFonts w:ascii="Calibri" w:hAnsi="Calibri" w:cs="Arial"/>
                <w:sz w:val="24"/>
                <w:szCs w:val="24"/>
              </w:rPr>
              <w:t>s</w:t>
            </w:r>
            <w:r w:rsidRPr="000F2F33">
              <w:rPr>
                <w:rFonts w:ascii="Calibri" w:hAnsi="Calibri" w:cs="Arial"/>
                <w:sz w:val="24"/>
                <w:szCs w:val="24"/>
              </w:rPr>
              <w:t xml:space="preserve"> 34-67 but 35-68. However, ignoring the incorrect page numbers</w:t>
            </w:r>
            <w:r>
              <w:rPr>
                <w:rFonts w:ascii="Calibri" w:hAnsi="Calibri" w:cs="Arial"/>
                <w:sz w:val="24"/>
                <w:szCs w:val="24"/>
              </w:rPr>
              <w:t>,</w:t>
            </w:r>
            <w:r w:rsidRPr="000F2F33">
              <w:rPr>
                <w:rFonts w:ascii="Calibri" w:hAnsi="Calibri" w:cs="Arial"/>
                <w:sz w:val="24"/>
                <w:szCs w:val="24"/>
              </w:rPr>
              <w:t xml:space="preserve"> what was needed here is the exact page/s numbers when Campion states that Mesopotamia was the ‘birthplace of astronomy’ and that this was due in part to the innovation of cuneiform. </w:t>
            </w:r>
          </w:p>
          <w:p w:rsidR="00F33D5A" w:rsidRPr="000F2F33" w:rsidRDefault="00F33D5A" w:rsidP="005A5135">
            <w:pPr>
              <w:pStyle w:val="NormalWeb"/>
              <w:spacing w:before="0" w:beforeAutospacing="0" w:after="0" w:afterAutospacing="0"/>
              <w:rPr>
                <w:rFonts w:ascii="Calibri" w:hAnsi="Calibri" w:cs="Arial"/>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Arial"/>
                <w:sz w:val="24"/>
                <w:szCs w:val="24"/>
              </w:rPr>
              <w:t xml:space="preserve">The other difficulty in this section is that you </w:t>
            </w:r>
            <w:r w:rsidRPr="000F2F33">
              <w:rPr>
                <w:rFonts w:ascii="Calibri" w:hAnsi="Calibri" w:cs="Tahoma"/>
                <w:bCs/>
                <w:sz w:val="24"/>
                <w:szCs w:val="24"/>
              </w:rPr>
              <w:t xml:space="preserve">collapse the entire ancient Near East, all its regions and the diversity over the long human history of this area, into only two cultures, that of Egyptian and Mesopotamian. This is questionable, for you are suggesting that the culture of Akkad, around 2300 BCE is the same as that of </w:t>
            </w:r>
            <w:r>
              <w:rPr>
                <w:rFonts w:ascii="Calibri" w:hAnsi="Calibri" w:cs="Tahoma"/>
                <w:bCs/>
                <w:sz w:val="24"/>
                <w:szCs w:val="24"/>
              </w:rPr>
              <w:t xml:space="preserve">the </w:t>
            </w:r>
            <w:r w:rsidRPr="000F2F33">
              <w:rPr>
                <w:rFonts w:ascii="Calibri" w:hAnsi="Calibri" w:cs="Tahoma"/>
                <w:bCs/>
                <w:sz w:val="24"/>
                <w:szCs w:val="24"/>
              </w:rPr>
              <w:t xml:space="preserve">Babylonian of the eighteenth century BC and </w:t>
            </w:r>
            <w:r>
              <w:rPr>
                <w:rFonts w:ascii="Calibri" w:hAnsi="Calibri" w:cs="Tahoma"/>
                <w:bCs/>
                <w:sz w:val="24"/>
                <w:szCs w:val="24"/>
              </w:rPr>
              <w:t>the</w:t>
            </w:r>
            <w:r w:rsidRPr="000F2F33">
              <w:rPr>
                <w:rFonts w:ascii="Calibri" w:hAnsi="Calibri" w:cs="Tahoma"/>
                <w:bCs/>
                <w:sz w:val="24"/>
                <w:szCs w:val="24"/>
              </w:rPr>
              <w:t xml:space="preserve"> neo-Babylonian of the seventh century BC, and so forth. Thus you needed to argue this case more strongly with citations. Your lack of argument around defining what you mean by Mesopotamia is compounded when you write on page iii that it is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A670CA" w:rsidRDefault="00F33D5A" w:rsidP="005A5135">
            <w:pPr>
              <w:pStyle w:val="NormalWeb"/>
              <w:spacing w:before="0" w:beforeAutospacing="0" w:after="0" w:afterAutospacing="0"/>
              <w:ind w:left="720"/>
              <w:rPr>
                <w:rFonts w:ascii="Calibri" w:hAnsi="Calibri" w:cs="Tahoma"/>
                <w:bCs/>
                <w:sz w:val="22"/>
                <w:szCs w:val="22"/>
              </w:rPr>
            </w:pPr>
            <w:r w:rsidRPr="00A670CA">
              <w:rPr>
                <w:rFonts w:ascii="Calibri" w:hAnsi="Calibri" w:cs="Arial"/>
                <w:bCs/>
                <w:sz w:val="22"/>
                <w:szCs w:val="22"/>
              </w:rPr>
              <w:t xml:space="preserve">Mesopotamia’s comprehensive cosmological knowledge and the documented transmission of their myths and beliefs through the medium of writing and literature which birthed the inspiration behind this paper.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In the first place the reader is unsure of the type of Mesopotamia culture you mean, the Akkadian culture or the </w:t>
            </w:r>
            <w:r w:rsidRPr="00BD3EAF">
              <w:rPr>
                <w:rFonts w:ascii="Calibri" w:hAnsi="Calibri" w:cs="Tahoma"/>
                <w:bCs/>
                <w:sz w:val="24"/>
                <w:szCs w:val="24"/>
              </w:rPr>
              <w:t xml:space="preserve">neo-Babylonian </w:t>
            </w:r>
            <w:r w:rsidRPr="000F2F33">
              <w:rPr>
                <w:rFonts w:ascii="Calibri" w:hAnsi="Calibri" w:cs="Tahoma"/>
                <w:bCs/>
                <w:sz w:val="24"/>
                <w:szCs w:val="24"/>
              </w:rPr>
              <w:t>culture some fifteen hundred years later. Hence your claim of ‘comprehensive cosmological knowledge’ is presented without any evidence nor context. You have also confused cosmological knowledge with that of astronomical knowledge. All cultures will have knowledge of their cosmology, their creation mythology and their thoughts on the ontological nature of their world. At the end of this first section you do finally state your aim but now you appear to be contradicting yourself as you are defining your target group as the literature that comes out of the geographical areas of Anatolia and Semitic</w:t>
            </w:r>
            <w:r>
              <w:rPr>
                <w:rFonts w:ascii="Calibri" w:hAnsi="Calibri" w:cs="Tahoma"/>
                <w:bCs/>
                <w:sz w:val="24"/>
                <w:szCs w:val="24"/>
              </w:rPr>
              <w:t xml:space="preserve"> lands</w:t>
            </w:r>
            <w:r w:rsidRPr="000F2F33">
              <w:rPr>
                <w:rFonts w:ascii="Calibri" w:hAnsi="Calibri" w:cs="Tahoma"/>
                <w:bCs/>
                <w:sz w:val="24"/>
                <w:szCs w:val="24"/>
              </w:rPr>
              <w:t>. However even with this geographical distinction you still needed to giv</w:t>
            </w:r>
            <w:r>
              <w:rPr>
                <w:rFonts w:ascii="Calibri" w:hAnsi="Calibri" w:cs="Tahoma"/>
                <w:bCs/>
                <w:sz w:val="24"/>
                <w:szCs w:val="24"/>
              </w:rPr>
              <w:t>e</w:t>
            </w:r>
            <w:r w:rsidRPr="000F2F33">
              <w:rPr>
                <w:rFonts w:ascii="Calibri" w:hAnsi="Calibri" w:cs="Tahoma"/>
                <w:bCs/>
                <w:sz w:val="24"/>
                <w:szCs w:val="24"/>
              </w:rPr>
              <w:t xml:space="preserve"> a time frame for the literature you are selecting</w:t>
            </w:r>
            <w:r>
              <w:rPr>
                <w:rFonts w:ascii="Calibri" w:hAnsi="Calibri" w:cs="Tahoma"/>
                <w:bCs/>
                <w:sz w:val="24"/>
                <w:szCs w:val="24"/>
              </w:rPr>
              <w:t>,</w:t>
            </w:r>
            <w:r w:rsidRPr="000F2F33">
              <w:rPr>
                <w:rFonts w:ascii="Calibri" w:hAnsi="Calibri" w:cs="Tahoma"/>
                <w:bCs/>
                <w:sz w:val="24"/>
                <w:szCs w:val="24"/>
              </w:rPr>
              <w:t xml:space="preserve"> along with a justification for this distinction. But the greater problem is that you do not bring in your proposed academic rational</w:t>
            </w:r>
            <w:r>
              <w:rPr>
                <w:rFonts w:ascii="Calibri" w:hAnsi="Calibri" w:cs="Tahoma"/>
                <w:bCs/>
                <w:sz w:val="24"/>
                <w:szCs w:val="24"/>
              </w:rPr>
              <w:t>e</w:t>
            </w:r>
            <w:r w:rsidRPr="000F2F33">
              <w:rPr>
                <w:rFonts w:ascii="Calibri" w:hAnsi="Calibri" w:cs="Tahoma"/>
                <w:bCs/>
                <w:sz w:val="24"/>
                <w:szCs w:val="24"/>
              </w:rPr>
              <w:t xml:space="preserve"> </w:t>
            </w:r>
            <w:r w:rsidRPr="008151D1">
              <w:rPr>
                <w:rFonts w:ascii="Calibri" w:hAnsi="Calibri" w:cs="Tahoma"/>
                <w:bCs/>
                <w:sz w:val="24"/>
                <w:szCs w:val="24"/>
              </w:rPr>
              <w:t>of exploring and extending Cooley’s methods.</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Your methodology section begins </w:t>
            </w:r>
            <w:r>
              <w:rPr>
                <w:rFonts w:ascii="Calibri" w:hAnsi="Calibri" w:cs="Tahoma"/>
                <w:bCs/>
                <w:sz w:val="24"/>
                <w:szCs w:val="24"/>
              </w:rPr>
              <w:t>more strongly</w:t>
            </w:r>
            <w:r w:rsidRPr="000F2F33">
              <w:rPr>
                <w:rFonts w:ascii="Calibri" w:hAnsi="Calibri" w:cs="Tahoma"/>
                <w:bCs/>
                <w:sz w:val="24"/>
                <w:szCs w:val="24"/>
              </w:rPr>
              <w:t xml:space="preserve"> although</w:t>
            </w:r>
            <w:r>
              <w:rPr>
                <w:rFonts w:ascii="Calibri" w:hAnsi="Calibri" w:cs="Tahoma"/>
                <w:bCs/>
                <w:sz w:val="24"/>
                <w:szCs w:val="24"/>
              </w:rPr>
              <w:t>,</w:t>
            </w:r>
            <w:r w:rsidRPr="000F2F33">
              <w:rPr>
                <w:rFonts w:ascii="Calibri" w:hAnsi="Calibri" w:cs="Tahoma"/>
                <w:bCs/>
                <w:sz w:val="24"/>
                <w:szCs w:val="24"/>
              </w:rPr>
              <w:t xml:space="preserve"> without clarity about your target group of cultures and what constitutes astronomy</w:t>
            </w:r>
            <w:r>
              <w:rPr>
                <w:rFonts w:ascii="Calibri" w:hAnsi="Calibri" w:cs="Tahoma"/>
                <w:bCs/>
                <w:sz w:val="24"/>
                <w:szCs w:val="24"/>
              </w:rPr>
              <w:t>,</w:t>
            </w:r>
            <w:r w:rsidRPr="000F2F33">
              <w:rPr>
                <w:rFonts w:ascii="Calibri" w:hAnsi="Calibri" w:cs="Tahoma"/>
                <w:bCs/>
                <w:sz w:val="24"/>
                <w:szCs w:val="24"/>
              </w:rPr>
              <w:t xml:space="preserve"> the reader is still uncertain </w:t>
            </w:r>
            <w:r w:rsidRPr="000F2F33">
              <w:rPr>
                <w:rFonts w:ascii="Calibri" w:hAnsi="Calibri" w:cs="Tahoma"/>
                <w:bCs/>
                <w:sz w:val="24"/>
                <w:szCs w:val="24"/>
              </w:rPr>
              <w:lastRenderedPageBreak/>
              <w:t xml:space="preserve">how you can apply any rigorous criteria to your assessment of Homer’s work. Also you do not address Cooley’s methodology here but defer that to a later section. But here you ignore a fundamental difficulty when looking for the celestial elements of one culture in the mythology of another, </w:t>
            </w:r>
            <w:r>
              <w:rPr>
                <w:rFonts w:ascii="Calibri" w:hAnsi="Calibri" w:cs="Tahoma"/>
                <w:bCs/>
                <w:sz w:val="24"/>
                <w:szCs w:val="24"/>
              </w:rPr>
              <w:t>which</w:t>
            </w:r>
            <w:r w:rsidRPr="000F2F33">
              <w:rPr>
                <w:rFonts w:ascii="Calibri" w:hAnsi="Calibri" w:cs="Tahoma"/>
                <w:bCs/>
                <w:sz w:val="24"/>
                <w:szCs w:val="24"/>
              </w:rPr>
              <w:t xml:space="preserve"> is that you needed to address the simple fact that the sky is consistent across all cultures. Stories that contain sky elements will therefore have to deal with subjects, sky objects, that all move in the same way, all display</w:t>
            </w:r>
            <w:r>
              <w:rPr>
                <w:rFonts w:ascii="Calibri" w:hAnsi="Calibri" w:cs="Tahoma"/>
                <w:bCs/>
                <w:sz w:val="24"/>
                <w:szCs w:val="24"/>
              </w:rPr>
              <w:t>ing</w:t>
            </w:r>
            <w:r w:rsidRPr="000F2F33">
              <w:rPr>
                <w:rFonts w:ascii="Calibri" w:hAnsi="Calibri" w:cs="Tahoma"/>
                <w:bCs/>
                <w:sz w:val="24"/>
                <w:szCs w:val="24"/>
              </w:rPr>
              <w:t xml:space="preserve"> the same behaviour. Your methodology therefore needed to address this commonality.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In your transmission of literature section, you make a strong case, particularly using West, to argue that the literature of the Western Asiatic flowed into Greece from the Mycenaean Period onwards. This is good but it suggests that given such a strong flow of literature, as West argues, then logically Homer’s work would contain elements of this literature. Does this not answer your research question and suggest that your work is redundant? Also when you claim, citing Kramer, that Hesiod’s </w:t>
            </w:r>
            <w:r w:rsidRPr="00560FC0">
              <w:rPr>
                <w:rFonts w:ascii="Calibri" w:hAnsi="Calibri" w:cs="Tahoma"/>
                <w:bCs/>
                <w:i/>
                <w:sz w:val="24"/>
                <w:szCs w:val="24"/>
              </w:rPr>
              <w:t>Works and Days</w:t>
            </w:r>
            <w:r w:rsidRPr="000F2F33">
              <w:rPr>
                <w:rFonts w:ascii="Calibri" w:hAnsi="Calibri" w:cs="Tahoma"/>
                <w:bCs/>
                <w:sz w:val="24"/>
                <w:szCs w:val="24"/>
              </w:rPr>
              <w:t xml:space="preserve"> was strongly influenced by the Sumerians, does this not </w:t>
            </w:r>
            <w:r w:rsidR="00560FC0">
              <w:rPr>
                <w:rFonts w:ascii="Calibri" w:hAnsi="Calibri" w:cs="Tahoma"/>
                <w:bCs/>
                <w:sz w:val="24"/>
                <w:szCs w:val="24"/>
              </w:rPr>
              <w:t xml:space="preserve">open up the arguments as to Homer being also influenced by this literature.  </w:t>
            </w:r>
            <w:r w:rsidR="00560FC0" w:rsidRPr="00560FC0">
              <w:rPr>
                <w:rFonts w:asciiTheme="minorHAnsi" w:hAnsiTheme="minorHAnsi"/>
                <w:sz w:val="24"/>
                <w:szCs w:val="24"/>
              </w:rPr>
              <w:t xml:space="preserve">You needed to discuss in greater detail the links between Hesiod and Homer, not only listing of secondary scholarship in this regard, but your own analysis of such links and how they connect with your research questions, showing how your research is still required. </w:t>
            </w:r>
            <w:r w:rsidRPr="000F2F33">
              <w:rPr>
                <w:rFonts w:ascii="Calibri" w:hAnsi="Calibri" w:cs="Tahoma"/>
                <w:bCs/>
                <w:sz w:val="24"/>
                <w:szCs w:val="24"/>
              </w:rPr>
              <w:t>With no academic rational</w:t>
            </w:r>
            <w:r>
              <w:rPr>
                <w:rFonts w:ascii="Calibri" w:hAnsi="Calibri" w:cs="Tahoma"/>
                <w:bCs/>
                <w:sz w:val="24"/>
                <w:szCs w:val="24"/>
              </w:rPr>
              <w:t>e</w:t>
            </w:r>
            <w:r w:rsidRPr="000F2F33">
              <w:rPr>
                <w:rFonts w:ascii="Calibri" w:hAnsi="Calibri" w:cs="Tahoma"/>
                <w:bCs/>
                <w:sz w:val="24"/>
                <w:szCs w:val="24"/>
              </w:rPr>
              <w:t xml:space="preserve"> your work struggles to have a clear focus and, as already pointed out, you are left simpl</w:t>
            </w:r>
            <w:r>
              <w:rPr>
                <w:rFonts w:ascii="Calibri" w:hAnsi="Calibri" w:cs="Tahoma"/>
                <w:bCs/>
                <w:sz w:val="24"/>
                <w:szCs w:val="24"/>
              </w:rPr>
              <w:t>y</w:t>
            </w:r>
            <w:r w:rsidRPr="000F2F33">
              <w:rPr>
                <w:rFonts w:ascii="Calibri" w:hAnsi="Calibri" w:cs="Tahoma"/>
                <w:bCs/>
                <w:sz w:val="24"/>
                <w:szCs w:val="24"/>
              </w:rPr>
              <w:t xml:space="preserve"> listing the work of others.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This listing continues with your material on Hesiod and Homer. You have listed the literature</w:t>
            </w:r>
            <w:r>
              <w:rPr>
                <w:rFonts w:ascii="Calibri" w:hAnsi="Calibri" w:cs="Tahoma"/>
                <w:bCs/>
                <w:sz w:val="24"/>
                <w:szCs w:val="24"/>
              </w:rPr>
              <w:t>, but</w:t>
            </w:r>
            <w:r w:rsidRPr="000F2F33">
              <w:rPr>
                <w:rFonts w:ascii="Calibri" w:hAnsi="Calibri" w:cs="Tahoma"/>
                <w:bCs/>
                <w:sz w:val="24"/>
                <w:szCs w:val="24"/>
              </w:rPr>
              <w:t xml:space="preserve"> it is only in the last paragraph </w:t>
            </w:r>
            <w:r>
              <w:rPr>
                <w:rFonts w:ascii="Calibri" w:hAnsi="Calibri" w:cs="Tahoma"/>
                <w:bCs/>
                <w:sz w:val="24"/>
                <w:szCs w:val="24"/>
              </w:rPr>
              <w:t>that</w:t>
            </w:r>
            <w:r w:rsidRPr="000F2F33">
              <w:rPr>
                <w:rFonts w:ascii="Calibri" w:hAnsi="Calibri" w:cs="Tahoma"/>
                <w:bCs/>
                <w:sz w:val="24"/>
                <w:szCs w:val="24"/>
              </w:rPr>
              <w:t xml:space="preserve"> you return to your research question</w:t>
            </w:r>
            <w:r>
              <w:rPr>
                <w:rFonts w:ascii="Calibri" w:hAnsi="Calibri" w:cs="Tahoma"/>
                <w:bCs/>
                <w:sz w:val="24"/>
                <w:szCs w:val="24"/>
              </w:rPr>
              <w:t xml:space="preserve"> in</w:t>
            </w:r>
            <w:r w:rsidRPr="000F2F33">
              <w:rPr>
                <w:rFonts w:ascii="Calibri" w:hAnsi="Calibri" w:cs="Tahoma"/>
                <w:bCs/>
                <w:sz w:val="24"/>
                <w:szCs w:val="24"/>
              </w:rPr>
              <w:t xml:space="preserve"> suggesting that none of these scholars, ex</w:t>
            </w:r>
            <w:r>
              <w:rPr>
                <w:rFonts w:ascii="Calibri" w:hAnsi="Calibri" w:cs="Tahoma"/>
                <w:bCs/>
                <w:sz w:val="24"/>
                <w:szCs w:val="24"/>
              </w:rPr>
              <w:t>cept</w:t>
            </w:r>
            <w:r w:rsidRPr="000F2F33">
              <w:rPr>
                <w:rFonts w:ascii="Calibri" w:hAnsi="Calibri" w:cs="Tahoma"/>
                <w:bCs/>
                <w:sz w:val="24"/>
                <w:szCs w:val="24"/>
              </w:rPr>
              <w:t xml:space="preserve"> Cooley who you bring in at the end, have consider</w:t>
            </w:r>
            <w:r>
              <w:rPr>
                <w:rFonts w:ascii="Calibri" w:hAnsi="Calibri" w:cs="Tahoma"/>
                <w:bCs/>
                <w:sz w:val="24"/>
                <w:szCs w:val="24"/>
              </w:rPr>
              <w:t>ed</w:t>
            </w:r>
            <w:r w:rsidRPr="000F2F33">
              <w:rPr>
                <w:rFonts w:ascii="Calibri" w:hAnsi="Calibri" w:cs="Tahoma"/>
                <w:bCs/>
                <w:sz w:val="24"/>
                <w:szCs w:val="24"/>
              </w:rPr>
              <w:t xml:space="preserve"> the elements of Babylonian astronomy in Homer.  But you have not made this case. </w:t>
            </w:r>
            <w:r>
              <w:rPr>
                <w:rFonts w:ascii="Calibri" w:hAnsi="Calibri" w:cs="Tahoma"/>
                <w:bCs/>
                <w:sz w:val="24"/>
                <w:szCs w:val="24"/>
              </w:rPr>
              <w:t>More</w:t>
            </w:r>
            <w:r w:rsidRPr="000F2F33">
              <w:rPr>
                <w:rFonts w:ascii="Calibri" w:hAnsi="Calibri" w:cs="Tahoma"/>
                <w:bCs/>
                <w:sz w:val="24"/>
                <w:szCs w:val="24"/>
              </w:rPr>
              <w:t xml:space="preserve"> importantly</w:t>
            </w:r>
            <w:r>
              <w:rPr>
                <w:rFonts w:ascii="Calibri" w:hAnsi="Calibri" w:cs="Tahoma"/>
                <w:bCs/>
                <w:sz w:val="24"/>
                <w:szCs w:val="24"/>
              </w:rPr>
              <w:t>,</w:t>
            </w:r>
            <w:r w:rsidRPr="000F2F33">
              <w:rPr>
                <w:rFonts w:ascii="Calibri" w:hAnsi="Calibri" w:cs="Tahoma"/>
                <w:bCs/>
                <w:sz w:val="24"/>
                <w:szCs w:val="24"/>
              </w:rPr>
              <w:t xml:space="preserve"> it appears as if your literature review was focused on the wrong theme. Since Cooley addresses</w:t>
            </w:r>
            <w:r w:rsidR="00560FC0">
              <w:rPr>
                <w:rFonts w:ascii="Calibri" w:hAnsi="Calibri" w:cs="Tahoma"/>
                <w:bCs/>
                <w:sz w:val="24"/>
                <w:szCs w:val="24"/>
              </w:rPr>
              <w:t xml:space="preserve"> </w:t>
            </w:r>
            <w:r w:rsidRPr="000F2F33">
              <w:rPr>
                <w:rFonts w:ascii="Calibri" w:hAnsi="Calibri" w:cs="Tahoma"/>
                <w:bCs/>
                <w:sz w:val="24"/>
                <w:szCs w:val="24"/>
              </w:rPr>
              <w:t xml:space="preserve">the topic of your research question your literature review needed to discuss, in detail, the work of Cooley and show that there was still a gap in the literature that your dissertation was attempting to address.  I am aware that you consider this later but your detailed list of undiscussed opinions seems to suggest that your research question is non-existent.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This tendency to describe rather than discuss leads to some contradictions. For example, the work of Jeff</w:t>
            </w:r>
            <w:r>
              <w:rPr>
                <w:rFonts w:ascii="Calibri" w:hAnsi="Calibri" w:cs="Tahoma"/>
                <w:bCs/>
                <w:sz w:val="24"/>
                <w:szCs w:val="24"/>
              </w:rPr>
              <w:t>re</w:t>
            </w:r>
            <w:r w:rsidRPr="000F2F33">
              <w:rPr>
                <w:rFonts w:ascii="Calibri" w:hAnsi="Calibri" w:cs="Tahoma"/>
                <w:bCs/>
                <w:sz w:val="24"/>
                <w:szCs w:val="24"/>
              </w:rPr>
              <w:t>y Cooley with his clear methodology needed to be presented in your methodology section. You have</w:t>
            </w:r>
            <w:r>
              <w:rPr>
                <w:rFonts w:ascii="Calibri" w:hAnsi="Calibri" w:cs="Tahoma"/>
                <w:bCs/>
                <w:sz w:val="24"/>
                <w:szCs w:val="24"/>
              </w:rPr>
              <w:t>,</w:t>
            </w:r>
            <w:r w:rsidRPr="000F2F33">
              <w:rPr>
                <w:rFonts w:ascii="Calibri" w:hAnsi="Calibri" w:cs="Tahoma"/>
                <w:bCs/>
                <w:sz w:val="24"/>
                <w:szCs w:val="24"/>
              </w:rPr>
              <w:t xml:space="preserve"> however</w:t>
            </w:r>
            <w:r>
              <w:rPr>
                <w:rFonts w:ascii="Calibri" w:hAnsi="Calibri" w:cs="Tahoma"/>
                <w:bCs/>
                <w:sz w:val="24"/>
                <w:szCs w:val="24"/>
              </w:rPr>
              <w:t>,</w:t>
            </w:r>
            <w:r w:rsidRPr="000F2F33">
              <w:rPr>
                <w:rFonts w:ascii="Calibri" w:hAnsi="Calibri" w:cs="Tahoma"/>
                <w:bCs/>
                <w:sz w:val="24"/>
                <w:szCs w:val="24"/>
              </w:rPr>
              <w:t xml:space="preserve"> </w:t>
            </w:r>
            <w:r>
              <w:rPr>
                <w:rFonts w:ascii="Calibri" w:hAnsi="Calibri" w:cs="Tahoma"/>
                <w:bCs/>
                <w:sz w:val="24"/>
                <w:szCs w:val="24"/>
              </w:rPr>
              <w:t>given</w:t>
            </w:r>
            <w:r w:rsidRPr="000F2F33">
              <w:rPr>
                <w:rFonts w:ascii="Calibri" w:hAnsi="Calibri" w:cs="Tahoma"/>
                <w:bCs/>
                <w:sz w:val="24"/>
                <w:szCs w:val="24"/>
              </w:rPr>
              <w:t xml:space="preserve"> him a separate heading. But your discussion on Cooley’s work is unclear.  You have listed in detail his methodology, which in your proposal was going to be a central theme in your entire dissertation</w:t>
            </w:r>
            <w:r>
              <w:rPr>
                <w:rFonts w:ascii="Calibri" w:hAnsi="Calibri" w:cs="Tahoma"/>
                <w:bCs/>
                <w:sz w:val="24"/>
                <w:szCs w:val="24"/>
              </w:rPr>
              <w:t>;</w:t>
            </w:r>
            <w:r w:rsidRPr="000F2F33">
              <w:rPr>
                <w:rFonts w:ascii="Calibri" w:hAnsi="Calibri" w:cs="Tahoma"/>
                <w:bCs/>
                <w:sz w:val="24"/>
                <w:szCs w:val="24"/>
              </w:rPr>
              <w:t xml:space="preserve"> however</w:t>
            </w:r>
            <w:r>
              <w:rPr>
                <w:rFonts w:ascii="Calibri" w:hAnsi="Calibri" w:cs="Tahoma"/>
                <w:bCs/>
                <w:sz w:val="24"/>
                <w:szCs w:val="24"/>
              </w:rPr>
              <w:t>,</w:t>
            </w:r>
            <w:r w:rsidRPr="000F2F33">
              <w:rPr>
                <w:rFonts w:ascii="Calibri" w:hAnsi="Calibri" w:cs="Tahoma"/>
                <w:bCs/>
                <w:sz w:val="24"/>
                <w:szCs w:val="24"/>
              </w:rPr>
              <w:t xml:space="preserve"> you then dismissed his methodology</w:t>
            </w:r>
            <w:r>
              <w:rPr>
                <w:rFonts w:ascii="Calibri" w:hAnsi="Calibri" w:cs="Tahoma"/>
                <w:bCs/>
                <w:sz w:val="24"/>
                <w:szCs w:val="24"/>
              </w:rPr>
              <w:t>,</w:t>
            </w:r>
            <w:r w:rsidRPr="000F2F33">
              <w:rPr>
                <w:rFonts w:ascii="Calibri" w:hAnsi="Calibri" w:cs="Tahoma"/>
                <w:bCs/>
                <w:sz w:val="24"/>
                <w:szCs w:val="24"/>
              </w:rPr>
              <w:t xml:space="preserve"> saying that he </w:t>
            </w:r>
            <w:r>
              <w:rPr>
                <w:rFonts w:ascii="Calibri" w:hAnsi="Calibri" w:cs="Tahoma"/>
                <w:bCs/>
                <w:sz w:val="24"/>
                <w:szCs w:val="24"/>
              </w:rPr>
              <w:t>w</w:t>
            </w:r>
            <w:r w:rsidRPr="000F2F33">
              <w:rPr>
                <w:rFonts w:ascii="Calibri" w:hAnsi="Calibri" w:cs="Tahoma"/>
                <w:bCs/>
                <w:sz w:val="24"/>
                <w:szCs w:val="24"/>
              </w:rPr>
              <w:t xml:space="preserve">as only using such a tight criterion to avoid the pitfall of pan-Babylonianism. You seem to think that this is </w:t>
            </w:r>
            <w:r>
              <w:rPr>
                <w:rFonts w:ascii="Calibri" w:hAnsi="Calibri" w:cs="Tahoma"/>
                <w:bCs/>
                <w:sz w:val="24"/>
                <w:szCs w:val="24"/>
              </w:rPr>
              <w:t xml:space="preserve">a </w:t>
            </w:r>
            <w:r w:rsidRPr="000F2F33">
              <w:rPr>
                <w:rFonts w:ascii="Calibri" w:hAnsi="Calibri" w:cs="Tahoma"/>
                <w:bCs/>
                <w:sz w:val="24"/>
                <w:szCs w:val="24"/>
              </w:rPr>
              <w:t>valid criticism against Cooley</w:t>
            </w:r>
            <w:r>
              <w:rPr>
                <w:rFonts w:ascii="Calibri" w:hAnsi="Calibri" w:cs="Tahoma"/>
                <w:bCs/>
                <w:sz w:val="24"/>
                <w:szCs w:val="24"/>
              </w:rPr>
              <w:t xml:space="preserve"> – </w:t>
            </w:r>
            <w:r w:rsidRPr="000F2F33">
              <w:rPr>
                <w:rFonts w:ascii="Calibri" w:hAnsi="Calibri" w:cs="Tahoma"/>
                <w:bCs/>
                <w:sz w:val="24"/>
                <w:szCs w:val="24"/>
              </w:rPr>
              <w:t xml:space="preserve">yet is this not the very point of his methodology and is this not a methodology that you should </w:t>
            </w:r>
            <w:r w:rsidR="00512154">
              <w:rPr>
                <w:rFonts w:ascii="Calibri" w:hAnsi="Calibri" w:cs="Tahoma"/>
                <w:bCs/>
                <w:sz w:val="24"/>
                <w:szCs w:val="24"/>
              </w:rPr>
              <w:t>be embracing</w:t>
            </w:r>
            <w:r w:rsidRPr="000F2F33">
              <w:rPr>
                <w:rFonts w:ascii="Calibri" w:hAnsi="Calibri" w:cs="Tahoma"/>
                <w:bCs/>
                <w:sz w:val="24"/>
                <w:szCs w:val="24"/>
              </w:rPr>
              <w:t>? You then make a statement that the arguments of West and Burke</w:t>
            </w:r>
            <w:r w:rsidRPr="00512154">
              <w:rPr>
                <w:rFonts w:ascii="Calibri" w:hAnsi="Calibri" w:cs="Tahoma"/>
                <w:bCs/>
                <w:color w:val="auto"/>
                <w:sz w:val="24"/>
                <w:szCs w:val="24"/>
              </w:rPr>
              <w:t>rt</w:t>
            </w:r>
            <w:r w:rsidRPr="000F2F33">
              <w:rPr>
                <w:rFonts w:ascii="Calibri" w:hAnsi="Calibri" w:cs="Tahoma"/>
                <w:bCs/>
                <w:sz w:val="24"/>
                <w:szCs w:val="24"/>
              </w:rPr>
              <w:t xml:space="preserve"> are sufficient to withstand any allegations of pan-Babylonianism but since you have not presented the arguments for and against pan-Babylonianism you have not made this case. However, you later present a second methodology section where you say that you will use </w:t>
            </w:r>
            <w:r w:rsidRPr="000F2F33">
              <w:rPr>
                <w:rFonts w:ascii="Calibri" w:hAnsi="Calibri" w:cs="Tahoma"/>
                <w:bCs/>
                <w:sz w:val="24"/>
                <w:szCs w:val="24"/>
              </w:rPr>
              <w:lastRenderedPageBreak/>
              <w:t xml:space="preserve">Cooley’s method, but unfortunately you fail to return to his methodology for your analyses of Homer in your last section. In this regard your work lacks cohesion and logic.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Moreover, your research question was to look for </w:t>
            </w:r>
            <w:r w:rsidRPr="0069314E">
              <w:rPr>
                <w:rFonts w:ascii="Calibri" w:hAnsi="Calibri" w:cs="Tahoma"/>
                <w:bCs/>
                <w:sz w:val="24"/>
                <w:szCs w:val="24"/>
              </w:rPr>
              <w:t xml:space="preserve">Mesopotamian </w:t>
            </w:r>
            <w:r>
              <w:rPr>
                <w:rFonts w:ascii="Calibri" w:hAnsi="Calibri" w:cs="Tahoma"/>
                <w:bCs/>
                <w:sz w:val="24"/>
                <w:szCs w:val="24"/>
              </w:rPr>
              <w:t xml:space="preserve">astronomy in Homer, thus your section on </w:t>
            </w:r>
            <w:r w:rsidRPr="000F2F33">
              <w:rPr>
                <w:rFonts w:ascii="Calibri" w:hAnsi="Calibri" w:cs="Tahoma"/>
                <w:bCs/>
                <w:sz w:val="24"/>
                <w:szCs w:val="24"/>
              </w:rPr>
              <w:t>Mesopotamian astronomy</w:t>
            </w:r>
            <w:r w:rsidR="00512154">
              <w:rPr>
                <w:rFonts w:ascii="Calibri" w:hAnsi="Calibri" w:cs="Tahoma"/>
                <w:bCs/>
                <w:sz w:val="24"/>
                <w:szCs w:val="24"/>
              </w:rPr>
              <w:t xml:space="preserve"> </w:t>
            </w:r>
            <w:r w:rsidRPr="000F2F33">
              <w:rPr>
                <w:rFonts w:ascii="Calibri" w:hAnsi="Calibri" w:cs="Tahoma"/>
                <w:bCs/>
                <w:sz w:val="24"/>
                <w:szCs w:val="24"/>
              </w:rPr>
              <w:t>needed to clearly lay</w:t>
            </w:r>
            <w:r>
              <w:rPr>
                <w:rFonts w:ascii="Calibri" w:hAnsi="Calibri" w:cs="Tahoma"/>
                <w:bCs/>
                <w:sz w:val="24"/>
                <w:szCs w:val="24"/>
              </w:rPr>
              <w:t xml:space="preserve"> </w:t>
            </w:r>
            <w:r w:rsidRPr="000F2F33">
              <w:rPr>
                <w:rFonts w:ascii="Calibri" w:hAnsi="Calibri" w:cs="Tahoma"/>
                <w:bCs/>
                <w:sz w:val="24"/>
                <w:szCs w:val="24"/>
              </w:rPr>
              <w:t xml:space="preserve">out the nature of this astronomy. However, once </w:t>
            </w:r>
            <w:r w:rsidR="00512154">
              <w:rPr>
                <w:rFonts w:ascii="Calibri" w:hAnsi="Calibri" w:cs="Tahoma"/>
                <w:bCs/>
                <w:sz w:val="24"/>
                <w:szCs w:val="24"/>
              </w:rPr>
              <w:t>a</w:t>
            </w:r>
            <w:r w:rsidRPr="000F2F33">
              <w:rPr>
                <w:rFonts w:ascii="Calibri" w:hAnsi="Calibri" w:cs="Tahoma"/>
                <w:bCs/>
                <w:sz w:val="24"/>
                <w:szCs w:val="24"/>
              </w:rPr>
              <w:t>gain you resort to a list of astronomical features rather than a discussion. What w</w:t>
            </w:r>
            <w:r>
              <w:rPr>
                <w:rFonts w:ascii="Calibri" w:hAnsi="Calibri" w:cs="Tahoma"/>
                <w:bCs/>
                <w:sz w:val="24"/>
                <w:szCs w:val="24"/>
              </w:rPr>
              <w:t>ere</w:t>
            </w:r>
            <w:r w:rsidRPr="000F2F33">
              <w:rPr>
                <w:rFonts w:ascii="Calibri" w:hAnsi="Calibri" w:cs="Tahoma"/>
                <w:bCs/>
                <w:sz w:val="24"/>
                <w:szCs w:val="24"/>
              </w:rPr>
              <w:t xml:space="preserve"> their calendrical calculations? What were the constellations they defined? What is the nature of the astral diaries and almanacs?  This needed to be clearly laid out so that the elements of this astronomy could be considered with regard to Homer’s work.  It also raises the question of was the Mesopotamia astronomical material the </w:t>
            </w:r>
            <w:r w:rsidRPr="000F2F33">
              <w:rPr>
                <w:rFonts w:ascii="Calibri" w:hAnsi="Calibri" w:cs="Tahoma"/>
                <w:bCs/>
                <w:sz w:val="24"/>
                <w:szCs w:val="24"/>
                <w:u w:val="single"/>
              </w:rPr>
              <w:t>only</w:t>
            </w:r>
            <w:r w:rsidRPr="000F2F33">
              <w:rPr>
                <w:rFonts w:ascii="Calibri" w:hAnsi="Calibri" w:cs="Tahoma"/>
                <w:bCs/>
                <w:sz w:val="24"/>
                <w:szCs w:val="24"/>
              </w:rPr>
              <w:t xml:space="preserve"> astronomical material available to the Greek world in this period?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
                <w:bCs/>
                <w:sz w:val="24"/>
                <w:szCs w:val="24"/>
              </w:rPr>
            </w:pPr>
            <w:r w:rsidRPr="000F2F33">
              <w:rPr>
                <w:rFonts w:ascii="Calibri" w:hAnsi="Calibri" w:cs="Tahoma"/>
                <w:b/>
                <w:bCs/>
                <w:sz w:val="24"/>
                <w:szCs w:val="24"/>
              </w:rPr>
              <w:t>Chapter two</w:t>
            </w: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In chapter two you move into your main arguments of how Homer’s work shows the influence of the themes of </w:t>
            </w:r>
            <w:r w:rsidRPr="000F2F33">
              <w:rPr>
                <w:rFonts w:ascii="Calibri" w:hAnsi="Calibri" w:cs="Tahoma"/>
                <w:bCs/>
                <w:i/>
                <w:sz w:val="24"/>
                <w:szCs w:val="24"/>
              </w:rPr>
              <w:t>Gilgamesh</w:t>
            </w:r>
            <w:r w:rsidRPr="000F2F33">
              <w:rPr>
                <w:rFonts w:ascii="Calibri" w:hAnsi="Calibri" w:cs="Tahoma"/>
                <w:bCs/>
                <w:sz w:val="24"/>
                <w:szCs w:val="24"/>
              </w:rPr>
              <w:t xml:space="preserve"> and the Bull of Heaven. In this regard you do not draw on the material you have presented in chapter one, </w:t>
            </w:r>
            <w:r>
              <w:rPr>
                <w:rFonts w:ascii="Calibri" w:hAnsi="Calibri" w:cs="Tahoma"/>
                <w:bCs/>
                <w:sz w:val="24"/>
                <w:szCs w:val="24"/>
              </w:rPr>
              <w:t>namely</w:t>
            </w:r>
            <w:r w:rsidRPr="000F2F33">
              <w:rPr>
                <w:rFonts w:ascii="Calibri" w:hAnsi="Calibri" w:cs="Tahoma"/>
                <w:bCs/>
                <w:sz w:val="24"/>
                <w:szCs w:val="24"/>
              </w:rPr>
              <w:t xml:space="preserve"> the nature of the astronomy and the rigour</w:t>
            </w:r>
            <w:r>
              <w:rPr>
                <w:rFonts w:ascii="Calibri" w:hAnsi="Calibri" w:cs="Tahoma"/>
                <w:bCs/>
                <w:sz w:val="24"/>
                <w:szCs w:val="24"/>
              </w:rPr>
              <w:t>ou</w:t>
            </w:r>
            <w:r w:rsidRPr="000F2F33">
              <w:rPr>
                <w:rFonts w:ascii="Calibri" w:hAnsi="Calibri" w:cs="Tahoma"/>
                <w:bCs/>
                <w:sz w:val="24"/>
                <w:szCs w:val="24"/>
              </w:rPr>
              <w:t>s methodology of Cooley. Instead you make lo</w:t>
            </w:r>
            <w:r>
              <w:rPr>
                <w:rFonts w:ascii="Calibri" w:hAnsi="Calibri" w:cs="Tahoma"/>
                <w:bCs/>
                <w:sz w:val="24"/>
                <w:szCs w:val="24"/>
              </w:rPr>
              <w:t>o</w:t>
            </w:r>
            <w:r w:rsidRPr="000F2F33">
              <w:rPr>
                <w:rFonts w:ascii="Calibri" w:hAnsi="Calibri" w:cs="Tahoma"/>
                <w:bCs/>
                <w:sz w:val="24"/>
                <w:szCs w:val="24"/>
              </w:rPr>
              <w:t>se associations, drawing on popular speculations which you have presented as academic evidence.  You introduce speculation around a solar eclipse and a lunar occultation of Aldebaran</w:t>
            </w:r>
            <w:r>
              <w:rPr>
                <w:rFonts w:ascii="Calibri" w:hAnsi="Calibri" w:cs="Tahoma"/>
                <w:bCs/>
                <w:sz w:val="24"/>
                <w:szCs w:val="24"/>
              </w:rPr>
              <w:t>,</w:t>
            </w:r>
            <w:r w:rsidRPr="000F2F33">
              <w:rPr>
                <w:rFonts w:ascii="Calibri" w:hAnsi="Calibri" w:cs="Tahoma"/>
                <w:bCs/>
                <w:sz w:val="24"/>
                <w:szCs w:val="24"/>
              </w:rPr>
              <w:t xml:space="preserve"> saying they are the coded meaning of Odysseus being locked in a cave with a round stone that can be rolled back and forth. By the same argument you could therefore claim that Christ’s tomb with its round stone for rolling was making the same sort of inference.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Furthermore, </w:t>
            </w:r>
            <w:r>
              <w:rPr>
                <w:rFonts w:ascii="Calibri" w:hAnsi="Calibri" w:cs="Arial"/>
                <w:sz w:val="24"/>
                <w:szCs w:val="24"/>
              </w:rPr>
              <w:t xml:space="preserve">arguing your case by saying that you will argue it later, does not mean that you have argued your case.  Indeed, your entire argument concerning the solar and lunar eclipses contained in Homer is unsubstantiated. You needed to first establish, in your earlier section, the focus on eclipses by the Mesopotamian literature within the story of Gilgamesh, then show how the Greeks duplicated their eclipse information from the people of Mesopotamia.  With that in place you needed to then consider how eclipses were described at that time, and then finally try and make a case for Homer’s description of Odysseus’ incident with the Cyclops. </w:t>
            </w:r>
            <w:r w:rsidRPr="0037631F">
              <w:rPr>
                <w:rFonts w:ascii="Calibri" w:hAnsi="Calibri" w:cs="Tahoma"/>
                <w:bCs/>
                <w:sz w:val="24"/>
                <w:szCs w:val="24"/>
              </w:rPr>
              <w:t xml:space="preserve">This </w:t>
            </w:r>
            <w:r>
              <w:rPr>
                <w:rFonts w:ascii="Calibri" w:hAnsi="Calibri" w:cs="Tahoma"/>
                <w:bCs/>
                <w:sz w:val="24"/>
                <w:szCs w:val="24"/>
              </w:rPr>
              <w:t xml:space="preserve">section displays a </w:t>
            </w:r>
            <w:r w:rsidRPr="0037631F">
              <w:rPr>
                <w:rFonts w:ascii="Calibri" w:hAnsi="Calibri" w:cs="Tahoma"/>
                <w:bCs/>
                <w:sz w:val="24"/>
                <w:szCs w:val="24"/>
              </w:rPr>
              <w:t>lack of c</w:t>
            </w:r>
            <w:r w:rsidRPr="00EF0DDE">
              <w:rPr>
                <w:rFonts w:ascii="Calibri" w:hAnsi="Calibri" w:cs="Arial"/>
                <w:sz w:val="24"/>
                <w:szCs w:val="24"/>
              </w:rPr>
              <w:t>ritical thinking</w:t>
            </w:r>
            <w:r>
              <w:rPr>
                <w:rFonts w:ascii="Calibri" w:hAnsi="Calibri" w:cs="Arial"/>
                <w:sz w:val="24"/>
                <w:szCs w:val="24"/>
              </w:rPr>
              <w:t xml:space="preserve"> on your part as well as what seems to be an abandonment of any form of critical appraisal of the material via any methodology.</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These problems are reproduced in your discussion on </w:t>
            </w:r>
            <w:r>
              <w:rPr>
                <w:rFonts w:ascii="Calibri" w:hAnsi="Calibri" w:cs="Tahoma"/>
                <w:bCs/>
                <w:sz w:val="24"/>
                <w:szCs w:val="24"/>
              </w:rPr>
              <w:t xml:space="preserve">the </w:t>
            </w:r>
            <w:r w:rsidRPr="000F2F33">
              <w:rPr>
                <w:rFonts w:ascii="Calibri" w:hAnsi="Calibri" w:cs="Tahoma"/>
                <w:bCs/>
                <w:sz w:val="24"/>
                <w:szCs w:val="24"/>
              </w:rPr>
              <w:t xml:space="preserve">comparison of Ishtar and Circe. The difficulty is that one of the first objects of the sky which is identified by societies, apart from the sun and the moon, is Venus. It can become brighter than any other star, it is tied to the sun, it cannot be seen to cross the sky </w:t>
            </w:r>
            <w:r>
              <w:rPr>
                <w:rFonts w:ascii="Calibri" w:hAnsi="Calibri" w:cs="Tahoma"/>
                <w:bCs/>
                <w:sz w:val="24"/>
                <w:szCs w:val="24"/>
              </w:rPr>
              <w:t>but</w:t>
            </w:r>
            <w:r w:rsidRPr="000F2F33">
              <w:rPr>
                <w:rFonts w:ascii="Calibri" w:hAnsi="Calibri" w:cs="Tahoma"/>
                <w:bCs/>
                <w:sz w:val="24"/>
                <w:szCs w:val="24"/>
              </w:rPr>
              <w:t xml:space="preserve"> invisibly moves from east to west</w:t>
            </w:r>
            <w:r>
              <w:rPr>
                <w:rFonts w:ascii="Calibri" w:hAnsi="Calibri" w:cs="Tahoma"/>
                <w:bCs/>
                <w:sz w:val="24"/>
                <w:szCs w:val="24"/>
              </w:rPr>
              <w:t>,</w:t>
            </w:r>
            <w:r w:rsidRPr="000F2F33">
              <w:rPr>
                <w:rFonts w:ascii="Calibri" w:hAnsi="Calibri" w:cs="Tahoma"/>
                <w:bCs/>
                <w:sz w:val="24"/>
                <w:szCs w:val="24"/>
              </w:rPr>
              <w:t xml:space="preserve"> thus it moves via the underworld in some way. These are the observable features of Venus. Cooley argues convincingly that Venus’ inability to culminate places it into a different role than Mars, Jupiter and Saturn. Thus it is qui</w:t>
            </w:r>
            <w:r>
              <w:rPr>
                <w:rFonts w:ascii="Calibri" w:hAnsi="Calibri" w:cs="Tahoma"/>
                <w:bCs/>
                <w:sz w:val="24"/>
                <w:szCs w:val="24"/>
              </w:rPr>
              <w:t>te</w:t>
            </w:r>
            <w:r w:rsidRPr="000F2F33">
              <w:rPr>
                <w:rFonts w:ascii="Calibri" w:hAnsi="Calibri" w:cs="Tahoma"/>
                <w:bCs/>
                <w:sz w:val="24"/>
                <w:szCs w:val="24"/>
              </w:rPr>
              <w:t xml:space="preserve"> feasible that different cultures would consider Venus as feminine and that in their mythology they have Venus engaging with the underworld. Th</w:t>
            </w:r>
            <w:r>
              <w:rPr>
                <w:rFonts w:ascii="Calibri" w:hAnsi="Calibri" w:cs="Tahoma"/>
                <w:bCs/>
                <w:sz w:val="24"/>
                <w:szCs w:val="24"/>
              </w:rPr>
              <w:t>erefore,</w:t>
            </w:r>
            <w:r w:rsidRPr="000F2F33">
              <w:rPr>
                <w:rFonts w:ascii="Calibri" w:hAnsi="Calibri" w:cs="Tahoma"/>
                <w:bCs/>
                <w:sz w:val="24"/>
                <w:szCs w:val="24"/>
              </w:rPr>
              <w:t xml:space="preserve"> such similarity does not imply that one culture is influencing the other but rather this could be the </w:t>
            </w:r>
            <w:r w:rsidRPr="000F2F33">
              <w:rPr>
                <w:rFonts w:ascii="Calibri" w:hAnsi="Calibri" w:cs="Tahoma"/>
                <w:bCs/>
                <w:sz w:val="24"/>
                <w:szCs w:val="24"/>
              </w:rPr>
              <w:lastRenderedPageBreak/>
              <w:t>logical common but independent narratives built by the observation of the same celestial phenomenon. You needed to address this point in your work.  Indeed, in your introduction, as already stated, you needed to address the observable phenomena of the sky which are universal</w:t>
            </w:r>
            <w:r>
              <w:rPr>
                <w:rFonts w:ascii="Calibri" w:hAnsi="Calibri" w:cs="Tahoma"/>
                <w:bCs/>
                <w:sz w:val="24"/>
                <w:szCs w:val="24"/>
              </w:rPr>
              <w:t>,</w:t>
            </w:r>
            <w:r w:rsidRPr="000F2F33">
              <w:rPr>
                <w:rFonts w:ascii="Calibri" w:hAnsi="Calibri" w:cs="Tahoma"/>
                <w:bCs/>
                <w:sz w:val="24"/>
                <w:szCs w:val="24"/>
              </w:rPr>
              <w:t xml:space="preserve"> as these are the palette which the myth-makers draw on, regardless of their time, culture and place.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There are also issues with this chapter being largely the reporting of the work of other scholars</w:t>
            </w:r>
            <w:r>
              <w:rPr>
                <w:rFonts w:ascii="Calibri" w:hAnsi="Calibri" w:cs="Tahoma"/>
                <w:bCs/>
                <w:sz w:val="24"/>
                <w:szCs w:val="24"/>
              </w:rPr>
              <w:t>;</w:t>
            </w:r>
            <w:r w:rsidRPr="000F2F33">
              <w:rPr>
                <w:rFonts w:ascii="Calibri" w:hAnsi="Calibri" w:cs="Tahoma"/>
                <w:bCs/>
                <w:sz w:val="24"/>
                <w:szCs w:val="24"/>
              </w:rPr>
              <w:t xml:space="preserve"> at times you have not attribut</w:t>
            </w:r>
            <w:r>
              <w:rPr>
                <w:rFonts w:ascii="Calibri" w:hAnsi="Calibri" w:cs="Tahoma"/>
                <w:bCs/>
                <w:sz w:val="24"/>
                <w:szCs w:val="24"/>
              </w:rPr>
              <w:t>ed</w:t>
            </w:r>
            <w:r w:rsidRPr="000F2F33">
              <w:rPr>
                <w:rFonts w:ascii="Calibri" w:hAnsi="Calibri" w:cs="Tahoma"/>
                <w:bCs/>
                <w:sz w:val="24"/>
                <w:szCs w:val="24"/>
              </w:rPr>
              <w:t xml:space="preserve"> those arguments correctly, but more importantly</w:t>
            </w:r>
            <w:r>
              <w:rPr>
                <w:rFonts w:ascii="Calibri" w:hAnsi="Calibri" w:cs="Tahoma"/>
                <w:bCs/>
                <w:sz w:val="24"/>
                <w:szCs w:val="24"/>
              </w:rPr>
              <w:t>,</w:t>
            </w:r>
            <w:r w:rsidRPr="000F2F33">
              <w:rPr>
                <w:rFonts w:ascii="Calibri" w:hAnsi="Calibri" w:cs="Tahoma"/>
                <w:bCs/>
                <w:sz w:val="24"/>
                <w:szCs w:val="24"/>
              </w:rPr>
              <w:t xml:space="preserve"> you have not presented your own arguments via a discussion of the points of view that you give. A dissertation is not an annotated bibliography, which your work tends to slip into. In this regard this chapter is like your research notes before you marshal your arguments for your dissertation.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
                <w:bCs/>
                <w:sz w:val="24"/>
                <w:szCs w:val="24"/>
              </w:rPr>
            </w:pPr>
            <w:r w:rsidRPr="000F2F33">
              <w:rPr>
                <w:rFonts w:ascii="Calibri" w:hAnsi="Calibri" w:cs="Tahoma"/>
                <w:b/>
                <w:bCs/>
                <w:sz w:val="24"/>
                <w:szCs w:val="24"/>
              </w:rPr>
              <w:t xml:space="preserve">Chapter Three </w:t>
            </w: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You start this chapter well with a clear introduction stating that you will explore the cosmos as outlined in Mesopotamian literature with that of the Homeric poems. Here you needed to refer back to your chapter one where you outline this cosmology, weaving the parts of the two myths together using the cosmology in chapter one as the common thread. With that completed you </w:t>
            </w:r>
            <w:r>
              <w:rPr>
                <w:rFonts w:ascii="Calibri" w:hAnsi="Calibri" w:cs="Tahoma"/>
                <w:bCs/>
                <w:sz w:val="24"/>
                <w:szCs w:val="24"/>
              </w:rPr>
              <w:t xml:space="preserve">then </w:t>
            </w:r>
            <w:r w:rsidRPr="000F2F33">
              <w:rPr>
                <w:rFonts w:ascii="Calibri" w:hAnsi="Calibri" w:cs="Tahoma"/>
                <w:bCs/>
                <w:sz w:val="24"/>
                <w:szCs w:val="24"/>
              </w:rPr>
              <w:t xml:space="preserve">needed to return to Cooley’s methodology, apply that and then show that there was or was not a common cosmological theme.  Instead you begin the chapter by stating that it is well established that the </w:t>
            </w:r>
            <w:r w:rsidRPr="000F2F33">
              <w:rPr>
                <w:rFonts w:ascii="Calibri" w:hAnsi="Calibri" w:cs="Tahoma"/>
                <w:bCs/>
                <w:i/>
                <w:sz w:val="24"/>
                <w:szCs w:val="24"/>
              </w:rPr>
              <w:t>Iliad</w:t>
            </w:r>
            <w:r w:rsidRPr="000F2F33">
              <w:rPr>
                <w:rFonts w:ascii="Calibri" w:hAnsi="Calibri" w:cs="Tahoma"/>
                <w:bCs/>
                <w:sz w:val="24"/>
                <w:szCs w:val="24"/>
              </w:rPr>
              <w:t xml:space="preserve"> is a representation of the cosmological themes of both Greek and Mesopotamian literature. It is unclear</w:t>
            </w:r>
            <w:r>
              <w:rPr>
                <w:rFonts w:ascii="Calibri" w:hAnsi="Calibri" w:cs="Tahoma"/>
                <w:bCs/>
                <w:sz w:val="24"/>
                <w:szCs w:val="24"/>
              </w:rPr>
              <w:t>,</w:t>
            </w:r>
            <w:r w:rsidRPr="000F2F33">
              <w:rPr>
                <w:rFonts w:ascii="Calibri" w:hAnsi="Calibri" w:cs="Tahoma"/>
                <w:bCs/>
                <w:sz w:val="24"/>
                <w:szCs w:val="24"/>
              </w:rPr>
              <w:t xml:space="preserve"> </w:t>
            </w:r>
            <w:r w:rsidR="00512154" w:rsidRPr="000F2F33">
              <w:rPr>
                <w:rFonts w:ascii="Calibri" w:hAnsi="Calibri" w:cs="Tahoma"/>
                <w:bCs/>
                <w:sz w:val="24"/>
                <w:szCs w:val="24"/>
              </w:rPr>
              <w:t>therefore</w:t>
            </w:r>
            <w:r w:rsidR="00512154">
              <w:rPr>
                <w:rFonts w:ascii="Calibri" w:hAnsi="Calibri" w:cs="Tahoma"/>
                <w:bCs/>
                <w:sz w:val="24"/>
                <w:szCs w:val="24"/>
              </w:rPr>
              <w:t>, what</w:t>
            </w:r>
            <w:r w:rsidRPr="000F2F33">
              <w:rPr>
                <w:rFonts w:ascii="Calibri" w:hAnsi="Calibri" w:cs="Tahoma"/>
                <w:bCs/>
                <w:sz w:val="24"/>
                <w:szCs w:val="24"/>
              </w:rPr>
              <w:t xml:space="preserve"> the purpose of this chapter </w:t>
            </w:r>
            <w:r>
              <w:rPr>
                <w:rFonts w:ascii="Calibri" w:hAnsi="Calibri" w:cs="Tahoma"/>
                <w:bCs/>
                <w:sz w:val="24"/>
                <w:szCs w:val="24"/>
              </w:rPr>
              <w:t xml:space="preserve">is </w:t>
            </w:r>
            <w:r w:rsidRPr="000F2F33">
              <w:rPr>
                <w:rFonts w:ascii="Calibri" w:hAnsi="Calibri" w:cs="Tahoma"/>
                <w:bCs/>
                <w:sz w:val="24"/>
                <w:szCs w:val="24"/>
              </w:rPr>
              <w:t>if this has already been established in the literature. You then move through the material</w:t>
            </w:r>
            <w:r>
              <w:rPr>
                <w:rFonts w:ascii="Calibri" w:hAnsi="Calibri" w:cs="Tahoma"/>
                <w:bCs/>
                <w:sz w:val="24"/>
                <w:szCs w:val="24"/>
              </w:rPr>
              <w:t>,</w:t>
            </w:r>
            <w:r w:rsidRPr="000F2F33">
              <w:rPr>
                <w:rFonts w:ascii="Calibri" w:hAnsi="Calibri" w:cs="Tahoma"/>
                <w:bCs/>
                <w:sz w:val="24"/>
                <w:szCs w:val="24"/>
              </w:rPr>
              <w:t xml:space="preserve"> giving the arguments of Burkert who has already made the case that you are arguing. Thus you are not making an argument but are reporting the arguments of other scholars.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
                <w:bCs/>
                <w:sz w:val="24"/>
                <w:szCs w:val="24"/>
              </w:rPr>
            </w:pPr>
            <w:r w:rsidRPr="000F2F33">
              <w:rPr>
                <w:rFonts w:ascii="Calibri" w:hAnsi="Calibri" w:cs="Tahoma"/>
                <w:b/>
                <w:bCs/>
                <w:sz w:val="24"/>
                <w:szCs w:val="24"/>
              </w:rPr>
              <w:t xml:space="preserve">In summary </w:t>
            </w: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Unfortunately, your dissertation is a listing of the arguments of others with no, or very little, offered analysis or discussion</w:t>
            </w:r>
            <w:r>
              <w:rPr>
                <w:rFonts w:ascii="Calibri" w:hAnsi="Calibri" w:cs="Tahoma"/>
                <w:bCs/>
                <w:sz w:val="24"/>
                <w:szCs w:val="24"/>
              </w:rPr>
              <w:t>;</w:t>
            </w:r>
            <w:r w:rsidRPr="000F2F33">
              <w:rPr>
                <w:rFonts w:ascii="Calibri" w:hAnsi="Calibri" w:cs="Tahoma"/>
                <w:bCs/>
                <w:sz w:val="24"/>
                <w:szCs w:val="24"/>
              </w:rPr>
              <w:t xml:space="preserve"> and where you have attempted analysis you have at times drawn on popular speculative arguments which you have held in the same regard as academic work. Although a methodology is discussed in two places and it was the central part of your academic rational</w:t>
            </w:r>
            <w:r>
              <w:rPr>
                <w:rFonts w:ascii="Calibri" w:hAnsi="Calibri" w:cs="Tahoma"/>
                <w:bCs/>
                <w:sz w:val="24"/>
                <w:szCs w:val="24"/>
              </w:rPr>
              <w:t>e</w:t>
            </w:r>
            <w:r w:rsidR="00512154">
              <w:rPr>
                <w:rFonts w:ascii="Calibri" w:hAnsi="Calibri" w:cs="Tahoma"/>
                <w:bCs/>
                <w:sz w:val="24"/>
                <w:szCs w:val="24"/>
              </w:rPr>
              <w:t xml:space="preserve"> in your original proposal</w:t>
            </w:r>
            <w:r>
              <w:rPr>
                <w:rFonts w:ascii="Calibri" w:hAnsi="Calibri" w:cs="Tahoma"/>
                <w:bCs/>
                <w:sz w:val="24"/>
                <w:szCs w:val="24"/>
              </w:rPr>
              <w:t>,</w:t>
            </w:r>
            <w:r w:rsidRPr="000F2F33">
              <w:rPr>
                <w:rFonts w:ascii="Calibri" w:hAnsi="Calibri" w:cs="Tahoma"/>
                <w:bCs/>
                <w:sz w:val="24"/>
                <w:szCs w:val="24"/>
              </w:rPr>
              <w:t xml:space="preserve"> you have dismissed this and failed to apply any methodology to the comparison of the myths.</w:t>
            </w:r>
            <w:r w:rsidR="00512154">
              <w:rPr>
                <w:rFonts w:ascii="Calibri" w:hAnsi="Calibri" w:cs="Tahoma"/>
                <w:bCs/>
                <w:sz w:val="24"/>
                <w:szCs w:val="24"/>
              </w:rPr>
              <w:t xml:space="preserve"> </w:t>
            </w:r>
            <w:r w:rsidRPr="000F2F33">
              <w:rPr>
                <w:rFonts w:ascii="Calibri" w:hAnsi="Calibri" w:cs="Tahoma"/>
                <w:bCs/>
                <w:sz w:val="24"/>
                <w:szCs w:val="24"/>
              </w:rPr>
              <w:t xml:space="preserve">Additionally, although you list the astronomical features of Mesopotamian cultures – you list these but do not explain them – yet at no stage </w:t>
            </w:r>
            <w:r>
              <w:rPr>
                <w:rFonts w:ascii="Calibri" w:hAnsi="Calibri" w:cs="Tahoma"/>
                <w:bCs/>
                <w:sz w:val="24"/>
                <w:szCs w:val="24"/>
              </w:rPr>
              <w:t>d</w:t>
            </w:r>
            <w:r w:rsidRPr="000F2F33">
              <w:rPr>
                <w:rFonts w:ascii="Calibri" w:hAnsi="Calibri" w:cs="Tahoma"/>
                <w:bCs/>
                <w:sz w:val="24"/>
                <w:szCs w:val="24"/>
              </w:rPr>
              <w:t>o you refer back to this list in considering Homer’s work to be reflecting of some of these components. What you do</w:t>
            </w:r>
            <w:r>
              <w:rPr>
                <w:rFonts w:ascii="Calibri" w:hAnsi="Calibri" w:cs="Tahoma"/>
                <w:bCs/>
                <w:sz w:val="24"/>
                <w:szCs w:val="24"/>
              </w:rPr>
              <w:t>,</w:t>
            </w:r>
            <w:r w:rsidRPr="000F2F33">
              <w:rPr>
                <w:rFonts w:ascii="Calibri" w:hAnsi="Calibri" w:cs="Tahoma"/>
                <w:bCs/>
                <w:sz w:val="24"/>
                <w:szCs w:val="24"/>
              </w:rPr>
              <w:t xml:space="preserve"> </w:t>
            </w:r>
            <w:r>
              <w:rPr>
                <w:rFonts w:ascii="Calibri" w:hAnsi="Calibri" w:cs="Tahoma"/>
                <w:bCs/>
                <w:sz w:val="24"/>
                <w:szCs w:val="24"/>
              </w:rPr>
              <w:t>instead,</w:t>
            </w:r>
            <w:r w:rsidRPr="000F2F33">
              <w:rPr>
                <w:rFonts w:ascii="Calibri" w:hAnsi="Calibri" w:cs="Tahoma"/>
                <w:bCs/>
                <w:sz w:val="24"/>
                <w:szCs w:val="24"/>
              </w:rPr>
              <w:t xml:space="preserve"> is present many arguments from others who argue that Homer’s work is filled with Mesopotamian celestial thinking.  Thus without an academic rational</w:t>
            </w:r>
            <w:r>
              <w:rPr>
                <w:rFonts w:ascii="Calibri" w:hAnsi="Calibri" w:cs="Tahoma"/>
                <w:bCs/>
                <w:sz w:val="24"/>
                <w:szCs w:val="24"/>
              </w:rPr>
              <w:t>e</w:t>
            </w:r>
            <w:r w:rsidRPr="000F2F33">
              <w:rPr>
                <w:rFonts w:ascii="Calibri" w:hAnsi="Calibri" w:cs="Tahoma"/>
                <w:bCs/>
                <w:sz w:val="24"/>
                <w:szCs w:val="24"/>
              </w:rPr>
              <w:t xml:space="preserve"> the reader is confused as to what is the purpose of your work.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 xml:space="preserve">Investigating mythology for celestial components requires methodology. Cooley provided such a methodology but you discount him for being overly cautious with regard to being accused of pan-Babylonian thinking and then you apply no methodology to your own arguments. </w:t>
            </w:r>
            <w:r>
              <w:rPr>
                <w:rFonts w:ascii="Calibri" w:hAnsi="Calibri" w:cs="Tahoma"/>
                <w:bCs/>
                <w:sz w:val="24"/>
                <w:szCs w:val="24"/>
              </w:rPr>
              <w:t xml:space="preserve">Thus, with a lack of a </w:t>
            </w:r>
            <w:r w:rsidRPr="00260B37">
              <w:rPr>
                <w:rFonts w:ascii="Calibri" w:hAnsi="Calibri" w:cs="Tahoma"/>
                <w:bCs/>
                <w:sz w:val="24"/>
                <w:szCs w:val="24"/>
              </w:rPr>
              <w:t xml:space="preserve">clear </w:t>
            </w:r>
            <w:r>
              <w:rPr>
                <w:rFonts w:ascii="Calibri" w:hAnsi="Calibri" w:cs="Tahoma"/>
                <w:bCs/>
                <w:sz w:val="24"/>
                <w:szCs w:val="24"/>
              </w:rPr>
              <w:t xml:space="preserve">academic </w:t>
            </w:r>
            <w:r w:rsidRPr="00260B37">
              <w:rPr>
                <w:rFonts w:ascii="Calibri" w:hAnsi="Calibri" w:cs="Tahoma"/>
                <w:bCs/>
                <w:sz w:val="24"/>
                <w:szCs w:val="24"/>
              </w:rPr>
              <w:t>rational</w:t>
            </w:r>
            <w:r>
              <w:rPr>
                <w:rFonts w:ascii="Calibri" w:hAnsi="Calibri" w:cs="Tahoma"/>
                <w:bCs/>
                <w:sz w:val="24"/>
                <w:szCs w:val="24"/>
              </w:rPr>
              <w:t>e</w:t>
            </w:r>
            <w:r w:rsidRPr="00260B37">
              <w:rPr>
                <w:rFonts w:ascii="Calibri" w:hAnsi="Calibri" w:cs="Tahoma"/>
                <w:bCs/>
                <w:sz w:val="24"/>
                <w:szCs w:val="24"/>
              </w:rPr>
              <w:t xml:space="preserve"> and without </w:t>
            </w:r>
            <w:r>
              <w:rPr>
                <w:rFonts w:ascii="Calibri" w:hAnsi="Calibri" w:cs="Tahoma"/>
                <w:bCs/>
                <w:sz w:val="24"/>
                <w:szCs w:val="24"/>
              </w:rPr>
              <w:t xml:space="preserve">any </w:t>
            </w:r>
            <w:r w:rsidRPr="00260B37">
              <w:rPr>
                <w:rFonts w:ascii="Calibri" w:hAnsi="Calibri" w:cs="Tahoma"/>
                <w:bCs/>
                <w:sz w:val="24"/>
                <w:szCs w:val="24"/>
              </w:rPr>
              <w:t>methodology</w:t>
            </w:r>
            <w:r>
              <w:rPr>
                <w:rFonts w:ascii="Calibri" w:hAnsi="Calibri" w:cs="Tahoma"/>
                <w:bCs/>
                <w:sz w:val="24"/>
                <w:szCs w:val="24"/>
              </w:rPr>
              <w:t>,</w:t>
            </w:r>
            <w:r w:rsidRPr="00260B37">
              <w:rPr>
                <w:rFonts w:ascii="Calibri" w:hAnsi="Calibri" w:cs="Tahoma"/>
                <w:bCs/>
                <w:sz w:val="24"/>
                <w:szCs w:val="24"/>
              </w:rPr>
              <w:t xml:space="preserve"> </w:t>
            </w:r>
            <w:r>
              <w:rPr>
                <w:rFonts w:ascii="Calibri" w:hAnsi="Calibri" w:cs="Tahoma"/>
                <w:bCs/>
                <w:sz w:val="24"/>
                <w:szCs w:val="24"/>
              </w:rPr>
              <w:t xml:space="preserve">plus your lack of critical thinking, your arguments in </w:t>
            </w:r>
            <w:r>
              <w:rPr>
                <w:rFonts w:ascii="Calibri" w:hAnsi="Calibri" w:cs="Tahoma"/>
                <w:bCs/>
                <w:sz w:val="24"/>
                <w:szCs w:val="24"/>
              </w:rPr>
              <w:lastRenderedPageBreak/>
              <w:t xml:space="preserve">chapter three reduce </w:t>
            </w:r>
            <w:r w:rsidRPr="00260B37">
              <w:rPr>
                <w:rFonts w:ascii="Calibri" w:hAnsi="Calibri" w:cs="Tahoma"/>
                <w:bCs/>
                <w:sz w:val="24"/>
                <w:szCs w:val="24"/>
              </w:rPr>
              <w:t>down to the very thing you strove to avoid, parallelomania.</w:t>
            </w:r>
            <w:r w:rsidR="00160527">
              <w:rPr>
                <w:rFonts w:ascii="Calibri" w:hAnsi="Calibri" w:cs="Tahoma"/>
                <w:bCs/>
                <w:sz w:val="24"/>
                <w:szCs w:val="24"/>
              </w:rPr>
              <w:t xml:space="preserve"> </w:t>
            </w:r>
            <w:r w:rsidRPr="00260B37">
              <w:rPr>
                <w:rFonts w:ascii="Calibri" w:hAnsi="Calibri" w:cs="Tahoma"/>
                <w:bCs/>
                <w:sz w:val="24"/>
                <w:szCs w:val="24"/>
              </w:rPr>
              <w:t>Your confusion over Odysseus and the sun (page 40) is a small example where you seem to be unaware of points that you are making from one section to another</w:t>
            </w:r>
            <w:r>
              <w:rPr>
                <w:rFonts w:ascii="Calibri" w:hAnsi="Calibri" w:cs="Tahoma"/>
                <w:bCs/>
                <w:sz w:val="24"/>
                <w:szCs w:val="24"/>
              </w:rPr>
              <w:t xml:space="preserve"> and how you seem to make any point of the narrative fit your argument that Homer contains Mesopotamian astronomy. </w:t>
            </w:r>
            <w:r w:rsidRPr="000F2F33">
              <w:rPr>
                <w:rFonts w:ascii="Calibri" w:hAnsi="Calibri" w:cs="Tahoma"/>
                <w:bCs/>
                <w:sz w:val="24"/>
                <w:szCs w:val="24"/>
              </w:rPr>
              <w:t>This is compounded by the fact that if you are making a case that celestial components of any narrative come from Mesopotamia then you also need to be aware of what Mesopotamian astronomy actually is and how it can be recognised as distinct from</w:t>
            </w:r>
            <w:r>
              <w:rPr>
                <w:rFonts w:ascii="Calibri" w:hAnsi="Calibri" w:cs="Tahoma"/>
                <w:bCs/>
                <w:sz w:val="24"/>
                <w:szCs w:val="24"/>
              </w:rPr>
              <w:t>,</w:t>
            </w:r>
            <w:r w:rsidRPr="000F2F33">
              <w:rPr>
                <w:rFonts w:ascii="Calibri" w:hAnsi="Calibri" w:cs="Tahoma"/>
                <w:bCs/>
                <w:sz w:val="24"/>
                <w:szCs w:val="24"/>
              </w:rPr>
              <w:t xml:space="preserve"> for instance, Egyptian astronomy which was also well developed in this period and had cultural links into the Greek world.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r w:rsidRPr="000F2F33">
              <w:rPr>
                <w:rFonts w:ascii="Calibri" w:hAnsi="Calibri" w:cs="Tahoma"/>
                <w:bCs/>
                <w:sz w:val="24"/>
                <w:szCs w:val="24"/>
              </w:rPr>
              <w:t>But the key problem is that you do not question what other sources are claiming, while ignoring your academic rational</w:t>
            </w:r>
            <w:r>
              <w:rPr>
                <w:rFonts w:ascii="Calibri" w:hAnsi="Calibri" w:cs="Tahoma"/>
                <w:bCs/>
                <w:sz w:val="24"/>
                <w:szCs w:val="24"/>
              </w:rPr>
              <w:t>e</w:t>
            </w:r>
            <w:r w:rsidRPr="000F2F33">
              <w:rPr>
                <w:rFonts w:ascii="Calibri" w:hAnsi="Calibri" w:cs="Tahoma"/>
                <w:bCs/>
                <w:sz w:val="24"/>
                <w:szCs w:val="24"/>
              </w:rPr>
              <w:t xml:space="preserve"> as defined within your original proposal, and thus ignoring any methodological guidelines. It is a disappointment that you chose to </w:t>
            </w:r>
            <w:r w:rsidR="00160527">
              <w:rPr>
                <w:rFonts w:ascii="Calibri" w:hAnsi="Calibri" w:cs="Tahoma"/>
                <w:bCs/>
                <w:sz w:val="24"/>
                <w:szCs w:val="24"/>
              </w:rPr>
              <w:t xml:space="preserve">ignore your proposal that had been work on with the help of your supervisor and that you also decided to </w:t>
            </w:r>
            <w:r w:rsidRPr="000F2F33">
              <w:rPr>
                <w:rFonts w:ascii="Calibri" w:hAnsi="Calibri" w:cs="Tahoma"/>
                <w:bCs/>
                <w:sz w:val="24"/>
                <w:szCs w:val="24"/>
              </w:rPr>
              <w:t xml:space="preserve">submit </w:t>
            </w:r>
            <w:r w:rsidR="00160527">
              <w:rPr>
                <w:rFonts w:ascii="Calibri" w:hAnsi="Calibri" w:cs="Tahoma"/>
                <w:bCs/>
                <w:sz w:val="24"/>
                <w:szCs w:val="24"/>
              </w:rPr>
              <w:t xml:space="preserve">your work </w:t>
            </w:r>
            <w:r w:rsidRPr="000F2F33">
              <w:rPr>
                <w:rFonts w:ascii="Calibri" w:hAnsi="Calibri" w:cs="Tahoma"/>
                <w:bCs/>
                <w:sz w:val="24"/>
                <w:szCs w:val="24"/>
              </w:rPr>
              <w:t xml:space="preserve">without </w:t>
            </w:r>
            <w:r w:rsidR="00160527">
              <w:rPr>
                <w:rFonts w:ascii="Calibri" w:hAnsi="Calibri" w:cs="Tahoma"/>
                <w:bCs/>
                <w:sz w:val="24"/>
                <w:szCs w:val="24"/>
              </w:rPr>
              <w:t>seeking</w:t>
            </w:r>
            <w:r w:rsidR="00160527" w:rsidRPr="000F2F33">
              <w:rPr>
                <w:rFonts w:ascii="Calibri" w:hAnsi="Calibri" w:cs="Tahoma"/>
                <w:bCs/>
                <w:sz w:val="24"/>
                <w:szCs w:val="24"/>
              </w:rPr>
              <w:t xml:space="preserve"> </w:t>
            </w:r>
            <w:r w:rsidRPr="000F2F33">
              <w:rPr>
                <w:rFonts w:ascii="Calibri" w:hAnsi="Calibri" w:cs="Tahoma"/>
                <w:bCs/>
                <w:sz w:val="24"/>
                <w:szCs w:val="24"/>
              </w:rPr>
              <w:t>your supervisor</w:t>
            </w:r>
            <w:r w:rsidR="00160527">
              <w:rPr>
                <w:rFonts w:ascii="Calibri" w:hAnsi="Calibri" w:cs="Tahoma"/>
                <w:bCs/>
                <w:sz w:val="24"/>
                <w:szCs w:val="24"/>
              </w:rPr>
              <w:t>’s advice or comments on your drafts,</w:t>
            </w:r>
            <w:r w:rsidRPr="000F2F33">
              <w:rPr>
                <w:rFonts w:ascii="Calibri" w:hAnsi="Calibri" w:cs="Tahoma"/>
                <w:bCs/>
                <w:sz w:val="24"/>
                <w:szCs w:val="24"/>
              </w:rPr>
              <w:t xml:space="preserve"> for this paper, as it stands, is not a dissertation. </w:t>
            </w: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p>
          <w:p w:rsidR="00F33D5A" w:rsidRPr="000F2F33" w:rsidRDefault="00F33D5A" w:rsidP="005A5135">
            <w:pPr>
              <w:pStyle w:val="NormalWeb"/>
              <w:spacing w:before="0" w:beforeAutospacing="0" w:after="0" w:afterAutospacing="0"/>
              <w:rPr>
                <w:rFonts w:ascii="Calibri" w:hAnsi="Calibri" w:cs="Tahoma"/>
                <w:bCs/>
                <w:sz w:val="24"/>
                <w:szCs w:val="24"/>
              </w:rPr>
            </w:pPr>
          </w:p>
        </w:tc>
      </w:tr>
      <w:tr w:rsidR="00F33D5A" w:rsidRPr="002F467C" w:rsidTr="00337503">
        <w:trPr>
          <w:trHeight w:val="720"/>
        </w:trPr>
        <w:tc>
          <w:tcPr>
            <w:tcW w:w="5211" w:type="dxa"/>
            <w:gridSpan w:val="2"/>
          </w:tcPr>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Pr>
                <w:rFonts w:ascii="Calibri" w:hAnsi="Calibri" w:cs="Tahoma"/>
                <w:bCs/>
                <w:sz w:val="24"/>
                <w:szCs w:val="24"/>
              </w:rPr>
              <w:t xml:space="preserve"> 48% (new style marking)</w:t>
            </w: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Bernadette Brady</w:t>
            </w:r>
          </w:p>
          <w:p w:rsidR="00F33D5A" w:rsidRPr="002F467C"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1" w:type="dxa"/>
            <w:gridSpan w:val="5"/>
          </w:tcPr>
          <w:p w:rsidR="00F33D5A" w:rsidRPr="002F467C" w:rsidRDefault="00F33D5A"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Pr>
                <w:rFonts w:ascii="Calibri" w:hAnsi="Calibri" w:cs="Tahoma"/>
                <w:bCs/>
                <w:sz w:val="24"/>
                <w:szCs w:val="24"/>
              </w:rPr>
              <w:t>30 Nov 2015</w:t>
            </w:r>
          </w:p>
        </w:tc>
      </w:tr>
      <w:tr w:rsidR="00F33D5A" w:rsidRPr="002F467C" w:rsidTr="00337503">
        <w:trPr>
          <w:trHeight w:val="720"/>
        </w:trPr>
        <w:tc>
          <w:tcPr>
            <w:tcW w:w="5211" w:type="dxa"/>
            <w:gridSpan w:val="2"/>
          </w:tcPr>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FF2F89">
              <w:rPr>
                <w:rFonts w:ascii="Calibri" w:hAnsi="Calibri" w:cs="Tahoma"/>
                <w:bCs/>
                <w:sz w:val="24"/>
                <w:szCs w:val="24"/>
              </w:rPr>
              <w:t xml:space="preserve">  47%  New Marking System</w:t>
            </w: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FF2F89">
              <w:rPr>
                <w:rFonts w:ascii="Calibri" w:hAnsi="Calibri" w:cs="Tahoma"/>
                <w:bCs/>
                <w:sz w:val="24"/>
                <w:szCs w:val="24"/>
              </w:rPr>
              <w:t xml:space="preserve"> 45%</w:t>
            </w: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FF2F89">
              <w:rPr>
                <w:rFonts w:ascii="Calibri" w:hAnsi="Calibri" w:cs="Tahoma"/>
                <w:bCs/>
                <w:sz w:val="24"/>
                <w:szCs w:val="24"/>
              </w:rPr>
              <w:t xml:space="preserve"> 48%</w:t>
            </w:r>
          </w:p>
          <w:p w:rsidR="00F33D5A" w:rsidRDefault="00F33D5A" w:rsidP="000004C1">
            <w:pPr>
              <w:pStyle w:val="NormalWeb"/>
              <w:spacing w:before="0" w:beforeAutospacing="0" w:after="0" w:afterAutospacing="0"/>
              <w:ind w:right="-334"/>
              <w:rPr>
                <w:rFonts w:ascii="Calibri" w:hAnsi="Calibri" w:cs="Tahoma"/>
                <w:bCs/>
                <w:sz w:val="24"/>
                <w:szCs w:val="24"/>
              </w:rPr>
            </w:pPr>
          </w:p>
        </w:tc>
        <w:tc>
          <w:tcPr>
            <w:tcW w:w="3641" w:type="dxa"/>
            <w:gridSpan w:val="5"/>
          </w:tcPr>
          <w:p w:rsidR="00F33D5A" w:rsidRPr="002F467C"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F33D5A" w:rsidRPr="002F467C" w:rsidTr="00337503">
        <w:trPr>
          <w:trHeight w:val="720"/>
        </w:trPr>
        <w:tc>
          <w:tcPr>
            <w:tcW w:w="8852" w:type="dxa"/>
            <w:gridSpan w:val="7"/>
          </w:tcPr>
          <w:p w:rsidR="00F33D5A" w:rsidRPr="00BB1492" w:rsidRDefault="00F33D5A"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rsidR="00F33D5A" w:rsidRPr="00C87244" w:rsidRDefault="00F33D5A" w:rsidP="000004C1">
            <w:pPr>
              <w:pStyle w:val="NormalWeb"/>
              <w:spacing w:before="0" w:beforeAutospacing="0" w:after="0" w:afterAutospacing="0"/>
              <w:ind w:left="142" w:right="34"/>
              <w:rPr>
                <w:rFonts w:ascii="Calibri" w:hAnsi="Calibri" w:cs="Tahoma"/>
                <w:b/>
                <w:i/>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tc>
      </w:tr>
      <w:tr w:rsidR="00F33D5A" w:rsidRPr="002F467C" w:rsidTr="00337503">
        <w:trPr>
          <w:trHeight w:val="720"/>
        </w:trPr>
        <w:tc>
          <w:tcPr>
            <w:tcW w:w="8852" w:type="dxa"/>
            <w:gridSpan w:val="7"/>
          </w:tcPr>
          <w:p w:rsidR="00F33D5A" w:rsidRPr="00C87244" w:rsidRDefault="00F33D5A"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C87244">
              <w:rPr>
                <w:rFonts w:ascii="Calibri" w:hAnsi="Calibri" w:cs="Tahoma"/>
                <w:b/>
                <w:i/>
                <w:sz w:val="24"/>
                <w:szCs w:val="24"/>
              </w:rPr>
              <w:t>All marks are provisional until confirmed by the final examination board.</w:t>
            </w:r>
          </w:p>
          <w:p w:rsidR="00F33D5A" w:rsidRPr="002F467C" w:rsidRDefault="00F33D5A" w:rsidP="000004C1">
            <w:pPr>
              <w:pStyle w:val="NormalWeb"/>
              <w:spacing w:before="0" w:beforeAutospacing="0" w:after="0" w:afterAutospacing="0"/>
              <w:ind w:left="142" w:right="34"/>
              <w:rPr>
                <w:rFonts w:ascii="Calibri" w:hAnsi="Calibri" w:cs="Tahoma"/>
                <w:b/>
                <w:i/>
                <w:sz w:val="24"/>
                <w:szCs w:val="24"/>
              </w:rPr>
            </w:pPr>
          </w:p>
        </w:tc>
      </w:tr>
    </w:tbl>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630"/>
      </w:tblGrid>
      <w:tr w:rsidR="00F33D5A" w:rsidRPr="002F467C" w:rsidTr="000004C1">
        <w:tc>
          <w:tcPr>
            <w:tcW w:w="8856" w:type="dxa"/>
          </w:tcPr>
          <w:p w:rsidR="00F33D5A" w:rsidRPr="002F467C" w:rsidRDefault="00F33D5A"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F33D5A" w:rsidRDefault="00F33D5A" w:rsidP="000004C1">
            <w:pPr>
              <w:pStyle w:val="NormalWeb"/>
              <w:spacing w:before="0" w:beforeAutospacing="0" w:after="0" w:afterAutospacing="0"/>
              <w:ind w:right="-334"/>
              <w:rPr>
                <w:rFonts w:ascii="Calibri" w:hAnsi="Calibri" w:cs="Tahoma"/>
                <w:bCs/>
                <w:sz w:val="24"/>
                <w:szCs w:val="24"/>
              </w:rPr>
            </w:pPr>
          </w:p>
          <w:p w:rsidR="00F33D5A" w:rsidRPr="002F467C" w:rsidRDefault="00F33D5A"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F33D5A" w:rsidRPr="002F467C" w:rsidRDefault="00F33D5A" w:rsidP="000004C1">
            <w:pPr>
              <w:pStyle w:val="NormalWeb"/>
              <w:spacing w:before="0" w:beforeAutospacing="0" w:after="0" w:afterAutospacing="0"/>
              <w:ind w:right="-334"/>
              <w:rPr>
                <w:rFonts w:ascii="Calibri" w:hAnsi="Calibri" w:cs="Tahoma"/>
                <w:bCs/>
                <w:sz w:val="24"/>
                <w:szCs w:val="24"/>
              </w:rPr>
            </w:pPr>
          </w:p>
        </w:tc>
      </w:tr>
      <w:tr w:rsidR="00F33D5A" w:rsidRPr="002F467C" w:rsidTr="000004C1">
        <w:trPr>
          <w:trHeight w:val="720"/>
        </w:trPr>
        <w:tc>
          <w:tcPr>
            <w:tcW w:w="8856" w:type="dxa"/>
          </w:tcPr>
          <w:p w:rsidR="00F33D5A" w:rsidRPr="002F467C" w:rsidRDefault="00F33D5A"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F33D5A" w:rsidRPr="002F467C" w:rsidTr="000004C1">
        <w:trPr>
          <w:trHeight w:val="720"/>
        </w:trPr>
        <w:tc>
          <w:tcPr>
            <w:tcW w:w="8856" w:type="dxa"/>
          </w:tcPr>
          <w:p w:rsidR="00F33D5A" w:rsidRDefault="00F33D5A"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rsidR="00F33D5A" w:rsidRPr="00D67BF8" w:rsidRDefault="00F33D5A" w:rsidP="004760FD">
      <w:pPr>
        <w:pStyle w:val="NormalWeb"/>
        <w:spacing w:before="0" w:beforeAutospacing="0" w:after="0" w:afterAutospacing="0"/>
        <w:ind w:right="-334"/>
        <w:rPr>
          <w:rFonts w:ascii="Trebuchet MS" w:hAnsi="Trebuchet MS" w:cs="Tahoma"/>
          <w:bCs/>
          <w:sz w:val="24"/>
          <w:szCs w:val="24"/>
        </w:rPr>
      </w:pPr>
    </w:p>
    <w:p w:rsidR="00F33D5A" w:rsidRDefault="00F33D5A"/>
    <w:sectPr w:rsidR="00F33D5A"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6238" w:rsidRDefault="00016238">
      <w:r>
        <w:separator/>
      </w:r>
    </w:p>
  </w:endnote>
  <w:endnote w:type="continuationSeparator" w:id="0">
    <w:p w:rsidR="00016238" w:rsidRDefault="00016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D5A" w:rsidRPr="00337A70" w:rsidRDefault="00F33D5A">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6238" w:rsidRDefault="00016238">
      <w:r>
        <w:separator/>
      </w:r>
    </w:p>
  </w:footnote>
  <w:footnote w:type="continuationSeparator" w:id="0">
    <w:p w:rsidR="00016238" w:rsidRDefault="00016238">
      <w:r>
        <w:continuationSeparator/>
      </w:r>
    </w:p>
  </w:footnote>
  <w:footnote w:id="1">
    <w:p w:rsidR="00F33D5A" w:rsidRDefault="00F33D5A" w:rsidP="008916A8">
      <w:pPr>
        <w:pStyle w:val="FootnoteText"/>
      </w:pPr>
      <w:r>
        <w:rPr>
          <w:rStyle w:val="FootnoteReference"/>
        </w:rPr>
        <w:footnoteRef/>
      </w:r>
      <w:r>
        <w:t xml:space="preserve"> I avoid Cooley’s use of the word ‘Science’ as the term stresses a duality between science and religion which does not accurately describe the culture, see; Rochberg, F. (2010) </w:t>
      </w:r>
      <w:r>
        <w:rPr>
          <w:i/>
        </w:rPr>
        <w:t>In the Path of the Moon: Babylonian Celestial Divination and its Legacy</w:t>
      </w:r>
      <w:r>
        <w:t xml:space="preserve"> Leiden: Brill: 408</w:t>
      </w:r>
      <w:r>
        <w:rPr>
          <w:i/>
        </w:rPr>
        <w:t>f.</w:t>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uthor">
    <w15:presenceInfo w15:providerId="None" w15:userId="Autho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0FD"/>
    <w:rsid w:val="000004C1"/>
    <w:rsid w:val="0001226C"/>
    <w:rsid w:val="00016238"/>
    <w:rsid w:val="00025EE7"/>
    <w:rsid w:val="00030CB5"/>
    <w:rsid w:val="00040097"/>
    <w:rsid w:val="00043433"/>
    <w:rsid w:val="000450F7"/>
    <w:rsid w:val="000653A2"/>
    <w:rsid w:val="00094CA5"/>
    <w:rsid w:val="000A3CAB"/>
    <w:rsid w:val="000A7410"/>
    <w:rsid w:val="000E1BF0"/>
    <w:rsid w:val="000E4844"/>
    <w:rsid w:val="000F2F33"/>
    <w:rsid w:val="00121F29"/>
    <w:rsid w:val="00126710"/>
    <w:rsid w:val="00141EE8"/>
    <w:rsid w:val="00155911"/>
    <w:rsid w:val="00160527"/>
    <w:rsid w:val="00166C9B"/>
    <w:rsid w:val="001A14B7"/>
    <w:rsid w:val="001F3E06"/>
    <w:rsid w:val="001F4D34"/>
    <w:rsid w:val="00200DBC"/>
    <w:rsid w:val="00215246"/>
    <w:rsid w:val="00260B37"/>
    <w:rsid w:val="00287352"/>
    <w:rsid w:val="002934F9"/>
    <w:rsid w:val="002A13C7"/>
    <w:rsid w:val="002B0011"/>
    <w:rsid w:val="002C0A3B"/>
    <w:rsid w:val="002C4549"/>
    <w:rsid w:val="002E67CE"/>
    <w:rsid w:val="002F467C"/>
    <w:rsid w:val="003162D5"/>
    <w:rsid w:val="0033083B"/>
    <w:rsid w:val="00337503"/>
    <w:rsid w:val="00337A70"/>
    <w:rsid w:val="0037631F"/>
    <w:rsid w:val="0037797A"/>
    <w:rsid w:val="00380246"/>
    <w:rsid w:val="00387F8F"/>
    <w:rsid w:val="003B260B"/>
    <w:rsid w:val="003D11C6"/>
    <w:rsid w:val="003D2124"/>
    <w:rsid w:val="003E3BA2"/>
    <w:rsid w:val="003E7050"/>
    <w:rsid w:val="00406799"/>
    <w:rsid w:val="00422EE1"/>
    <w:rsid w:val="00425236"/>
    <w:rsid w:val="00434FE2"/>
    <w:rsid w:val="0045360C"/>
    <w:rsid w:val="004707BC"/>
    <w:rsid w:val="004760FD"/>
    <w:rsid w:val="00481BED"/>
    <w:rsid w:val="0049565B"/>
    <w:rsid w:val="00496FDF"/>
    <w:rsid w:val="004B1154"/>
    <w:rsid w:val="004E6DAB"/>
    <w:rsid w:val="00500F49"/>
    <w:rsid w:val="0051165B"/>
    <w:rsid w:val="00512154"/>
    <w:rsid w:val="005347D4"/>
    <w:rsid w:val="00534BD7"/>
    <w:rsid w:val="005378F3"/>
    <w:rsid w:val="005407C5"/>
    <w:rsid w:val="00552295"/>
    <w:rsid w:val="00556D3D"/>
    <w:rsid w:val="00560FC0"/>
    <w:rsid w:val="005A0997"/>
    <w:rsid w:val="005A5135"/>
    <w:rsid w:val="005A625B"/>
    <w:rsid w:val="005C1C2B"/>
    <w:rsid w:val="005C34D4"/>
    <w:rsid w:val="005D7C15"/>
    <w:rsid w:val="005E7A19"/>
    <w:rsid w:val="00600751"/>
    <w:rsid w:val="00602CC8"/>
    <w:rsid w:val="00615DFC"/>
    <w:rsid w:val="00631B6C"/>
    <w:rsid w:val="00632FFE"/>
    <w:rsid w:val="00637C05"/>
    <w:rsid w:val="00652FE0"/>
    <w:rsid w:val="0065654E"/>
    <w:rsid w:val="00667F27"/>
    <w:rsid w:val="0069314E"/>
    <w:rsid w:val="006B227E"/>
    <w:rsid w:val="006C5631"/>
    <w:rsid w:val="007045DE"/>
    <w:rsid w:val="007112B4"/>
    <w:rsid w:val="00715095"/>
    <w:rsid w:val="00745BDD"/>
    <w:rsid w:val="007550CB"/>
    <w:rsid w:val="007623A4"/>
    <w:rsid w:val="00766646"/>
    <w:rsid w:val="00772FD6"/>
    <w:rsid w:val="00793EB9"/>
    <w:rsid w:val="007A1407"/>
    <w:rsid w:val="007A5AB5"/>
    <w:rsid w:val="007B053C"/>
    <w:rsid w:val="007D5132"/>
    <w:rsid w:val="007E70C5"/>
    <w:rsid w:val="007F11DB"/>
    <w:rsid w:val="0080304A"/>
    <w:rsid w:val="008151D1"/>
    <w:rsid w:val="00835031"/>
    <w:rsid w:val="00865B04"/>
    <w:rsid w:val="008671C6"/>
    <w:rsid w:val="008719F7"/>
    <w:rsid w:val="008916A8"/>
    <w:rsid w:val="008A0F0D"/>
    <w:rsid w:val="008A3899"/>
    <w:rsid w:val="008A576D"/>
    <w:rsid w:val="008D1317"/>
    <w:rsid w:val="008F204C"/>
    <w:rsid w:val="0090253B"/>
    <w:rsid w:val="0091445C"/>
    <w:rsid w:val="00923506"/>
    <w:rsid w:val="00937133"/>
    <w:rsid w:val="009434B6"/>
    <w:rsid w:val="00956371"/>
    <w:rsid w:val="00A00065"/>
    <w:rsid w:val="00A00900"/>
    <w:rsid w:val="00A1035B"/>
    <w:rsid w:val="00A1592A"/>
    <w:rsid w:val="00A17ECA"/>
    <w:rsid w:val="00A349C4"/>
    <w:rsid w:val="00A41EFB"/>
    <w:rsid w:val="00A53784"/>
    <w:rsid w:val="00A670CA"/>
    <w:rsid w:val="00A91F8C"/>
    <w:rsid w:val="00A925B1"/>
    <w:rsid w:val="00AC01C3"/>
    <w:rsid w:val="00AD16F9"/>
    <w:rsid w:val="00B0234F"/>
    <w:rsid w:val="00B12C4F"/>
    <w:rsid w:val="00B2450F"/>
    <w:rsid w:val="00B26226"/>
    <w:rsid w:val="00B47718"/>
    <w:rsid w:val="00B81439"/>
    <w:rsid w:val="00BB1492"/>
    <w:rsid w:val="00BD3EAF"/>
    <w:rsid w:val="00BE6B17"/>
    <w:rsid w:val="00BF249B"/>
    <w:rsid w:val="00BF2C5E"/>
    <w:rsid w:val="00BF6542"/>
    <w:rsid w:val="00C3424E"/>
    <w:rsid w:val="00C37B20"/>
    <w:rsid w:val="00C756C0"/>
    <w:rsid w:val="00C87244"/>
    <w:rsid w:val="00CB5553"/>
    <w:rsid w:val="00CC380F"/>
    <w:rsid w:val="00CC65CC"/>
    <w:rsid w:val="00CE7FC0"/>
    <w:rsid w:val="00CF33BF"/>
    <w:rsid w:val="00CF3D64"/>
    <w:rsid w:val="00D0797E"/>
    <w:rsid w:val="00D2089E"/>
    <w:rsid w:val="00D305C2"/>
    <w:rsid w:val="00D34EBF"/>
    <w:rsid w:val="00D473C1"/>
    <w:rsid w:val="00D51195"/>
    <w:rsid w:val="00D67BF8"/>
    <w:rsid w:val="00D84DD8"/>
    <w:rsid w:val="00D95673"/>
    <w:rsid w:val="00DA01C6"/>
    <w:rsid w:val="00DB2D59"/>
    <w:rsid w:val="00DB4667"/>
    <w:rsid w:val="00E02A36"/>
    <w:rsid w:val="00E12EF6"/>
    <w:rsid w:val="00E157F4"/>
    <w:rsid w:val="00E332A0"/>
    <w:rsid w:val="00E510B7"/>
    <w:rsid w:val="00E51572"/>
    <w:rsid w:val="00E630FE"/>
    <w:rsid w:val="00E7255C"/>
    <w:rsid w:val="00E9461D"/>
    <w:rsid w:val="00E94B44"/>
    <w:rsid w:val="00E96C96"/>
    <w:rsid w:val="00EB12DC"/>
    <w:rsid w:val="00EE21E1"/>
    <w:rsid w:val="00EF08E3"/>
    <w:rsid w:val="00EF0DDE"/>
    <w:rsid w:val="00F33D5A"/>
    <w:rsid w:val="00F73533"/>
    <w:rsid w:val="00F76C18"/>
    <w:rsid w:val="00F84D42"/>
    <w:rsid w:val="00F867CF"/>
    <w:rsid w:val="00F93F0E"/>
    <w:rsid w:val="00F946E2"/>
    <w:rsid w:val="00FA4691"/>
    <w:rsid w:val="00FC266B"/>
    <w:rsid w:val="00FF2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place"/>
  <w:smartTagType w:namespaceuri="urn:schemas-microsoft-com:office:smarttags" w:name="City"/>
  <w:smartTagType w:namespaceuri="urn:schemas-microsoft-com:office:smarttags" w:name="country-region"/>
  <w:shapeDefaults>
    <o:shapedefaults v:ext="edit" spidmax="1026"/>
    <o:shapelayout v:ext="edit">
      <o:idmap v:ext="edit" data="1"/>
    </o:shapelayout>
  </w:shapeDefaults>
  <w:decimalSymbol w:val="."/>
  <w:listSeparator w:val=","/>
  <w15:docId w15:val="{A373C890-F159-4A2F-957D-BF6BE599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locked="1" w:uiPriority="0"/>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locked="1" w:uiPriority="0"/>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0FD"/>
    <w:rPr>
      <w:rFonts w:ascii="Times New Roman" w:eastAsia="SimSun" w:hAnsi="Times New Roman"/>
      <w:sz w:val="24"/>
      <w:szCs w:val="24"/>
      <w:lang w:val="en-GB" w:eastAsia="zh-CN"/>
    </w:rPr>
  </w:style>
  <w:style w:type="paragraph" w:styleId="Heading1">
    <w:name w:val="heading 1"/>
    <w:basedOn w:val="Normal"/>
    <w:next w:val="Normal"/>
    <w:link w:val="Heading1Char"/>
    <w:uiPriority w:val="99"/>
    <w:qFormat/>
    <w:rsid w:val="004760FD"/>
    <w:pPr>
      <w:keepNext/>
      <w:spacing w:before="240" w:after="60"/>
      <w:outlineLvl w:val="0"/>
    </w:pPr>
    <w:rPr>
      <w:rFonts w:ascii="Arial" w:hAnsi="Arial"/>
      <w:b/>
      <w:bCs/>
      <w:kern w:val="32"/>
      <w:sz w:val="32"/>
      <w:szCs w:val="32"/>
      <w:lang w:val="en-US"/>
    </w:rPr>
  </w:style>
  <w:style w:type="paragraph" w:styleId="Heading3">
    <w:name w:val="heading 3"/>
    <w:basedOn w:val="Normal"/>
    <w:link w:val="Heading3Char"/>
    <w:uiPriority w:val="99"/>
    <w:qFormat/>
    <w:rsid w:val="004760FD"/>
    <w:pPr>
      <w:keepNext/>
      <w:ind w:left="720"/>
      <w:jc w:val="both"/>
      <w:outlineLvl w:val="2"/>
    </w:pPr>
    <w:rPr>
      <w:rFonts w:ascii="Tahoma" w:hAnsi="Tahoma"/>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4760FD"/>
    <w:rPr>
      <w:rFonts w:ascii="Arial" w:eastAsia="SimSun" w:hAnsi="Arial" w:cs="Times New Roman"/>
      <w:b/>
      <w:kern w:val="32"/>
      <w:sz w:val="32"/>
      <w:lang w:eastAsia="zh-CN"/>
    </w:rPr>
  </w:style>
  <w:style w:type="character" w:customStyle="1" w:styleId="Heading3Char">
    <w:name w:val="Heading 3 Char"/>
    <w:basedOn w:val="DefaultParagraphFont"/>
    <w:link w:val="Heading3"/>
    <w:uiPriority w:val="99"/>
    <w:locked/>
    <w:rsid w:val="004760FD"/>
    <w:rPr>
      <w:rFonts w:ascii="Tahoma" w:eastAsia="SimSun" w:hAnsi="Tahoma" w:cs="Times New Roman"/>
      <w:b/>
      <w:sz w:val="20"/>
      <w:lang w:eastAsia="zh-CN"/>
    </w:rPr>
  </w:style>
  <w:style w:type="paragraph" w:styleId="BalloonText">
    <w:name w:val="Balloon Text"/>
    <w:basedOn w:val="Normal"/>
    <w:link w:val="BalloonTextChar"/>
    <w:uiPriority w:val="99"/>
    <w:semiHidden/>
    <w:rsid w:val="004760FD"/>
    <w:rPr>
      <w:rFonts w:ascii="Tahoma" w:hAnsi="Tahoma"/>
      <w:sz w:val="16"/>
      <w:szCs w:val="16"/>
      <w:lang w:val="en-US"/>
    </w:rPr>
  </w:style>
  <w:style w:type="character" w:customStyle="1" w:styleId="BalloonTextChar">
    <w:name w:val="Balloon Text Char"/>
    <w:basedOn w:val="DefaultParagraphFont"/>
    <w:link w:val="BalloonText"/>
    <w:uiPriority w:val="99"/>
    <w:semiHidden/>
    <w:locked/>
    <w:rsid w:val="004760FD"/>
    <w:rPr>
      <w:rFonts w:ascii="Tahoma" w:eastAsia="SimSun" w:hAnsi="Tahoma" w:cs="Times New Roman"/>
      <w:sz w:val="16"/>
      <w:lang w:eastAsia="zh-CN"/>
    </w:rPr>
  </w:style>
  <w:style w:type="paragraph" w:styleId="NormalWeb">
    <w:name w:val="Normal (Web)"/>
    <w:basedOn w:val="Normal"/>
    <w:uiPriority w:val="99"/>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rPr>
      <w:lang w:val="en-US"/>
    </w:rPr>
  </w:style>
  <w:style w:type="character" w:customStyle="1" w:styleId="FooterChar">
    <w:name w:val="Footer Char"/>
    <w:basedOn w:val="DefaultParagraphFont"/>
    <w:link w:val="Footer"/>
    <w:uiPriority w:val="99"/>
    <w:locked/>
    <w:rsid w:val="004760FD"/>
    <w:rPr>
      <w:rFonts w:ascii="Times New Roman" w:eastAsia="SimSun" w:hAnsi="Times New Roman" w:cs="Times New Roman"/>
      <w:sz w:val="24"/>
      <w:lang w:eastAsia="zh-CN"/>
    </w:rPr>
  </w:style>
  <w:style w:type="paragraph" w:styleId="FootnoteText">
    <w:name w:val="footnote text"/>
    <w:basedOn w:val="Normal"/>
    <w:link w:val="FootnoteTextChar"/>
    <w:uiPriority w:val="99"/>
    <w:rsid w:val="0090253B"/>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locked/>
    <w:rsid w:val="0090253B"/>
    <w:rPr>
      <w:rFonts w:ascii="Calibri" w:hAnsi="Calibri" w:cs="Times New Roman"/>
      <w:lang w:val="en-GB" w:eastAsia="en-US"/>
    </w:rPr>
  </w:style>
  <w:style w:type="character" w:customStyle="1" w:styleId="match-text">
    <w:name w:val="match-text"/>
    <w:uiPriority w:val="99"/>
    <w:rsid w:val="0090253B"/>
  </w:style>
  <w:style w:type="character" w:styleId="Hyperlink">
    <w:name w:val="Hyperlink"/>
    <w:basedOn w:val="DefaultParagraphFont"/>
    <w:uiPriority w:val="99"/>
    <w:rsid w:val="0090253B"/>
    <w:rPr>
      <w:rFonts w:cs="Times New Roman"/>
      <w:color w:val="0000FF"/>
      <w:u w:val="single"/>
    </w:rPr>
  </w:style>
  <w:style w:type="character" w:styleId="FootnoteReference">
    <w:name w:val="footnote reference"/>
    <w:basedOn w:val="DefaultParagraphFont"/>
    <w:uiPriority w:val="99"/>
    <w:rsid w:val="00B81439"/>
    <w:rPr>
      <w:rFonts w:cs="Times New Roman"/>
      <w:vertAlign w:val="superscript"/>
    </w:rPr>
  </w:style>
  <w:style w:type="character" w:styleId="CommentReference">
    <w:name w:val="annotation reference"/>
    <w:basedOn w:val="DefaultParagraphFont"/>
    <w:uiPriority w:val="99"/>
    <w:semiHidden/>
    <w:rsid w:val="00B81439"/>
    <w:rPr>
      <w:rFonts w:cs="Times New Roman"/>
      <w:sz w:val="16"/>
    </w:rPr>
  </w:style>
  <w:style w:type="paragraph" w:styleId="CommentText">
    <w:name w:val="annotation text"/>
    <w:basedOn w:val="Normal"/>
    <w:link w:val="CommentTextChar"/>
    <w:uiPriority w:val="99"/>
    <w:semiHidden/>
    <w:rsid w:val="00B81439"/>
    <w:pPr>
      <w:spacing w:after="200" w:line="276" w:lineRule="auto"/>
    </w:pPr>
    <w:rPr>
      <w:rFonts w:ascii="Calibri" w:eastAsia="Calibri" w:hAnsi="Calibri"/>
      <w:sz w:val="20"/>
      <w:szCs w:val="20"/>
      <w:lang w:val="en-US" w:eastAsia="en-US"/>
    </w:rPr>
  </w:style>
  <w:style w:type="character" w:customStyle="1" w:styleId="CommentTextChar">
    <w:name w:val="Comment Text Char"/>
    <w:basedOn w:val="DefaultParagraphFont"/>
    <w:link w:val="CommentText"/>
    <w:uiPriority w:val="99"/>
    <w:semiHidden/>
    <w:locked/>
    <w:rsid w:val="00B81439"/>
    <w:rPr>
      <w:rFonts w:cs="Times New Roman"/>
      <w:lang w:eastAsia="en-US"/>
    </w:rPr>
  </w:style>
  <w:style w:type="paragraph" w:styleId="CommentSubject">
    <w:name w:val="annotation subject"/>
    <w:basedOn w:val="CommentText"/>
    <w:next w:val="CommentText"/>
    <w:link w:val="CommentSubjectChar"/>
    <w:uiPriority w:val="99"/>
    <w:semiHidden/>
    <w:rsid w:val="007550CB"/>
    <w:pPr>
      <w:spacing w:after="0" w:line="240" w:lineRule="auto"/>
    </w:pPr>
    <w:rPr>
      <w:rFonts w:ascii="Times New Roman" w:eastAsia="SimSun" w:hAnsi="Times New Roman"/>
      <w:b/>
      <w:bCs/>
      <w:lang w:val="en-GB" w:eastAsia="zh-CN"/>
    </w:rPr>
  </w:style>
  <w:style w:type="character" w:customStyle="1" w:styleId="CommentSubjectChar">
    <w:name w:val="Comment Subject Char"/>
    <w:basedOn w:val="CommentTextChar"/>
    <w:link w:val="CommentSubject"/>
    <w:uiPriority w:val="99"/>
    <w:semiHidden/>
    <w:rsid w:val="00D9477F"/>
    <w:rPr>
      <w:rFonts w:ascii="Times New Roman" w:eastAsia="SimSun" w:hAnsi="Times New Roman" w:cs="Times New Roman"/>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yperlink" Target="http://www.sydneyobservatory.com.au/2014/dr-pryke-considers-taurus-and-the-bull-of-heaven-in-mesopotamian-myth-and-astronomy/?session-id=ca09a37e93b625a7096b95a939d7d07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5549</Words>
  <Characters>31630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37105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Administrator</dc:creator>
  <cp:keywords/>
  <dc:description/>
  <cp:lastModifiedBy>Author</cp:lastModifiedBy>
  <cp:revision>2</cp:revision>
  <dcterms:created xsi:type="dcterms:W3CDTF">2015-12-01T16:46:00Z</dcterms:created>
  <dcterms:modified xsi:type="dcterms:W3CDTF">2015-12-01T16:46:00Z</dcterms:modified>
</cp:coreProperties>
</file>