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</w:rPr>
      </w:pPr>
      <w:r>
        <w:rPr/>
        <w:pict>
          <v:group style="position:absolute;margin-left:0pt;margin-top:-.000061pt;width:960pt;height:540pt;mso-position-horizontal-relative:page;mso-position-vertical-relative:page;z-index:-16066048" id="docshapegroup1" coordorigin="0,0" coordsize="19200,10800">
            <v:shape style="position:absolute;left:0;top:0;width:19200;height:10800" type="#_x0000_t75" id="docshape2" stroked="false">
              <v:imagedata r:id="rId5" o:title=""/>
            </v:shape>
            <v:rect style="position:absolute;left:2500;top:3024;width:14400;height:6041" id="docshape3" filled="true" fillcolor="#ec7c30" stroked="false">
              <v:fill opacity="32896f" type="solid"/>
            </v:rect>
            <v:shape style="position:absolute;left:684;top:295;width:4212;height:2256" type="#_x0000_t75" id="docshape4" stroked="false">
              <v:imagedata r:id="rId6" o:title=""/>
            </v:shape>
            <w10:wrap type="none"/>
          </v:group>
        </w:pict>
      </w: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spacing w:before="4"/>
        <w:rPr>
          <w:rFonts w:ascii="Times New Roman"/>
          <w:sz w:val="25"/>
        </w:rPr>
      </w:pPr>
    </w:p>
    <w:p>
      <w:pPr>
        <w:spacing w:line="225" w:lineRule="auto" w:before="111"/>
        <w:ind w:left="8074" w:right="7874" w:firstLine="0"/>
        <w:jc w:val="center"/>
        <w:rPr>
          <w:b/>
          <w:sz w:val="40"/>
        </w:rPr>
      </w:pPr>
      <w:r>
        <w:rPr>
          <w:b/>
          <w:sz w:val="40"/>
        </w:rPr>
        <w:t>Student Name: Student</w:t>
      </w:r>
      <w:r>
        <w:rPr>
          <w:b/>
          <w:spacing w:val="-28"/>
          <w:sz w:val="40"/>
        </w:rPr>
        <w:t> </w:t>
      </w:r>
      <w:r>
        <w:rPr>
          <w:b/>
          <w:sz w:val="40"/>
        </w:rPr>
        <w:t>Number:</w:t>
      </w:r>
    </w:p>
    <w:p>
      <w:pPr>
        <w:spacing w:line="423" w:lineRule="exact" w:before="0"/>
        <w:ind w:left="2455" w:right="2260" w:firstLine="0"/>
        <w:jc w:val="center"/>
        <w:rPr>
          <w:b/>
          <w:sz w:val="40"/>
        </w:rPr>
      </w:pPr>
      <w:r>
        <w:rPr>
          <w:b/>
          <w:sz w:val="40"/>
        </w:rPr>
        <w:t>Programme:</w:t>
      </w:r>
      <w:r>
        <w:rPr>
          <w:b/>
          <w:spacing w:val="-8"/>
          <w:sz w:val="40"/>
        </w:rPr>
        <w:t> </w:t>
      </w:r>
      <w:r>
        <w:rPr>
          <w:b/>
          <w:sz w:val="40"/>
        </w:rPr>
        <w:t>MSc</w:t>
      </w:r>
      <w:r>
        <w:rPr>
          <w:b/>
          <w:spacing w:val="-4"/>
          <w:sz w:val="40"/>
        </w:rPr>
        <w:t> </w:t>
      </w:r>
      <w:r>
        <w:rPr>
          <w:b/>
          <w:sz w:val="40"/>
        </w:rPr>
        <w:t>Public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Health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and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Social</w:t>
      </w:r>
      <w:r>
        <w:rPr>
          <w:b/>
          <w:spacing w:val="-4"/>
          <w:sz w:val="40"/>
        </w:rPr>
        <w:t> </w:t>
      </w:r>
      <w:r>
        <w:rPr>
          <w:b/>
          <w:sz w:val="40"/>
        </w:rPr>
        <w:t>Care</w:t>
      </w:r>
      <w:r>
        <w:rPr>
          <w:b/>
          <w:spacing w:val="-5"/>
          <w:sz w:val="40"/>
        </w:rPr>
        <w:t> </w:t>
      </w:r>
      <w:r>
        <w:rPr>
          <w:b/>
          <w:sz w:val="40"/>
        </w:rPr>
        <w:t>in</w:t>
      </w:r>
      <w:r>
        <w:rPr>
          <w:b/>
          <w:spacing w:val="-5"/>
          <w:sz w:val="40"/>
        </w:rPr>
        <w:t> </w:t>
      </w:r>
      <w:r>
        <w:rPr>
          <w:b/>
          <w:spacing w:val="-2"/>
          <w:sz w:val="40"/>
        </w:rPr>
        <w:t>Practice</w:t>
      </w:r>
    </w:p>
    <w:p>
      <w:pPr>
        <w:spacing w:line="432" w:lineRule="exact" w:before="0"/>
        <w:ind w:left="2465" w:right="2260" w:firstLine="0"/>
        <w:jc w:val="center"/>
        <w:rPr>
          <w:b/>
          <w:sz w:val="40"/>
        </w:rPr>
      </w:pPr>
      <w:r>
        <w:rPr>
          <w:b/>
          <w:sz w:val="40"/>
        </w:rPr>
        <w:t>Module:</w:t>
      </w:r>
      <w:r>
        <w:rPr>
          <w:b/>
          <w:spacing w:val="-11"/>
          <w:sz w:val="40"/>
        </w:rPr>
        <w:t> </w:t>
      </w:r>
      <w:r>
        <w:rPr>
          <w:b/>
          <w:sz w:val="40"/>
        </w:rPr>
        <w:t>Community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Care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and</w:t>
      </w:r>
      <w:r>
        <w:rPr>
          <w:b/>
          <w:spacing w:val="-8"/>
          <w:sz w:val="40"/>
        </w:rPr>
        <w:t> </w:t>
      </w:r>
      <w:r>
        <w:rPr>
          <w:b/>
          <w:sz w:val="40"/>
        </w:rPr>
        <w:t>Management</w:t>
      </w:r>
      <w:r>
        <w:rPr>
          <w:b/>
          <w:spacing w:val="-9"/>
          <w:sz w:val="40"/>
        </w:rPr>
        <w:t> </w:t>
      </w:r>
      <w:r>
        <w:rPr>
          <w:b/>
          <w:sz w:val="40"/>
        </w:rPr>
        <w:t>of</w:t>
      </w:r>
      <w:r>
        <w:rPr>
          <w:b/>
          <w:spacing w:val="-6"/>
          <w:sz w:val="40"/>
        </w:rPr>
        <w:t> </w:t>
      </w:r>
      <w:r>
        <w:rPr>
          <w:b/>
          <w:sz w:val="40"/>
        </w:rPr>
        <w:t>Longer-term</w:t>
      </w:r>
      <w:r>
        <w:rPr>
          <w:b/>
          <w:spacing w:val="-12"/>
          <w:sz w:val="40"/>
        </w:rPr>
        <w:t> </w:t>
      </w:r>
      <w:r>
        <w:rPr>
          <w:b/>
          <w:spacing w:val="-2"/>
          <w:sz w:val="40"/>
        </w:rPr>
        <w:t>Conditions</w:t>
      </w:r>
    </w:p>
    <w:p>
      <w:pPr>
        <w:spacing w:line="225" w:lineRule="auto" w:before="8"/>
        <w:ind w:left="7109" w:right="6910" w:firstLine="1"/>
        <w:jc w:val="center"/>
        <w:rPr>
          <w:b/>
          <w:sz w:val="40"/>
        </w:rPr>
      </w:pPr>
      <w:r>
        <w:rPr>
          <w:b/>
          <w:sz w:val="40"/>
        </w:rPr>
        <w:t>Module code: LCHS7003 Lecturer:</w:t>
      </w:r>
      <w:r>
        <w:rPr>
          <w:b/>
          <w:spacing w:val="-21"/>
          <w:sz w:val="40"/>
        </w:rPr>
        <w:t> </w:t>
      </w:r>
      <w:r>
        <w:rPr>
          <w:b/>
          <w:sz w:val="40"/>
        </w:rPr>
        <w:t>Muhammed</w:t>
      </w:r>
      <w:r>
        <w:rPr>
          <w:b/>
          <w:spacing w:val="-18"/>
          <w:sz w:val="40"/>
        </w:rPr>
        <w:t> </w:t>
      </w:r>
      <w:r>
        <w:rPr>
          <w:b/>
          <w:sz w:val="40"/>
        </w:rPr>
        <w:t>Khan</w:t>
      </w:r>
    </w:p>
    <w:p>
      <w:pPr>
        <w:spacing w:line="437" w:lineRule="exact" w:before="0"/>
        <w:ind w:left="2458" w:right="2260" w:firstLine="0"/>
        <w:jc w:val="center"/>
        <w:rPr>
          <w:b/>
          <w:sz w:val="40"/>
        </w:rPr>
      </w:pPr>
      <w:r>
        <w:rPr>
          <w:b/>
          <w:sz w:val="40"/>
        </w:rPr>
        <w:t>Assignment</w:t>
      </w:r>
      <w:r>
        <w:rPr>
          <w:b/>
          <w:spacing w:val="-10"/>
          <w:sz w:val="40"/>
        </w:rPr>
        <w:t> </w:t>
      </w:r>
      <w:r>
        <w:rPr>
          <w:b/>
          <w:sz w:val="40"/>
        </w:rPr>
        <w:t>Title:</w:t>
      </w:r>
      <w:r>
        <w:rPr>
          <w:b/>
          <w:spacing w:val="-9"/>
          <w:sz w:val="40"/>
        </w:rPr>
        <w:t> </w:t>
      </w:r>
      <w:r>
        <w:rPr>
          <w:b/>
          <w:sz w:val="40"/>
        </w:rPr>
        <w:t>Component</w:t>
      </w:r>
      <w:r>
        <w:rPr>
          <w:b/>
          <w:spacing w:val="-8"/>
          <w:sz w:val="40"/>
        </w:rPr>
        <w:t> </w:t>
      </w:r>
      <w:r>
        <w:rPr>
          <w:b/>
          <w:sz w:val="40"/>
        </w:rPr>
        <w:t>2</w:t>
      </w:r>
      <w:r>
        <w:rPr>
          <w:b/>
          <w:spacing w:val="-8"/>
          <w:sz w:val="40"/>
        </w:rPr>
        <w:t> </w:t>
      </w:r>
      <w:r>
        <w:rPr>
          <w:b/>
          <w:sz w:val="40"/>
        </w:rPr>
        <w:t>Individual</w:t>
      </w:r>
      <w:r>
        <w:rPr>
          <w:b/>
          <w:spacing w:val="-5"/>
          <w:sz w:val="40"/>
        </w:rPr>
        <w:t> </w:t>
      </w:r>
      <w:r>
        <w:rPr>
          <w:b/>
          <w:spacing w:val="-2"/>
          <w:sz w:val="40"/>
        </w:rPr>
        <w:t>Presentation</w:t>
      </w:r>
    </w:p>
    <w:p>
      <w:pPr>
        <w:spacing w:after="0" w:line="437" w:lineRule="exact"/>
        <w:jc w:val="center"/>
        <w:rPr>
          <w:sz w:val="40"/>
        </w:rPr>
        <w:sectPr>
          <w:type w:val="continuous"/>
          <w:pgSz w:w="19200" w:h="10800" w:orient="landscape"/>
          <w:pgMar w:top="1220" w:bottom="280" w:left="0" w:right="0"/>
        </w:sectPr>
      </w:pPr>
    </w:p>
    <w:p>
      <w:pPr>
        <w:pStyle w:val="BodyText"/>
        <w:rPr>
          <w:b/>
        </w:rPr>
      </w:pPr>
      <w:r>
        <w:rPr/>
        <w:pict>
          <v:group style="position:absolute;margin-left:584.265015pt;margin-top:-.375pt;width:375.85pt;height:540.8pt;mso-position-horizontal-relative:page;mso-position-vertical-relative:page;z-index:-16065536" id="docshapegroup5" coordorigin="11685,-8" coordsize="7517,10816">
            <v:line style="position:absolute" from="14758,0" to="16678,10800" stroked="true" strokeweight=".75pt" strokecolor="#bebebe">
              <v:stroke dashstyle="solid"/>
            </v:line>
            <v:line style="position:absolute" from="19194,5798" to="11693,10801" stroked="true" strokeweight=".75pt" strokecolor="#d9d9d9">
              <v:stroke dashstyle="solid"/>
            </v:line>
            <v:shape style="position:absolute;left:14460;top:0;width:4736;height:10800" id="docshape6" coordorigin="14460,0" coordsize="4736,10800" path="m19195,0l17677,0,14460,10800,19195,10800,19195,0xe" filled="true" fillcolor="#90c225" stroked="false">
              <v:path arrowok="t"/>
              <v:fill opacity="19789f" type="solid"/>
            </v:shape>
            <v:shape style="position:absolute;left:15124;top:0;width:4076;height:10800" id="docshape7" coordorigin="15125,0" coordsize="4076,10800" path="m19200,0l15125,0,17028,10800,19200,10800,19200,0xe" filled="true" fillcolor="#90c225" stroked="false">
              <v:path arrowok="t"/>
              <v:fill opacity="13107f" type="solid"/>
            </v:shape>
            <v:shape style="position:absolute;left:14066;top:4800;width:5134;height:6000" id="docshape8" coordorigin="14066,4800" coordsize="5134,6000" path="m19200,4800l14066,10800,19200,10800,19200,4800xe" filled="true" fillcolor="#539f20" stroked="false">
              <v:path arrowok="t"/>
              <v:fill opacity="47288f" type="solid"/>
            </v:shape>
            <v:shape style="position:absolute;left:14705;top:0;width:4491;height:10800" id="docshape9" coordorigin="14705,0" coordsize="4491,10800" path="m19195,0l14705,0,18591,10800,19195,10800,19195,0xe" filled="true" fillcolor="#3e7818" stroked="false">
              <v:path arrowok="t"/>
              <v:fill opacity="46003f" type="solid"/>
            </v:shape>
            <v:shape style="position:absolute;left:17162;top:0;width:2033;height:10800" id="docshape10" coordorigin="17162,0" coordsize="2033,10800" path="m19195,0l18767,0,17162,10800,19195,10800,19195,0xe" filled="true" fillcolor="#c0e374" stroked="false">
              <v:path arrowok="t"/>
              <v:fill opacity="46003f" type="solid"/>
            </v:shape>
            <v:shape style="position:absolute;left:17229;top:0;width:1966;height:10800" id="docshape11" coordorigin="17230,0" coordsize="1966,10800" path="m19195,0l17230,0,18974,10800,19195,10800,19195,0xe" filled="true" fillcolor="#90c225" stroked="false">
              <v:path arrowok="t"/>
              <v:fill opacity="42662f" type="solid"/>
            </v:shape>
            <v:shape style="position:absolute;left:16334;top:5654;width:2861;height:5146" id="docshape12" coordorigin="16334,5654" coordsize="2861,5146" path="m19195,5654l16334,10800,19195,10800,19195,5654xe" filled="true" fillcolor="#90c225" stroked="false">
              <v:path arrowok="t"/>
              <v:fill opacity="52428f" type="solid"/>
            </v:shape>
            <v:line style="position:absolute" from="14758,0" to="16678,10800" stroked="true" strokeweight=".75pt" strokecolor="#bebebe">
              <v:stroke dashstyle="solid"/>
            </v:line>
            <v:line style="position:absolute" from="19194,5798" to="11693,10801" stroked="true" strokeweight=".75pt" strokecolor="#d9d9d9">
              <v:stroke dashstyle="solid"/>
            </v:line>
            <v:shape style="position:absolute;left:14460;top:0;width:4736;height:10800" id="docshape13" coordorigin="14460,0" coordsize="4736,10800" path="m19195,0l17677,0,14460,10800,19195,10800,19195,0xe" filled="true" fillcolor="#90c225" stroked="false">
              <v:path arrowok="t"/>
              <v:fill opacity="19789f" type="solid"/>
            </v:shape>
            <v:shape style="position:absolute;left:15124;top:0;width:4076;height:10800" id="docshape14" coordorigin="15125,0" coordsize="4076,10800" path="m19200,0l15125,0,17028,10800,19200,10800,19200,0xe" filled="true" fillcolor="#90c225" stroked="false">
              <v:path arrowok="t"/>
              <v:fill opacity="13107f" type="solid"/>
            </v:shape>
            <v:shape style="position:absolute;left:14066;top:4800;width:5134;height:6000" id="docshape15" coordorigin="14066,4800" coordsize="5134,6000" path="m19200,4800l14066,10800,19200,10800,19200,4800xe" filled="true" fillcolor="#539f20" stroked="false">
              <v:path arrowok="t"/>
              <v:fill opacity="47288f" type="solid"/>
            </v:shape>
            <v:shape style="position:absolute;left:14705;top:0;width:4491;height:10800" id="docshape16" coordorigin="14705,0" coordsize="4491,10800" path="m19195,0l14705,0,18591,10800,19195,10800,19195,0xe" filled="true" fillcolor="#3e7818" stroked="false">
              <v:path arrowok="t"/>
              <v:fill opacity="46003f" type="solid"/>
            </v:shape>
            <v:shape style="position:absolute;left:17162;top:0;width:2033;height:10800" id="docshape17" coordorigin="17162,0" coordsize="2033,10800" path="m19195,0l18767,0,17162,10800,19195,10800,19195,0xe" filled="true" fillcolor="#c0e374" stroked="false">
              <v:path arrowok="t"/>
              <v:fill opacity="46003f" type="solid"/>
            </v:shape>
            <v:shape style="position:absolute;left:17229;top:0;width:1966;height:10800" id="docshape18" coordorigin="17230,0" coordsize="1966,10800" path="m19195,0l17230,0,18974,10800,19195,10800,19195,0xe" filled="true" fillcolor="#90c225" stroked="false">
              <v:path arrowok="t"/>
              <v:fill opacity="42662f" type="solid"/>
            </v:shape>
            <v:shape style="position:absolute;left:16334;top:5654;width:2861;height:5146" id="docshape19" coordorigin="16334,5654" coordsize="2861,5146" path="m19195,5654l16334,10800,19195,10800,19195,5654xe" filled="true" fillcolor="#90c225" stroked="false">
              <v:path arrowok="t"/>
              <v:fill opacity="52428f" type="solid"/>
            </v:shape>
            <w10:wrap type="none"/>
          </v:group>
        </w:pict>
      </w:r>
      <w:r>
        <w:rPr/>
        <w:pict>
          <v:group style="position:absolute;margin-left:-.000008pt;margin-top:0pt;width:316.25pt;height:540pt;mso-position-horizontal-relative:page;mso-position-vertical-relative:page;z-index:15729664" id="docshapegroup20" coordorigin="0,0" coordsize="6325,10800">
            <v:shape style="position:absolute;left:0;top:0;width:1328;height:10800" id="docshape21" coordorigin="0,0" coordsize="1328,10800" path="m1327,0l0,0,0,6319,0,8923,0,10800,706,10800,199,7584,1327,0xe" filled="true" fillcolor="#90c225" stroked="false">
              <v:path arrowok="t"/>
              <v:fill opacity="55769f" type="solid"/>
            </v:shape>
            <v:shape style="position:absolute;left:506;top:0;width:5819;height:5400" type="#_x0000_t75" id="docshape22" stroked="false">
              <v:imagedata r:id="rId7" o:title=""/>
            </v:shape>
            <v:shape style="position:absolute;left:0;top:5400;width:5518;height:5400" type="#_x0000_t75" id="docshape23" stroked="false">
              <v:imagedata r:id="rId8" o:title=""/>
            </v:shape>
            <v:line style="position:absolute" from="523,5400" to="5643,5400" stroked="true" strokeweight="1pt" strokecolor="#ffffff">
              <v:stroke dashstyle="solid"/>
            </v:line>
            <v:shape style="position:absolute;left:0;top:0;width:1328;height:8924" id="docshape24" coordorigin="0,0" coordsize="1328,8924" path="m1327,0l0,0,0,8923,1327,0xe" filled="true" fillcolor="#90c225" stroked="false">
              <v:path arrowok="t"/>
              <v:fill opacity="55769f" type="solid"/>
            </v:shape>
            <w10:wrap type="none"/>
          </v:group>
        </w:pict>
      </w: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  <w:sz w:val="23"/>
        </w:rPr>
      </w:pPr>
    </w:p>
    <w:p>
      <w:pPr>
        <w:pStyle w:val="Heading1"/>
        <w:spacing w:before="100"/>
        <w:ind w:left="3032" w:right="4669"/>
        <w:jc w:val="center"/>
      </w:pPr>
      <w:r>
        <w:rPr>
          <w:color w:val="90C225"/>
          <w:spacing w:val="-2"/>
        </w:rPr>
        <w:t>Introduction</w:t>
      </w:r>
    </w:p>
    <w:p>
      <w:pPr>
        <w:pStyle w:val="BodyText"/>
        <w:rPr>
          <w:rFonts w:ascii="Trebuchet MS"/>
          <w:b/>
        </w:rPr>
      </w:pPr>
    </w:p>
    <w:p>
      <w:pPr>
        <w:pStyle w:val="BodyText"/>
        <w:rPr>
          <w:rFonts w:ascii="Trebuchet MS"/>
          <w:b/>
        </w:rPr>
      </w:pPr>
    </w:p>
    <w:p>
      <w:pPr>
        <w:pStyle w:val="BodyText"/>
        <w:rPr>
          <w:rFonts w:ascii="Trebuchet MS"/>
          <w:b/>
        </w:rPr>
      </w:pPr>
    </w:p>
    <w:p>
      <w:pPr>
        <w:pStyle w:val="BodyText"/>
        <w:rPr>
          <w:rFonts w:ascii="Trebuchet MS"/>
          <w:b/>
        </w:rPr>
      </w:pPr>
    </w:p>
    <w:p>
      <w:pPr>
        <w:pStyle w:val="BodyText"/>
        <w:rPr>
          <w:rFonts w:ascii="Trebuchet MS"/>
          <w:b/>
        </w:rPr>
      </w:pPr>
    </w:p>
    <w:p>
      <w:pPr>
        <w:pStyle w:val="BodyText"/>
        <w:spacing w:before="11"/>
        <w:rPr>
          <w:rFonts w:ascii="Trebuchet MS"/>
          <w:b/>
          <w:sz w:val="29"/>
        </w:rPr>
      </w:pPr>
    </w:p>
    <w:p>
      <w:pPr>
        <w:pStyle w:val="ListParagraph"/>
        <w:numPr>
          <w:ilvl w:val="0"/>
          <w:numId w:val="1"/>
        </w:numPr>
        <w:tabs>
          <w:tab w:pos="7234" w:val="left" w:leader="none"/>
          <w:tab w:pos="7235" w:val="left" w:leader="none"/>
        </w:tabs>
        <w:spacing w:line="249" w:lineRule="auto" w:before="88" w:after="0"/>
        <w:ind w:left="7235" w:right="4742" w:hanging="540"/>
        <w:jc w:val="left"/>
        <w:rPr>
          <w:sz w:val="36"/>
        </w:rPr>
      </w:pPr>
      <w:r>
        <w:rPr>
          <w:color w:val="404040"/>
          <w:sz w:val="36"/>
        </w:rPr>
        <w:t>The</w:t>
      </w:r>
      <w:r>
        <w:rPr>
          <w:color w:val="404040"/>
          <w:spacing w:val="-9"/>
          <w:sz w:val="36"/>
        </w:rPr>
        <w:t> </w:t>
      </w:r>
      <w:r>
        <w:rPr>
          <w:color w:val="404040"/>
          <w:sz w:val="36"/>
        </w:rPr>
        <w:t>aim</w:t>
      </w:r>
      <w:r>
        <w:rPr>
          <w:color w:val="404040"/>
          <w:spacing w:val="-6"/>
          <w:sz w:val="36"/>
        </w:rPr>
        <w:t> </w:t>
      </w:r>
      <w:r>
        <w:rPr>
          <w:color w:val="404040"/>
          <w:sz w:val="36"/>
        </w:rPr>
        <w:t>of</w:t>
      </w:r>
      <w:r>
        <w:rPr>
          <w:color w:val="404040"/>
          <w:spacing w:val="-5"/>
          <w:sz w:val="36"/>
        </w:rPr>
        <w:t> </w:t>
      </w:r>
      <w:r>
        <w:rPr>
          <w:color w:val="404040"/>
          <w:sz w:val="36"/>
        </w:rPr>
        <w:t>the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presentation</w:t>
      </w:r>
      <w:r>
        <w:rPr>
          <w:color w:val="404040"/>
          <w:spacing w:val="-2"/>
          <w:sz w:val="36"/>
        </w:rPr>
        <w:t> </w:t>
      </w:r>
      <w:r>
        <w:rPr>
          <w:color w:val="404040"/>
          <w:sz w:val="36"/>
        </w:rPr>
        <w:t>is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to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enhance</w:t>
      </w:r>
      <w:r>
        <w:rPr>
          <w:color w:val="404040"/>
          <w:spacing w:val="-3"/>
          <w:sz w:val="36"/>
        </w:rPr>
        <w:t> </w:t>
      </w:r>
      <w:r>
        <w:rPr>
          <w:color w:val="404040"/>
          <w:sz w:val="36"/>
        </w:rPr>
        <w:t>the awareness of health and social care professionals regarding long-term chronic kidney disease.</w:t>
      </w:r>
    </w:p>
    <w:p>
      <w:pPr>
        <w:pStyle w:val="ListParagraph"/>
        <w:numPr>
          <w:ilvl w:val="0"/>
          <w:numId w:val="1"/>
        </w:numPr>
        <w:tabs>
          <w:tab w:pos="7234" w:val="left" w:leader="none"/>
          <w:tab w:pos="7235" w:val="left" w:leader="none"/>
        </w:tabs>
        <w:spacing w:line="249" w:lineRule="auto" w:before="206" w:after="0"/>
        <w:ind w:left="7235" w:right="5024" w:hanging="540"/>
        <w:jc w:val="left"/>
        <w:rPr>
          <w:sz w:val="36"/>
        </w:rPr>
      </w:pPr>
      <w:r>
        <w:rPr>
          <w:color w:val="404040"/>
          <w:sz w:val="36"/>
        </w:rPr>
        <w:t>This task will focus on evaluating the prevalence, diagnosis, treatment, and management</w:t>
      </w:r>
      <w:r>
        <w:rPr>
          <w:color w:val="404040"/>
          <w:spacing w:val="-6"/>
          <w:sz w:val="36"/>
        </w:rPr>
        <w:t> </w:t>
      </w:r>
      <w:r>
        <w:rPr>
          <w:color w:val="404040"/>
          <w:sz w:val="36"/>
        </w:rPr>
        <w:t>aspects</w:t>
      </w:r>
      <w:r>
        <w:rPr>
          <w:color w:val="404040"/>
          <w:spacing w:val="-11"/>
          <w:sz w:val="36"/>
        </w:rPr>
        <w:t> </w:t>
      </w:r>
      <w:r>
        <w:rPr>
          <w:color w:val="404040"/>
          <w:sz w:val="36"/>
        </w:rPr>
        <w:t>of</w:t>
      </w:r>
      <w:r>
        <w:rPr>
          <w:color w:val="404040"/>
          <w:spacing w:val="-11"/>
          <w:sz w:val="36"/>
        </w:rPr>
        <w:t> </w:t>
      </w:r>
      <w:r>
        <w:rPr>
          <w:color w:val="404040"/>
          <w:sz w:val="36"/>
        </w:rPr>
        <w:t>Kidney</w:t>
      </w:r>
      <w:r>
        <w:rPr>
          <w:color w:val="404040"/>
          <w:spacing w:val="-9"/>
          <w:sz w:val="36"/>
        </w:rPr>
        <w:t> </w:t>
      </w:r>
      <w:r>
        <w:rPr>
          <w:color w:val="404040"/>
          <w:sz w:val="36"/>
        </w:rPr>
        <w:t>diseases</w:t>
      </w:r>
      <w:r>
        <w:rPr>
          <w:color w:val="404040"/>
          <w:spacing w:val="-9"/>
          <w:sz w:val="36"/>
        </w:rPr>
        <w:t> </w:t>
      </w:r>
      <w:r>
        <w:rPr>
          <w:color w:val="404040"/>
          <w:sz w:val="36"/>
        </w:rPr>
        <w:t>in the UK.</w:t>
      </w:r>
    </w:p>
    <w:p>
      <w:pPr>
        <w:pStyle w:val="ListParagraph"/>
        <w:numPr>
          <w:ilvl w:val="0"/>
          <w:numId w:val="1"/>
        </w:numPr>
        <w:tabs>
          <w:tab w:pos="7234" w:val="left" w:leader="none"/>
          <w:tab w:pos="7235" w:val="left" w:leader="none"/>
        </w:tabs>
        <w:spacing w:line="249" w:lineRule="auto" w:before="208" w:after="0"/>
        <w:ind w:left="7235" w:right="4767" w:hanging="540"/>
        <w:jc w:val="left"/>
        <w:rPr>
          <w:sz w:val="36"/>
        </w:rPr>
      </w:pPr>
      <w:r>
        <w:rPr>
          <w:color w:val="404040"/>
          <w:sz w:val="36"/>
        </w:rPr>
        <w:t>Developing this presentation will fulfill the needs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of</w:t>
      </w:r>
      <w:r>
        <w:rPr>
          <w:color w:val="404040"/>
          <w:spacing w:val="-10"/>
          <w:sz w:val="36"/>
        </w:rPr>
        <w:t> </w:t>
      </w:r>
      <w:r>
        <w:rPr>
          <w:color w:val="404040"/>
          <w:sz w:val="36"/>
        </w:rPr>
        <w:t>health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and</w:t>
      </w:r>
      <w:r>
        <w:rPr>
          <w:color w:val="404040"/>
          <w:spacing w:val="-10"/>
          <w:sz w:val="36"/>
        </w:rPr>
        <w:t> </w:t>
      </w:r>
      <w:r>
        <w:rPr>
          <w:color w:val="404040"/>
          <w:sz w:val="36"/>
        </w:rPr>
        <w:t>social</w:t>
      </w:r>
      <w:r>
        <w:rPr>
          <w:color w:val="404040"/>
          <w:spacing w:val="-7"/>
          <w:sz w:val="36"/>
        </w:rPr>
        <w:t> </w:t>
      </w:r>
      <w:r>
        <w:rPr>
          <w:color w:val="404040"/>
          <w:sz w:val="36"/>
        </w:rPr>
        <w:t>care</w:t>
      </w:r>
      <w:r>
        <w:rPr>
          <w:color w:val="404040"/>
          <w:spacing w:val="-8"/>
          <w:sz w:val="36"/>
        </w:rPr>
        <w:t> </w:t>
      </w:r>
      <w:r>
        <w:rPr>
          <w:color w:val="404040"/>
          <w:sz w:val="36"/>
        </w:rPr>
        <w:t>professionals by</w:t>
      </w:r>
      <w:r>
        <w:rPr>
          <w:color w:val="404040"/>
          <w:spacing w:val="-9"/>
          <w:sz w:val="36"/>
        </w:rPr>
        <w:t> </w:t>
      </w:r>
      <w:r>
        <w:rPr>
          <w:color w:val="404040"/>
          <w:sz w:val="36"/>
        </w:rPr>
        <w:t>providing</w:t>
      </w:r>
      <w:r>
        <w:rPr>
          <w:color w:val="404040"/>
          <w:spacing w:val="-1"/>
          <w:sz w:val="36"/>
        </w:rPr>
        <w:t> </w:t>
      </w:r>
      <w:r>
        <w:rPr>
          <w:color w:val="404040"/>
          <w:sz w:val="36"/>
        </w:rPr>
        <w:t>insights</w:t>
      </w:r>
      <w:r>
        <w:rPr>
          <w:color w:val="404040"/>
          <w:spacing w:val="-3"/>
          <w:sz w:val="36"/>
        </w:rPr>
        <w:t> </w:t>
      </w:r>
      <w:r>
        <w:rPr>
          <w:color w:val="404040"/>
          <w:sz w:val="36"/>
        </w:rPr>
        <w:t>regarding</w:t>
      </w:r>
      <w:r>
        <w:rPr>
          <w:color w:val="404040"/>
          <w:spacing w:val="-1"/>
          <w:sz w:val="36"/>
        </w:rPr>
        <w:t> </w:t>
      </w:r>
      <w:r>
        <w:rPr>
          <w:color w:val="404040"/>
          <w:sz w:val="36"/>
        </w:rPr>
        <w:t>this</w:t>
      </w:r>
      <w:r>
        <w:rPr>
          <w:color w:val="404040"/>
          <w:spacing w:val="-5"/>
          <w:sz w:val="36"/>
        </w:rPr>
        <w:t> </w:t>
      </w:r>
      <w:r>
        <w:rPr>
          <w:color w:val="404040"/>
          <w:spacing w:val="-2"/>
          <w:sz w:val="36"/>
        </w:rPr>
        <w:t>condition.</w:t>
      </w:r>
    </w:p>
    <w:p>
      <w:pPr>
        <w:spacing w:after="0" w:line="249" w:lineRule="auto"/>
        <w:jc w:val="left"/>
        <w:rPr>
          <w:sz w:val="36"/>
        </w:rPr>
        <w:sectPr>
          <w:pgSz w:w="19200" w:h="10800" w:orient="landscape"/>
          <w:pgMar w:top="0" w:bottom="0" w:left="0" w:right="0"/>
        </w:sectPr>
      </w:pPr>
    </w:p>
    <w:p>
      <w:pPr>
        <w:pStyle w:val="BodyText"/>
      </w:pPr>
      <w:r>
        <w:rPr/>
        <w:pict>
          <v:rect style="position:absolute;margin-left:0pt;margin-top:-.000061pt;width:960pt;height:540pt;mso-position-horizontal-relative:page;mso-position-vertical-relative:page;z-index:-16064512" id="docshape25" filled="true" fillcolor="#82766a" stroked="false">
            <v:fill opacity="9766f" type="solid"/>
            <w10:wrap type="none"/>
          </v:rect>
        </w:pict>
      </w:r>
      <w:r>
        <w:rPr/>
        <w:pict>
          <v:group style="position:absolute;margin-left:0pt;margin-top:0pt;width:331.9pt;height:539.85pt;mso-position-horizontal-relative:page;mso-position-vertical-relative:page;z-index:15730688" id="docshapegroup26" coordorigin="0,0" coordsize="6638,10797">
            <v:shape style="position:absolute;left:0;top:5066;width:6638;height:5730" type="#_x0000_t75" id="docshape27" stroked="false">
              <v:imagedata r:id="rId9" o:title=""/>
            </v:shape>
            <v:shape style="position:absolute;left:0;top:0;width:6036;height:5503" type="#_x0000_t75" id="docshape28" stroked="false">
              <v:imagedata r:id="rId10" o:title=""/>
            </v:shape>
            <w10:wrap type="none"/>
          </v:group>
        </w:pic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2"/>
        <w:rPr>
          <w:sz w:val="28"/>
        </w:rPr>
      </w:pPr>
    </w:p>
    <w:p>
      <w:pPr>
        <w:spacing w:line="213" w:lineRule="auto" w:before="15"/>
        <w:ind w:left="7474" w:right="0" w:firstLine="0"/>
        <w:jc w:val="left"/>
        <w:rPr>
          <w:rFonts w:ascii="Calibri Light"/>
          <w:b w:val="0"/>
          <w:sz w:val="88"/>
        </w:rPr>
      </w:pPr>
      <w:r>
        <w:rPr>
          <w:rFonts w:ascii="Calibri Light"/>
          <w:b w:val="0"/>
          <w:spacing w:val="-4"/>
          <w:sz w:val="88"/>
        </w:rPr>
        <w:t>Overview</w:t>
      </w:r>
      <w:r>
        <w:rPr>
          <w:rFonts w:ascii="Calibri Light"/>
          <w:b w:val="0"/>
          <w:spacing w:val="-46"/>
          <w:sz w:val="88"/>
        </w:rPr>
        <w:t> </w:t>
      </w:r>
      <w:r>
        <w:rPr>
          <w:rFonts w:ascii="Calibri Light"/>
          <w:b w:val="0"/>
          <w:spacing w:val="-4"/>
          <w:sz w:val="88"/>
        </w:rPr>
        <w:t>of</w:t>
      </w:r>
      <w:r>
        <w:rPr>
          <w:rFonts w:ascii="Calibri Light"/>
          <w:b w:val="0"/>
          <w:spacing w:val="-46"/>
          <w:sz w:val="88"/>
        </w:rPr>
        <w:t> </w:t>
      </w:r>
      <w:r>
        <w:rPr>
          <w:rFonts w:ascii="Calibri Light"/>
          <w:b w:val="0"/>
          <w:spacing w:val="-4"/>
          <w:sz w:val="88"/>
        </w:rPr>
        <w:t>Chronic</w:t>
      </w:r>
      <w:r>
        <w:rPr>
          <w:rFonts w:ascii="Calibri Light"/>
          <w:b w:val="0"/>
          <w:spacing w:val="-46"/>
          <w:sz w:val="88"/>
        </w:rPr>
        <w:t> </w:t>
      </w:r>
      <w:r>
        <w:rPr>
          <w:rFonts w:ascii="Calibri Light"/>
          <w:b w:val="0"/>
          <w:spacing w:val="-4"/>
          <w:sz w:val="88"/>
        </w:rPr>
        <w:t>Kidney </w:t>
      </w:r>
      <w:r>
        <w:rPr>
          <w:rFonts w:ascii="Calibri Light"/>
          <w:b w:val="0"/>
          <w:spacing w:val="-2"/>
          <w:sz w:val="88"/>
        </w:rPr>
        <w:t>Disease</w:t>
      </w:r>
    </w:p>
    <w:p>
      <w:pPr>
        <w:pStyle w:val="BodyText"/>
        <w:rPr>
          <w:rFonts w:ascii="Calibri Light"/>
          <w:b w:val="0"/>
        </w:rPr>
      </w:pPr>
    </w:p>
    <w:p>
      <w:pPr>
        <w:pStyle w:val="BodyText"/>
        <w:spacing w:before="3"/>
        <w:rPr>
          <w:rFonts w:ascii="Calibri Light"/>
          <w:b w:val="0"/>
          <w:sz w:val="18"/>
        </w:rPr>
      </w:pPr>
    </w:p>
    <w:p>
      <w:pPr>
        <w:pStyle w:val="ListParagraph"/>
        <w:numPr>
          <w:ilvl w:val="1"/>
          <w:numId w:val="1"/>
        </w:numPr>
        <w:tabs>
          <w:tab w:pos="7834" w:val="left" w:leader="none"/>
        </w:tabs>
        <w:spacing w:line="225" w:lineRule="auto" w:before="108" w:after="0"/>
        <w:ind w:left="7474" w:right="1862" w:firstLine="0"/>
        <w:jc w:val="left"/>
        <w:rPr>
          <w:sz w:val="38"/>
        </w:rPr>
      </w:pPr>
      <w:r>
        <w:rPr>
          <w:b/>
          <w:sz w:val="38"/>
        </w:rPr>
        <w:t>Definition:</w:t>
      </w:r>
      <w:r>
        <w:rPr>
          <w:b/>
          <w:spacing w:val="-3"/>
          <w:sz w:val="38"/>
        </w:rPr>
        <w:t> </w:t>
      </w:r>
      <w:r>
        <w:rPr>
          <w:sz w:val="38"/>
        </w:rPr>
        <w:t>Chronic</w:t>
      </w:r>
      <w:r>
        <w:rPr>
          <w:spacing w:val="-1"/>
          <w:sz w:val="38"/>
        </w:rPr>
        <w:t> </w:t>
      </w:r>
      <w:r>
        <w:rPr>
          <w:sz w:val="38"/>
        </w:rPr>
        <w:t>kidney</w:t>
      </w:r>
      <w:r>
        <w:rPr>
          <w:spacing w:val="-1"/>
          <w:sz w:val="38"/>
        </w:rPr>
        <w:t> </w:t>
      </w:r>
      <w:r>
        <w:rPr>
          <w:sz w:val="38"/>
        </w:rPr>
        <w:t>disease (CKD)</w:t>
      </w:r>
      <w:r>
        <w:rPr>
          <w:spacing w:val="-4"/>
          <w:sz w:val="38"/>
        </w:rPr>
        <w:t> </w:t>
      </w:r>
      <w:r>
        <w:rPr>
          <w:sz w:val="38"/>
        </w:rPr>
        <w:t>is</w:t>
      </w:r>
      <w:r>
        <w:rPr>
          <w:spacing w:val="-7"/>
          <w:sz w:val="38"/>
        </w:rPr>
        <w:t> </w:t>
      </w:r>
      <w:r>
        <w:rPr>
          <w:sz w:val="38"/>
        </w:rPr>
        <w:t>a</w:t>
      </w:r>
      <w:r>
        <w:rPr>
          <w:spacing w:val="-4"/>
          <w:sz w:val="38"/>
        </w:rPr>
        <w:t> </w:t>
      </w:r>
      <w:r>
        <w:rPr>
          <w:sz w:val="38"/>
        </w:rPr>
        <w:t>long-term condition that causes a decline in kidney function at a glomerular filtration rate of lower than 60 mL/min per 1·73 m², which causes kidney damage (Kalantar-Zadeh et al., </w:t>
      </w:r>
      <w:r>
        <w:rPr>
          <w:spacing w:val="-2"/>
          <w:sz w:val="38"/>
        </w:rPr>
        <w:t>2021).</w:t>
      </w:r>
    </w:p>
    <w:p>
      <w:pPr>
        <w:pStyle w:val="ListParagraph"/>
        <w:numPr>
          <w:ilvl w:val="1"/>
          <w:numId w:val="1"/>
        </w:numPr>
        <w:tabs>
          <w:tab w:pos="7834" w:val="left" w:leader="none"/>
        </w:tabs>
        <w:spacing w:line="225" w:lineRule="auto" w:before="198" w:after="0"/>
        <w:ind w:left="7474" w:right="1938" w:firstLine="0"/>
        <w:jc w:val="left"/>
        <w:rPr>
          <w:sz w:val="38"/>
        </w:rPr>
      </w:pPr>
      <w:r>
        <w:rPr>
          <w:b/>
          <w:sz w:val="38"/>
        </w:rPr>
        <w:t>Symptoms: </w:t>
      </w:r>
      <w:r>
        <w:rPr>
          <w:sz w:val="38"/>
        </w:rPr>
        <w:t>Patients with CKD often experience symptoms, including itching, pain, fatigue, and have several</w:t>
      </w:r>
      <w:r>
        <w:rPr>
          <w:spacing w:val="-4"/>
          <w:sz w:val="38"/>
        </w:rPr>
        <w:t> </w:t>
      </w:r>
      <w:r>
        <w:rPr>
          <w:sz w:val="38"/>
        </w:rPr>
        <w:t>adverse</w:t>
      </w:r>
      <w:r>
        <w:rPr>
          <w:spacing w:val="-1"/>
          <w:sz w:val="38"/>
        </w:rPr>
        <w:t> </w:t>
      </w:r>
      <w:r>
        <w:rPr>
          <w:sz w:val="38"/>
        </w:rPr>
        <w:t>effects,</w:t>
      </w:r>
      <w:r>
        <w:rPr>
          <w:spacing w:val="-8"/>
          <w:sz w:val="38"/>
        </w:rPr>
        <w:t> </w:t>
      </w:r>
      <w:r>
        <w:rPr>
          <w:sz w:val="38"/>
        </w:rPr>
        <w:t>such</w:t>
      </w:r>
      <w:r>
        <w:rPr>
          <w:spacing w:val="-5"/>
          <w:sz w:val="38"/>
        </w:rPr>
        <w:t> </w:t>
      </w:r>
      <w:r>
        <w:rPr>
          <w:sz w:val="38"/>
        </w:rPr>
        <w:t>as</w:t>
      </w:r>
      <w:r>
        <w:rPr>
          <w:spacing w:val="-6"/>
          <w:sz w:val="38"/>
        </w:rPr>
        <w:t> </w:t>
      </w:r>
      <w:r>
        <w:rPr>
          <w:sz w:val="38"/>
        </w:rPr>
        <w:t>mental</w:t>
      </w:r>
      <w:r>
        <w:rPr>
          <w:spacing w:val="-5"/>
          <w:sz w:val="38"/>
        </w:rPr>
        <w:t> </w:t>
      </w:r>
      <w:r>
        <w:rPr>
          <w:sz w:val="38"/>
        </w:rPr>
        <w:t>illness</w:t>
      </w:r>
      <w:r>
        <w:rPr>
          <w:spacing w:val="-2"/>
          <w:sz w:val="38"/>
        </w:rPr>
        <w:t> </w:t>
      </w:r>
      <w:r>
        <w:rPr>
          <w:sz w:val="38"/>
        </w:rPr>
        <w:t>and</w:t>
      </w:r>
      <w:r>
        <w:rPr>
          <w:spacing w:val="-5"/>
          <w:sz w:val="38"/>
        </w:rPr>
        <w:t> </w:t>
      </w:r>
      <w:r>
        <w:rPr>
          <w:sz w:val="38"/>
        </w:rPr>
        <w:t>quality of life (Ghelichi-Ghojogh et al., 2022).</w:t>
      </w:r>
    </w:p>
    <w:p>
      <w:pPr>
        <w:pStyle w:val="ListParagraph"/>
        <w:numPr>
          <w:ilvl w:val="1"/>
          <w:numId w:val="1"/>
        </w:numPr>
        <w:tabs>
          <w:tab w:pos="7834" w:val="left" w:leader="none"/>
        </w:tabs>
        <w:spacing w:line="225" w:lineRule="auto" w:before="201" w:after="0"/>
        <w:ind w:left="7474" w:right="2051" w:firstLine="0"/>
        <w:jc w:val="left"/>
        <w:rPr>
          <w:sz w:val="38"/>
        </w:rPr>
      </w:pPr>
      <w:r>
        <w:rPr>
          <w:b/>
          <w:sz w:val="38"/>
        </w:rPr>
        <w:t>Causes: </w:t>
      </w:r>
      <w:r>
        <w:rPr>
          <w:sz w:val="38"/>
        </w:rPr>
        <w:t>Diabetes, high blood pressure, and hypertension are the major causes of CKD, while also polycystic</w:t>
      </w:r>
      <w:r>
        <w:rPr>
          <w:spacing w:val="-5"/>
          <w:sz w:val="38"/>
        </w:rPr>
        <w:t> </w:t>
      </w:r>
      <w:r>
        <w:rPr>
          <w:sz w:val="38"/>
        </w:rPr>
        <w:t>kidney</w:t>
      </w:r>
      <w:r>
        <w:rPr>
          <w:spacing w:val="-5"/>
          <w:sz w:val="38"/>
        </w:rPr>
        <w:t> </w:t>
      </w:r>
      <w:r>
        <w:rPr>
          <w:sz w:val="38"/>
        </w:rPr>
        <w:t>disease</w:t>
      </w:r>
      <w:r>
        <w:rPr>
          <w:spacing w:val="-3"/>
          <w:sz w:val="38"/>
        </w:rPr>
        <w:t> </w:t>
      </w:r>
      <w:r>
        <w:rPr>
          <w:sz w:val="38"/>
        </w:rPr>
        <w:t>and</w:t>
      </w:r>
      <w:r>
        <w:rPr>
          <w:spacing w:val="-7"/>
          <w:sz w:val="38"/>
        </w:rPr>
        <w:t> </w:t>
      </w:r>
      <w:r>
        <w:rPr>
          <w:sz w:val="38"/>
        </w:rPr>
        <w:t>glomerulonephritis account for this (Lencovsky et al., 2023).</w:t>
      </w:r>
    </w:p>
    <w:p>
      <w:pPr>
        <w:spacing w:after="0" w:line="225" w:lineRule="auto"/>
        <w:jc w:val="left"/>
        <w:rPr>
          <w:sz w:val="38"/>
        </w:rPr>
        <w:sectPr>
          <w:pgSz w:w="19200" w:h="10800" w:orient="landscape"/>
          <w:pgMar w:top="0" w:bottom="0" w:left="0" w:right="0"/>
        </w:sectPr>
      </w:pPr>
    </w:p>
    <w:p>
      <w:pPr>
        <w:pStyle w:val="Heading2"/>
        <w:spacing w:before="53"/>
        <w:ind w:left="499"/>
      </w:pPr>
      <w:r>
        <w:rPr/>
        <w:t>Prevalence</w:t>
      </w:r>
      <w:r>
        <w:rPr>
          <w:spacing w:val="-8"/>
        </w:rPr>
        <w:t> </w:t>
      </w:r>
      <w:r>
        <w:rPr/>
        <w:t>of</w:t>
      </w:r>
      <w:r>
        <w:rPr>
          <w:spacing w:val="-3"/>
        </w:rPr>
        <w:t> </w:t>
      </w:r>
      <w:r>
        <w:rPr/>
        <w:t>the</w:t>
      </w:r>
      <w:r>
        <w:rPr>
          <w:spacing w:val="-1"/>
        </w:rPr>
        <w:t> </w:t>
      </w:r>
      <w:r>
        <w:rPr/>
        <w:t>condition</w:t>
      </w:r>
      <w:r>
        <w:rPr>
          <w:spacing w:val="-1"/>
        </w:rPr>
        <w:t> </w:t>
      </w:r>
      <w:r>
        <w:rPr/>
        <w:t>in</w:t>
      </w:r>
      <w:r>
        <w:rPr>
          <w:spacing w:val="-1"/>
        </w:rPr>
        <w:t> </w:t>
      </w:r>
      <w:r>
        <w:rPr/>
        <w:t>UK</w:t>
      </w:r>
      <w:r>
        <w:rPr>
          <w:spacing w:val="-4"/>
        </w:rPr>
        <w:t> </w:t>
      </w:r>
      <w:r>
        <w:rPr/>
        <w:t>and</w:t>
      </w:r>
      <w:r>
        <w:rPr>
          <w:spacing w:val="-2"/>
        </w:rPr>
        <w:t> worldwide</w:t>
      </w:r>
    </w:p>
    <w:p>
      <w:pPr>
        <w:pStyle w:val="ListParagraph"/>
        <w:numPr>
          <w:ilvl w:val="0"/>
          <w:numId w:val="2"/>
        </w:numPr>
        <w:tabs>
          <w:tab w:pos="919" w:val="left" w:leader="none"/>
        </w:tabs>
        <w:spacing w:line="376" w:lineRule="auto" w:before="323" w:after="0"/>
        <w:ind w:left="918" w:right="6933" w:hanging="452"/>
        <w:jc w:val="both"/>
        <w:rPr>
          <w:sz w:val="36"/>
        </w:rPr>
      </w:pPr>
      <w:r>
        <w:rPr>
          <w:sz w:val="36"/>
        </w:rPr>
        <w:t>CKD becomes a serious issue, as it affects an anticipated 7.2 million people in the UK, which creates a treatment burden across families</w:t>
      </w:r>
      <w:r>
        <w:rPr>
          <w:spacing w:val="40"/>
          <w:sz w:val="36"/>
        </w:rPr>
        <w:t> </w:t>
      </w:r>
      <w:r>
        <w:rPr>
          <w:sz w:val="36"/>
        </w:rPr>
        <w:t>and health services (Kidney Care, 2025).</w:t>
      </w:r>
    </w:p>
    <w:p>
      <w:pPr>
        <w:pStyle w:val="ListParagraph"/>
        <w:numPr>
          <w:ilvl w:val="0"/>
          <w:numId w:val="2"/>
        </w:numPr>
        <w:tabs>
          <w:tab w:pos="919" w:val="left" w:leader="none"/>
        </w:tabs>
        <w:spacing w:line="376" w:lineRule="auto" w:before="194" w:after="0"/>
        <w:ind w:left="918" w:right="6936" w:hanging="452"/>
        <w:jc w:val="both"/>
        <w:rPr>
          <w:sz w:val="36"/>
        </w:rPr>
      </w:pPr>
      <w:r>
        <w:rPr>
          <w:sz w:val="36"/>
        </w:rPr>
        <w:t>NHS UK also reported that CKD’s prevalence and seriousness are growing with</w:t>
      </w:r>
      <w:r>
        <w:rPr>
          <w:spacing w:val="-2"/>
          <w:sz w:val="36"/>
        </w:rPr>
        <w:t> </w:t>
      </w:r>
      <w:r>
        <w:rPr>
          <w:sz w:val="36"/>
        </w:rPr>
        <w:t>age, as</w:t>
      </w:r>
      <w:r>
        <w:rPr>
          <w:spacing w:val="-1"/>
          <w:sz w:val="36"/>
        </w:rPr>
        <w:t> </w:t>
      </w:r>
      <w:r>
        <w:rPr>
          <w:sz w:val="36"/>
        </w:rPr>
        <w:t>22%</w:t>
      </w:r>
      <w:r>
        <w:rPr>
          <w:spacing w:val="-2"/>
          <w:sz w:val="36"/>
        </w:rPr>
        <w:t> </w:t>
      </w:r>
      <w:r>
        <w:rPr>
          <w:sz w:val="36"/>
        </w:rPr>
        <w:t>of adults</w:t>
      </w:r>
      <w:r>
        <w:rPr>
          <w:spacing w:val="-1"/>
          <w:sz w:val="36"/>
        </w:rPr>
        <w:t> </w:t>
      </w:r>
      <w:r>
        <w:rPr>
          <w:sz w:val="36"/>
        </w:rPr>
        <w:t>(35 years and over)</w:t>
      </w:r>
      <w:r>
        <w:rPr>
          <w:spacing w:val="-1"/>
          <w:sz w:val="36"/>
        </w:rPr>
        <w:t> </w:t>
      </w:r>
      <w:r>
        <w:rPr>
          <w:sz w:val="36"/>
        </w:rPr>
        <w:t>experience</w:t>
      </w:r>
      <w:r>
        <w:rPr>
          <w:spacing w:val="-2"/>
          <w:sz w:val="36"/>
        </w:rPr>
        <w:t> </w:t>
      </w:r>
      <w:r>
        <w:rPr>
          <w:sz w:val="36"/>
        </w:rPr>
        <w:t>this condition (stages 1 to 5) (NHS England, 2024).</w:t>
      </w:r>
    </w:p>
    <w:p>
      <w:pPr>
        <w:pStyle w:val="ListParagraph"/>
        <w:numPr>
          <w:ilvl w:val="0"/>
          <w:numId w:val="2"/>
        </w:numPr>
        <w:tabs>
          <w:tab w:pos="919" w:val="left" w:leader="none"/>
        </w:tabs>
        <w:spacing w:line="240" w:lineRule="auto" w:before="194" w:after="0"/>
        <w:ind w:left="918" w:right="0" w:hanging="452"/>
        <w:jc w:val="both"/>
        <w:rPr>
          <w:sz w:val="36"/>
        </w:rPr>
      </w:pPr>
      <w:r>
        <w:rPr>
          <w:sz w:val="36"/>
        </w:rPr>
        <w:t>Another</w:t>
      </w:r>
      <w:r>
        <w:rPr>
          <w:spacing w:val="55"/>
          <w:w w:val="150"/>
          <w:sz w:val="36"/>
        </w:rPr>
        <w:t> </w:t>
      </w:r>
      <w:r>
        <w:rPr>
          <w:sz w:val="36"/>
        </w:rPr>
        <w:t>report</w:t>
      </w:r>
      <w:r>
        <w:rPr>
          <w:spacing w:val="57"/>
          <w:w w:val="150"/>
          <w:sz w:val="36"/>
        </w:rPr>
        <w:t> </w:t>
      </w:r>
      <w:r>
        <w:rPr>
          <w:sz w:val="36"/>
        </w:rPr>
        <w:t>shows</w:t>
      </w:r>
      <w:r>
        <w:rPr>
          <w:spacing w:val="57"/>
          <w:w w:val="150"/>
          <w:sz w:val="36"/>
        </w:rPr>
        <w:t> </w:t>
      </w:r>
      <w:r>
        <w:rPr>
          <w:sz w:val="36"/>
        </w:rPr>
        <w:t>the</w:t>
      </w:r>
      <w:r>
        <w:rPr>
          <w:spacing w:val="55"/>
          <w:w w:val="150"/>
          <w:sz w:val="36"/>
        </w:rPr>
        <w:t> </w:t>
      </w:r>
      <w:r>
        <w:rPr>
          <w:sz w:val="36"/>
        </w:rPr>
        <w:t>prevalence</w:t>
      </w:r>
      <w:r>
        <w:rPr>
          <w:spacing w:val="56"/>
          <w:w w:val="150"/>
          <w:sz w:val="36"/>
        </w:rPr>
        <w:t> </w:t>
      </w:r>
      <w:r>
        <w:rPr>
          <w:sz w:val="36"/>
        </w:rPr>
        <w:t>rate</w:t>
      </w:r>
      <w:r>
        <w:rPr>
          <w:spacing w:val="58"/>
          <w:w w:val="150"/>
          <w:sz w:val="36"/>
        </w:rPr>
        <w:t> </w:t>
      </w:r>
      <w:r>
        <w:rPr>
          <w:sz w:val="36"/>
        </w:rPr>
        <w:t>for</w:t>
      </w:r>
      <w:r>
        <w:rPr>
          <w:spacing w:val="55"/>
          <w:w w:val="150"/>
          <w:sz w:val="36"/>
        </w:rPr>
        <w:t> </w:t>
      </w:r>
      <w:r>
        <w:rPr>
          <w:sz w:val="36"/>
        </w:rPr>
        <w:t>CKD</w:t>
      </w:r>
      <w:r>
        <w:rPr>
          <w:spacing w:val="58"/>
          <w:w w:val="150"/>
          <w:sz w:val="36"/>
        </w:rPr>
        <w:t> </w:t>
      </w:r>
      <w:r>
        <w:rPr>
          <w:sz w:val="36"/>
        </w:rPr>
        <w:t>was</w:t>
      </w:r>
      <w:r>
        <w:rPr>
          <w:spacing w:val="58"/>
          <w:w w:val="150"/>
          <w:sz w:val="36"/>
        </w:rPr>
        <w:t> </w:t>
      </w:r>
      <w:r>
        <w:rPr>
          <w:sz w:val="36"/>
        </w:rPr>
        <w:t>5167</w:t>
      </w:r>
      <w:r>
        <w:rPr>
          <w:spacing w:val="56"/>
          <w:w w:val="150"/>
          <w:sz w:val="36"/>
        </w:rPr>
        <w:t> </w:t>
      </w:r>
      <w:r>
        <w:rPr>
          <w:spacing w:val="-5"/>
          <w:sz w:val="36"/>
        </w:rPr>
        <w:t>per</w:t>
      </w:r>
    </w:p>
    <w:p>
      <w:pPr>
        <w:spacing w:before="234"/>
        <w:ind w:left="918" w:right="0" w:firstLine="0"/>
        <w:jc w:val="left"/>
        <w:rPr>
          <w:sz w:val="36"/>
        </w:rPr>
      </w:pPr>
      <w:r>
        <w:rPr>
          <w:sz w:val="36"/>
        </w:rPr>
        <w:t>100,000</w:t>
      </w:r>
      <w:r>
        <w:rPr>
          <w:spacing w:val="-5"/>
          <w:sz w:val="36"/>
        </w:rPr>
        <w:t> </w:t>
      </w:r>
      <w:r>
        <w:rPr>
          <w:sz w:val="36"/>
        </w:rPr>
        <w:t>of</w:t>
      </w:r>
      <w:r>
        <w:rPr>
          <w:spacing w:val="-3"/>
          <w:sz w:val="36"/>
        </w:rPr>
        <w:t> </w:t>
      </w:r>
      <w:r>
        <w:rPr>
          <w:sz w:val="36"/>
        </w:rPr>
        <w:t>the</w:t>
      </w:r>
      <w:r>
        <w:rPr>
          <w:spacing w:val="-7"/>
          <w:sz w:val="36"/>
        </w:rPr>
        <w:t> </w:t>
      </w:r>
      <w:r>
        <w:rPr>
          <w:sz w:val="36"/>
        </w:rPr>
        <w:t>total</w:t>
      </w:r>
      <w:r>
        <w:rPr>
          <w:spacing w:val="-4"/>
          <w:sz w:val="36"/>
        </w:rPr>
        <w:t> </w:t>
      </w:r>
      <w:r>
        <w:rPr>
          <w:sz w:val="36"/>
        </w:rPr>
        <w:t>population</w:t>
      </w:r>
      <w:r>
        <w:rPr>
          <w:spacing w:val="-2"/>
          <w:sz w:val="36"/>
        </w:rPr>
        <w:t> </w:t>
      </w:r>
      <w:r>
        <w:rPr>
          <w:sz w:val="36"/>
        </w:rPr>
        <w:t>in</w:t>
      </w:r>
      <w:r>
        <w:rPr>
          <w:spacing w:val="-3"/>
          <w:sz w:val="36"/>
        </w:rPr>
        <w:t> </w:t>
      </w:r>
      <w:r>
        <w:rPr>
          <w:sz w:val="36"/>
        </w:rPr>
        <w:t>the</w:t>
      </w:r>
      <w:r>
        <w:rPr>
          <w:spacing w:val="-6"/>
          <w:sz w:val="36"/>
        </w:rPr>
        <w:t> </w:t>
      </w:r>
      <w:r>
        <w:rPr>
          <w:sz w:val="36"/>
        </w:rPr>
        <w:t>UK</w:t>
      </w:r>
      <w:r>
        <w:rPr>
          <w:spacing w:val="-5"/>
          <w:sz w:val="36"/>
        </w:rPr>
        <w:t> </w:t>
      </w:r>
      <w:r>
        <w:rPr>
          <w:sz w:val="36"/>
        </w:rPr>
        <w:t>as</w:t>
      </w:r>
      <w:r>
        <w:rPr>
          <w:spacing w:val="-4"/>
          <w:sz w:val="36"/>
        </w:rPr>
        <w:t> </w:t>
      </w:r>
      <w:r>
        <w:rPr>
          <w:sz w:val="36"/>
        </w:rPr>
        <w:t>of</w:t>
      </w:r>
      <w:r>
        <w:rPr>
          <w:spacing w:val="-5"/>
          <w:sz w:val="36"/>
        </w:rPr>
        <w:t> </w:t>
      </w:r>
      <w:r>
        <w:rPr>
          <w:sz w:val="36"/>
        </w:rPr>
        <w:t>2017</w:t>
      </w:r>
      <w:r>
        <w:rPr>
          <w:spacing w:val="-4"/>
          <w:sz w:val="36"/>
        </w:rPr>
        <w:t> </w:t>
      </w:r>
      <w:r>
        <w:rPr>
          <w:sz w:val="36"/>
        </w:rPr>
        <w:t>(Stewart,</w:t>
      </w:r>
      <w:r>
        <w:rPr>
          <w:spacing w:val="5"/>
          <w:sz w:val="36"/>
        </w:rPr>
        <w:t> </w:t>
      </w:r>
      <w:r>
        <w:rPr>
          <w:spacing w:val="-2"/>
          <w:sz w:val="36"/>
        </w:rPr>
        <w:t>2026).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2"/>
        <w:rPr>
          <w:sz w:val="24"/>
        </w:rPr>
      </w:pPr>
    </w:p>
    <w:p>
      <w:pPr>
        <w:spacing w:after="0"/>
        <w:rPr>
          <w:sz w:val="24"/>
        </w:rPr>
        <w:sectPr>
          <w:pgSz w:w="19200" w:h="10800" w:orient="landscape"/>
          <w:pgMar w:top="260" w:bottom="280" w:left="0" w:right="0"/>
        </w:sectPr>
      </w:pPr>
    </w:p>
    <w:p>
      <w:pPr>
        <w:pStyle w:val="Heading3"/>
        <w:spacing w:line="216" w:lineRule="auto" w:before="119"/>
        <w:ind w:left="7119"/>
      </w:pPr>
      <w:r>
        <w:rPr/>
        <w:pict>
          <v:group style="position:absolute;margin-left:.000014pt;margin-top:0pt;width:960pt;height:540pt;mso-position-horizontal-relative:page;mso-position-vertical-relative:page;z-index:-16063488" id="docshapegroup29" coordorigin="0,0" coordsize="19200,10800">
            <v:shape style="position:absolute;left:0;top:0;width:19200;height:10800" type="#_x0000_t75" id="docshape30" stroked="false">
              <v:imagedata r:id="rId11" o:title=""/>
            </v:shape>
            <v:shape style="position:absolute;left:12638;top:1387;width:6329;height:5165" type="#_x0000_t75" id="docshape31" stroked="false">
              <v:imagedata r:id="rId12" o:title=""/>
            </v:shape>
            <v:shape style="position:absolute;left:763;top:7252;width:3886;height:2912" type="#_x0000_t75" id="docshape32" stroked="false">
              <v:imagedata r:id="rId13" o:title=""/>
            </v:shape>
            <v:shape style="position:absolute;left:6369;top:6832;width:4949;height:3142" id="docshape33" coordorigin="6370,6833" coordsize="4949,3142" path="m11004,6833l6684,6833,6612,6841,6546,6865,6487,6902,6439,6950,6402,7009,6378,7075,6370,7147,6370,9660,6378,9732,6402,9798,6439,9857,6487,9905,6546,9942,6612,9966,6684,9974,11004,9974,11076,9966,11142,9942,11201,9905,11249,9857,11286,9798,11310,9732,11318,9660,11318,7147,11310,7075,11286,7009,11249,6950,11201,6902,11142,6865,11076,6841,11004,6833xe" filled="true" fillcolor="#5b9bd4" stroked="false">
              <v:path arrowok="t"/>
              <v:fill type="solid"/>
            </v:shape>
            <v:shape style="position:absolute;left:6369;top:6832;width:4949;height:3142" id="docshape34" coordorigin="6370,6833" coordsize="4949,3142" path="m6370,7147l6378,7075,6402,7009,6439,6950,6487,6902,6546,6865,6612,6841,6684,6833,11004,6833,11076,6841,11142,6865,11201,6902,11249,6950,11286,7009,11310,7075,11318,7147,11318,9660,11310,9732,11286,9798,11249,9857,11201,9905,11142,9942,11076,9966,11004,9974,6684,9974,6612,9966,6546,9942,6487,9905,6439,9857,6402,9798,6378,9732,6370,9660,6370,7147xe" filled="false" stroked="true" strokeweight="1pt" strokecolor="#ffffff">
              <v:path arrowok="t"/>
              <v:stroke dashstyle="solid"/>
            </v:shape>
            <v:shape style="position:absolute;left:6919;top:7356;width:4949;height:3142" id="docshape35" coordorigin="6919,7356" coordsize="4949,3142" path="m11554,7356l7233,7356,7161,7364,7095,7388,7037,7425,6988,7474,6951,7532,6927,7598,6919,7670,6919,10183,6927,10255,6951,10322,6988,10380,7037,10429,7095,10466,7161,10489,7233,10498,11554,10498,11626,10489,11692,10466,11750,10429,11799,10380,11836,10322,11860,10255,11868,10183,11868,7670,11860,7598,11836,7532,11799,7474,11750,7425,11692,7388,11626,7364,11554,7356xe" filled="true" fillcolor="#ffffff" stroked="false">
              <v:path arrowok="t"/>
              <v:fill opacity="59110f" type="solid"/>
            </v:shape>
            <v:shape style="position:absolute;left:6919;top:7356;width:4949;height:3142" id="docshape36" coordorigin="6919,7356" coordsize="4949,3142" path="m6919,7670l6927,7598,6951,7532,6988,7474,7037,7425,7095,7388,7161,7364,7233,7356,11554,7356,11626,7364,11692,7388,11750,7425,11799,7474,11836,7532,11860,7598,11868,7670,11868,10183,11860,10255,11836,10322,11799,10380,11750,10429,11692,10466,11626,10489,11554,10498,7233,10498,7161,10489,7095,10466,7037,10429,6988,10380,6951,10322,6927,10255,6919,10183,6919,7670xe" filled="false" stroked="true" strokeweight="1pt" strokecolor="#5b9bd4">
              <v:path arrowok="t"/>
              <v:stroke dashstyle="solid"/>
            </v:shape>
            <v:shape style="position:absolute;left:12420;top:6832;width:4949;height:3142" id="docshape37" coordorigin="12420,6833" coordsize="4949,3142" path="m17055,6833l12734,6833,12662,6841,12596,6865,12538,6902,12489,6950,12452,7009,12428,7075,12420,7147,12420,9660,12428,9732,12452,9798,12489,9857,12538,9905,12596,9942,12662,9966,12734,9974,17055,9974,17127,9966,17193,9942,17251,9905,17300,9857,17337,9798,17361,9732,17369,9660,17369,7147,17361,7075,17337,7009,17300,6950,17251,6902,17193,6865,17127,6841,17055,6833xe" filled="true" fillcolor="#5b9bd4" stroked="false">
              <v:path arrowok="t"/>
              <v:fill type="solid"/>
            </v:shape>
            <v:shape style="position:absolute;left:12420;top:6832;width:4949;height:3142" id="docshape38" coordorigin="12420,6833" coordsize="4949,3142" path="m12420,7147l12428,7075,12452,7009,12489,6950,12538,6902,12596,6865,12662,6841,12734,6833,17055,6833,17127,6841,17193,6865,17251,6902,17300,6950,17337,7009,17361,7075,17369,7147,17369,9660,17361,9732,17337,9798,17300,9857,17251,9905,17193,9942,17127,9966,17055,9974,12734,9974,12662,9966,12596,9942,12538,9905,12489,9857,12452,9798,12428,9732,12420,9660,12420,7147xe" filled="false" stroked="true" strokeweight="1.0pt" strokecolor="#ffffff">
              <v:path arrowok="t"/>
              <v:stroke dashstyle="solid"/>
            </v:shape>
            <v:shape style="position:absolute;left:12969;top:7356;width:4949;height:3142" id="docshape39" coordorigin="12970,7356" coordsize="4949,3142" path="m17604,7356l13284,7356,13212,7364,13146,7388,13087,7425,13039,7474,13002,7532,12978,7598,12970,7670,12970,10183,12978,10255,13002,10322,13039,10380,13087,10429,13146,10466,13212,10489,13284,10498,17604,10498,17676,10489,17742,10466,17801,10429,17849,10380,17886,10322,17910,10255,17918,10183,17918,7670,17910,7598,17886,7532,17849,7474,17801,7425,17742,7388,17676,7364,17604,7356xe" filled="true" fillcolor="#ffffff" stroked="false">
              <v:path arrowok="t"/>
              <v:fill opacity="59110f" type="solid"/>
            </v:shape>
            <v:shape style="position:absolute;left:12969;top:7356;width:4949;height:3142" id="docshape40" coordorigin="12970,7356" coordsize="4949,3142" path="m12970,7670l12978,7598,13002,7532,13039,7474,13087,7425,13146,7388,13212,7364,13284,7356,17604,7356,17676,7364,17742,7388,17801,7425,17849,7474,17886,7532,17910,7598,17918,7670,17918,10183,17910,10255,17886,10322,17849,10380,17801,10429,17742,10466,17676,10489,17604,10498,13284,10498,13212,10489,13146,10466,13087,10429,13039,10380,13002,10322,12978,10255,12970,10183,12970,7670xe" filled="false" stroked="true" strokeweight="1pt" strokecolor="#5b9bd4">
              <v:path arrowok="t"/>
              <v:stroke dashstyle="solid"/>
            </v:shape>
            <w10:wrap type="none"/>
          </v:group>
        </w:pict>
      </w:r>
      <w:r>
        <w:rPr/>
        <w:t>Globally, the occurrence rate of CKD is significant, as 10% of the population is affected by CKD, and millions of people die per</w:t>
      </w:r>
      <w:r>
        <w:rPr>
          <w:spacing w:val="-8"/>
        </w:rPr>
        <w:t> </w:t>
      </w:r>
      <w:r>
        <w:rPr/>
        <w:t>year</w:t>
      </w:r>
      <w:r>
        <w:rPr>
          <w:spacing w:val="-6"/>
        </w:rPr>
        <w:t> </w:t>
      </w:r>
      <w:r>
        <w:rPr/>
        <w:t>due</w:t>
      </w:r>
      <w:r>
        <w:rPr>
          <w:spacing w:val="-7"/>
        </w:rPr>
        <w:t> </w:t>
      </w:r>
      <w:r>
        <w:rPr/>
        <w:t>to</w:t>
      </w:r>
      <w:r>
        <w:rPr>
          <w:spacing w:val="-10"/>
        </w:rPr>
        <w:t> </w:t>
      </w:r>
      <w:r>
        <w:rPr/>
        <w:t>inaccessibility</w:t>
      </w:r>
      <w:r>
        <w:rPr>
          <w:spacing w:val="-14"/>
        </w:rPr>
        <w:t> </w:t>
      </w:r>
      <w:r>
        <w:rPr/>
        <w:t>to affordable treatment (National Kidney Foundation, 2026).</w:t>
      </w:r>
    </w:p>
    <w:p>
      <w:pPr>
        <w:spacing w:line="240" w:lineRule="auto" w:before="6"/>
        <w:rPr>
          <w:sz w:val="53"/>
        </w:rPr>
      </w:pPr>
      <w:r>
        <w:rPr/>
        <w:br w:type="column"/>
      </w:r>
      <w:r>
        <w:rPr>
          <w:sz w:val="53"/>
        </w:rPr>
      </w:r>
    </w:p>
    <w:p>
      <w:pPr>
        <w:pStyle w:val="Heading3"/>
        <w:spacing w:line="216" w:lineRule="auto"/>
        <w:ind w:right="1473" w:firstLine="2"/>
      </w:pPr>
      <w:r>
        <w:rPr/>
        <w:t>Additionally, nearly 10.4% men and 11.8% women are experiencing</w:t>
      </w:r>
      <w:r>
        <w:rPr>
          <w:spacing w:val="-14"/>
        </w:rPr>
        <w:t> </w:t>
      </w:r>
      <w:r>
        <w:rPr/>
        <w:t>CKD</w:t>
      </w:r>
      <w:r>
        <w:rPr>
          <w:spacing w:val="-13"/>
        </w:rPr>
        <w:t> </w:t>
      </w:r>
      <w:r>
        <w:rPr/>
        <w:t>globally</w:t>
      </w:r>
      <w:r>
        <w:rPr>
          <w:spacing w:val="-17"/>
        </w:rPr>
        <w:t> </w:t>
      </w:r>
      <w:r>
        <w:rPr/>
        <w:t>(ISN, </w:t>
      </w:r>
      <w:r>
        <w:rPr>
          <w:spacing w:val="-2"/>
        </w:rPr>
        <w:t>2026).</w:t>
      </w:r>
    </w:p>
    <w:p>
      <w:pPr>
        <w:spacing w:after="0" w:line="216" w:lineRule="auto"/>
        <w:sectPr>
          <w:type w:val="continuous"/>
          <w:pgSz w:w="19200" w:h="10800" w:orient="landscape"/>
          <w:pgMar w:top="1220" w:bottom="280" w:left="0" w:right="0"/>
          <w:cols w:num="2" w:equalWidth="0">
            <w:col w:w="11669" w:space="40"/>
            <w:col w:w="7491"/>
          </w:cols>
        </w:sectPr>
      </w:pPr>
    </w:p>
    <w:p>
      <w:pPr>
        <w:pStyle w:val="BodyText"/>
      </w:pPr>
      <w:r>
        <w:rPr/>
        <w:pict>
          <v:group style="position:absolute;margin-left:0pt;margin-top:-.000061pt;width:639pt;height:540pt;mso-position-horizontal-relative:page;mso-position-vertical-relative:page;z-index:-16062976" id="docshapegroup41" coordorigin="0,0" coordsize="12780,10800">
            <v:rect style="position:absolute;left:0;top:0;width:12780;height:10800" id="docshape42" filled="true" fillcolor="#fae4d5" stroked="false">
              <v:fill type="solid"/>
            </v:rect>
            <v:rect style="position:absolute;left:1080;top:1080;width:10620;height:8640" id="docshape43" filled="true" fillcolor="#ffffff" stroked="false">
              <v:fill type="solid"/>
            </v:rect>
            <w10:wrap type="none"/>
          </v:group>
        </w:pic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4"/>
      </w:pPr>
    </w:p>
    <w:p>
      <w:pPr>
        <w:spacing w:line="211" w:lineRule="auto" w:before="45"/>
        <w:ind w:left="4714" w:right="8130" w:hanging="2175"/>
        <w:jc w:val="left"/>
        <w:rPr>
          <w:rFonts w:ascii="Calibri Light"/>
          <w:b w:val="0"/>
          <w:sz w:val="64"/>
        </w:rPr>
      </w:pPr>
      <w:r>
        <w:rPr/>
        <w:drawing>
          <wp:anchor distT="0" distB="0" distL="0" distR="0" allowOverlap="1" layoutInCell="1" locked="0" behindDoc="0" simplePos="0" relativeHeight="15732224">
            <wp:simplePos x="0" y="0"/>
            <wp:positionH relativeFrom="page">
              <wp:posOffset>8779764</wp:posOffset>
            </wp:positionH>
            <wp:positionV relativeFrom="paragraph">
              <wp:posOffset>-631285</wp:posOffset>
            </wp:positionV>
            <wp:extent cx="2726435" cy="2421636"/>
            <wp:effectExtent l="0" t="0" r="0" b="0"/>
            <wp:wrapNone/>
            <wp:docPr id="1" name="image10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26435" cy="24216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 Light"/>
          <w:b w:val="0"/>
          <w:color w:val="585858"/>
          <w:spacing w:val="-2"/>
          <w:sz w:val="64"/>
        </w:rPr>
        <w:t>Economic</w:t>
      </w:r>
      <w:r>
        <w:rPr>
          <w:rFonts w:ascii="Calibri Light"/>
          <w:b w:val="0"/>
          <w:color w:val="585858"/>
          <w:spacing w:val="-35"/>
          <w:sz w:val="64"/>
        </w:rPr>
        <w:t> </w:t>
      </w:r>
      <w:r>
        <w:rPr>
          <w:rFonts w:ascii="Calibri Light"/>
          <w:b w:val="0"/>
          <w:color w:val="585858"/>
          <w:spacing w:val="-2"/>
          <w:sz w:val="64"/>
        </w:rPr>
        <w:t>and</w:t>
      </w:r>
      <w:r>
        <w:rPr>
          <w:rFonts w:ascii="Calibri Light"/>
          <w:b w:val="0"/>
          <w:color w:val="585858"/>
          <w:spacing w:val="-34"/>
          <w:sz w:val="64"/>
        </w:rPr>
        <w:t> </w:t>
      </w:r>
      <w:r>
        <w:rPr>
          <w:rFonts w:ascii="Calibri Light"/>
          <w:b w:val="0"/>
          <w:color w:val="585858"/>
          <w:spacing w:val="-2"/>
          <w:sz w:val="64"/>
        </w:rPr>
        <w:t>social</w:t>
      </w:r>
      <w:r>
        <w:rPr>
          <w:rFonts w:ascii="Calibri Light"/>
          <w:b w:val="0"/>
          <w:color w:val="585858"/>
          <w:spacing w:val="-34"/>
          <w:sz w:val="64"/>
        </w:rPr>
        <w:t> </w:t>
      </w:r>
      <w:r>
        <w:rPr>
          <w:rFonts w:ascii="Calibri Light"/>
          <w:b w:val="0"/>
          <w:color w:val="585858"/>
          <w:spacing w:val="-2"/>
          <w:sz w:val="64"/>
        </w:rPr>
        <w:t>burden</w:t>
      </w:r>
      <w:r>
        <w:rPr>
          <w:rFonts w:ascii="Calibri Light"/>
          <w:b w:val="0"/>
          <w:color w:val="585858"/>
          <w:spacing w:val="-34"/>
          <w:sz w:val="64"/>
        </w:rPr>
        <w:t> </w:t>
      </w:r>
      <w:r>
        <w:rPr>
          <w:rFonts w:ascii="Calibri Light"/>
          <w:b w:val="0"/>
          <w:color w:val="585858"/>
          <w:spacing w:val="-2"/>
          <w:sz w:val="64"/>
        </w:rPr>
        <w:t>of </w:t>
      </w:r>
      <w:r>
        <w:rPr>
          <w:rFonts w:ascii="Calibri Light"/>
          <w:b w:val="0"/>
          <w:color w:val="585858"/>
          <w:sz w:val="64"/>
        </w:rPr>
        <w:t>the condition</w:t>
      </w:r>
    </w:p>
    <w:p>
      <w:pPr>
        <w:pStyle w:val="BodyText"/>
        <w:rPr>
          <w:rFonts w:ascii="Calibri Light"/>
          <w:b w:val="0"/>
          <w:sz w:val="50"/>
        </w:rPr>
      </w:pPr>
    </w:p>
    <w:p>
      <w:pPr>
        <w:pStyle w:val="ListParagraph"/>
        <w:numPr>
          <w:ilvl w:val="1"/>
          <w:numId w:val="2"/>
        </w:numPr>
        <w:tabs>
          <w:tab w:pos="2698" w:val="left" w:leader="none"/>
          <w:tab w:pos="2699" w:val="left" w:leader="none"/>
        </w:tabs>
        <w:spacing w:line="211" w:lineRule="auto" w:before="0" w:after="0"/>
        <w:ind w:left="2699" w:right="9573" w:hanging="360"/>
        <w:jc w:val="left"/>
        <w:rPr>
          <w:rFonts w:ascii="Calibri" w:hAnsi="Calibri"/>
          <w:sz w:val="28"/>
        </w:rPr>
      </w:pPr>
      <w:r>
        <w:rPr>
          <w:rFonts w:ascii="Calibri" w:hAnsi="Calibri"/>
          <w:color w:val="585858"/>
          <w:sz w:val="28"/>
        </w:rPr>
        <w:t>CKD</w:t>
      </w:r>
      <w:r>
        <w:rPr>
          <w:rFonts w:ascii="Calibri" w:hAnsi="Calibri"/>
          <w:color w:val="585858"/>
          <w:spacing w:val="-8"/>
          <w:sz w:val="28"/>
        </w:rPr>
        <w:t> </w:t>
      </w:r>
      <w:r>
        <w:rPr>
          <w:rFonts w:ascii="Calibri" w:hAnsi="Calibri"/>
          <w:color w:val="585858"/>
          <w:sz w:val="28"/>
        </w:rPr>
        <w:t>bears</w:t>
      </w:r>
      <w:r>
        <w:rPr>
          <w:rFonts w:ascii="Calibri" w:hAnsi="Calibri"/>
          <w:color w:val="585858"/>
          <w:spacing w:val="-8"/>
          <w:sz w:val="28"/>
        </w:rPr>
        <w:t> </w:t>
      </w:r>
      <w:r>
        <w:rPr>
          <w:rFonts w:ascii="Calibri" w:hAnsi="Calibri"/>
          <w:color w:val="585858"/>
          <w:sz w:val="28"/>
        </w:rPr>
        <w:t>a</w:t>
      </w:r>
      <w:r>
        <w:rPr>
          <w:rFonts w:ascii="Calibri" w:hAnsi="Calibri"/>
          <w:color w:val="585858"/>
          <w:spacing w:val="-8"/>
          <w:sz w:val="28"/>
        </w:rPr>
        <w:t> </w:t>
      </w:r>
      <w:r>
        <w:rPr>
          <w:rFonts w:ascii="Calibri" w:hAnsi="Calibri"/>
          <w:color w:val="585858"/>
          <w:sz w:val="28"/>
        </w:rPr>
        <w:t>significant</w:t>
      </w:r>
      <w:r>
        <w:rPr>
          <w:rFonts w:ascii="Calibri" w:hAnsi="Calibri"/>
          <w:color w:val="585858"/>
          <w:spacing w:val="-8"/>
          <w:sz w:val="28"/>
        </w:rPr>
        <w:t> </w:t>
      </w:r>
      <w:r>
        <w:rPr>
          <w:rFonts w:ascii="Calibri" w:hAnsi="Calibri"/>
          <w:color w:val="585858"/>
          <w:sz w:val="28"/>
        </w:rPr>
        <w:t>economic</w:t>
      </w:r>
      <w:r>
        <w:rPr>
          <w:rFonts w:ascii="Calibri" w:hAnsi="Calibri"/>
          <w:color w:val="585858"/>
          <w:spacing w:val="-11"/>
          <w:sz w:val="28"/>
        </w:rPr>
        <w:t> </w:t>
      </w:r>
      <w:r>
        <w:rPr>
          <w:rFonts w:ascii="Calibri" w:hAnsi="Calibri"/>
          <w:color w:val="585858"/>
          <w:sz w:val="28"/>
        </w:rPr>
        <w:t>burden,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which</w:t>
      </w:r>
      <w:r>
        <w:rPr>
          <w:rFonts w:ascii="Calibri" w:hAnsi="Calibri"/>
          <w:color w:val="585858"/>
          <w:spacing w:val="-11"/>
          <w:sz w:val="28"/>
        </w:rPr>
        <w:t> </w:t>
      </w:r>
      <w:r>
        <w:rPr>
          <w:rFonts w:ascii="Calibri" w:hAnsi="Calibri"/>
          <w:color w:val="585858"/>
          <w:sz w:val="28"/>
        </w:rPr>
        <w:t>substantially increases the severity of the condition (Jha et al., 2024).</w:t>
      </w:r>
    </w:p>
    <w:p>
      <w:pPr>
        <w:pStyle w:val="ListParagraph"/>
        <w:numPr>
          <w:ilvl w:val="1"/>
          <w:numId w:val="2"/>
        </w:numPr>
        <w:tabs>
          <w:tab w:pos="2698" w:val="left" w:leader="none"/>
          <w:tab w:pos="2699" w:val="left" w:leader="none"/>
        </w:tabs>
        <w:spacing w:line="322" w:lineRule="exact" w:before="173" w:after="0"/>
        <w:ind w:left="2699" w:right="0" w:hanging="360"/>
        <w:jc w:val="left"/>
        <w:rPr>
          <w:rFonts w:ascii="Calibri" w:hAnsi="Calibri"/>
          <w:sz w:val="28"/>
        </w:rPr>
      </w:pPr>
      <w:r>
        <w:rPr>
          <w:rFonts w:ascii="Calibri" w:hAnsi="Calibri"/>
          <w:color w:val="585858"/>
          <w:sz w:val="28"/>
        </w:rPr>
        <w:t>In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the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UK,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CKD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imposes</w:t>
      </w:r>
      <w:r>
        <w:rPr>
          <w:rFonts w:ascii="Calibri" w:hAnsi="Calibri"/>
          <w:color w:val="585858"/>
          <w:spacing w:val="-7"/>
          <w:sz w:val="28"/>
        </w:rPr>
        <w:t> </w:t>
      </w:r>
      <w:r>
        <w:rPr>
          <w:rFonts w:ascii="Calibri" w:hAnsi="Calibri"/>
          <w:color w:val="585858"/>
          <w:sz w:val="28"/>
        </w:rPr>
        <w:t>a</w:t>
      </w:r>
      <w:r>
        <w:rPr>
          <w:rFonts w:ascii="Calibri" w:hAnsi="Calibri"/>
          <w:color w:val="585858"/>
          <w:spacing w:val="-3"/>
          <w:sz w:val="28"/>
        </w:rPr>
        <w:t> </w:t>
      </w:r>
      <w:r>
        <w:rPr>
          <w:rFonts w:ascii="Calibri" w:hAnsi="Calibri"/>
          <w:color w:val="585858"/>
          <w:sz w:val="28"/>
        </w:rPr>
        <w:t>£7.0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billion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annual</w:t>
      </w:r>
      <w:r>
        <w:rPr>
          <w:rFonts w:ascii="Calibri" w:hAnsi="Calibri"/>
          <w:color w:val="585858"/>
          <w:spacing w:val="-1"/>
          <w:sz w:val="28"/>
        </w:rPr>
        <w:t> </w:t>
      </w:r>
      <w:r>
        <w:rPr>
          <w:rFonts w:ascii="Calibri" w:hAnsi="Calibri"/>
          <w:color w:val="585858"/>
          <w:sz w:val="28"/>
        </w:rPr>
        <w:t>economic</w:t>
      </w:r>
      <w:r>
        <w:rPr>
          <w:rFonts w:ascii="Calibri" w:hAnsi="Calibri"/>
          <w:color w:val="585858"/>
          <w:spacing w:val="-8"/>
          <w:sz w:val="28"/>
        </w:rPr>
        <w:t> </w:t>
      </w:r>
      <w:r>
        <w:rPr>
          <w:rFonts w:ascii="Calibri" w:hAnsi="Calibri"/>
          <w:color w:val="585858"/>
          <w:sz w:val="28"/>
        </w:rPr>
        <w:t>burden,</w:t>
      </w:r>
      <w:r>
        <w:rPr>
          <w:rFonts w:ascii="Calibri" w:hAnsi="Calibri"/>
          <w:color w:val="585858"/>
          <w:spacing w:val="1"/>
          <w:sz w:val="28"/>
        </w:rPr>
        <w:t> </w:t>
      </w:r>
      <w:r>
        <w:rPr>
          <w:rFonts w:ascii="Calibri" w:hAnsi="Calibri"/>
          <w:color w:val="585858"/>
          <w:spacing w:val="-2"/>
          <w:sz w:val="28"/>
        </w:rPr>
        <w:t>while</w:t>
      </w:r>
    </w:p>
    <w:p>
      <w:pPr>
        <w:spacing w:line="322" w:lineRule="exact" w:before="0"/>
        <w:ind w:left="2699" w:right="0" w:firstLine="0"/>
        <w:jc w:val="left"/>
        <w:rPr>
          <w:rFonts w:ascii="Calibri" w:hAnsi="Calibri"/>
          <w:sz w:val="28"/>
        </w:rPr>
      </w:pPr>
      <w:r>
        <w:rPr>
          <w:rFonts w:ascii="Calibri" w:hAnsi="Calibri"/>
          <w:color w:val="585858"/>
          <w:sz w:val="28"/>
        </w:rPr>
        <w:t>£6.4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billion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is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a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direct</w:t>
      </w:r>
      <w:r>
        <w:rPr>
          <w:rFonts w:ascii="Calibri" w:hAnsi="Calibri"/>
          <w:color w:val="585858"/>
          <w:spacing w:val="-1"/>
          <w:sz w:val="28"/>
        </w:rPr>
        <w:t> </w:t>
      </w:r>
      <w:r>
        <w:rPr>
          <w:rFonts w:ascii="Calibri" w:hAnsi="Calibri"/>
          <w:color w:val="585858"/>
          <w:sz w:val="28"/>
        </w:rPr>
        <w:t>cost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to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the</w:t>
      </w:r>
      <w:r>
        <w:rPr>
          <w:rFonts w:ascii="Calibri" w:hAnsi="Calibri"/>
          <w:color w:val="585858"/>
          <w:spacing w:val="-1"/>
          <w:sz w:val="28"/>
        </w:rPr>
        <w:t> </w:t>
      </w:r>
      <w:r>
        <w:rPr>
          <w:rFonts w:ascii="Calibri" w:hAnsi="Calibri"/>
          <w:color w:val="585858"/>
          <w:sz w:val="28"/>
        </w:rPr>
        <w:t>NHS</w:t>
      </w:r>
      <w:r>
        <w:rPr>
          <w:rFonts w:ascii="Calibri" w:hAnsi="Calibri"/>
          <w:color w:val="585858"/>
          <w:spacing w:val="-9"/>
          <w:sz w:val="28"/>
        </w:rPr>
        <w:t> </w:t>
      </w:r>
      <w:r>
        <w:rPr>
          <w:rFonts w:ascii="Calibri" w:hAnsi="Calibri"/>
          <w:color w:val="585858"/>
          <w:sz w:val="28"/>
        </w:rPr>
        <w:t>(Kidney</w:t>
      </w:r>
      <w:r>
        <w:rPr>
          <w:rFonts w:ascii="Calibri" w:hAnsi="Calibri"/>
          <w:color w:val="585858"/>
          <w:spacing w:val="-1"/>
          <w:sz w:val="28"/>
        </w:rPr>
        <w:t> </w:t>
      </w:r>
      <w:r>
        <w:rPr>
          <w:rFonts w:ascii="Calibri" w:hAnsi="Calibri"/>
          <w:color w:val="585858"/>
          <w:sz w:val="28"/>
        </w:rPr>
        <w:t>Research</w:t>
      </w:r>
      <w:r>
        <w:rPr>
          <w:rFonts w:ascii="Calibri" w:hAnsi="Calibri"/>
          <w:color w:val="585858"/>
          <w:spacing w:val="-7"/>
          <w:sz w:val="28"/>
        </w:rPr>
        <w:t> </w:t>
      </w:r>
      <w:r>
        <w:rPr>
          <w:rFonts w:ascii="Calibri" w:hAnsi="Calibri"/>
          <w:color w:val="585858"/>
          <w:sz w:val="28"/>
        </w:rPr>
        <w:t>UK,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pacing w:val="-2"/>
          <w:sz w:val="28"/>
        </w:rPr>
        <w:t>2023).</w:t>
      </w:r>
    </w:p>
    <w:p>
      <w:pPr>
        <w:pStyle w:val="ListParagraph"/>
        <w:numPr>
          <w:ilvl w:val="1"/>
          <w:numId w:val="2"/>
        </w:numPr>
        <w:tabs>
          <w:tab w:pos="2698" w:val="left" w:leader="none"/>
          <w:tab w:pos="2699" w:val="left" w:leader="none"/>
        </w:tabs>
        <w:spacing w:line="213" w:lineRule="auto" w:before="189" w:after="0"/>
        <w:ind w:left="2699" w:right="8991" w:hanging="360"/>
        <w:jc w:val="left"/>
        <w:rPr>
          <w:rFonts w:ascii="Calibri" w:hAnsi="Calibri"/>
          <w:sz w:val="28"/>
        </w:rPr>
      </w:pPr>
      <w:r>
        <w:rPr/>
        <w:drawing>
          <wp:anchor distT="0" distB="0" distL="0" distR="0" allowOverlap="1" layoutInCell="1" locked="0" behindDoc="0" simplePos="0" relativeHeight="15732736">
            <wp:simplePos x="0" y="0"/>
            <wp:positionH relativeFrom="page">
              <wp:posOffset>8779764</wp:posOffset>
            </wp:positionH>
            <wp:positionV relativeFrom="paragraph">
              <wp:posOffset>243557</wp:posOffset>
            </wp:positionV>
            <wp:extent cx="2726435" cy="2421509"/>
            <wp:effectExtent l="0" t="0" r="0" b="0"/>
            <wp:wrapNone/>
            <wp:docPr id="3" name="image1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11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26435" cy="242150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hAnsi="Calibri"/>
          <w:color w:val="585858"/>
          <w:sz w:val="28"/>
        </w:rPr>
        <w:t>CKD affected people who were admitted for the first time to the hospital;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their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earnings</w:t>
      </w:r>
      <w:r>
        <w:rPr>
          <w:rFonts w:ascii="Calibri" w:hAnsi="Calibri"/>
          <w:color w:val="585858"/>
          <w:spacing w:val="-1"/>
          <w:sz w:val="28"/>
        </w:rPr>
        <w:t> </w:t>
      </w:r>
      <w:r>
        <w:rPr>
          <w:rFonts w:ascii="Calibri" w:hAnsi="Calibri"/>
          <w:color w:val="585858"/>
          <w:sz w:val="28"/>
        </w:rPr>
        <w:t>fell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by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nearly</w:t>
      </w:r>
      <w:r>
        <w:rPr>
          <w:rFonts w:ascii="Calibri" w:hAnsi="Calibri"/>
          <w:color w:val="585858"/>
          <w:spacing w:val="-4"/>
          <w:sz w:val="28"/>
        </w:rPr>
        <w:t> </w:t>
      </w:r>
      <w:r>
        <w:rPr>
          <w:rFonts w:ascii="Calibri" w:hAnsi="Calibri"/>
          <w:color w:val="585858"/>
          <w:sz w:val="28"/>
        </w:rPr>
        <w:t>£14,700</w:t>
      </w:r>
      <w:r>
        <w:rPr>
          <w:rFonts w:ascii="Calibri" w:hAnsi="Calibri"/>
          <w:color w:val="585858"/>
          <w:spacing w:val="-2"/>
          <w:sz w:val="28"/>
        </w:rPr>
        <w:t> </w:t>
      </w:r>
      <w:r>
        <w:rPr>
          <w:rFonts w:ascii="Calibri" w:hAnsi="Calibri"/>
          <w:color w:val="585858"/>
          <w:sz w:val="28"/>
        </w:rPr>
        <w:t>within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the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five</w:t>
      </w:r>
      <w:r>
        <w:rPr>
          <w:rFonts w:ascii="Calibri" w:hAnsi="Calibri"/>
          <w:color w:val="585858"/>
          <w:spacing w:val="-7"/>
          <w:sz w:val="28"/>
        </w:rPr>
        <w:t> </w:t>
      </w:r>
      <w:r>
        <w:rPr>
          <w:rFonts w:ascii="Calibri" w:hAnsi="Calibri"/>
          <w:color w:val="585858"/>
          <w:sz w:val="28"/>
        </w:rPr>
        <w:t>years (UKKA, 2025), as it creates financial challenges, reflecting a social </w:t>
      </w:r>
      <w:r>
        <w:rPr>
          <w:rFonts w:ascii="Calibri" w:hAnsi="Calibri"/>
          <w:color w:val="585858"/>
          <w:spacing w:val="-2"/>
          <w:sz w:val="28"/>
        </w:rPr>
        <w:t>burden.</w:t>
      </w:r>
    </w:p>
    <w:p>
      <w:pPr>
        <w:pStyle w:val="ListParagraph"/>
        <w:numPr>
          <w:ilvl w:val="1"/>
          <w:numId w:val="2"/>
        </w:numPr>
        <w:tabs>
          <w:tab w:pos="2698" w:val="left" w:leader="none"/>
          <w:tab w:pos="2699" w:val="left" w:leader="none"/>
        </w:tabs>
        <w:spacing w:line="211" w:lineRule="auto" w:before="195" w:after="0"/>
        <w:ind w:left="2699" w:right="8851" w:hanging="360"/>
        <w:jc w:val="left"/>
        <w:rPr>
          <w:rFonts w:ascii="Calibri" w:hAnsi="Calibri"/>
          <w:sz w:val="28"/>
        </w:rPr>
      </w:pPr>
      <w:r>
        <w:rPr>
          <w:rFonts w:ascii="Calibri" w:hAnsi="Calibri"/>
          <w:color w:val="585858"/>
          <w:sz w:val="28"/>
        </w:rPr>
        <w:t>CKD creates a significant social burden on families as people with CKD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lose</w:t>
      </w:r>
      <w:r>
        <w:rPr>
          <w:rFonts w:ascii="Calibri" w:hAnsi="Calibri"/>
          <w:color w:val="585858"/>
          <w:spacing w:val="-7"/>
          <w:sz w:val="28"/>
        </w:rPr>
        <w:t> </w:t>
      </w:r>
      <w:r>
        <w:rPr>
          <w:rFonts w:ascii="Calibri" w:hAnsi="Calibri"/>
          <w:color w:val="585858"/>
          <w:sz w:val="28"/>
        </w:rPr>
        <w:t>their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productivity</w:t>
      </w:r>
      <w:r>
        <w:rPr>
          <w:rFonts w:ascii="Calibri" w:hAnsi="Calibri"/>
          <w:color w:val="585858"/>
          <w:spacing w:val="-3"/>
          <w:sz w:val="28"/>
        </w:rPr>
        <w:t> </w:t>
      </w:r>
      <w:r>
        <w:rPr>
          <w:rFonts w:ascii="Calibri" w:hAnsi="Calibri"/>
          <w:color w:val="585858"/>
          <w:sz w:val="28"/>
        </w:rPr>
        <w:t>and</w:t>
      </w:r>
      <w:r>
        <w:rPr>
          <w:rFonts w:ascii="Calibri" w:hAnsi="Calibri"/>
          <w:color w:val="585858"/>
          <w:spacing w:val="-6"/>
          <w:sz w:val="28"/>
        </w:rPr>
        <w:t> </w:t>
      </w:r>
      <w:r>
        <w:rPr>
          <w:rFonts w:ascii="Calibri" w:hAnsi="Calibri"/>
          <w:color w:val="585858"/>
          <w:sz w:val="28"/>
        </w:rPr>
        <w:t>incur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higher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medical</w:t>
      </w:r>
      <w:r>
        <w:rPr>
          <w:rFonts w:ascii="Calibri" w:hAnsi="Calibri"/>
          <w:color w:val="585858"/>
          <w:spacing w:val="-5"/>
          <w:sz w:val="28"/>
        </w:rPr>
        <w:t> </w:t>
      </w:r>
      <w:r>
        <w:rPr>
          <w:rFonts w:ascii="Calibri" w:hAnsi="Calibri"/>
          <w:color w:val="585858"/>
          <w:sz w:val="28"/>
        </w:rPr>
        <w:t>costs</w:t>
      </w:r>
      <w:r>
        <w:rPr>
          <w:rFonts w:ascii="Calibri" w:hAnsi="Calibri"/>
          <w:color w:val="585858"/>
          <w:spacing w:val="-9"/>
          <w:sz w:val="28"/>
        </w:rPr>
        <w:t> </w:t>
      </w:r>
      <w:r>
        <w:rPr>
          <w:rFonts w:ascii="Calibri" w:hAnsi="Calibri"/>
          <w:color w:val="585858"/>
          <w:sz w:val="28"/>
        </w:rPr>
        <w:t>(Wang</w:t>
      </w:r>
      <w:r>
        <w:rPr>
          <w:rFonts w:ascii="Calibri" w:hAnsi="Calibri"/>
          <w:color w:val="585858"/>
          <w:spacing w:val="-3"/>
          <w:sz w:val="28"/>
        </w:rPr>
        <w:t> </w:t>
      </w:r>
      <w:r>
        <w:rPr>
          <w:rFonts w:ascii="Calibri" w:hAnsi="Calibri"/>
          <w:color w:val="585858"/>
          <w:sz w:val="28"/>
        </w:rPr>
        <w:t>et al., 2024).</w:t>
      </w:r>
    </w:p>
    <w:p>
      <w:pPr>
        <w:spacing w:after="0" w:line="211" w:lineRule="auto"/>
        <w:jc w:val="left"/>
        <w:rPr>
          <w:rFonts w:ascii="Calibri" w:hAnsi="Calibri"/>
          <w:sz w:val="28"/>
        </w:rPr>
        <w:sectPr>
          <w:pgSz w:w="19200" w:h="10800" w:orient="landscape"/>
          <w:pgMar w:top="0" w:bottom="0" w:left="0" w:right="0"/>
        </w:sectPr>
      </w:pPr>
    </w:p>
    <w:p>
      <w:pPr>
        <w:pStyle w:val="Heading2"/>
        <w:spacing w:before="59"/>
        <w:ind w:left="723"/>
      </w:pPr>
      <w:r>
        <w:rPr/>
        <w:pict>
          <v:group style="position:absolute;margin-left:0pt;margin-top:-.000061pt;width:960pt;height:540pt;mso-position-horizontal-relative:page;mso-position-vertical-relative:page;z-index:-16061440" id="docshapegroup44" coordorigin="0,0" coordsize="19200,10800">
            <v:shape style="position:absolute;left:0;top:0;width:19200;height:10800" type="#_x0000_t75" id="docshape45" stroked="false">
              <v:imagedata r:id="rId16" o:title=""/>
            </v:shape>
            <v:shape style="position:absolute;left:0;top:0;width:4491;height:10800" type="#_x0000_t75" id="docshape46" stroked="false">
              <v:imagedata r:id="rId17" o:title=""/>
            </v:shape>
            <v:rect style="position:absolute;left:0;top:0;width:288;height:10800" id="docshape47" filled="true" fillcolor="#2d5269" stroked="false">
              <v:fill type="solid"/>
            </v:rect>
            <v:shape style="position:absolute;left:0;top:6808;width:2745;height:1227" id="docshape48" coordorigin="0,6809" coordsize="2745,1227" path="m2120,6809l0,6809,0,8035,2120,8035,2135,8034,2148,8031,2157,8026,2164,8020,2164,8013,2172,8013,2733,7452,2742,7438,2744,7421,2742,7403,2733,7385,2172,6831,2172,6824,2164,6824,2157,6818,2148,6813,2135,6810,2120,6809xe" filled="true" fillcolor="#353535" stroked="false">
              <v:path arrowok="t"/>
              <v:fill type="solid"/>
            </v:shape>
            <v:shape style="position:absolute;left:2702;top:1946;width:3926;height:3854" type="#_x0000_t75" id="docshape49" stroked="false">
              <v:imagedata r:id="rId18" o:title=""/>
            </v:shape>
            <v:shape style="position:absolute;left:2366;top:6427;width:4704;height:3780" type="#_x0000_t75" id="docshape50" stroked="false">
              <v:imagedata r:id="rId19" o:title=""/>
            </v:shape>
            <v:shape style="position:absolute;left:2604;top:6664;width:4124;height:3200" type="#_x0000_t75" id="docshape51" stroked="false">
              <v:imagedata r:id="rId20" o:title=""/>
            </v:shape>
            <v:rect style="position:absolute;left:2504;top:6564;width:4324;height:3400" id="docshape52" filled="false" stroked="true" strokeweight="10pt" strokecolor="#000000">
              <v:stroke dashstyle="solid"/>
            </v:rect>
            <w10:wrap type="none"/>
          </v:group>
        </w:pict>
      </w:r>
      <w:r>
        <w:rPr/>
        <w:t>Diagnosis</w:t>
      </w:r>
      <w:r>
        <w:rPr>
          <w:spacing w:val="-16"/>
        </w:rPr>
        <w:t> </w:t>
      </w:r>
      <w:r>
        <w:rPr/>
        <w:t>and</w:t>
      </w:r>
      <w:r>
        <w:rPr>
          <w:spacing w:val="-15"/>
        </w:rPr>
        <w:t> </w:t>
      </w:r>
      <w:r>
        <w:rPr/>
        <w:t>Initial</w:t>
      </w:r>
      <w:r>
        <w:rPr>
          <w:spacing w:val="-9"/>
        </w:rPr>
        <w:t> </w:t>
      </w:r>
      <w:r>
        <w:rPr>
          <w:spacing w:val="-2"/>
        </w:rPr>
        <w:t>assessment</w:t>
      </w:r>
    </w:p>
    <w:p>
      <w:pPr>
        <w:pStyle w:val="BodyText"/>
        <w:spacing w:before="11"/>
        <w:rPr>
          <w:b/>
          <w:sz w:val="88"/>
        </w:rPr>
      </w:pPr>
    </w:p>
    <w:p>
      <w:pPr>
        <w:pStyle w:val="ListParagraph"/>
        <w:numPr>
          <w:ilvl w:val="2"/>
          <w:numId w:val="2"/>
        </w:numPr>
        <w:tabs>
          <w:tab w:pos="8196" w:val="left" w:leader="none"/>
        </w:tabs>
        <w:spacing w:line="376" w:lineRule="auto" w:before="0" w:after="0"/>
        <w:ind w:left="8196" w:right="1247" w:hanging="452"/>
        <w:jc w:val="both"/>
        <w:rPr>
          <w:sz w:val="36"/>
        </w:rPr>
      </w:pPr>
      <w:r>
        <w:rPr>
          <w:sz w:val="36"/>
        </w:rPr>
        <w:t>The primary diagnosis of CKD is based on biochemical parameters (blood test) that measure serum creatinine to calculate the estimated glomerular filtration (eGFR) rate through the CKD-EPI equation (Borg et al., 2023).</w:t>
      </w:r>
    </w:p>
    <w:p>
      <w:pPr>
        <w:pStyle w:val="ListParagraph"/>
        <w:numPr>
          <w:ilvl w:val="2"/>
          <w:numId w:val="2"/>
        </w:numPr>
        <w:tabs>
          <w:tab w:pos="8196" w:val="left" w:leader="none"/>
        </w:tabs>
        <w:spacing w:line="376" w:lineRule="auto" w:before="193" w:after="0"/>
        <w:ind w:left="8196" w:right="1248" w:hanging="452"/>
        <w:jc w:val="both"/>
        <w:rPr>
          <w:sz w:val="36"/>
        </w:rPr>
      </w:pPr>
      <w:r>
        <w:rPr>
          <w:sz w:val="36"/>
        </w:rPr>
        <w:t>Urine Albumin-to-creatinine ratio (uACR) is used to check for albumin</w:t>
      </w:r>
      <w:r>
        <w:rPr>
          <w:sz w:val="36"/>
        </w:rPr>
        <w:t> in</w:t>
      </w:r>
      <w:r>
        <w:rPr>
          <w:sz w:val="36"/>
        </w:rPr>
        <w:t> urine</w:t>
      </w:r>
      <w:r>
        <w:rPr>
          <w:sz w:val="36"/>
        </w:rPr>
        <w:t> that</w:t>
      </w:r>
      <w:r>
        <w:rPr>
          <w:sz w:val="36"/>
        </w:rPr>
        <w:t> reflects</w:t>
      </w:r>
      <w:r>
        <w:rPr>
          <w:sz w:val="36"/>
        </w:rPr>
        <w:t> kidney</w:t>
      </w:r>
      <w:r>
        <w:rPr>
          <w:sz w:val="36"/>
        </w:rPr>
        <w:t> damage, effective for those who have high blood pressure or heart disease (Cleveland Clinic, 2024).</w:t>
      </w:r>
    </w:p>
    <w:p>
      <w:pPr>
        <w:pStyle w:val="ListParagraph"/>
        <w:numPr>
          <w:ilvl w:val="2"/>
          <w:numId w:val="2"/>
        </w:numPr>
        <w:tabs>
          <w:tab w:pos="8196" w:val="left" w:leader="none"/>
        </w:tabs>
        <w:spacing w:line="376" w:lineRule="auto" w:before="192" w:after="0"/>
        <w:ind w:left="8196" w:right="1250" w:hanging="452"/>
        <w:jc w:val="both"/>
        <w:rPr>
          <w:sz w:val="36"/>
        </w:rPr>
      </w:pPr>
      <w:r>
        <w:rPr>
          <w:sz w:val="36"/>
        </w:rPr>
        <w:t>Additionally, ultrasound may be used to examine the kidney structure and size, and for severe cases, biopsy, which provides accurate pathology for CKD (Borg et al., 2023).</w:t>
      </w:r>
    </w:p>
    <w:p>
      <w:pPr>
        <w:spacing w:after="0" w:line="376" w:lineRule="auto"/>
        <w:jc w:val="both"/>
        <w:rPr>
          <w:sz w:val="36"/>
        </w:rPr>
        <w:sectPr>
          <w:pgSz w:w="19200" w:h="10800" w:orient="landscape"/>
          <w:pgMar w:top="420" w:bottom="280" w:left="0" w:right="0"/>
        </w:sectPr>
      </w:pPr>
    </w:p>
    <w:p>
      <w:pPr>
        <w:pStyle w:val="Heading2"/>
        <w:spacing w:before="64"/>
        <w:ind w:left="684"/>
      </w:pPr>
      <w:r>
        <w:rPr/>
        <w:pict>
          <v:group style="position:absolute;margin-left:0pt;margin-top:0pt;width:960pt;height:540pt;mso-position-horizontal-relative:page;mso-position-vertical-relative:page;z-index:-16060928" id="docshapegroup53" coordorigin="0,0" coordsize="19200,10800">
            <v:shape style="position:absolute;left:0;top:0;width:19200;height:10800" type="#_x0000_t75" id="docshape54" stroked="false">
              <v:imagedata r:id="rId21" o:title=""/>
            </v:shape>
            <v:shape style="position:absolute;left:13257;top:784;width:4899;height:4076" type="#_x0000_t75" id="docshape55" stroked="false">
              <v:imagedata r:id="rId22" o:title=""/>
            </v:shape>
            <v:shape style="position:absolute;left:13257;top:5656;width:5086;height:4023" type="#_x0000_t75" id="docshape56" stroked="false">
              <v:imagedata r:id="rId23" o:title=""/>
            </v:shape>
            <w10:wrap type="none"/>
          </v:group>
        </w:pict>
      </w:r>
      <w:r>
        <w:rPr/>
        <w:t>Management</w:t>
      </w:r>
      <w:r>
        <w:rPr>
          <w:spacing w:val="-3"/>
        </w:rPr>
        <w:t> </w:t>
      </w:r>
      <w:r>
        <w:rPr/>
        <w:t>of</w:t>
      </w:r>
      <w:r>
        <w:rPr>
          <w:spacing w:val="-2"/>
        </w:rPr>
        <w:t> </w:t>
      </w:r>
      <w:r>
        <w:rPr/>
        <w:t>Chronic</w:t>
      </w:r>
      <w:r>
        <w:rPr>
          <w:spacing w:val="-3"/>
        </w:rPr>
        <w:t> </w:t>
      </w:r>
      <w:r>
        <w:rPr/>
        <w:t>Kidney</w:t>
      </w:r>
      <w:r>
        <w:rPr>
          <w:spacing w:val="-1"/>
        </w:rPr>
        <w:t> </w:t>
      </w:r>
      <w:r>
        <w:rPr>
          <w:spacing w:val="-2"/>
        </w:rPr>
        <w:t>disease</w:t>
      </w:r>
    </w:p>
    <w:p>
      <w:pPr>
        <w:pStyle w:val="BodyText"/>
        <w:spacing w:before="6"/>
        <w:rPr>
          <w:b/>
          <w:sz w:val="54"/>
        </w:rPr>
      </w:pPr>
    </w:p>
    <w:p>
      <w:pPr>
        <w:pStyle w:val="ListParagraph"/>
        <w:numPr>
          <w:ilvl w:val="0"/>
          <w:numId w:val="3"/>
        </w:numPr>
        <w:tabs>
          <w:tab w:pos="1388" w:val="left" w:leader="none"/>
        </w:tabs>
        <w:spacing w:line="376" w:lineRule="auto" w:before="1" w:after="0"/>
        <w:ind w:left="1387" w:right="6562" w:hanging="452"/>
        <w:jc w:val="both"/>
        <w:rPr>
          <w:sz w:val="36"/>
        </w:rPr>
      </w:pPr>
      <w:r>
        <w:rPr>
          <w:sz w:val="36"/>
        </w:rPr>
        <w:t>Following the NICE guidelines in the UK, the CKD is manageable with an aim to prevent or delay progression.</w:t>
      </w:r>
    </w:p>
    <w:p>
      <w:pPr>
        <w:pStyle w:val="ListParagraph"/>
        <w:numPr>
          <w:ilvl w:val="0"/>
          <w:numId w:val="3"/>
        </w:numPr>
        <w:tabs>
          <w:tab w:pos="1388" w:val="left" w:leader="none"/>
        </w:tabs>
        <w:spacing w:line="376" w:lineRule="auto" w:before="195" w:after="0"/>
        <w:ind w:left="1387" w:right="6559" w:hanging="452"/>
        <w:jc w:val="both"/>
        <w:rPr>
          <w:sz w:val="36"/>
        </w:rPr>
      </w:pPr>
      <w:r>
        <w:rPr>
          <w:sz w:val="36"/>
        </w:rPr>
        <w:t>In this regard, by implementing the Biopsychosocial model of health, the NHS currently focuses on improving biological factors such as reducing high cholesterol and high blood pressure (NHS UK, 2026a).</w:t>
      </w:r>
    </w:p>
    <w:p>
      <w:pPr>
        <w:pStyle w:val="ListParagraph"/>
        <w:numPr>
          <w:ilvl w:val="0"/>
          <w:numId w:val="3"/>
        </w:numPr>
        <w:tabs>
          <w:tab w:pos="1388" w:val="left" w:leader="none"/>
        </w:tabs>
        <w:spacing w:line="376" w:lineRule="auto" w:before="194" w:after="0"/>
        <w:ind w:left="1387" w:right="6562" w:hanging="452"/>
        <w:jc w:val="both"/>
        <w:rPr>
          <w:sz w:val="36"/>
        </w:rPr>
      </w:pPr>
      <w:r>
        <w:rPr>
          <w:sz w:val="36"/>
        </w:rPr>
        <w:t>Aligning with psychological factors, to foster self-management behaviour to manage mental illness associated with anxiety and depression (Nair et al., 2021).</w:t>
      </w:r>
    </w:p>
    <w:p>
      <w:pPr>
        <w:pStyle w:val="ListParagraph"/>
        <w:numPr>
          <w:ilvl w:val="0"/>
          <w:numId w:val="3"/>
        </w:numPr>
        <w:tabs>
          <w:tab w:pos="1388" w:val="left" w:leader="none"/>
        </w:tabs>
        <w:spacing w:line="376" w:lineRule="auto" w:before="196" w:after="0"/>
        <w:ind w:left="1387" w:right="6564" w:hanging="452"/>
        <w:jc w:val="both"/>
        <w:rPr>
          <w:sz w:val="36"/>
        </w:rPr>
      </w:pPr>
      <w:r>
        <w:rPr>
          <w:sz w:val="36"/>
        </w:rPr>
        <w:t>Facilitating lifestyle support helps to reduce the impact and burden of societal factors.</w:t>
      </w:r>
    </w:p>
    <w:p>
      <w:pPr>
        <w:pStyle w:val="ListParagraph"/>
        <w:numPr>
          <w:ilvl w:val="0"/>
          <w:numId w:val="3"/>
        </w:numPr>
        <w:tabs>
          <w:tab w:pos="1388" w:val="left" w:leader="none"/>
        </w:tabs>
        <w:spacing w:line="376" w:lineRule="auto" w:before="196" w:after="0"/>
        <w:ind w:left="1387" w:right="6560" w:hanging="452"/>
        <w:jc w:val="both"/>
        <w:rPr>
          <w:sz w:val="36"/>
        </w:rPr>
      </w:pPr>
      <w:r>
        <w:rPr>
          <w:sz w:val="36"/>
        </w:rPr>
        <w:t>Hence, these factors of CKD patients can be effective for managing their long-term condition with better outcomes.</w:t>
      </w:r>
    </w:p>
    <w:p>
      <w:pPr>
        <w:spacing w:after="0" w:line="376" w:lineRule="auto"/>
        <w:jc w:val="both"/>
        <w:rPr>
          <w:sz w:val="36"/>
        </w:rPr>
        <w:sectPr>
          <w:pgSz w:w="19200" w:h="10800" w:orient="landscape"/>
          <w:pgMar w:top="480" w:bottom="280" w:left="0" w:right="0"/>
        </w:sectPr>
      </w:pPr>
    </w:p>
    <w:p>
      <w:pPr>
        <w:pStyle w:val="Heading2"/>
        <w:spacing w:before="68"/>
        <w:ind w:left="2693"/>
      </w:pPr>
      <w:r>
        <w:rPr/>
        <w:pict>
          <v:group style="position:absolute;margin-left:0pt;margin-top:54pt;width:960pt;height:426pt;mso-position-horizontal-relative:page;mso-position-vertical-relative:page;z-index:-16060416" id="docshapegroup57" coordorigin="0,1080" coordsize="19200,8520">
            <v:rect style="position:absolute;left:0;top:1200;width:14396;height:8400" id="docshape58" filled="true" fillcolor="#eec589" stroked="false">
              <v:fill type="solid"/>
            </v:rect>
            <v:rect style="position:absolute;left:14599;top:1200;width:4601;height:8400" id="docshape59" filled="true" fillcolor="#c7c7c7" stroked="false">
              <v:fill opacity="32896f" type="solid"/>
            </v:rect>
            <v:shape style="position:absolute;left:14407;top:1080;width:4500;height:3132" type="#_x0000_t75" id="docshape60" stroked="false">
              <v:imagedata r:id="rId24" o:title=""/>
            </v:shape>
            <v:shape style="position:absolute;left:14407;top:5316;width:4500;height:3324" type="#_x0000_t75" id="docshape61" stroked="false">
              <v:imagedata r:id="rId25" o:title=""/>
            </v:shape>
            <w10:wrap type="none"/>
          </v:group>
        </w:pict>
      </w:r>
      <w:r>
        <w:rPr>
          <w:spacing w:val="-20"/>
        </w:rPr>
        <w:t>Treatment</w:t>
      </w:r>
      <w:r>
        <w:rPr>
          <w:spacing w:val="-41"/>
        </w:rPr>
        <w:t> </w:t>
      </w:r>
      <w:r>
        <w:rPr>
          <w:spacing w:val="-20"/>
        </w:rPr>
        <w:t>option</w:t>
      </w:r>
      <w:r>
        <w:rPr>
          <w:spacing w:val="-29"/>
        </w:rPr>
        <w:t> </w:t>
      </w:r>
      <w:r>
        <w:rPr>
          <w:spacing w:val="-20"/>
        </w:rPr>
        <w:t>for</w:t>
      </w:r>
      <w:r>
        <w:rPr>
          <w:spacing w:val="-30"/>
        </w:rPr>
        <w:t> </w:t>
      </w:r>
      <w:r>
        <w:rPr>
          <w:spacing w:val="-20"/>
        </w:rPr>
        <w:t>CKD</w:t>
      </w:r>
    </w:p>
    <w:p>
      <w:pPr>
        <w:pStyle w:val="BodyText"/>
        <w:spacing w:before="6"/>
        <w:rPr>
          <w:b/>
          <w:sz w:val="76"/>
        </w:rPr>
      </w:pPr>
    </w:p>
    <w:p>
      <w:pPr>
        <w:spacing w:line="376" w:lineRule="auto" w:before="0"/>
        <w:ind w:left="955" w:right="5729" w:firstLine="0"/>
        <w:jc w:val="both"/>
        <w:rPr>
          <w:sz w:val="36"/>
        </w:rPr>
      </w:pPr>
      <w:r>
        <w:rPr>
          <w:sz w:val="36"/>
        </w:rPr>
        <w:t>In the UK, CKD is mainly managed by the NHS guidelines, which advise on lifestyle changes, including weight management and exercise, to deal with this </w:t>
      </w:r>
      <w:r>
        <w:rPr>
          <w:spacing w:val="-2"/>
          <w:sz w:val="36"/>
        </w:rPr>
        <w:t>condition.</w:t>
      </w:r>
    </w:p>
    <w:p>
      <w:pPr>
        <w:spacing w:line="376" w:lineRule="auto" w:before="235"/>
        <w:ind w:left="955" w:right="5726" w:firstLine="0"/>
        <w:jc w:val="both"/>
        <w:rPr>
          <w:sz w:val="36"/>
        </w:rPr>
      </w:pPr>
      <w:r>
        <w:rPr>
          <w:sz w:val="36"/>
        </w:rPr>
        <w:t>Though no medication can treat CKD, however, patients can take SGLT2 inhibitors to lower blood sugar, associated with the long-term condition (LTC) (NHS UK2026a).</w:t>
      </w:r>
    </w:p>
    <w:p>
      <w:pPr>
        <w:spacing w:line="376" w:lineRule="auto" w:before="234"/>
        <w:ind w:left="955" w:right="5728" w:firstLine="0"/>
        <w:jc w:val="both"/>
        <w:rPr>
          <w:sz w:val="36"/>
        </w:rPr>
      </w:pPr>
      <w:r>
        <w:rPr>
          <w:sz w:val="36"/>
        </w:rPr>
        <w:t>To cope with the severe CKD, kidney transplantation is another option, which reflects that nearly 40% of all kidney transplants are executed from living donors in the UK (Kidney Care, 2023).</w:t>
      </w:r>
    </w:p>
    <w:p>
      <w:pPr>
        <w:spacing w:after="0" w:line="376" w:lineRule="auto"/>
        <w:jc w:val="both"/>
        <w:rPr>
          <w:sz w:val="36"/>
        </w:rPr>
        <w:sectPr>
          <w:pgSz w:w="19200" w:h="10800" w:orient="landscape"/>
          <w:pgMar w:top="240" w:bottom="280" w:left="0" w:right="0"/>
        </w:sectPr>
      </w:pPr>
    </w:p>
    <w:p>
      <w:pPr>
        <w:pStyle w:val="Heading2"/>
        <w:ind w:left="865"/>
      </w:pPr>
      <w:r>
        <w:rPr/>
        <w:pict>
          <v:group style="position:absolute;margin-left:.000014pt;margin-top:0pt;width:960pt;height:540pt;mso-position-horizontal-relative:page;mso-position-vertical-relative:page;z-index:-16059904" id="docshapegroup62" coordorigin="0,0" coordsize="19200,10800">
            <v:shape style="position:absolute;left:0;top:0;width:19200;height:10800" type="#_x0000_t75" id="docshape63" stroked="false">
              <v:imagedata r:id="rId26" o:title=""/>
            </v:shape>
            <v:shape style="position:absolute;left:6856;top:1771;width:11499;height:1678" id="docshape64" coordorigin="6857,1771" coordsize="11499,1678" path="m18187,1771l7025,1771,6959,1784,6906,1820,6870,1874,6857,1939,6857,3281,6870,3346,6906,3400,6959,3436,7025,3449,18187,3449,18253,3436,18306,3400,18342,3346,18355,3281,18355,1939,18342,1874,18306,1820,18253,1784,18187,1771xe" filled="true" fillcolor="#d2deee" stroked="false">
              <v:path arrowok="t"/>
              <v:fill type="solid"/>
            </v:shape>
            <v:shape style="position:absolute;left:7855;top:2305;width:251;height:276" type="#_x0000_t75" id="docshape65" stroked="false">
              <v:imagedata r:id="rId27" o:title=""/>
            </v:shape>
            <v:shape style="position:absolute;left:7448;top:2311;width:361;height:524" id="docshape66" coordorigin="7448,2311" coordsize="361,524" path="m7607,2311l7571,2323,7520,2366,7481,2424,7457,2494,7448,2574,7457,2653,7481,2724,7520,2782,7571,2824,7602,2835,7720,2717,7715,2680,7696,2634,7679,2593,7805,2593,7804,2590,7792,2571,7774,2559,7752,2555,7679,2555,7696,2513,7715,2467,7722,2415,7701,2357,7676,2329,7643,2314,7607,2311xm7805,2593l7762,2593,7771,2601,7771,2666,7809,2628,7809,2612,7805,2593xe" filled="true" fillcolor="#5a9ad3" stroked="false">
              <v:path arrowok="t"/>
              <v:fill type="solid"/>
            </v:shape>
            <v:shape style="position:absolute;left:7448;top:2311;width:304;height:524" id="docshape67" coordorigin="7448,2311" coordsize="304,524" path="m7752,2555l7679,2555,7696,2513,7715,2467,7722,2415,7701,2357,7676,2329,7643,2314,7607,2311,7571,2323,7520,2366,7481,2424,7457,2494,7448,2574,7457,2653,7481,2724,7520,2782,7571,2824,7602,2835e" filled="false" stroked="true" strokeweight=".554115pt" strokecolor="#5a9ad3">
              <v:path arrowok="t"/>
              <v:stroke dashstyle="solid"/>
            </v:shape>
            <v:shape style="position:absolute;left:7673;top:2549;width:142;height:173" type="#_x0000_t75" id="docshape68" stroked="false">
              <v:imagedata r:id="rId28" o:title=""/>
            </v:shape>
            <v:rect style="position:absolute;left:7365;top:2148;width:922;height:924" id="docshape69" filled="false" stroked="true" strokeweight="1pt" strokecolor="#ffffff">
              <v:stroke dashstyle="solid"/>
            </v:rect>
            <v:shape style="position:absolute;left:6856;top:3868;width:11499;height:1680" id="docshape70" coordorigin="6857,3869" coordsize="11499,1680" path="m18187,3869l7025,3869,6959,3882,6906,3918,6870,3971,6857,4037,6857,5381,6870,5446,6906,5500,6959,5536,7025,5549,18187,5549,18253,5536,18306,5500,18342,5446,18355,5381,18355,4037,18342,3971,18306,3918,18253,3882,18187,3869xe" filled="true" fillcolor="#d2deee" stroked="false">
              <v:path arrowok="t"/>
              <v:fill type="solid"/>
            </v:shape>
            <v:shape style="position:absolute;left:7543;top:4423;width:164;height:193" type="#_x0000_t75" id="docshape71" stroked="false">
              <v:imagedata r:id="rId29" o:title=""/>
            </v:shape>
            <v:shape style="position:absolute;left:7555;top:4326;width:494;height:601" id="docshape72" coordorigin="7555,4326" coordsize="494,601" path="m7709,4615l7696,4615,7683,4616,7671,4618,7648,4623,7630,4631,7615,4641,7601,4655,7586,4675,7572,4701,7561,4736,7555,4781,7556,4813,7563,4845,7574,4875,7591,4903,7603,4921,7608,4927,7889,4645,7814,4645,7793,4641,7787,4631,7789,4620,7790,4616,7712,4616,7709,4615xm8009,4429l7999,4433,7969,4444,7941,4459,7915,4477,7890,4497,7864,4528,7846,4563,7833,4598,7826,4628,7824,4638,7814,4645,7889,4645,7904,4630,7908,4615,7916,4592,7927,4571,7940,4555,7959,4539,7979,4526,8001,4514,8023,4505,8031,4503,8043,4491,8045,4486,8049,4472,8047,4457,8041,4444,8029,4435,8020,4430,8009,4429xm7791,4349l7767,4349,7758,4356,7755,4367,7755,4370,7755,4377,7757,4389,7761,4411,7762,4416,7764,4423,7766,4429,7751,4447,7739,4466,7729,4487,7721,4509,7716,4536,7713,4562,7712,4588,7712,4614,7712,4616,7790,4616,7798,4583,7813,4542,7835,4503,7865,4469,7879,4457,7894,4445,7910,4434,7926,4424,7920,4417,7913,4411,7905,4405,7907,4400,7807,4400,7803,4381,7802,4374,7802,4372,7802,4359,7791,4349xm7831,4326l7819,4332,7815,4342,7813,4345,7812,4351,7811,4364,7811,4374,7811,4398,7807,4400,7907,4400,7908,4396,7909,4391,7910,4389,7858,4389,7859,4364,7859,4357,7862,4344,7854,4332,7831,4326xm7899,4326l7887,4329,7880,4337,7877,4340,7874,4346,7870,4357,7864,4378,7863,4381,7862,4385,7861,4389,7910,4389,7915,4372,7917,4366,7918,4364,7924,4353,7920,4338,7899,4326xe" filled="true" fillcolor="#5a9ad3" stroked="false">
              <v:path arrowok="t"/>
              <v:fill type="solid"/>
            </v:shape>
            <v:shape style="position:absolute;left:7898;top:4496;width:138;height:139" type="#_x0000_t75" id="docshape73" stroked="false">
              <v:imagedata r:id="rId30" o:title=""/>
            </v:shape>
            <v:shape style="position:absolute;left:7555;top:4326;width:494;height:601" id="docshape74" coordorigin="7555,4326" coordsize="494,601" path="m8043,4491l8045,4486,8049,4472,8047,4457,8041,4444,8029,4435,8020,4430,8009,4429,7999,4433,7941,4459,7890,4497,7846,4563,7826,4628,7824,4638,7814,4645,7804,4643,7793,4641,7787,4631,7813,4542,7865,4469,7926,4424,7920,4417,7913,4411,7905,4405,7907,4401,7908,4396,7909,4391,7915,4372,7917,4366,7918,4364,7924,4353,7920,4338,7909,4332,7899,4326,7887,4329,7862,4385,7861,4389,7858,4389,7858,4386,7858,4366,7859,4359,7859,4357,7862,4344,7854,4332,7841,4329,7831,4326,7819,4332,7811,4385,7811,4390,7811,4394,7811,4398,7802,4359,7791,4349,7778,4349,7767,4349,7758,4356,7755,4367,7755,4370,7755,4377,7766,4429,7751,4447,7721,4509,7712,4588,7712,4614,7712,4616,7709,4615,7648,4623,7586,4675,7561,4736,7555,4781,7556,4813,7563,4845,7574,4875,7591,4903,7603,4921,7608,4927e" filled="false" stroked="true" strokeweight=".55438pt" strokecolor="#5a9ad3">
              <v:path arrowok="t"/>
              <v:stroke dashstyle="solid"/>
            </v:shape>
            <v:rect style="position:absolute;left:7365;top:4245;width:922;height:924" id="docshape75" filled="false" stroked="true" strokeweight="1pt" strokecolor="#ffffff">
              <v:stroke dashstyle="solid"/>
            </v:rect>
            <v:shape style="position:absolute;left:6856;top:5966;width:11499;height:1680" id="docshape76" coordorigin="6857,5966" coordsize="11499,1680" path="m18187,5966l7025,5966,6959,5980,6906,6016,6870,6069,6857,6134,6857,7478,6870,7544,6906,7597,6959,7633,7025,7646,18187,7646,18253,7633,18306,7597,18342,7544,18355,7478,18355,6134,18342,6069,18306,6016,18253,5980,18187,5966xe" filled="true" fillcolor="#d2deee" stroked="false">
              <v:path arrowok="t"/>
              <v:fill type="solid"/>
            </v:shape>
            <v:shape style="position:absolute;left:7496;top:6681;width:174;height:320" type="#_x0000_t75" id="docshape77" stroked="false">
              <v:imagedata r:id="rId31" o:title=""/>
            </v:shape>
            <v:shape style="position:absolute;left:7617;top:6516;width:448;height:135" id="docshape78" coordorigin="7618,6516" coordsize="448,135" path="m7820,6516l7749,6531,7683,6564,7626,6615,7618,6625,7619,6637,7635,6650,7647,6649,7654,6641,7713,6590,7783,6560,7858,6554,7981,6554,7963,6542,7893,6520,7820,6516xm7981,6554l7858,6554,7932,6570,8000,6610,7966,6610,7955,6610,7947,6619,7947,6640,7955,6648,7985,6648,8050,6583,8027,6583,7981,6554xm8057,6530l8036,6530,8027,6538,8027,6583,8050,6583,8065,6568,8065,6538,8057,6530xe" filled="true" fillcolor="#5a9ad3" stroked="false">
              <v:path arrowok="t"/>
              <v:fill type="solid"/>
            </v:shape>
            <v:shape style="position:absolute;left:7617;top:6516;width:448;height:135" id="docshape79" coordorigin="7618,6516" coordsize="448,135" path="m7966,6610l7955,6610,7947,6619,7947,6629,7947,6640,7955,6648,7966,6648,7985,6648m8065,6568l8065,6549,8065,6538,8057,6530,8046,6530,8036,6530,8027,6538,8027,6549,8027,6583,7963,6542,7893,6520,7820,6516,7749,6531,7683,6564,7626,6615,7625,6616,7625,6616,7625,6617,7618,6625,7619,6637,7627,6644,7635,6650,7647,6649,7654,6641,7713,6590,7783,6560,7858,6554,7932,6570,8000,6610,7966,6610e" filled="false" stroked="true" strokeweight=".553827pt" strokecolor="#5a9ad3">
              <v:path arrowok="t"/>
              <v:stroke dashstyle="solid"/>
            </v:shape>
            <v:rect style="position:absolute;left:7365;top:6345;width:922;height:922" id="docshape80" filled="false" stroked="true" strokeweight="1pt" strokecolor="#ffffff">
              <v:stroke dashstyle="solid"/>
            </v:rect>
            <v:shape style="position:absolute;left:6856;top:8066;width:11499;height:1678" id="docshape81" coordorigin="6857,8066" coordsize="11499,1678" path="m18187,8066l7025,8066,6959,8080,6906,8116,6870,8169,6857,8234,6857,9576,6870,9642,6906,9695,6959,9731,7025,9744,18187,9744,18253,9731,18306,9695,18342,9642,18355,9576,18355,8234,18342,8169,18306,8116,18253,8080,18187,8066xe" filled="true" fillcolor="#d2deee" stroked="false">
              <v:path arrowok="t"/>
              <v:fill type="solid"/>
            </v:shape>
            <v:shape style="position:absolute;left:7518;top:8577;width:467;height:637" type="#_x0000_t75" id="docshape82" stroked="false">
              <v:imagedata r:id="rId32" o:title=""/>
            </v:shape>
            <v:rect style="position:absolute;left:7365;top:8443;width:922;height:924" id="docshape83" filled="false" stroked="true" strokeweight="1pt" strokecolor="#ffffff">
              <v:stroke dashstyle="solid"/>
            </v:rect>
            <v:shape style="position:absolute;left:232;top:1272;width:6026;height:5606" type="#_x0000_t75" id="docshape84" stroked="false">
              <v:imagedata r:id="rId33" o:title=""/>
            </v:shape>
            <v:shape style="position:absolute;left:1176;top:7017;width:4140;height:3135" type="#_x0000_t75" id="docshape85" stroked="false">
              <v:imagedata r:id="rId34" o:title=""/>
            </v:shape>
            <w10:wrap type="none"/>
          </v:group>
        </w:pict>
      </w:r>
      <w:r>
        <w:rPr/>
        <w:t>Comorbidity</w:t>
      </w:r>
      <w:r>
        <w:rPr>
          <w:spacing w:val="-4"/>
        </w:rPr>
        <w:t> </w:t>
      </w:r>
      <w:r>
        <w:rPr/>
        <w:t>of</w:t>
      </w:r>
      <w:r>
        <w:rPr>
          <w:spacing w:val="-6"/>
        </w:rPr>
        <w:t> </w:t>
      </w:r>
      <w:r>
        <w:rPr/>
        <w:t>the</w:t>
      </w:r>
      <w:r>
        <w:rPr>
          <w:spacing w:val="-4"/>
        </w:rPr>
        <w:t> </w:t>
      </w:r>
      <w:r>
        <w:rPr>
          <w:spacing w:val="-2"/>
        </w:rPr>
        <w:t>condition</w:t>
      </w: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spacing w:before="7"/>
        <w:rPr>
          <w:b/>
          <w:sz w:val="17"/>
        </w:rPr>
      </w:pPr>
    </w:p>
    <w:p>
      <w:pPr>
        <w:spacing w:before="87"/>
        <w:ind w:left="8974" w:right="1124" w:firstLine="0"/>
        <w:jc w:val="left"/>
        <w:rPr>
          <w:sz w:val="38"/>
        </w:rPr>
      </w:pPr>
      <w:r>
        <w:rPr>
          <w:sz w:val="38"/>
        </w:rPr>
        <w:t>Chronic</w:t>
      </w:r>
      <w:r>
        <w:rPr>
          <w:spacing w:val="-9"/>
          <w:sz w:val="38"/>
        </w:rPr>
        <w:t> </w:t>
      </w:r>
      <w:r>
        <w:rPr>
          <w:sz w:val="38"/>
        </w:rPr>
        <w:t>kidney</w:t>
      </w:r>
      <w:r>
        <w:rPr>
          <w:spacing w:val="-6"/>
          <w:sz w:val="38"/>
        </w:rPr>
        <w:t> </w:t>
      </w:r>
      <w:r>
        <w:rPr>
          <w:sz w:val="38"/>
        </w:rPr>
        <w:t>disease</w:t>
      </w:r>
      <w:r>
        <w:rPr>
          <w:spacing w:val="-6"/>
          <w:sz w:val="38"/>
        </w:rPr>
        <w:t> </w:t>
      </w:r>
      <w:r>
        <w:rPr>
          <w:sz w:val="38"/>
        </w:rPr>
        <w:t>(CKD)</w:t>
      </w:r>
      <w:r>
        <w:rPr>
          <w:spacing w:val="-6"/>
          <w:sz w:val="38"/>
        </w:rPr>
        <w:t> </w:t>
      </w:r>
      <w:r>
        <w:rPr>
          <w:sz w:val="38"/>
        </w:rPr>
        <w:t>is</w:t>
      </w:r>
      <w:r>
        <w:rPr>
          <w:spacing w:val="-9"/>
          <w:sz w:val="38"/>
        </w:rPr>
        <w:t> </w:t>
      </w:r>
      <w:r>
        <w:rPr>
          <w:sz w:val="38"/>
        </w:rPr>
        <w:t>widely</w:t>
      </w:r>
      <w:r>
        <w:rPr>
          <w:spacing w:val="-4"/>
          <w:sz w:val="38"/>
        </w:rPr>
        <w:t> </w:t>
      </w:r>
      <w:r>
        <w:rPr>
          <w:sz w:val="38"/>
        </w:rPr>
        <w:t>comorbid</w:t>
      </w:r>
      <w:r>
        <w:rPr>
          <w:spacing w:val="-9"/>
          <w:sz w:val="38"/>
        </w:rPr>
        <w:t> </w:t>
      </w:r>
      <w:r>
        <w:rPr>
          <w:sz w:val="38"/>
        </w:rPr>
        <w:t>with diabetes and hypertension, which contribute to the growth of kidney disease (Li et al., 2023).</w:t>
      </w:r>
    </w:p>
    <w:p>
      <w:pPr>
        <w:pStyle w:val="BodyText"/>
      </w:pPr>
    </w:p>
    <w:p>
      <w:pPr>
        <w:pStyle w:val="BodyText"/>
      </w:pPr>
    </w:p>
    <w:p>
      <w:pPr>
        <w:pStyle w:val="BodyText"/>
        <w:rPr>
          <w:sz w:val="21"/>
        </w:rPr>
      </w:pPr>
    </w:p>
    <w:p>
      <w:pPr>
        <w:spacing w:before="87"/>
        <w:ind w:left="8974" w:right="1124" w:firstLine="0"/>
        <w:jc w:val="left"/>
        <w:rPr>
          <w:sz w:val="38"/>
        </w:rPr>
      </w:pPr>
      <w:r>
        <w:rPr>
          <w:sz w:val="38"/>
        </w:rPr>
        <w:t>Cardiovascular disease is another leading condition that</w:t>
      </w:r>
      <w:r>
        <w:rPr>
          <w:spacing w:val="-8"/>
          <w:sz w:val="38"/>
        </w:rPr>
        <w:t> </w:t>
      </w:r>
      <w:r>
        <w:rPr>
          <w:sz w:val="38"/>
        </w:rPr>
        <w:t>interplays</w:t>
      </w:r>
      <w:r>
        <w:rPr>
          <w:spacing w:val="-6"/>
          <w:sz w:val="38"/>
        </w:rPr>
        <w:t> </w:t>
      </w:r>
      <w:r>
        <w:rPr>
          <w:sz w:val="38"/>
        </w:rPr>
        <w:t>with</w:t>
      </w:r>
      <w:r>
        <w:rPr>
          <w:spacing w:val="-6"/>
          <w:sz w:val="38"/>
        </w:rPr>
        <w:t> </w:t>
      </w:r>
      <w:r>
        <w:rPr>
          <w:sz w:val="38"/>
        </w:rPr>
        <w:t>the</w:t>
      </w:r>
      <w:r>
        <w:rPr>
          <w:spacing w:val="-9"/>
          <w:sz w:val="38"/>
        </w:rPr>
        <w:t> </w:t>
      </w:r>
      <w:r>
        <w:rPr>
          <w:sz w:val="38"/>
        </w:rPr>
        <w:t>chronic</w:t>
      </w:r>
      <w:r>
        <w:rPr>
          <w:spacing w:val="-6"/>
          <w:sz w:val="38"/>
        </w:rPr>
        <w:t> </w:t>
      </w:r>
      <w:r>
        <w:rPr>
          <w:sz w:val="38"/>
        </w:rPr>
        <w:t>kidney</w:t>
      </w:r>
      <w:r>
        <w:rPr>
          <w:spacing w:val="-9"/>
          <w:sz w:val="38"/>
        </w:rPr>
        <w:t> </w:t>
      </w:r>
      <w:r>
        <w:rPr>
          <w:sz w:val="38"/>
        </w:rPr>
        <w:t>diseases,</w:t>
      </w:r>
      <w:r>
        <w:rPr>
          <w:spacing w:val="-5"/>
          <w:sz w:val="38"/>
        </w:rPr>
        <w:t> </w:t>
      </w:r>
      <w:r>
        <w:rPr>
          <w:sz w:val="38"/>
        </w:rPr>
        <w:t>which worsens the patient's health (Coyle et al., 2021).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1"/>
        <w:rPr>
          <w:sz w:val="19"/>
        </w:rPr>
      </w:pPr>
    </w:p>
    <w:p>
      <w:pPr>
        <w:spacing w:before="87"/>
        <w:ind w:left="8974" w:right="1124" w:firstLine="0"/>
        <w:jc w:val="left"/>
        <w:rPr>
          <w:sz w:val="38"/>
        </w:rPr>
      </w:pPr>
      <w:r>
        <w:rPr>
          <w:sz w:val="38"/>
        </w:rPr>
        <w:t>In</w:t>
      </w:r>
      <w:r>
        <w:rPr>
          <w:spacing w:val="-8"/>
          <w:sz w:val="38"/>
        </w:rPr>
        <w:t> </w:t>
      </w:r>
      <w:r>
        <w:rPr>
          <w:sz w:val="38"/>
        </w:rPr>
        <w:t>addition,</w:t>
      </w:r>
      <w:r>
        <w:rPr>
          <w:spacing w:val="-4"/>
          <w:sz w:val="38"/>
        </w:rPr>
        <w:t> </w:t>
      </w:r>
      <w:r>
        <w:rPr>
          <w:sz w:val="38"/>
        </w:rPr>
        <w:t>oxidative</w:t>
      </w:r>
      <w:r>
        <w:rPr>
          <w:spacing w:val="-5"/>
          <w:sz w:val="38"/>
        </w:rPr>
        <w:t> </w:t>
      </w:r>
      <w:r>
        <w:rPr>
          <w:sz w:val="38"/>
        </w:rPr>
        <w:t>stress</w:t>
      </w:r>
      <w:r>
        <w:rPr>
          <w:spacing w:val="-5"/>
          <w:sz w:val="38"/>
        </w:rPr>
        <w:t> </w:t>
      </w:r>
      <w:r>
        <w:rPr>
          <w:sz w:val="38"/>
        </w:rPr>
        <w:t>and</w:t>
      </w:r>
      <w:r>
        <w:rPr>
          <w:spacing w:val="-7"/>
          <w:sz w:val="38"/>
        </w:rPr>
        <w:t> </w:t>
      </w:r>
      <w:r>
        <w:rPr>
          <w:sz w:val="38"/>
        </w:rPr>
        <w:t>inflammation</w:t>
      </w:r>
      <w:r>
        <w:rPr>
          <w:spacing w:val="-8"/>
          <w:sz w:val="38"/>
        </w:rPr>
        <w:t> </w:t>
      </w:r>
      <w:r>
        <w:rPr>
          <w:sz w:val="38"/>
        </w:rPr>
        <w:t>also</w:t>
      </w:r>
      <w:r>
        <w:rPr>
          <w:spacing w:val="-6"/>
          <w:sz w:val="38"/>
        </w:rPr>
        <w:t> </w:t>
      </w:r>
      <w:r>
        <w:rPr>
          <w:sz w:val="38"/>
        </w:rPr>
        <w:t>co- exist with this condition.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0"/>
        <w:rPr>
          <w:sz w:val="19"/>
        </w:rPr>
      </w:pPr>
    </w:p>
    <w:p>
      <w:pPr>
        <w:spacing w:before="88"/>
        <w:ind w:left="8974" w:right="1124" w:firstLine="0"/>
        <w:jc w:val="left"/>
        <w:rPr>
          <w:sz w:val="38"/>
        </w:rPr>
      </w:pPr>
      <w:r>
        <w:rPr>
          <w:sz w:val="38"/>
        </w:rPr>
        <w:t>Patients</w:t>
      </w:r>
      <w:r>
        <w:rPr>
          <w:spacing w:val="-8"/>
          <w:sz w:val="38"/>
        </w:rPr>
        <w:t> </w:t>
      </w:r>
      <w:r>
        <w:rPr>
          <w:sz w:val="38"/>
        </w:rPr>
        <w:t>with</w:t>
      </w:r>
      <w:r>
        <w:rPr>
          <w:spacing w:val="-5"/>
          <w:sz w:val="38"/>
        </w:rPr>
        <w:t> </w:t>
      </w:r>
      <w:r>
        <w:rPr>
          <w:sz w:val="38"/>
        </w:rPr>
        <w:t>CKD</w:t>
      </w:r>
      <w:r>
        <w:rPr>
          <w:spacing w:val="-8"/>
          <w:sz w:val="38"/>
        </w:rPr>
        <w:t> </w:t>
      </w:r>
      <w:r>
        <w:rPr>
          <w:sz w:val="38"/>
        </w:rPr>
        <w:t>who</w:t>
      </w:r>
      <w:r>
        <w:rPr>
          <w:spacing w:val="-7"/>
          <w:sz w:val="38"/>
        </w:rPr>
        <w:t> </w:t>
      </w:r>
      <w:r>
        <w:rPr>
          <w:sz w:val="38"/>
        </w:rPr>
        <w:t>have</w:t>
      </w:r>
      <w:r>
        <w:rPr>
          <w:spacing w:val="-7"/>
          <w:sz w:val="38"/>
        </w:rPr>
        <w:t> </w:t>
      </w:r>
      <w:r>
        <w:rPr>
          <w:sz w:val="38"/>
        </w:rPr>
        <w:t>multiple</w:t>
      </w:r>
      <w:r>
        <w:rPr>
          <w:spacing w:val="-10"/>
          <w:sz w:val="38"/>
        </w:rPr>
        <w:t> </w:t>
      </w:r>
      <w:r>
        <w:rPr>
          <w:sz w:val="38"/>
        </w:rPr>
        <w:t>comorbidities can consider themselves at higher risk of swift progression of their adverse condition.</w:t>
      </w:r>
    </w:p>
    <w:p>
      <w:pPr>
        <w:spacing w:after="0"/>
        <w:jc w:val="left"/>
        <w:rPr>
          <w:sz w:val="38"/>
        </w:rPr>
        <w:sectPr>
          <w:pgSz w:w="19200" w:h="10800" w:orient="landscape"/>
          <w:pgMar w:top="220" w:bottom="280" w:left="0" w:right="0"/>
        </w:sectPr>
      </w:pPr>
    </w:p>
    <w:p>
      <w:pPr>
        <w:spacing w:line="153" w:lineRule="exact"/>
        <w:ind w:left="703" w:right="0" w:firstLine="0"/>
        <w:jc w:val="left"/>
        <w:rPr>
          <w:sz w:val="15"/>
        </w:rPr>
      </w:pPr>
      <w:r>
        <w:rPr/>
        <w:pict>
          <v:group style="position:absolute;margin-left:32.544998pt;margin-top:160.945007pt;width:633.1pt;height:307.55pt;mso-position-horizontal-relative:page;mso-position-vertical-relative:page;z-index:15737344" id="docshapegroup86" coordorigin="651,3219" coordsize="12662,6151">
            <v:rect style="position:absolute;left:668;top:3236;width:12627;height:6116" id="docshape87" filled="true" fillcolor="#4d1334" stroked="false">
              <v:fill type="solid"/>
            </v:rect>
            <v:shape style="position:absolute;left:915;top:3435;width:9725;height:1738" id="docshape88" coordorigin="916,3436" coordsize="9725,1738" path="m10467,3436l1089,3436,1022,3449,966,3487,929,3542,916,3609,916,4999,929,5067,966,5122,1022,5160,1089,5173,10467,5173,10534,5160,10589,5122,10627,5067,10640,4999,10640,3609,10627,3542,10589,3487,10534,3449,10467,3436xe" filled="true" fillcolor="#4d1334" stroked="false">
              <v:path arrowok="t"/>
              <v:fill type="solid"/>
            </v:shape>
            <v:shape style="position:absolute;left:915;top:3435;width:9725;height:1738" id="docshape89" coordorigin="916,3436" coordsize="9725,1738" path="m916,3609l929,3542,966,3487,1022,3449,1089,3436,10467,3436,10534,3449,10589,3487,10627,3542,10640,3609,10640,4999,10627,5067,10589,5122,10534,5160,10467,5173,1089,5173,1022,5160,966,5122,929,5067,916,4999,916,3609xe" filled="false" stroked="true" strokeweight="1.75pt" strokecolor="#ffffff">
              <v:path arrowok="t"/>
              <v:stroke dashstyle="solid"/>
            </v:shape>
            <v:shape style="position:absolute;left:1774;top:5463;width:9723;height:1738" id="docshape90" coordorigin="1775,5464" coordsize="9723,1738" path="m11323,5464l1949,5464,1881,5477,1826,5515,1788,5570,1775,5637,1775,7027,1788,7095,1826,7150,1881,7188,1949,7201,11323,7201,11391,7188,11446,7150,11484,7095,11497,7027,11497,5637,11484,5570,11446,5515,11391,5477,11323,5464xe" filled="true" fillcolor="#4d1334" stroked="false">
              <v:path arrowok="t"/>
              <v:fill type="solid"/>
            </v:shape>
            <v:shape style="position:absolute;left:1774;top:5463;width:9723;height:1738" id="docshape91" coordorigin="1775,5464" coordsize="9723,1738" path="m1775,5637l1788,5570,1826,5515,1881,5477,1949,5464,11323,5464,11391,5477,11446,5515,11484,5570,11497,5637,11497,7027,11484,7095,11446,7150,11391,7188,11323,7201,1949,7201,1881,7188,1826,7150,1788,7095,1775,7027,1775,5637xe" filled="false" stroked="true" strokeweight="1.75pt" strokecolor="#ffffff">
              <v:path arrowok="t"/>
              <v:stroke dashstyle="solid"/>
            </v:shape>
            <v:shape style="position:absolute;left:2631;top:7489;width:9725;height:1738" id="docshape92" coordorigin="2632,7489" coordsize="9725,1738" path="m12183,7489l2805,7489,2738,7503,2683,7540,2645,7595,2632,7663,2632,9053,2645,9121,2683,9176,2738,9213,2805,9227,12183,9227,12250,9213,12306,9176,12343,9121,12356,9053,12356,7663,12343,7595,12306,7540,12250,7503,12183,7489xe" filled="true" fillcolor="#4d1334" stroked="false">
              <v:path arrowok="t"/>
              <v:fill type="solid"/>
            </v:shape>
            <v:shape style="position:absolute;left:2631;top:7489;width:9725;height:1738" id="docshape93" coordorigin="2632,7489" coordsize="9725,1738" path="m2632,7663l2645,7595,2683,7540,2738,7503,2805,7489,12183,7489,12250,7503,12306,7540,12343,7595,12356,7663,12356,9053,12343,9121,12306,9176,12250,9213,12183,9227,2805,9227,2738,9213,2683,9176,2645,9121,2632,9053,2632,7663xe" filled="false" stroked="true" strokeweight="1.75pt" strokecolor="#ffffff">
              <v:path arrowok="t"/>
              <v:stroke dashstyle="solid"/>
            </v:shape>
            <v:shape style="position:absolute;left:9510;top:4753;width:1131;height:1131" id="docshape94" coordorigin="9510,4753" coordsize="1131,1131" path="m10386,4753l9764,4753,9764,5375,9510,5375,10075,5884,10640,5375,10386,5375,10386,4753xe" filled="true" fillcolor="#d0cccd" stroked="false">
              <v:path arrowok="t"/>
              <v:fill opacity="59110f" type="solid"/>
            </v:shape>
            <v:shape style="position:absolute;left:9510;top:4753;width:1131;height:1131" id="docshape95" coordorigin="9510,4753" coordsize="1131,1131" path="m9510,5375l9764,5375,9764,4753,10386,4753,10386,5375,10640,5375,10075,5884,9510,5375xe" filled="false" stroked="true" strokeweight="1.75pt" strokecolor="#d0cccd">
              <v:path arrowok="t"/>
              <v:stroke dashstyle="solid"/>
            </v:shape>
            <v:shape style="position:absolute;left:10369;top:6769;width:1128;height:1128" id="docshape96" coordorigin="10369,6769" coordsize="1128,1128" path="m11243,6769l10623,6769,10623,7390,10369,7390,10933,7897,11497,7390,11243,7390,11243,6769xe" filled="true" fillcolor="#d0cccd" stroked="false">
              <v:path arrowok="t"/>
              <v:fill opacity="59110f" type="solid"/>
            </v:shape>
            <v:shape style="position:absolute;left:10369;top:6769;width:1128;height:1128" id="docshape97" coordorigin="10369,6769" coordsize="1128,1128" path="m10369,7390l10623,7390,10623,6769,11243,6769,11243,7390,11497,7390,10933,7897,10369,7390xe" filled="false" stroked="true" strokeweight="1.75pt" strokecolor="#d0cccd">
              <v:path arrowok="t"/>
              <v:stroke dashstyle="solid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668;top:3236;width:12627;height:6116" type="#_x0000_t202" id="docshape98" filled="false" stroked="true" strokeweight="1.75pt" strokecolor="#360a22">
              <v:textbox inset="0,0,0,0">
                <w:txbxContent>
                  <w:p>
                    <w:pPr>
                      <w:spacing w:line="240" w:lineRule="auto" w:before="3"/>
                      <w:rPr>
                        <w:sz w:val="44"/>
                      </w:rPr>
                    </w:pPr>
                  </w:p>
                  <w:p>
                    <w:pPr>
                      <w:spacing w:line="216" w:lineRule="auto" w:before="0"/>
                      <w:ind w:left="382" w:right="4681" w:firstLine="0"/>
                      <w:jc w:val="both"/>
                      <w:rPr>
                        <w:rFonts w:ascii="Gill Sans MT"/>
                        <w:sz w:val="34"/>
                      </w:rPr>
                    </w:pPr>
                    <w:r>
                      <w:rPr>
                        <w:rFonts w:ascii="Gill Sans MT"/>
                        <w:color w:val="FFFFFF"/>
                        <w:sz w:val="34"/>
                      </w:rPr>
                      <w:t>Though</w:t>
                    </w:r>
                    <w:r>
                      <w:rPr>
                        <w:rFonts w:ascii="Gill Sans MT"/>
                        <w:color w:val="FFFFFF"/>
                        <w:spacing w:val="-19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CKD</w:t>
                    </w:r>
                    <w:r>
                      <w:rPr>
                        <w:rFonts w:ascii="Gill Sans MT"/>
                        <w:color w:val="FFFFFF"/>
                        <w:spacing w:val="-3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is considered</w:t>
                    </w:r>
                    <w:r>
                      <w:rPr>
                        <w:rFonts w:ascii="Gill Sans MT"/>
                        <w:color w:val="FFFFFF"/>
                        <w:spacing w:val="-2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as LTC,</w:t>
                    </w:r>
                    <w:r>
                      <w:rPr>
                        <w:rFonts w:ascii="Gill Sans MT"/>
                        <w:color w:val="FFFFFF"/>
                        <w:spacing w:val="-24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it</w:t>
                    </w:r>
                    <w:r>
                      <w:rPr>
                        <w:rFonts w:ascii="Gill Sans MT"/>
                        <w:color w:val="FFFFFF"/>
                        <w:spacing w:val="-2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is still</w:t>
                    </w:r>
                    <w:r>
                      <w:rPr>
                        <w:rFonts w:ascii="Gill Sans MT"/>
                        <w:color w:val="FFFFFF"/>
                        <w:spacing w:val="-2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important to</w:t>
                    </w:r>
                    <w:r>
                      <w:rPr>
                        <w:rFonts w:ascii="Gill Sans MT"/>
                        <w:color w:val="FFFFFF"/>
                        <w:spacing w:val="-20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focus</w:t>
                    </w:r>
                    <w:r>
                      <w:rPr>
                        <w:rFonts w:ascii="Gill Sans MT"/>
                        <w:color w:val="FFFFFF"/>
                        <w:spacing w:val="-8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on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lifestyle</w:t>
                    </w:r>
                    <w:r>
                      <w:rPr>
                        <w:rFonts w:ascii="Gill Sans MT"/>
                        <w:color w:val="FFFFFF"/>
                        <w:spacing w:val="-9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modification,</w:t>
                    </w:r>
                    <w:r>
                      <w:rPr>
                        <w:rFonts w:ascii="Gill Sans MT"/>
                        <w:color w:val="FFFFFF"/>
                        <w:spacing w:val="-24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such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as</w:t>
                    </w:r>
                    <w:r>
                      <w:rPr>
                        <w:rFonts w:ascii="Gill Sans MT"/>
                        <w:color w:val="FFFFFF"/>
                        <w:spacing w:val="-8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a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healthy</w:t>
                    </w:r>
                    <w:r>
                      <w:rPr>
                        <w:rFonts w:ascii="Gill Sans MT"/>
                        <w:color w:val="FFFFFF"/>
                        <w:spacing w:val="-9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diet and managing alcohol intake (NHS UK,</w:t>
                    </w:r>
                    <w:r>
                      <w:rPr>
                        <w:rFonts w:ascii="Gill Sans MT"/>
                        <w:color w:val="FFFFFF"/>
                        <w:spacing w:val="-21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2026b).</w:t>
                    </w:r>
                  </w:p>
                  <w:p>
                    <w:pPr>
                      <w:spacing w:line="240" w:lineRule="auto" w:before="0"/>
                      <w:rPr>
                        <w:rFonts w:ascii="Gill Sans MT"/>
                        <w:sz w:val="40"/>
                      </w:rPr>
                    </w:pPr>
                  </w:p>
                  <w:p>
                    <w:pPr>
                      <w:spacing w:line="240" w:lineRule="auto" w:before="4"/>
                      <w:rPr>
                        <w:rFonts w:ascii="Gill Sans MT"/>
                        <w:sz w:val="58"/>
                      </w:rPr>
                    </w:pPr>
                  </w:p>
                  <w:p>
                    <w:pPr>
                      <w:spacing w:line="216" w:lineRule="auto" w:before="0"/>
                      <w:ind w:left="1240" w:right="3425" w:firstLine="0"/>
                      <w:jc w:val="left"/>
                      <w:rPr>
                        <w:rFonts w:ascii="Gill Sans MT"/>
                        <w:sz w:val="34"/>
                      </w:rPr>
                    </w:pPr>
                    <w:r>
                      <w:rPr>
                        <w:rFonts w:ascii="Gill Sans MT"/>
                        <w:color w:val="FFFFFF"/>
                        <w:sz w:val="34"/>
                      </w:rPr>
                      <w:t>Determining</w:t>
                    </w:r>
                    <w:r>
                      <w:rPr>
                        <w:rFonts w:ascii="Gill Sans MT"/>
                        <w:color w:val="FFFFFF"/>
                        <w:spacing w:val="-9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weight</w:t>
                    </w:r>
                    <w:r>
                      <w:rPr>
                        <w:rFonts w:ascii="Gill Sans MT"/>
                        <w:color w:val="FFFFFF"/>
                        <w:spacing w:val="-9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management</w:t>
                    </w:r>
                    <w:r>
                      <w:rPr>
                        <w:rFonts w:ascii="Gill Sans MT"/>
                        <w:color w:val="FFFFFF"/>
                        <w:spacing w:val="-11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and</w:t>
                    </w:r>
                    <w:r>
                      <w:rPr>
                        <w:rFonts w:ascii="Gill Sans MT"/>
                        <w:color w:val="FFFFFF"/>
                        <w:spacing w:val="-10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optimal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water intake are key strategies to minimise CKD risk.</w:t>
                    </w:r>
                  </w:p>
                  <w:p>
                    <w:pPr>
                      <w:spacing w:line="240" w:lineRule="auto" w:before="0"/>
                      <w:rPr>
                        <w:rFonts w:ascii="Gill Sans MT"/>
                        <w:sz w:val="40"/>
                      </w:rPr>
                    </w:pPr>
                  </w:p>
                  <w:p>
                    <w:pPr>
                      <w:spacing w:line="240" w:lineRule="auto" w:before="4"/>
                      <w:rPr>
                        <w:rFonts w:ascii="Gill Sans MT"/>
                        <w:sz w:val="58"/>
                      </w:rPr>
                    </w:pPr>
                  </w:p>
                  <w:p>
                    <w:pPr>
                      <w:spacing w:line="216" w:lineRule="auto" w:before="0"/>
                      <w:ind w:left="2098" w:right="3425" w:firstLine="0"/>
                      <w:jc w:val="left"/>
                      <w:rPr>
                        <w:rFonts w:ascii="Gill Sans MT"/>
                        <w:sz w:val="34"/>
                      </w:rPr>
                    </w:pPr>
                    <w:r>
                      <w:rPr>
                        <w:rFonts w:ascii="Gill Sans MT"/>
                        <w:color w:val="FFFFFF"/>
                        <w:sz w:val="34"/>
                      </w:rPr>
                      <w:t>Additionally,</w:t>
                    </w:r>
                    <w:r>
                      <w:rPr>
                        <w:rFonts w:ascii="Gill Sans MT"/>
                        <w:color w:val="FFFFFF"/>
                        <w:spacing w:val="-28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GLP-1RA and SGLT2i are effective in preventing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CKD</w:t>
                    </w:r>
                    <w:r>
                      <w:rPr>
                        <w:rFonts w:ascii="Gill Sans MT"/>
                        <w:color w:val="FFFFFF"/>
                        <w:spacing w:val="-10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onset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in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the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matter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of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obesity</w:t>
                    </w:r>
                    <w:r>
                      <w:rPr>
                        <w:rFonts w:ascii="Gill Sans MT"/>
                        <w:color w:val="FFFFFF"/>
                        <w:spacing w:val="-7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and T2DM (Ortiz et al.,</w:t>
                    </w:r>
                    <w:r>
                      <w:rPr>
                        <w:rFonts w:ascii="Gill Sans MT"/>
                        <w:color w:val="FFFFFF"/>
                        <w:spacing w:val="-5"/>
                        <w:sz w:val="34"/>
                      </w:rPr>
                      <w:t> </w:t>
                    </w:r>
                    <w:r>
                      <w:rPr>
                        <w:rFonts w:ascii="Gill Sans MT"/>
                        <w:color w:val="FFFFFF"/>
                        <w:sz w:val="34"/>
                      </w:rPr>
                      <w:t>2025).</w:t>
                    </w:r>
                  </w:p>
                </w:txbxContent>
              </v:textbox>
              <v:stroke dashstyle="solid"/>
              <w10:wrap type="none"/>
            </v:shape>
            <w10:wrap type="none"/>
          </v:group>
        </w:pict>
      </w:r>
      <w:r>
        <w:rPr/>
        <w:pict>
          <v:group style="position:absolute;margin-left:690.919983pt;margin-top:327.200012pt;width:227pt;height:146.7pt;mso-position-horizontal-relative:page;mso-position-vertical-relative:page;z-index:15737856" id="docshapegroup99" coordorigin="13818,6544" coordsize="4540,2934">
            <v:shape style="position:absolute;left:13956;top:6681;width:4263;height:2657" type="#_x0000_t75" id="docshape100" stroked="false">
              <v:imagedata r:id="rId35" o:title=""/>
            </v:shape>
            <v:shape style="position:absolute;left:13818;top:6544;width:4540;height:2934" id="docshape101" coordorigin="13818,6544" coordsize="4540,2934" path="m18246,6656l18218,6656,18218,6684,18218,9338,13958,9338,13958,6684,18218,6684,18218,6656,13930,6656,13930,6684,13930,9338,13930,9366,18246,9366,18246,9338,18246,9338,18246,6684,18246,6656xm18358,6544l18274,6544,18274,6628,18274,9394,13902,9394,13902,6628,18274,6628,18274,6544,13818,6544,13818,6628,13818,9394,13818,9478,18358,9478,18358,9394,18358,9394,18358,6628,18358,6544xe" filled="true" fillcolor="#000000" stroked="false">
              <v:path arrowok="t"/>
              <v:fill type="solid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38368">
            <wp:simplePos x="0" y="0"/>
            <wp:positionH relativeFrom="page">
              <wp:posOffset>8906256</wp:posOffset>
            </wp:positionH>
            <wp:positionV relativeFrom="page">
              <wp:posOffset>2054351</wp:posOffset>
            </wp:positionV>
            <wp:extent cx="2617659" cy="1743075"/>
            <wp:effectExtent l="0" t="0" r="0" b="0"/>
            <wp:wrapNone/>
            <wp:docPr id="5" name="image3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2.jpeg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7659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position w:val="-2"/>
          <w:sz w:val="14"/>
        </w:rPr>
        <w:pict>
          <v:group style="width:291.6pt;height:7.45pt;mso-position-horizontal-relative:char;mso-position-vertical-relative:line" id="docshapegroup102" coordorigin="0,0" coordsize="5832,149">
            <v:rect style="position:absolute;left:0;top:0;width:5832;height:149" id="docshape103" filled="true" fillcolor="#4d1334" stroked="false">
              <v:fill type="solid"/>
            </v:rect>
          </v:group>
        </w:pict>
      </w:r>
      <w:r>
        <w:rPr>
          <w:position w:val="-2"/>
          <w:sz w:val="14"/>
        </w:rPr>
      </w:r>
      <w:r>
        <w:rPr>
          <w:rFonts w:ascii="Times New Roman"/>
          <w:spacing w:val="96"/>
          <w:position w:val="-2"/>
          <w:sz w:val="14"/>
        </w:rPr>
        <w:t> </w:t>
      </w:r>
      <w:r>
        <w:rPr>
          <w:spacing w:val="96"/>
          <w:position w:val="-2"/>
          <w:sz w:val="14"/>
        </w:rPr>
        <w:pict>
          <v:group style="width:291.6pt;height:7.2pt;mso-position-horizontal-relative:char;mso-position-vertical-relative:line" id="docshapegroup104" coordorigin="0,0" coordsize="5832,144">
            <v:rect style="position:absolute;left:0;top:0;width:5832;height:144" id="docshape105" filled="true" fillcolor="#903062" stroked="false">
              <v:fill type="solid"/>
            </v:rect>
          </v:group>
        </w:pict>
      </w:r>
      <w:r>
        <w:rPr>
          <w:spacing w:val="96"/>
          <w:position w:val="-2"/>
          <w:sz w:val="14"/>
        </w:rPr>
      </w:r>
      <w:r>
        <w:rPr>
          <w:rFonts w:ascii="Times New Roman"/>
          <w:spacing w:val="103"/>
          <w:position w:val="-2"/>
          <w:sz w:val="15"/>
        </w:rPr>
        <w:t> </w:t>
      </w:r>
      <w:r>
        <w:rPr>
          <w:spacing w:val="103"/>
          <w:position w:val="-2"/>
          <w:sz w:val="15"/>
        </w:rPr>
        <w:pict>
          <v:group style="width:291.6pt;height:7.7pt;mso-position-horizontal-relative:char;mso-position-vertical-relative:line" id="docshapegroup106" coordorigin="0,0" coordsize="5832,154">
            <v:rect style="position:absolute;left:0;top:0;width:5832;height:154" id="docshape107" filled="true" fillcolor="#959fa7" stroked="false">
              <v:fill type="solid"/>
            </v:rect>
          </v:group>
        </w:pict>
      </w:r>
      <w:r>
        <w:rPr>
          <w:spacing w:val="103"/>
          <w:position w:val="-2"/>
          <w:sz w:val="15"/>
        </w:rPr>
      </w:r>
    </w:p>
    <w:p>
      <w:pPr>
        <w:pStyle w:val="BodyText"/>
        <w:spacing w:before="1"/>
        <w:rPr>
          <w:sz w:val="6"/>
        </w:rPr>
      </w:pPr>
      <w:r>
        <w:rPr/>
        <w:pict>
          <v:shape style="position:absolute;margin-left:34.68pt;margin-top:4.71pt;width:890.55pt;height:93.75pt;mso-position-horizontal-relative:page;mso-position-vertical-relative:paragraph;z-index:-15720448;mso-wrap-distance-left:0;mso-wrap-distance-right:0" type="#_x0000_t202" id="docshape108" filled="true" fillcolor="#4d1334" stroked="false">
            <v:textbox inset="0,0,0,0">
              <w:txbxContent>
                <w:p>
                  <w:pPr>
                    <w:pStyle w:val="BodyText"/>
                    <w:rPr>
                      <w:color w:val="000000"/>
                      <w:sz w:val="52"/>
                    </w:rPr>
                  </w:pPr>
                </w:p>
                <w:p>
                  <w:pPr>
                    <w:spacing w:before="1"/>
                    <w:ind w:left="365" w:right="0" w:firstLine="0"/>
                    <w:jc w:val="left"/>
                    <w:rPr>
                      <w:b/>
                      <w:color w:val="000000"/>
                      <w:sz w:val="60"/>
                    </w:rPr>
                  </w:pPr>
                  <w:r>
                    <w:rPr>
                      <w:b/>
                      <w:color w:val="FFFFFF"/>
                      <w:sz w:val="60"/>
                    </w:rPr>
                    <w:t>Prevention</w:t>
                  </w:r>
                  <w:r>
                    <w:rPr>
                      <w:b/>
                      <w:color w:val="FFFFFF"/>
                      <w:spacing w:val="-2"/>
                      <w:sz w:val="60"/>
                    </w:rPr>
                    <w:t> </w:t>
                  </w:r>
                  <w:r>
                    <w:rPr>
                      <w:b/>
                      <w:color w:val="FFFFFF"/>
                      <w:sz w:val="60"/>
                    </w:rPr>
                    <w:t>of</w:t>
                  </w:r>
                  <w:r>
                    <w:rPr>
                      <w:b/>
                      <w:color w:val="FFFFFF"/>
                      <w:spacing w:val="2"/>
                      <w:sz w:val="60"/>
                    </w:rPr>
                    <w:t> </w:t>
                  </w:r>
                  <w:r>
                    <w:rPr>
                      <w:b/>
                      <w:color w:val="FFFFFF"/>
                      <w:sz w:val="60"/>
                    </w:rPr>
                    <w:t>the </w:t>
                  </w:r>
                  <w:r>
                    <w:rPr>
                      <w:b/>
                      <w:color w:val="FFFFFF"/>
                      <w:spacing w:val="-2"/>
                      <w:sz w:val="60"/>
                    </w:rPr>
                    <w:t>condition</w:t>
                  </w:r>
                </w:p>
              </w:txbxContent>
            </v:textbox>
            <v:fill type="solid"/>
            <w10:wrap type="topAndBottom"/>
          </v:shape>
        </w:pict>
      </w:r>
    </w:p>
    <w:p>
      <w:pPr>
        <w:spacing w:after="0"/>
        <w:rPr>
          <w:sz w:val="6"/>
        </w:rPr>
        <w:sectPr>
          <w:pgSz w:w="19200" w:h="10800" w:orient="landscape"/>
          <w:pgMar w:top="720" w:bottom="280" w:left="0" w:right="0"/>
        </w:sectPr>
      </w:pPr>
    </w:p>
    <w:p>
      <w:pPr>
        <w:pStyle w:val="Heading2"/>
        <w:spacing w:line="249" w:lineRule="auto"/>
        <w:ind w:left="2704"/>
      </w:pPr>
      <w:r>
        <w:rPr/>
        <w:t>Required</w:t>
      </w:r>
      <w:r>
        <w:rPr>
          <w:spacing w:val="-9"/>
        </w:rPr>
        <w:t> </w:t>
      </w:r>
      <w:r>
        <w:rPr/>
        <w:t>skills,</w:t>
      </w:r>
      <w:r>
        <w:rPr>
          <w:spacing w:val="-2"/>
        </w:rPr>
        <w:t> </w:t>
      </w:r>
      <w:r>
        <w:rPr/>
        <w:t>values</w:t>
      </w:r>
      <w:r>
        <w:rPr>
          <w:spacing w:val="-6"/>
        </w:rPr>
        <w:t> </w:t>
      </w:r>
      <w:r>
        <w:rPr/>
        <w:t>and</w:t>
      </w:r>
      <w:r>
        <w:rPr>
          <w:spacing w:val="-6"/>
        </w:rPr>
        <w:t> </w:t>
      </w:r>
      <w:r>
        <w:rPr/>
        <w:t>behavior</w:t>
      </w:r>
      <w:r>
        <w:rPr>
          <w:spacing w:val="-5"/>
        </w:rPr>
        <w:t> </w:t>
      </w:r>
      <w:r>
        <w:rPr/>
        <w:t>for</w:t>
      </w:r>
      <w:r>
        <w:rPr>
          <w:spacing w:val="-5"/>
        </w:rPr>
        <w:t> </w:t>
      </w:r>
      <w:r>
        <w:rPr/>
        <w:t>Co-productive </w:t>
      </w:r>
      <w:r>
        <w:rPr>
          <w:spacing w:val="-4"/>
        </w:rPr>
        <w:t>care</w:t>
      </w: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rPr>
          <w:b/>
        </w:rPr>
      </w:pPr>
    </w:p>
    <w:p>
      <w:pPr>
        <w:pStyle w:val="BodyText"/>
        <w:spacing w:before="11"/>
        <w:rPr>
          <w:b/>
          <w:sz w:val="19"/>
        </w:rPr>
      </w:pPr>
    </w:p>
    <w:p>
      <w:pPr>
        <w:spacing w:after="0"/>
        <w:rPr>
          <w:sz w:val="19"/>
        </w:rPr>
        <w:sectPr>
          <w:pgSz w:w="19200" w:h="10800" w:orient="landscape"/>
          <w:pgMar w:top="320" w:bottom="280" w:left="0" w:right="0"/>
        </w:sectPr>
      </w:pPr>
    </w:p>
    <w:p>
      <w:pPr>
        <w:spacing w:before="101"/>
        <w:ind w:left="7426" w:right="0" w:firstLine="0"/>
        <w:jc w:val="left"/>
        <w:rPr>
          <w:rFonts w:ascii="Century Gothic"/>
          <w:sz w:val="22"/>
        </w:rPr>
      </w:pPr>
      <w:r>
        <w:rPr>
          <w:rFonts w:ascii="Century Gothic"/>
          <w:sz w:val="22"/>
        </w:rPr>
        <w:t>To embrace co-productive care, patients need to be aware of their diseases and have skills, knowledge, and confidence in self-management called</w:t>
      </w:r>
      <w:r>
        <w:rPr>
          <w:rFonts w:ascii="Century Gothic"/>
          <w:spacing w:val="-14"/>
          <w:sz w:val="22"/>
        </w:rPr>
        <w:t> </w:t>
      </w:r>
      <w:r>
        <w:rPr>
          <w:rFonts w:ascii="Century Gothic"/>
          <w:sz w:val="22"/>
        </w:rPr>
        <w:t>patient-activation</w:t>
      </w:r>
      <w:r>
        <w:rPr>
          <w:rFonts w:ascii="Century Gothic"/>
          <w:spacing w:val="-15"/>
          <w:sz w:val="22"/>
        </w:rPr>
        <w:t> </w:t>
      </w:r>
      <w:r>
        <w:rPr>
          <w:rFonts w:ascii="Century Gothic"/>
          <w:sz w:val="22"/>
        </w:rPr>
        <w:t>(Lightfoot</w:t>
      </w:r>
      <w:r>
        <w:rPr>
          <w:rFonts w:ascii="Century Gothic"/>
          <w:spacing w:val="-7"/>
          <w:sz w:val="22"/>
        </w:rPr>
        <w:t> </w:t>
      </w:r>
      <w:r>
        <w:rPr>
          <w:rFonts w:ascii="Century Gothic"/>
          <w:sz w:val="22"/>
        </w:rPr>
        <w:t>et al., 2025).</w:t>
      </w:r>
    </w:p>
    <w:p>
      <w:pPr>
        <w:spacing w:before="101"/>
        <w:ind w:left="3070" w:right="319" w:firstLine="0"/>
        <w:jc w:val="left"/>
        <w:rPr>
          <w:rFonts w:ascii="Century Gothic"/>
          <w:sz w:val="22"/>
        </w:rPr>
      </w:pPr>
      <w:r>
        <w:rPr/>
        <w:br w:type="column"/>
      </w:r>
      <w:r>
        <w:rPr>
          <w:rFonts w:ascii="Century Gothic"/>
          <w:sz w:val="22"/>
        </w:rPr>
        <w:t>Healthcare professionals need to acquire training on CKD-specific knowledge</w:t>
      </w:r>
      <w:r>
        <w:rPr>
          <w:rFonts w:ascii="Century Gothic"/>
          <w:spacing w:val="-11"/>
          <w:sz w:val="22"/>
        </w:rPr>
        <w:t> </w:t>
      </w:r>
      <w:r>
        <w:rPr>
          <w:rFonts w:ascii="Century Gothic"/>
          <w:sz w:val="22"/>
        </w:rPr>
        <w:t>and</w:t>
      </w:r>
      <w:r>
        <w:rPr>
          <w:rFonts w:ascii="Century Gothic"/>
          <w:spacing w:val="-8"/>
          <w:sz w:val="22"/>
        </w:rPr>
        <w:t> </w:t>
      </w:r>
      <w:r>
        <w:rPr>
          <w:rFonts w:ascii="Century Gothic"/>
          <w:sz w:val="22"/>
        </w:rPr>
        <w:t>have</w:t>
      </w:r>
      <w:r>
        <w:rPr>
          <w:rFonts w:ascii="Century Gothic"/>
          <w:spacing w:val="-12"/>
          <w:sz w:val="22"/>
        </w:rPr>
        <w:t> </w:t>
      </w:r>
      <w:r>
        <w:rPr>
          <w:rFonts w:ascii="Century Gothic"/>
          <w:sz w:val="22"/>
        </w:rPr>
        <w:t>communication skills and motivational techniques to</w:t>
      </w:r>
    </w:p>
    <w:p>
      <w:pPr>
        <w:spacing w:before="1"/>
        <w:ind w:left="3070" w:right="319" w:firstLine="0"/>
        <w:jc w:val="left"/>
        <w:rPr>
          <w:rFonts w:ascii="Century Gothic" w:hAnsi="Century Gothic"/>
          <w:sz w:val="22"/>
        </w:rPr>
      </w:pPr>
      <w:r>
        <w:rPr>
          <w:rFonts w:ascii="Century Gothic" w:hAnsi="Century Gothic"/>
          <w:sz w:val="22"/>
        </w:rPr>
        <w:t>tailor</w:t>
      </w:r>
      <w:r>
        <w:rPr>
          <w:rFonts w:ascii="Century Gothic" w:hAnsi="Century Gothic"/>
          <w:spacing w:val="-11"/>
          <w:sz w:val="22"/>
        </w:rPr>
        <w:t> </w:t>
      </w:r>
      <w:r>
        <w:rPr>
          <w:rFonts w:ascii="Century Gothic" w:hAnsi="Century Gothic"/>
          <w:sz w:val="22"/>
        </w:rPr>
        <w:t>patients’</w:t>
      </w:r>
      <w:r>
        <w:rPr>
          <w:rFonts w:ascii="Century Gothic" w:hAnsi="Century Gothic"/>
          <w:spacing w:val="-9"/>
          <w:sz w:val="22"/>
        </w:rPr>
        <w:t> </w:t>
      </w:r>
      <w:r>
        <w:rPr>
          <w:rFonts w:ascii="Century Gothic" w:hAnsi="Century Gothic"/>
          <w:sz w:val="22"/>
        </w:rPr>
        <w:t>needs</w:t>
      </w:r>
      <w:r>
        <w:rPr>
          <w:rFonts w:ascii="Century Gothic" w:hAnsi="Century Gothic"/>
          <w:spacing w:val="-11"/>
          <w:sz w:val="22"/>
        </w:rPr>
        <w:t> </w:t>
      </w:r>
      <w:r>
        <w:rPr>
          <w:rFonts w:ascii="Century Gothic" w:hAnsi="Century Gothic"/>
          <w:sz w:val="22"/>
        </w:rPr>
        <w:t>(Lichodziejewska- Niemierko et al., 2026).</w:t>
      </w:r>
    </w:p>
    <w:p>
      <w:pPr>
        <w:spacing w:after="0"/>
        <w:jc w:val="left"/>
        <w:rPr>
          <w:rFonts w:ascii="Century Gothic" w:hAnsi="Century Gothic"/>
          <w:sz w:val="22"/>
        </w:rPr>
        <w:sectPr>
          <w:type w:val="continuous"/>
          <w:pgSz w:w="19200" w:h="10800" w:orient="landscape"/>
          <w:pgMar w:top="1220" w:bottom="280" w:left="0" w:right="0"/>
          <w:cols w:num="2" w:equalWidth="0">
            <w:col w:w="11446" w:space="40"/>
            <w:col w:w="7714"/>
          </w:cols>
        </w:sect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spacing w:before="5"/>
        <w:rPr>
          <w:rFonts w:ascii="Century Gothic"/>
          <w:sz w:val="21"/>
        </w:rPr>
      </w:pPr>
    </w:p>
    <w:p>
      <w:pPr>
        <w:spacing w:after="0"/>
        <w:rPr>
          <w:rFonts w:ascii="Century Gothic"/>
          <w:sz w:val="21"/>
        </w:rPr>
        <w:sectPr>
          <w:type w:val="continuous"/>
          <w:pgSz w:w="19200" w:h="10800" w:orient="landscape"/>
          <w:pgMar w:top="1220" w:bottom="280" w:left="0" w:right="0"/>
        </w:sectPr>
      </w:pPr>
    </w:p>
    <w:p>
      <w:pPr>
        <w:spacing w:before="101"/>
        <w:ind w:left="7426" w:right="0" w:firstLine="0"/>
        <w:jc w:val="left"/>
        <w:rPr>
          <w:rFonts w:ascii="Century Gothic"/>
          <w:sz w:val="22"/>
        </w:rPr>
      </w:pPr>
      <w:r>
        <w:rPr/>
        <w:pict>
          <v:group style="position:absolute;margin-left:.0pt;margin-top:-.000061pt;width:960pt;height:540pt;mso-position-horizontal-relative:page;mso-position-vertical-relative:page;z-index:-16055808" id="docshapegroup109" coordorigin="0,0" coordsize="19200,10800">
            <v:shape style="position:absolute;left:0;top:0;width:19200;height:10800" type="#_x0000_t75" id="docshape110" stroked="false">
              <v:imagedata r:id="rId16" o:title=""/>
            </v:shape>
            <v:shape style="position:absolute;left:0;top:0;width:4491;height:10800" type="#_x0000_t75" id="docshape111" stroked="false">
              <v:imagedata r:id="rId17" o:title=""/>
            </v:shape>
            <v:rect style="position:absolute;left:0;top:0;width:288;height:10800" id="docshape112" filled="true" fillcolor="#2d5269" stroked="false">
              <v:fill type="solid"/>
            </v:rect>
            <v:shape style="position:absolute;left:0;top:1125;width:2508;height:800" id="docshape113" coordorigin="0,1126" coordsize="2508,800" path="m0,1126l0,1919,1962,1925,2120,1925,2127,1917,2130,1915,2133,1912,2135,1910,2496,1549,2504,1538,2507,1526,2504,1515,2496,1504,2135,1143,2127,1143,2127,1136,2120,1136,2112,1128,1962,1128,0,1126xe" filled="true" fillcolor="#353535" stroked="false">
              <v:path arrowok="t"/>
              <v:fill type="solid"/>
            </v:shape>
            <v:shape style="position:absolute;left:5251;top:3446;width:1791;height:1788" id="docshape114" coordorigin="5251,3446" coordsize="1791,1788" path="m6146,3446l6069,3450,5994,3459,5920,3475,5849,3497,5781,3524,5716,3556,5653,3594,5595,3636,5539,3683,5488,3734,5441,3789,5399,3848,5361,3910,5329,3976,5302,4044,5280,4115,5264,4188,5254,4263,5251,4340,5254,4418,5264,4493,5280,4566,5302,4637,5329,4705,5361,4771,5399,4833,5441,4891,5488,4947,5539,4998,5595,5044,5653,5087,5716,5124,5781,5157,5849,5184,5920,5206,5994,5221,6069,5231,6146,5234,6224,5231,6299,5221,6372,5206,6443,5184,6512,5157,6577,5124,6639,5087,6698,5044,6753,4998,6804,4947,6851,4891,6894,4833,6931,4771,6964,4705,6991,4637,7013,4566,7029,4493,7038,4418,7042,4340,7038,4263,7029,4188,7013,4115,6991,4044,6964,3976,6931,3910,6894,3848,6851,3789,6804,3734,6753,3683,6698,3636,6639,3594,6577,3556,6512,3524,6443,3497,6372,3475,6299,3459,6224,3450,6146,3446xe" filled="true" fillcolor="#cecece" stroked="false">
              <v:path arrowok="t"/>
              <v:fill type="solid"/>
            </v:shape>
            <v:shape style="position:absolute;left:5971;top:3972;width:355;height:356" type="#_x0000_t75" id="docshape115" stroked="false">
              <v:imagedata r:id="rId37" o:title=""/>
            </v:shape>
            <v:shape style="position:absolute;left:5800;top:4358;width:329;height:329" type="#_x0000_t75" id="docshape116" stroked="false">
              <v:imagedata r:id="rId38" o:title=""/>
            </v:shape>
            <v:rect style="position:absolute;left:5628;top:3820;width:1040;height:1040" id="docshape117" filled="false" stroked="true" strokeweight="1.25pt" strokecolor="#ffffff">
              <v:stroke dashstyle="solid"/>
            </v:rect>
            <v:shape style="position:absolute;left:12381;top:3446;width:1791;height:1788" id="docshape118" coordorigin="12382,3446" coordsize="1791,1788" path="m13277,3446l13200,3450,13124,3459,13051,3475,12980,3497,12912,3524,12846,3556,12784,3594,12725,3636,12670,3683,12619,3734,12572,3789,12529,3848,12492,3910,12459,3976,12432,4044,12410,4115,12395,4188,12385,4263,12382,4340,12385,4418,12395,4493,12410,4566,12432,4637,12459,4705,12492,4771,12529,4833,12572,4891,12619,4947,12670,4998,12725,5044,12784,5087,12846,5124,12912,5157,12980,5184,13051,5206,13124,5221,13200,5231,13277,5234,13354,5231,13429,5221,13503,5206,13574,5184,13642,5157,13708,5124,13770,5087,13829,5044,13884,4998,13935,4947,13982,4891,14024,4833,14062,4771,14094,4705,14122,4637,14143,4566,14159,4493,14169,4418,14172,4340,14169,4263,14159,4188,14143,4115,14122,4044,14094,3976,14062,3910,14024,3848,13982,3789,13935,3734,13884,3683,13829,3636,13770,3594,13708,3556,13642,3524,13574,3497,13503,3475,13429,3459,13354,3450,13277,3446xe" filled="true" fillcolor="#cecece" stroked="false">
              <v:path arrowok="t"/>
              <v:fill type="solid"/>
            </v:shape>
            <v:shape style="position:absolute;left:12838;top:4074;width:568;height:611" id="docshape119" coordorigin="12838,4075" coordsize="568,611" path="m13277,4075l13149,4203,13149,4235,12838,4235,12838,4278,12860,4278,12860,4685,12931,4685,13017,4599,12903,4599,12903,4535,13081,4535,13124,4492,12903,4492,12903,4428,13188,4428,13231,4385,12903,4385,12903,4321,13257,4321,13257,4312,13222,4312,13202,4277,13237,4257,13202,4237,13222,4202,13257,4202,13257,4182,13384,4182,13277,4075xm13010,4535l12967,4535,12967,4599,13010,4599,13010,4535xm13081,4535l13074,4535,13074,4542,13081,4535xm13010,4428l12967,4428,12967,4492,13010,4492,13010,4428xm13117,4428l13074,4428,13074,4492,13117,4492,13117,4428xm13188,4428l13181,4428,13181,4435,13188,4428xm13010,4321l12967,4321,12967,4385,13010,4385,13010,4321xm13117,4321l13074,4321,13074,4385,13117,4385,13117,4321xm13257,4321l13181,4321,13181,4385,13231,4385,13284,4332,13257,4332,13257,4321xm13297,4291l13297,4319,13315,4301,13297,4291xm13257,4291l13222,4312,13257,4312,13257,4291xm13404,4202l13332,4202,13352,4237,13317,4257,13344,4272,13406,4210,13406,4203,13404,4202xm13257,4202l13222,4202,13257,4222,13257,4202xm13384,4182l13297,4182,13297,4222,13332,4202,13404,4202,13384,4182xe" filled="true" fillcolor="#343434" stroked="false">
              <v:path arrowok="t"/>
              <v:fill type="solid"/>
            </v:shape>
            <v:shape style="position:absolute;left:12838;top:4074;width:568;height:611" id="docshape120" coordorigin="12838,4075" coordsize="568,611" path="m13406,4210l13406,4203,13277,4075,13149,4203,13149,4235,12838,4235,12838,4278,12860,4278,12860,4685,12931,4685m12967,4599l12903,4599,12903,4535,12967,4535,12967,4599m12967,4492l12903,4492,12903,4428,12967,4428,12967,4492m12967,4385l12903,4385,12903,4321,12967,4321,12967,4385m13017,4599l13010,4599,13010,4535,13074,4535,13074,4542m13074,4492l13010,4492,13010,4428,13074,4428,13074,4492m13074,4385l13010,4385,13010,4321,13074,4321,13074,4385m13124,4492l13117,4492,13117,4428,13181,4428,13181,4435e" filled="false" stroked="true" strokeweight=".624500pt" strokecolor="#343434">
              <v:path arrowok="t"/>
              <v:stroke dashstyle="solid"/>
            </v:shape>
            <v:shape style="position:absolute;left:13084;top:3952;width:386;height:440" type="#_x0000_t75" id="docshape121" stroked="false">
              <v:imagedata r:id="rId39" o:title=""/>
            </v:shape>
            <v:rect style="position:absolute;left:12756;top:3820;width:1040;height:1040" id="docshape122" filled="false" stroked="true" strokeweight="1.25pt" strokecolor="#ffffff">
              <v:stroke dashstyle="solid"/>
            </v:rect>
            <v:shape style="position:absolute;left:5251;top:6765;width:1791;height:1788" id="docshape123" coordorigin="5251,6766" coordsize="1791,1788" path="m6146,6766l6069,6769,5994,6779,5920,6794,5849,6816,5781,6843,5716,6876,5653,6913,5595,6956,5539,7002,5488,7053,5441,7109,5399,7167,5361,7229,5329,7295,5302,7363,5280,7434,5264,7507,5254,7582,5251,7660,5254,7737,5264,7812,5280,7885,5302,7956,5329,8024,5361,8090,5399,8152,5441,8211,5488,8266,5539,8317,5595,8364,5653,8406,5716,8444,5781,8476,5849,8503,5920,8525,5994,8541,6069,8550,6146,8554,6224,8550,6299,8541,6372,8525,6443,8503,6512,8476,6577,8444,6639,8406,6698,8364,6753,8317,6804,8266,6851,8211,6894,8152,6931,8090,6964,8024,6991,7956,7013,7885,7029,7812,7038,7737,7042,7660,7038,7582,7029,7507,7013,7434,6991,7363,6964,7295,6931,7229,6894,7167,6851,7109,6804,7053,6753,7002,6698,6956,6639,6913,6577,6876,6512,6843,6443,6816,6372,6794,6299,6779,6224,6769,6146,6766xe" filled="true" fillcolor="#cecece" stroked="false">
              <v:path arrowok="t"/>
              <v:fill type="solid"/>
            </v:shape>
            <v:shape style="position:absolute;left:5785;top:7190;width:593;height:639" id="docshape124" coordorigin="5785,7190" coordsize="593,639" path="m6378,7430l6350,7435,6312,7460,6287,7498,6281,7526,6378,7430xm5903,7190l5879,7190,5867,7200,5862,7213,5841,7220,5823,7234,5811,7253,5807,7276,5807,7540,5798,7546,5791,7555,5787,7565,5785,7576,5800,7656,5841,7724,5902,7773,5978,7799,5978,7829,6092,7715,6010,7715,5956,7704,5912,7674,5882,7630,5871,7576,5870,7564,5865,7554,5858,7546,5850,7540,5850,7268,5855,7260,5862,7257,5938,7257,5943,7250,5946,7233,5943,7217,5933,7203,5920,7194,5903,7190xm6210,7257l6158,7257,6165,7260,6171,7268,6171,7540,6162,7546,6155,7555,6151,7565,6149,7576,6138,7630,6109,7674,6064,7704,6010,7715,6092,7715,6235,7573,6233,7564,6229,7554,6222,7546,6214,7540,6214,7276,6210,7257xm5938,7257l5862,7257,5868,7269,5879,7276,5903,7276,5920,7273,5933,7264,5938,7257xm6142,7190l6117,7190,6101,7194,6087,7203,6078,7217,6074,7233,6078,7250,6087,7264,6101,7273,6117,7276,6141,7276,6153,7268,6158,7257,6210,7257,6209,7253,6197,7234,6180,7220,6158,7213,6154,7200,6142,7190xe" filled="true" fillcolor="#343434" stroked="false">
              <v:path arrowok="t"/>
              <v:fill type="solid"/>
            </v:shape>
            <v:shape style="position:absolute;left:5785;top:7190;width:593;height:639" id="docshape125" coordorigin="5785,7190" coordsize="593,639" path="m6378,7430l6350,7435,6312,7460,6287,7498,6281,7526m6235,7573l6233,7564,6229,7554,6222,7546,6214,7540,6214,7276,6209,7253,6197,7234,6180,7220,6158,7213,6154,7200,6142,7190,6128,7190,6117,7190,6101,7194,6087,7203,6078,7217,6074,7233,6078,7250,6087,7264,6101,7273,6117,7276,6128,7276,6141,7276,6153,7268,6158,7257,6165,7260,6171,7268,6171,7276,6171,7540,6162,7546,6155,7555,6151,7565,6149,7576,6138,7630,6109,7674,6064,7704,6010,7715,5956,7704,5912,7674,5882,7630,5871,7576,5870,7564,5865,7554,5858,7546,5850,7540,5850,7276,5850,7268,5855,7260,5862,7257,5868,7269,5879,7276,5892,7276,5903,7276,5920,7273,5933,7264,5943,7250,5946,7233,5943,7217,5933,7203,5920,7194,5903,7190,5892,7190,5879,7190,5867,7200,5862,7213,5841,7220,5823,7234,5811,7253,5807,7276,5807,7540,5798,7546,5791,7555,5787,7565,5785,7576,5800,7656,5841,7724,5902,7773,5978,7799,5978,7829e" filled="false" stroked="true" strokeweight=".624500pt" strokecolor="#343434">
              <v:path arrowok="t"/>
              <v:stroke dashstyle="solid"/>
            </v:shape>
            <v:rect style="position:absolute;left:5628;top:7140;width:1040;height:1040" id="docshape126" filled="false" stroked="true" strokeweight="1.25pt" strokecolor="#ffffff">
              <v:stroke dashstyle="solid"/>
            </v:rect>
            <v:shape style="position:absolute;left:12381;top:6765;width:1791;height:1788" id="docshape127" coordorigin="12382,6766" coordsize="1791,1788" path="m13277,6766l13200,6769,13124,6779,13051,6794,12980,6816,12912,6843,12846,6876,12784,6913,12725,6956,12670,7002,12619,7053,12572,7109,12529,7167,12492,7229,12459,7295,12432,7363,12410,7434,12395,7507,12385,7582,12382,7660,12385,7737,12395,7812,12410,7885,12432,7956,12459,8024,12492,8090,12529,8152,12572,8211,12619,8266,12670,8317,12725,8364,12784,8406,12846,8444,12912,8476,12980,8503,13051,8525,13124,8541,13200,8550,13277,8554,13354,8550,13429,8541,13503,8525,13574,8503,13642,8476,13708,8444,13770,8406,13829,8364,13884,8317,13935,8266,13982,8211,14024,8152,14062,8090,14094,8024,14122,7956,14143,7885,14159,7812,14169,7737,14172,7660,14169,7582,14159,7507,14143,7434,14122,7363,14094,7295,14062,7229,14024,7167,13982,7109,13935,7053,13884,7002,13829,6956,13770,6913,13708,6876,13642,6843,13574,6816,13503,6794,13429,6779,13354,6769,13277,6766xe" filled="true" fillcolor="#cecece" stroked="false">
              <v:path arrowok="t"/>
              <v:fill type="solid"/>
            </v:shape>
            <v:shape style="position:absolute;left:12870;top:7254;width:692;height:692" id="docshape128" coordorigin="12871,7255" coordsize="692,692" path="m13277,7255l13204,7261,13135,7280,13072,7310,13015,7350,12966,7399,12926,7456,12896,7520,12877,7588,12871,7662,12877,7735,12896,7804,12926,7867,12966,7924,12989,7946,13035,7901,13010,7876,12970,7812,12944,7740,12935,7662,12944,7583,12970,7511,13010,7447,13063,7394,13127,7354,13199,7328,13277,7319,13495,7319,13483,7310,13419,7280,13350,7261,13277,7255xm13495,7319l13277,7319,13356,7328,13428,7354,13492,7394,13516,7419,13562,7373,13539,7350,13495,7319xe" filled="true" fillcolor="#343434" stroked="false">
              <v:path arrowok="t"/>
              <v:fill type="solid"/>
            </v:shape>
            <v:shape style="position:absolute;left:12870;top:7254;width:692;height:692" id="docshape129" coordorigin="12871,7255" coordsize="692,692" path="m13277,7319l13199,7328,13127,7354,13063,7394,13010,7447,12970,7511,12944,7583,12935,7662,12944,7740,12970,7812,13010,7876,13035,7901m13516,7419l13492,7394,13428,7354,13356,7328,13277,7319m12989,7946l12966,7924,12926,7867,12896,7804,12877,7735,12871,7662,12877,7588,12896,7520,12926,7456,12966,7399,13015,7350,13072,7310,13135,7280,13204,7261,13277,7255,13350,7261,13419,7280,13483,7310,13539,7350,13562,7373e" filled="false" stroked="true" strokeweight=".624500pt" strokecolor="#343434">
              <v:path arrowok="t"/>
              <v:stroke dashstyle="solid"/>
            </v:shape>
            <v:shape style="position:absolute;left:13014;top:7398;width:355;height:356" type="#_x0000_t75" id="docshape130" stroked="false">
              <v:imagedata r:id="rId40" o:title=""/>
            </v:shape>
            <v:rect style="position:absolute;left:12756;top:7140;width:1040;height:1040" id="docshape131" filled="false" stroked="true" strokeweight="1.25pt" strokecolor="#ffffff">
              <v:stroke dashstyle="solid"/>
            </v:rect>
            <v:shape style="position:absolute;left:650;top:2311;width:4155;height:4205" type="#_x0000_t75" id="docshape132" stroked="false">
              <v:imagedata r:id="rId41" o:title=""/>
            </v:shape>
            <v:shape style="position:absolute;left:592;top:6854;width:4295;height:3942" type="#_x0000_t75" id="docshape133" stroked="false">
              <v:imagedata r:id="rId42" o:title=""/>
            </v:shape>
            <w10:wrap type="none"/>
          </v:group>
        </w:pict>
      </w:r>
      <w:r>
        <w:rPr>
          <w:rFonts w:ascii="Century Gothic"/>
          <w:sz w:val="22"/>
        </w:rPr>
        <w:t>In</w:t>
      </w:r>
      <w:r>
        <w:rPr>
          <w:rFonts w:ascii="Century Gothic"/>
          <w:spacing w:val="-8"/>
          <w:sz w:val="22"/>
        </w:rPr>
        <w:t> </w:t>
      </w:r>
      <w:r>
        <w:rPr>
          <w:rFonts w:ascii="Century Gothic"/>
          <w:sz w:val="22"/>
        </w:rPr>
        <w:t>contrast,</w:t>
      </w:r>
      <w:r>
        <w:rPr>
          <w:rFonts w:ascii="Century Gothic"/>
          <w:spacing w:val="-7"/>
          <w:sz w:val="22"/>
        </w:rPr>
        <w:t> </w:t>
      </w:r>
      <w:r>
        <w:rPr>
          <w:rFonts w:ascii="Century Gothic"/>
          <w:sz w:val="22"/>
        </w:rPr>
        <w:t>if</w:t>
      </w:r>
      <w:r>
        <w:rPr>
          <w:rFonts w:ascii="Century Gothic"/>
          <w:spacing w:val="-6"/>
          <w:sz w:val="22"/>
        </w:rPr>
        <w:t> </w:t>
      </w:r>
      <w:r>
        <w:rPr>
          <w:rFonts w:ascii="Century Gothic"/>
          <w:sz w:val="22"/>
        </w:rPr>
        <w:t>healthcare</w:t>
      </w:r>
      <w:r>
        <w:rPr>
          <w:rFonts w:ascii="Century Gothic"/>
          <w:spacing w:val="-10"/>
          <w:sz w:val="22"/>
        </w:rPr>
        <w:t> </w:t>
      </w:r>
      <w:r>
        <w:rPr>
          <w:rFonts w:ascii="Century Gothic"/>
          <w:sz w:val="22"/>
        </w:rPr>
        <w:t>professionals do</w:t>
      </w:r>
      <w:r>
        <w:rPr>
          <w:rFonts w:ascii="Century Gothic"/>
          <w:spacing w:val="-7"/>
          <w:sz w:val="22"/>
        </w:rPr>
        <w:t> </w:t>
      </w:r>
      <w:r>
        <w:rPr>
          <w:rFonts w:ascii="Century Gothic"/>
          <w:sz w:val="22"/>
        </w:rPr>
        <w:t>not</w:t>
      </w:r>
      <w:r>
        <w:rPr>
          <w:rFonts w:ascii="Century Gothic"/>
          <w:spacing w:val="-5"/>
          <w:sz w:val="22"/>
        </w:rPr>
        <w:t> </w:t>
      </w:r>
      <w:r>
        <w:rPr>
          <w:rFonts w:ascii="Century Gothic"/>
          <w:sz w:val="22"/>
        </w:rPr>
        <w:t>have</w:t>
      </w:r>
      <w:r>
        <w:rPr>
          <w:rFonts w:ascii="Century Gothic"/>
          <w:spacing w:val="-10"/>
          <w:sz w:val="22"/>
        </w:rPr>
        <w:t> </w:t>
      </w:r>
      <w:r>
        <w:rPr>
          <w:rFonts w:ascii="Century Gothic"/>
          <w:sz w:val="22"/>
        </w:rPr>
        <w:t>adequate</w:t>
      </w:r>
      <w:r>
        <w:rPr>
          <w:rFonts w:ascii="Century Gothic"/>
          <w:spacing w:val="-10"/>
          <w:sz w:val="22"/>
        </w:rPr>
        <w:t> </w:t>
      </w:r>
      <w:r>
        <w:rPr>
          <w:rFonts w:ascii="Century Gothic"/>
          <w:sz w:val="22"/>
        </w:rPr>
        <w:t>knowledge</w:t>
      </w:r>
      <w:r>
        <w:rPr>
          <w:rFonts w:ascii="Century Gothic"/>
          <w:spacing w:val="-10"/>
          <w:sz w:val="22"/>
        </w:rPr>
        <w:t> </w:t>
      </w:r>
      <w:r>
        <w:rPr>
          <w:rFonts w:ascii="Century Gothic"/>
          <w:sz w:val="22"/>
        </w:rPr>
        <w:t>of LTC and communication skills, it can lead to negative consequences for patients' health.</w:t>
      </w:r>
    </w:p>
    <w:p>
      <w:pPr>
        <w:spacing w:before="101"/>
        <w:ind w:left="3080" w:right="65" w:firstLine="0"/>
        <w:jc w:val="left"/>
        <w:rPr>
          <w:rFonts w:ascii="Century Gothic"/>
          <w:sz w:val="22"/>
        </w:rPr>
      </w:pPr>
      <w:r>
        <w:rPr/>
        <w:br w:type="column"/>
      </w:r>
      <w:r>
        <w:rPr>
          <w:rFonts w:ascii="Century Gothic"/>
          <w:sz w:val="22"/>
        </w:rPr>
        <w:t>Treating patients with empathy by a physician</w:t>
      </w:r>
      <w:r>
        <w:rPr>
          <w:rFonts w:ascii="Century Gothic"/>
          <w:spacing w:val="-11"/>
          <w:sz w:val="22"/>
        </w:rPr>
        <w:t> </w:t>
      </w:r>
      <w:r>
        <w:rPr>
          <w:rFonts w:ascii="Century Gothic"/>
          <w:sz w:val="22"/>
        </w:rPr>
        <w:t>can</w:t>
      </w:r>
      <w:r>
        <w:rPr>
          <w:rFonts w:ascii="Century Gothic"/>
          <w:spacing w:val="-7"/>
          <w:sz w:val="22"/>
        </w:rPr>
        <w:t> </w:t>
      </w:r>
      <w:r>
        <w:rPr>
          <w:rFonts w:ascii="Century Gothic"/>
          <w:sz w:val="22"/>
        </w:rPr>
        <w:t>increase</w:t>
      </w:r>
      <w:r>
        <w:rPr>
          <w:rFonts w:ascii="Century Gothic"/>
          <w:spacing w:val="-11"/>
          <w:sz w:val="22"/>
        </w:rPr>
        <w:t> </w:t>
      </w:r>
      <w:r>
        <w:rPr>
          <w:rFonts w:ascii="Century Gothic"/>
          <w:sz w:val="22"/>
        </w:rPr>
        <w:t>patients'</w:t>
      </w:r>
      <w:r>
        <w:rPr>
          <w:rFonts w:ascii="Century Gothic"/>
          <w:spacing w:val="-9"/>
          <w:sz w:val="22"/>
        </w:rPr>
        <w:t> </w:t>
      </w:r>
      <w:r>
        <w:rPr>
          <w:rFonts w:ascii="Century Gothic"/>
          <w:sz w:val="22"/>
        </w:rPr>
        <w:t>health outcomes as they listen, and acknowledge, and respond to their experiences (Golsorkhi et al., 2025).</w:t>
      </w:r>
    </w:p>
    <w:p>
      <w:pPr>
        <w:spacing w:after="0"/>
        <w:jc w:val="left"/>
        <w:rPr>
          <w:rFonts w:ascii="Century Gothic"/>
          <w:sz w:val="22"/>
        </w:rPr>
        <w:sectPr>
          <w:type w:val="continuous"/>
          <w:pgSz w:w="19200" w:h="10800" w:orient="landscape"/>
          <w:pgMar w:top="1220" w:bottom="280" w:left="0" w:right="0"/>
          <w:cols w:num="2" w:equalWidth="0">
            <w:col w:w="11437" w:space="40"/>
            <w:col w:w="7723"/>
          </w:cols>
        </w:sect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rPr>
          <w:rFonts w:ascii="Century Gothic"/>
        </w:rPr>
      </w:pPr>
    </w:p>
    <w:p>
      <w:pPr>
        <w:pStyle w:val="BodyText"/>
        <w:spacing w:before="4" w:after="1"/>
        <w:rPr>
          <w:rFonts w:ascii="Century Gothic"/>
          <w:sz w:val="28"/>
        </w:rPr>
      </w:pPr>
    </w:p>
    <w:p>
      <w:pPr>
        <w:tabs>
          <w:tab w:pos="5030" w:val="left" w:leader="none"/>
          <w:tab w:pos="8361" w:val="left" w:leader="none"/>
          <w:tab w:pos="11692" w:val="left" w:leader="none"/>
          <w:tab w:pos="14774" w:val="left" w:leader="none"/>
        </w:tabs>
        <w:spacing w:line="240" w:lineRule="auto"/>
        <w:ind w:left="1698" w:right="0" w:firstLine="0"/>
        <w:jc w:val="left"/>
        <w:rPr>
          <w:rFonts w:ascii="Century Gothic"/>
          <w:sz w:val="20"/>
        </w:rPr>
      </w:pPr>
      <w:r>
        <w:rPr>
          <w:rFonts w:ascii="Century Gothic"/>
          <w:position w:val="10"/>
          <w:sz w:val="20"/>
        </w:rPr>
        <w:pict>
          <v:group style="width:64.8500pt;height:64.8500pt;mso-position-horizontal-relative:char;mso-position-vertical-relative:line" id="docshapegroup134" coordorigin="0,0" coordsize="1297,1297">
            <v:shape style="position:absolute;left:111;top:321;width:697;height:750" id="docshape135" coordorigin="111,322" coordsize="697,750" path="m651,322l493,480,493,519,111,519,111,572,138,572,138,1072,225,1072,330,967,190,967,190,888,409,888,462,835,190,835,190,756,541,756,593,704,190,704,190,625,626,625,626,613,583,613,558,570,601,546,558,521,583,478,626,478,626,454,782,454,651,322xm322,888l269,888,269,967,322,967,322,888xm409,888l401,888,401,896,409,888xm322,756l269,756,269,835,322,835,322,756xm453,756l401,756,401,835,453,835,453,756xm541,756l532,756,532,765,541,756xm322,625l269,625,269,704,322,704,322,625xm453,625l401,625,401,704,453,704,453,625xm626,625l532,625,532,704,593,704,659,638,626,638,626,625xm675,588l675,622,696,600,675,588xm626,588l583,613,626,613,626,588xm807,478l718,478,743,521,700,546,732,564,808,489,808,480,807,478xm626,478l583,478,626,503,626,478xm782,454l675,454,675,503,718,478,807,478,782,454xe" filled="true" fillcolor="#1bace2" stroked="false">
              <v:path arrowok="t"/>
              <v:fill type="solid"/>
            </v:shape>
            <v:shape style="position:absolute;left:111;top:321;width:697;height:750" id="docshape136" coordorigin="111,322" coordsize="697,750" path="m808,489l808,480,651,322,493,480,493,519,111,519,111,572,138,572,138,1072,225,1072m269,967l190,967,190,888,269,888,269,967m269,835l190,835,190,756,269,756,269,835m269,704l190,704,190,625,269,625,269,704m330,967l322,967,322,888,401,888,401,896m401,835l322,835,322,756,401,756,401,835m401,704l322,704,322,625,401,625,401,704m462,835l453,835,453,756,532,756,532,765e" filled="false" stroked="true" strokeweight=".767283pt" strokecolor="#1bace2">
              <v:path arrowok="t"/>
              <v:stroke dashstyle="solid"/>
            </v:shape>
            <v:shape style="position:absolute;left:445;top:445;width:305;height:266" type="#_x0000_t75" id="docshape137" stroked="false">
              <v:imagedata r:id="rId43" o:title=""/>
            </v:shape>
            <v:shape style="position:absolute;left:421;top:179;width:458;height:267" id="docshape138" coordorigin="422,179" coordsize="458,267" path="m651,179l422,409,459,446,651,254,842,446,879,409,651,179xe" filled="true" fillcolor="#1bace2" stroked="false">
              <v:path arrowok="t"/>
              <v:fill type="solid"/>
            </v:shape>
            <v:shape style="position:absolute;left:421;top:179;width:458;height:267" id="docshape139" coordorigin="422,179" coordsize="458,267" path="m651,254l842,446,879,409,651,179,422,409,459,446,651,254e" filled="false" stroked="true" strokeweight=".767388pt" strokecolor="#1bace2">
              <v:path arrowok="t"/>
              <v:stroke dashstyle="solid"/>
            </v:shape>
            <v:rect style="position:absolute;left:10;top:10;width:1277;height:1277" id="docshape140" filled="false" stroked="true" strokeweight="1pt" strokecolor="#ffffff">
              <v:stroke dashstyle="solid"/>
            </v:rect>
          </v:group>
        </w:pict>
      </w:r>
      <w:r>
        <w:rPr>
          <w:rFonts w:ascii="Century Gothic"/>
          <w:position w:val="10"/>
          <w:sz w:val="20"/>
        </w:rPr>
      </w:r>
      <w:r>
        <w:rPr>
          <w:rFonts w:ascii="Century Gothic"/>
          <w:position w:val="10"/>
          <w:sz w:val="20"/>
        </w:rPr>
        <w:tab/>
      </w:r>
      <w:r>
        <w:rPr>
          <w:rFonts w:ascii="Century Gothic"/>
          <w:position w:val="10"/>
          <w:sz w:val="20"/>
        </w:rPr>
        <w:pict>
          <v:group style="width:64.8500pt;height:64.8500pt;mso-position-horizontal-relative:char;mso-position-vertical-relative:line" id="docshapegroup141" coordorigin="0,0" coordsize="1297,1297">
            <v:shape style="position:absolute;left:440;top:203;width:421;height:422" id="docshape142" coordorigin="440,204" coordsize="421,422" path="m651,204l584,214,526,244,481,290,451,348,440,414,451,481,481,538,526,584,584,614,651,625,676,620,857,440,861,414,850,348,820,290,775,244,717,214,651,204xe" filled="true" fillcolor="#1bace2" stroked="false">
              <v:path arrowok="t"/>
              <v:fill type="solid"/>
            </v:shape>
            <v:shape style="position:absolute;left:440;top:203;width:421;height:422" id="docshape143" coordorigin="440,204" coordsize="421,422" path="m861,414l857,440m676,620l651,625,584,614,526,584,481,538,451,481,440,414,451,348,481,290,526,244,584,214,651,204,717,214,775,244,820,290,850,348,861,414e" filled="false" stroked="true" strokeweight=".767283pt" strokecolor="#1bace2">
              <v:path arrowok="t"/>
              <v:stroke dashstyle="solid"/>
            </v:shape>
            <v:shape style="position:absolute;left:222;top:671;width:404;height:404" type="#_x0000_t75" id="docshape144" stroked="false">
              <v:imagedata r:id="rId44" o:title=""/>
            </v:shape>
            <v:rect style="position:absolute;left:10;top:10;width:1277;height:1277" id="docshape145" filled="false" stroked="true" strokeweight="1pt" strokecolor="#ffffff">
              <v:stroke dashstyle="solid"/>
            </v:rect>
          </v:group>
        </w:pict>
      </w:r>
      <w:r>
        <w:rPr>
          <w:rFonts w:ascii="Century Gothic"/>
          <w:position w:val="10"/>
          <w:sz w:val="20"/>
        </w:rPr>
      </w:r>
      <w:r>
        <w:rPr>
          <w:rFonts w:ascii="Century Gothic"/>
          <w:position w:val="10"/>
          <w:sz w:val="20"/>
        </w:rPr>
        <w:tab/>
      </w:r>
      <w:r>
        <w:rPr>
          <w:rFonts w:ascii="Century Gothic"/>
          <w:position w:val="10"/>
          <w:sz w:val="20"/>
        </w:rPr>
        <w:pict>
          <v:group style="width:64.8500pt;height:64.8500pt;mso-position-horizontal-relative:char;mso-position-vertical-relative:line" id="docshapegroup146" coordorigin="0,0" coordsize="1297,1297">
            <v:shape style="position:absolute;left:203;top:71;width:728;height:785" id="docshape147" coordorigin="203,72" coordsize="728,785" path="m931,366l897,373,851,404,820,450,813,484,931,366xm348,72l335,72,323,74,312,80,304,89,298,100,271,108,250,126,235,149,230,177,230,501,219,509,211,520,205,532,203,546,215,626,248,697,299,755,364,797,440,819,440,857,580,717,480,717,413,703,359,667,322,612,309,546,307,531,301,519,293,508,282,501,282,167,289,157,298,154,391,154,397,145,401,125,397,104,385,87,368,76,348,72xm725,154l661,154,670,157,677,167,677,501,666,509,658,520,652,532,651,546,637,612,601,667,546,703,480,717,580,717,755,542,754,531,748,519,740,508,729,501,729,177,725,154xm391,154l298,154,304,163,313,171,323,176,335,177,348,177,368,173,385,162,391,154xm624,72l611,72,591,76,574,87,563,104,558,125,563,145,574,162,591,173,611,177,624,177,636,175,646,170,655,163,661,154,725,154,724,149,710,126,688,108,661,100,655,89,647,80,636,74,624,72xe" filled="true" fillcolor="#1bace2" stroked="false">
              <v:path arrowok="t"/>
              <v:fill type="solid"/>
            </v:shape>
            <v:shape style="position:absolute;left:203;top:71;width:728;height:785" id="docshape148" coordorigin="203,72" coordsize="728,785" path="m931,366l897,373,851,404,820,450,813,484m755,542l754,531,748,519,740,508,729,501,729,177,724,149,710,126,688,108,661,100,655,89,647,80,636,74,624,72,611,72,591,76,574,87,563,104,558,125,563,145,574,162,591,173,611,177,624,177,636,175,646,170,655,163,661,154,670,157,677,167,677,177,677,501,666,509,658,520,652,532,651,546,637,612,601,667,546,703,480,717,413,703,359,667,322,612,309,546,307,531,301,519,293,508,282,501,282,177,282,167,289,157,298,154,304,163,313,171,323,176,335,177,348,177,368,173,385,162,397,145,401,125,397,104,385,87,368,76,348,72,335,72,323,74,312,80,304,89,298,100,271,108,250,126,235,149,230,177,230,501,219,509,211,520,205,532,203,546,215,626,248,697,299,755,364,797,440,819,440,857e" filled="false" stroked="true" strokeweight=".767283pt" strokecolor="#1bace2">
              <v:path arrowok="t"/>
              <v:stroke dashstyle="solid"/>
            </v:shape>
            <v:rect style="position:absolute;left:10;top:10;width:1277;height:1277" id="docshape149" filled="false" stroked="true" strokeweight="1pt" strokecolor="#ffffff">
              <v:stroke dashstyle="solid"/>
            </v:rect>
          </v:group>
        </w:pict>
      </w:r>
      <w:r>
        <w:rPr>
          <w:rFonts w:ascii="Century Gothic"/>
          <w:position w:val="10"/>
          <w:sz w:val="20"/>
        </w:rPr>
      </w:r>
      <w:r>
        <w:rPr>
          <w:rFonts w:ascii="Century Gothic"/>
          <w:position w:val="10"/>
          <w:sz w:val="20"/>
        </w:rPr>
        <w:tab/>
      </w:r>
      <w:r>
        <w:rPr>
          <w:rFonts w:ascii="Century Gothic"/>
          <w:position w:val="10"/>
          <w:sz w:val="20"/>
        </w:rPr>
        <w:pict>
          <v:group style="width:64.75pt;height:64.8500pt;mso-position-horizontal-relative:char;mso-position-vertical-relative:line" id="docshapegroup150" coordorigin="0,0" coordsize="1295,1297">
            <v:shape style="position:absolute;left:281;top:124;width:578;height:890" id="docshape151" coordorigin="282,125" coordsize="578,890" path="m807,335l334,335,314,339,297,351,286,367,282,388,282,1014,487,809,399,809,387,797,387,505,399,493,802,493,859,436,859,388,855,367,844,351,827,339,807,335xm757,282l384,282,387,285,387,332,384,335,757,335,754,332,754,285,757,282xm754,125l387,125,366,129,350,140,338,157,334,177,334,277,340,282,802,282,807,277,807,177,803,157,791,140,775,129,754,125xe" filled="true" fillcolor="#1bace2" stroked="false">
              <v:path arrowok="t"/>
              <v:fill type="solid"/>
            </v:shape>
            <v:shape style="position:absolute;left:281;top:124;width:578;height:890" id="docshape152" coordorigin="282,125" coordsize="578,890" path="m487,809l413,809,399,809,387,797,387,782,387,519,387,505,399,493,413,493,802,493m859,436l859,388,855,367,844,351,827,339,807,335,761,335,757,335,754,332,754,329,754,289,754,285,757,282,761,282,794,282,802,282,807,277,807,269,807,177,803,157,791,140,775,129,754,125,387,125,366,129,350,140,338,157,334,177,334,269,334,277,340,282,347,282,380,282,384,282,387,285,387,289,387,329,387,332,384,335,380,335,334,335,314,339,297,351,286,367,282,388,282,1014e" filled="false" stroked="true" strokeweight=".766561pt" strokecolor="#1bace2">
              <v:path arrowok="t"/>
              <v:stroke dashstyle="solid"/>
            </v:shape>
            <v:shape style="position:absolute;left:431;top:537;width:326;height:226" type="#_x0000_t75" id="docshape153" stroked="false">
              <v:imagedata r:id="rId45" o:title=""/>
            </v:shape>
            <v:rect style="position:absolute;left:10;top:10;width:1275;height:1277" id="docshape154" filled="false" stroked="true" strokeweight="1pt" strokecolor="#ffffff">
              <v:stroke dashstyle="solid"/>
            </v:rect>
          </v:group>
        </w:pict>
      </w:r>
      <w:r>
        <w:rPr>
          <w:rFonts w:ascii="Century Gothic"/>
          <w:position w:val="10"/>
          <w:sz w:val="20"/>
        </w:rPr>
      </w:r>
      <w:r>
        <w:rPr>
          <w:rFonts w:ascii="Century Gothic"/>
          <w:position w:val="10"/>
          <w:sz w:val="20"/>
        </w:rPr>
        <w:tab/>
      </w:r>
      <w:r>
        <w:rPr>
          <w:rFonts w:ascii="Century Gothic"/>
          <w:sz w:val="20"/>
        </w:rPr>
        <w:drawing>
          <wp:inline distT="0" distB="0" distL="0" distR="0">
            <wp:extent cx="2503931" cy="1828800"/>
            <wp:effectExtent l="0" t="0" r="0" b="0"/>
            <wp:docPr id="7" name="image4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42.jpeg"/>
                    <pic:cNvPicPr/>
                  </pic:nvPicPr>
                  <pic:blipFill>
                    <a:blip r:embed="rId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03931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entury Gothic"/>
          <w:sz w:val="20"/>
        </w:rPr>
      </w:r>
    </w:p>
    <w:p>
      <w:pPr>
        <w:pStyle w:val="BodyText"/>
        <w:rPr>
          <w:rFonts w:ascii="Century Gothic"/>
        </w:rPr>
      </w:pPr>
    </w:p>
    <w:p>
      <w:pPr>
        <w:spacing w:after="0"/>
        <w:rPr>
          <w:rFonts w:ascii="Century Gothic"/>
        </w:rPr>
        <w:sectPr>
          <w:pgSz w:w="19200" w:h="10800" w:orient="landscape"/>
          <w:pgMar w:top="0" w:bottom="0" w:left="0" w:right="0"/>
        </w:sectPr>
      </w:pPr>
    </w:p>
    <w:p>
      <w:pPr>
        <w:pStyle w:val="BodyText"/>
        <w:spacing w:before="12"/>
        <w:rPr>
          <w:rFonts w:ascii="Century Gothic"/>
        </w:rPr>
      </w:pPr>
      <w:r>
        <w:rPr/>
        <w:pict>
          <v:rect style="position:absolute;margin-left:0pt;margin-top:-.000061pt;width:960pt;height:13.920061pt;mso-position-horizontal-relative:page;mso-position-vertical-relative:page;z-index:15741440" id="docshape155" filled="true" fillcolor="#335b74" stroked="false">
            <v:fill type="solid"/>
            <w10:wrap type="none"/>
          </v:rect>
        </w:pict>
      </w:r>
      <w:r>
        <w:rPr/>
        <w:pict>
          <v:rect style="position:absolute;margin-left:0pt;margin-top:143.520004pt;width:960pt;height:396.479939pt;mso-position-horizontal-relative:page;mso-position-vertical-relative:page;z-index:-16052736" id="docshape156" filled="true" fillcolor="#335b74" stroked="false">
            <v:fill type="solid"/>
            <w10:wrap type="none"/>
          </v:rect>
        </w:pict>
      </w:r>
      <w:r>
        <w:rPr/>
        <w:pict>
          <v:group style="position:absolute;margin-left:0pt;margin-top:13.92pt;width:959.8pt;height:129.6pt;mso-position-horizontal-relative:page;mso-position-vertical-relative:page;z-index:15742464" id="docshapegroup157" coordorigin="0,278" coordsize="19196,2592">
            <v:rect style="position:absolute;left:0;top:278;width:19196;height:2592" id="docshape158" filled="true" fillcolor="#ffffff" stroked="false">
              <v:fill type="solid"/>
            </v:rect>
            <v:shape style="position:absolute;left:368;top:962;width:5055;height:671" type="#_x0000_t202" id="docshape159" filled="false" stroked="false">
              <v:textbox inset="0,0,0,0">
                <w:txbxContent>
                  <w:p>
                    <w:pPr>
                      <w:spacing w:line="671" w:lineRule="exact" w:before="0"/>
                      <w:ind w:left="0" w:right="0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color w:val="335B74"/>
                        <w:spacing w:val="-2"/>
                        <w:sz w:val="60"/>
                      </w:rPr>
                      <w:t>Recommendation</w:t>
                    </w:r>
                  </w:p>
                </w:txbxContent>
              </v:textbox>
              <w10:wrap type="none"/>
            </v:shape>
            <v:shape style="position:absolute;left:6537;top:962;width:822;height:671" type="#_x0000_t202" id="docshape160" filled="false" stroked="false">
              <v:textbox inset="0,0,0,0">
                <w:txbxContent>
                  <w:p>
                    <w:pPr>
                      <w:spacing w:line="671" w:lineRule="exact" w:before="0"/>
                      <w:ind w:left="0" w:right="0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color w:val="335B74"/>
                        <w:spacing w:val="-5"/>
                        <w:sz w:val="60"/>
                      </w:rPr>
                      <w:t>for</w:t>
                    </w:r>
                  </w:p>
                </w:txbxContent>
              </v:textbox>
              <w10:wrap type="none"/>
            </v:shape>
            <v:shape style="position:absolute;left:8477;top:962;width:2854;height:671" type="#_x0000_t202" id="docshape161" filled="false" stroked="false">
              <v:textbox inset="0,0,0,0">
                <w:txbxContent>
                  <w:p>
                    <w:pPr>
                      <w:spacing w:line="671" w:lineRule="exact" w:before="0"/>
                      <w:ind w:left="0" w:right="0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color w:val="335B74"/>
                        <w:spacing w:val="-2"/>
                        <w:sz w:val="60"/>
                      </w:rPr>
                      <w:t>managing</w:t>
                    </w:r>
                  </w:p>
                </w:txbxContent>
              </v:textbox>
              <w10:wrap type="none"/>
            </v:shape>
            <v:shape style="position:absolute;left:12452;top:962;width:1321;height:671" type="#_x0000_t202" id="docshape162" filled="false" stroked="false">
              <v:textbox inset="0,0,0,0">
                <w:txbxContent>
                  <w:p>
                    <w:pPr>
                      <w:spacing w:line="671" w:lineRule="exact" w:before="0"/>
                      <w:ind w:left="0" w:right="0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color w:val="335B74"/>
                        <w:spacing w:val="-5"/>
                        <w:sz w:val="60"/>
                      </w:rPr>
                      <w:t>CKD</w:t>
                    </w:r>
                  </w:p>
                </w:txbxContent>
              </v:textbox>
              <w10:wrap type="none"/>
            </v:shape>
            <v:shape style="position:absolute;left:14888;top:962;width:2721;height:671" type="#_x0000_t202" id="docshape163" filled="false" stroked="false">
              <v:textbox inset="0,0,0,0">
                <w:txbxContent>
                  <w:p>
                    <w:pPr>
                      <w:spacing w:line="671" w:lineRule="exact" w:before="0"/>
                      <w:ind w:left="0" w:right="0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color w:val="335B74"/>
                        <w:spacing w:val="-2"/>
                        <w:sz w:val="60"/>
                      </w:rPr>
                      <w:t>condition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before="0"/>
        <w:ind w:left="1026" w:right="0" w:hanging="1"/>
        <w:jc w:val="center"/>
        <w:rPr>
          <w:sz w:val="22"/>
        </w:rPr>
      </w:pPr>
      <w:r>
        <w:rPr>
          <w:color w:val="FFFFFF"/>
          <w:sz w:val="22"/>
        </w:rPr>
        <w:t>Healthcare professionals need to focus on a comprehensive model of personalised</w:t>
      </w:r>
      <w:r>
        <w:rPr>
          <w:color w:val="FFFFFF"/>
          <w:spacing w:val="-15"/>
          <w:sz w:val="22"/>
        </w:rPr>
        <w:t> </w:t>
      </w:r>
      <w:r>
        <w:rPr>
          <w:color w:val="FFFFFF"/>
          <w:sz w:val="22"/>
        </w:rPr>
        <w:t>care,</w:t>
      </w:r>
      <w:r>
        <w:rPr>
          <w:color w:val="FFFFFF"/>
          <w:spacing w:val="-14"/>
          <w:sz w:val="22"/>
        </w:rPr>
        <w:t> </w:t>
      </w:r>
      <w:r>
        <w:rPr>
          <w:color w:val="FFFFFF"/>
          <w:sz w:val="22"/>
        </w:rPr>
        <w:t>which</w:t>
      </w:r>
      <w:r>
        <w:rPr>
          <w:color w:val="FFFFFF"/>
          <w:spacing w:val="-11"/>
          <w:sz w:val="22"/>
        </w:rPr>
        <w:t> </w:t>
      </w:r>
      <w:r>
        <w:rPr>
          <w:color w:val="FFFFFF"/>
          <w:sz w:val="22"/>
        </w:rPr>
        <w:t>is accomplished through six </w:t>
      </w:r>
      <w:r>
        <w:rPr>
          <w:color w:val="FFFFFF"/>
          <w:spacing w:val="-2"/>
          <w:sz w:val="22"/>
        </w:rPr>
        <w:t>evidence-based components.</w:t>
      </w:r>
    </w:p>
    <w:p>
      <w:pPr>
        <w:spacing w:line="240" w:lineRule="auto" w:before="4"/>
        <w:rPr>
          <w:sz w:val="22"/>
        </w:rPr>
      </w:pPr>
      <w:r>
        <w:rPr/>
        <w:br w:type="column"/>
      </w:r>
      <w:r>
        <w:rPr>
          <w:sz w:val="22"/>
        </w:rPr>
      </w:r>
    </w:p>
    <w:p>
      <w:pPr>
        <w:spacing w:before="0"/>
        <w:ind w:left="605" w:right="0" w:firstLine="2"/>
        <w:jc w:val="center"/>
        <w:rPr>
          <w:sz w:val="22"/>
        </w:rPr>
      </w:pPr>
      <w:r>
        <w:rPr>
          <w:color w:val="FFFFFF"/>
          <w:sz w:val="22"/>
        </w:rPr>
        <w:t>Shared decision-making is key for physicians to share information with CKD patients</w:t>
      </w:r>
      <w:r>
        <w:rPr>
          <w:color w:val="FFFFFF"/>
          <w:spacing w:val="-12"/>
          <w:sz w:val="22"/>
        </w:rPr>
        <w:t> </w:t>
      </w:r>
      <w:r>
        <w:rPr>
          <w:color w:val="FFFFFF"/>
          <w:sz w:val="22"/>
        </w:rPr>
        <w:t>and</w:t>
      </w:r>
      <w:r>
        <w:rPr>
          <w:color w:val="FFFFFF"/>
          <w:spacing w:val="-12"/>
          <w:sz w:val="22"/>
        </w:rPr>
        <w:t> </w:t>
      </w:r>
      <w:r>
        <w:rPr>
          <w:color w:val="FFFFFF"/>
          <w:sz w:val="22"/>
        </w:rPr>
        <w:t>involve</w:t>
      </w:r>
      <w:r>
        <w:rPr>
          <w:color w:val="FFFFFF"/>
          <w:spacing w:val="-6"/>
          <w:sz w:val="22"/>
        </w:rPr>
        <w:t> </w:t>
      </w:r>
      <w:r>
        <w:rPr>
          <w:color w:val="FFFFFF"/>
          <w:sz w:val="22"/>
        </w:rPr>
        <w:t>them</w:t>
      </w:r>
      <w:r>
        <w:rPr>
          <w:color w:val="FFFFFF"/>
          <w:spacing w:val="-13"/>
          <w:sz w:val="22"/>
        </w:rPr>
        <w:t> </w:t>
      </w:r>
      <w:r>
        <w:rPr>
          <w:color w:val="FFFFFF"/>
          <w:sz w:val="22"/>
        </w:rPr>
        <w:t>in the decision to implement a preferred treatment (Dahm et al., 2023).</w:t>
      </w:r>
    </w:p>
    <w:p>
      <w:pPr>
        <w:spacing w:line="240" w:lineRule="auto" w:before="4"/>
        <w:rPr>
          <w:sz w:val="22"/>
        </w:rPr>
      </w:pPr>
      <w:r>
        <w:rPr/>
        <w:br w:type="column"/>
      </w:r>
      <w:r>
        <w:rPr>
          <w:sz w:val="22"/>
        </w:rPr>
      </w:r>
    </w:p>
    <w:p>
      <w:pPr>
        <w:spacing w:before="0"/>
        <w:ind w:left="565" w:right="0" w:firstLine="2"/>
        <w:jc w:val="center"/>
        <w:rPr>
          <w:sz w:val="22"/>
        </w:rPr>
      </w:pPr>
      <w:r>
        <w:rPr>
          <w:color w:val="FFFFFF"/>
          <w:sz w:val="22"/>
        </w:rPr>
        <w:t>Healthcare providers can treat</w:t>
      </w:r>
      <w:r>
        <w:rPr>
          <w:color w:val="FFFFFF"/>
          <w:spacing w:val="-15"/>
          <w:sz w:val="22"/>
        </w:rPr>
        <w:t> </w:t>
      </w:r>
      <w:r>
        <w:rPr>
          <w:color w:val="FFFFFF"/>
          <w:sz w:val="22"/>
        </w:rPr>
        <w:t>CKD</w:t>
      </w:r>
      <w:r>
        <w:rPr>
          <w:color w:val="FFFFFF"/>
          <w:spacing w:val="-13"/>
          <w:sz w:val="22"/>
        </w:rPr>
        <w:t> </w:t>
      </w:r>
      <w:r>
        <w:rPr>
          <w:color w:val="FFFFFF"/>
          <w:sz w:val="22"/>
        </w:rPr>
        <w:t>with</w:t>
      </w:r>
      <w:r>
        <w:rPr>
          <w:color w:val="FFFFFF"/>
          <w:spacing w:val="-13"/>
          <w:sz w:val="22"/>
        </w:rPr>
        <w:t> </w:t>
      </w:r>
      <w:r>
        <w:rPr>
          <w:color w:val="FFFFFF"/>
          <w:sz w:val="22"/>
        </w:rPr>
        <w:t>personalised care through novel biomarkers beyond traditional biomarkers that tailor and precision medical approaches according to patients' needs (McDonnell et al., 2025).</w:t>
      </w:r>
    </w:p>
    <w:p>
      <w:pPr>
        <w:spacing w:line="240" w:lineRule="auto" w:before="4"/>
        <w:rPr>
          <w:sz w:val="22"/>
        </w:rPr>
      </w:pPr>
      <w:r>
        <w:rPr/>
        <w:br w:type="column"/>
      </w:r>
      <w:r>
        <w:rPr>
          <w:sz w:val="22"/>
        </w:rPr>
      </w:r>
    </w:p>
    <w:p>
      <w:pPr>
        <w:spacing w:before="0"/>
        <w:ind w:left="632" w:right="5562" w:firstLine="2"/>
        <w:jc w:val="center"/>
        <w:rPr>
          <w:sz w:val="22"/>
        </w:rPr>
      </w:pPr>
      <w:r>
        <w:rPr/>
        <w:drawing>
          <wp:anchor distT="0" distB="0" distL="0" distR="0" allowOverlap="1" layoutInCell="1" locked="0" behindDoc="0" simplePos="0" relativeHeight="15742976">
            <wp:simplePos x="0" y="0"/>
            <wp:positionH relativeFrom="page">
              <wp:posOffset>9381743</wp:posOffset>
            </wp:positionH>
            <wp:positionV relativeFrom="paragraph">
              <wp:posOffset>121003</wp:posOffset>
            </wp:positionV>
            <wp:extent cx="2618231" cy="1952244"/>
            <wp:effectExtent l="0" t="0" r="0" b="0"/>
            <wp:wrapNone/>
            <wp:docPr id="9" name="image43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43.jpeg"/>
                    <pic:cNvPicPr/>
                  </pic:nvPicPr>
                  <pic:blipFill>
                    <a:blip r:embed="rId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8231" cy="19522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22"/>
        </w:rPr>
        <w:t>Healthcare professionals must provide enabling choices</w:t>
      </w:r>
      <w:r>
        <w:rPr>
          <w:color w:val="FFFFFF"/>
          <w:spacing w:val="-9"/>
          <w:sz w:val="22"/>
        </w:rPr>
        <w:t> </w:t>
      </w:r>
      <w:r>
        <w:rPr>
          <w:color w:val="FFFFFF"/>
          <w:sz w:val="22"/>
        </w:rPr>
        <w:t>that</w:t>
      </w:r>
      <w:r>
        <w:rPr>
          <w:color w:val="FFFFFF"/>
          <w:spacing w:val="-9"/>
          <w:sz w:val="22"/>
        </w:rPr>
        <w:t> </w:t>
      </w:r>
      <w:r>
        <w:rPr>
          <w:color w:val="FFFFFF"/>
          <w:sz w:val="22"/>
        </w:rPr>
        <w:t>highlight</w:t>
      </w:r>
      <w:r>
        <w:rPr>
          <w:color w:val="FFFFFF"/>
          <w:spacing w:val="-10"/>
          <w:sz w:val="22"/>
        </w:rPr>
        <w:t> </w:t>
      </w:r>
      <w:r>
        <w:rPr>
          <w:color w:val="FFFFFF"/>
          <w:sz w:val="22"/>
        </w:rPr>
        <w:t>legal rights</w:t>
      </w:r>
      <w:r>
        <w:rPr>
          <w:color w:val="FFFFFF"/>
          <w:spacing w:val="-11"/>
          <w:sz w:val="22"/>
        </w:rPr>
        <w:t> </w:t>
      </w:r>
      <w:r>
        <w:rPr>
          <w:color w:val="FFFFFF"/>
          <w:sz w:val="22"/>
        </w:rPr>
        <w:t>to</w:t>
      </w:r>
      <w:r>
        <w:rPr>
          <w:color w:val="FFFFFF"/>
          <w:spacing w:val="-11"/>
          <w:sz w:val="22"/>
        </w:rPr>
        <w:t> </w:t>
      </w:r>
      <w:r>
        <w:rPr>
          <w:color w:val="FFFFFF"/>
          <w:sz w:val="22"/>
        </w:rPr>
        <w:t>patients</w:t>
      </w:r>
      <w:r>
        <w:rPr>
          <w:color w:val="FFFFFF"/>
          <w:spacing w:val="-12"/>
          <w:sz w:val="22"/>
        </w:rPr>
        <w:t> </w:t>
      </w:r>
      <w:r>
        <w:rPr>
          <w:color w:val="FFFFFF"/>
          <w:sz w:val="22"/>
        </w:rPr>
        <w:t>with</w:t>
      </w:r>
      <w:r>
        <w:rPr>
          <w:color w:val="FFFFFF"/>
          <w:spacing w:val="-6"/>
          <w:sz w:val="22"/>
        </w:rPr>
        <w:t> </w:t>
      </w:r>
      <w:r>
        <w:rPr>
          <w:color w:val="FFFFFF"/>
          <w:sz w:val="22"/>
        </w:rPr>
        <w:t>CKD to choose and make their own decisions regarding their treatment.</w:t>
      </w:r>
    </w:p>
    <w:p>
      <w:pPr>
        <w:spacing w:after="0"/>
        <w:jc w:val="center"/>
        <w:rPr>
          <w:sz w:val="22"/>
        </w:rPr>
        <w:sectPr>
          <w:type w:val="continuous"/>
          <w:pgSz w:w="19200" w:h="10800" w:orient="landscape"/>
          <w:pgMar w:top="1220" w:bottom="280" w:left="0" w:right="0"/>
          <w:cols w:num="4" w:equalWidth="0">
            <w:col w:w="3670" w:space="40"/>
            <w:col w:w="3332" w:space="39"/>
            <w:col w:w="3292" w:space="39"/>
            <w:col w:w="8788"/>
          </w:cols>
        </w:sectPr>
      </w:pPr>
    </w:p>
    <w:p>
      <w:pPr>
        <w:pStyle w:val="BodyText"/>
      </w:pPr>
      <w:r>
        <w:rPr/>
        <w:pict>
          <v:rect style="position:absolute;margin-left:0pt;margin-top:-.000061pt;width:960pt;height:13.920061pt;mso-position-horizontal-relative:page;mso-position-vertical-relative:page;z-index:15743488" id="docshape164" filled="true" fillcolor="#622d61" stroked="false">
            <v:fill type="solid"/>
            <w10:wrap type="none"/>
          </v:rect>
        </w:pict>
      </w:r>
      <w:r>
        <w:rPr/>
        <w:pict>
          <v:rect style="position:absolute;margin-left:0pt;margin-top:143.520004pt;width:960pt;height:396.479939pt;mso-position-horizontal-relative:page;mso-position-vertical-relative:page;z-index:-16050688" id="docshape165" filled="true" fillcolor="#622d61" stroked="false">
            <v:fill type="solid"/>
            <w10:wrap type="none"/>
          </v:rect>
        </w:pic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9"/>
        <w:rPr>
          <w:sz w:val="17"/>
        </w:rPr>
      </w:pPr>
    </w:p>
    <w:p>
      <w:pPr>
        <w:pStyle w:val="ListParagraph"/>
        <w:numPr>
          <w:ilvl w:val="0"/>
          <w:numId w:val="4"/>
        </w:numPr>
        <w:tabs>
          <w:tab w:pos="1061" w:val="left" w:leader="none"/>
        </w:tabs>
        <w:spacing w:line="376" w:lineRule="auto" w:before="88" w:after="0"/>
        <w:ind w:left="1060" w:right="5478" w:hanging="288"/>
        <w:jc w:val="both"/>
        <w:rPr>
          <w:sz w:val="36"/>
        </w:rPr>
      </w:pPr>
      <w:r>
        <w:rPr/>
        <w:pict>
          <v:group style="position:absolute;margin-left:0pt;margin-top:-168.816193pt;width:959.8pt;height:129.6pt;mso-position-horizontal-relative:page;mso-position-vertical-relative:paragraph;z-index:15744512" id="docshapegroup166" coordorigin="0,-3376" coordsize="19196,2592">
            <v:rect style="position:absolute;left:0;top:-3377;width:19196;height:2592" id="docshape167" filled="true" fillcolor="#ffffff" stroked="false">
              <v:fill type="solid"/>
            </v:rect>
            <v:shape style="position:absolute;left:0;top:-3377;width:19196;height:2592" type="#_x0000_t202" id="docshape168" filled="false" stroked="false">
              <v:textbox inset="0,0,0,0">
                <w:txbxContent>
                  <w:p>
                    <w:pPr>
                      <w:spacing w:line="240" w:lineRule="auto" w:before="2"/>
                      <w:rPr>
                        <w:sz w:val="58"/>
                      </w:rPr>
                    </w:pPr>
                  </w:p>
                  <w:p>
                    <w:pPr>
                      <w:spacing w:line="249" w:lineRule="auto" w:before="1"/>
                      <w:ind w:left="772" w:right="2694" w:firstLine="0"/>
                      <w:jc w:val="left"/>
                      <w:rPr>
                        <w:b/>
                        <w:sz w:val="60"/>
                      </w:rPr>
                    </w:pPr>
                    <w:r>
                      <w:rPr>
                        <w:b/>
                        <w:sz w:val="60"/>
                      </w:rPr>
                      <w:t>Recommendation</w:t>
                    </w:r>
                    <w:r>
                      <w:rPr>
                        <w:b/>
                        <w:spacing w:val="-7"/>
                        <w:sz w:val="60"/>
                      </w:rPr>
                      <w:t> </w:t>
                    </w:r>
                    <w:r>
                      <w:rPr>
                        <w:b/>
                        <w:sz w:val="60"/>
                      </w:rPr>
                      <w:t>for</w:t>
                    </w:r>
                    <w:r>
                      <w:rPr>
                        <w:b/>
                        <w:spacing w:val="-7"/>
                        <w:sz w:val="60"/>
                      </w:rPr>
                      <w:t> </w:t>
                    </w:r>
                    <w:r>
                      <w:rPr>
                        <w:b/>
                        <w:sz w:val="60"/>
                      </w:rPr>
                      <w:t>managing</w:t>
                    </w:r>
                    <w:r>
                      <w:rPr>
                        <w:b/>
                        <w:spacing w:val="-7"/>
                        <w:sz w:val="60"/>
                      </w:rPr>
                      <w:t> </w:t>
                    </w:r>
                    <w:r>
                      <w:rPr>
                        <w:b/>
                        <w:sz w:val="60"/>
                      </w:rPr>
                      <w:t>CKD</w:t>
                    </w:r>
                    <w:r>
                      <w:rPr>
                        <w:b/>
                        <w:spacing w:val="-11"/>
                        <w:sz w:val="60"/>
                      </w:rPr>
                      <w:t> </w:t>
                    </w:r>
                    <w:r>
                      <w:rPr>
                        <w:b/>
                        <w:sz w:val="60"/>
                      </w:rPr>
                      <w:t>condition </w:t>
                    </w:r>
                    <w:r>
                      <w:rPr>
                        <w:b/>
                        <w:spacing w:val="-2"/>
                        <w:sz w:val="60"/>
                      </w:rPr>
                      <w:t>(Contd..)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45024">
            <wp:simplePos x="0" y="0"/>
            <wp:positionH relativeFrom="page">
              <wp:posOffset>8991600</wp:posOffset>
            </wp:positionH>
            <wp:positionV relativeFrom="paragraph">
              <wp:posOffset>236522</wp:posOffset>
            </wp:positionV>
            <wp:extent cx="2848355" cy="3089147"/>
            <wp:effectExtent l="0" t="0" r="0" b="0"/>
            <wp:wrapNone/>
            <wp:docPr id="11" name="image4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44.jpeg"/>
                    <pic:cNvPicPr/>
                  </pic:nvPicPr>
                  <pic:blipFill>
                    <a:blip r:embed="rId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48355" cy="30891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6"/>
        </w:rPr>
        <w:t>Community-based</w:t>
      </w:r>
      <w:r>
        <w:rPr>
          <w:color w:val="FFFFFF"/>
          <w:spacing w:val="-4"/>
          <w:sz w:val="36"/>
        </w:rPr>
        <w:t> </w:t>
      </w:r>
      <w:r>
        <w:rPr>
          <w:color w:val="FFFFFF"/>
          <w:sz w:val="36"/>
        </w:rPr>
        <w:t>support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is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recommended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to</w:t>
      </w:r>
      <w:r>
        <w:rPr>
          <w:color w:val="FFFFFF"/>
          <w:spacing w:val="-3"/>
          <w:sz w:val="36"/>
        </w:rPr>
        <w:t> </w:t>
      </w:r>
      <w:r>
        <w:rPr>
          <w:color w:val="FFFFFF"/>
          <w:sz w:val="36"/>
        </w:rPr>
        <w:t>clinicians</w:t>
      </w:r>
      <w:r>
        <w:rPr>
          <w:color w:val="FFFFFF"/>
          <w:spacing w:val="-3"/>
          <w:sz w:val="36"/>
        </w:rPr>
        <w:t> </w:t>
      </w:r>
      <w:r>
        <w:rPr>
          <w:color w:val="FFFFFF"/>
          <w:sz w:val="36"/>
        </w:rPr>
        <w:t>to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follow,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as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it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is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key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to encouraging patient outcomes by building an interactive platform that emphasises patient engagement (Shi and Fan, 2025).</w:t>
      </w:r>
    </w:p>
    <w:p>
      <w:pPr>
        <w:pStyle w:val="ListParagraph"/>
        <w:numPr>
          <w:ilvl w:val="0"/>
          <w:numId w:val="4"/>
        </w:numPr>
        <w:tabs>
          <w:tab w:pos="1061" w:val="left" w:leader="none"/>
        </w:tabs>
        <w:spacing w:line="376" w:lineRule="auto" w:before="273" w:after="0"/>
        <w:ind w:left="1060" w:right="5481" w:hanging="288"/>
        <w:jc w:val="both"/>
        <w:rPr>
          <w:sz w:val="36"/>
        </w:rPr>
      </w:pPr>
      <w:r>
        <w:rPr>
          <w:color w:val="FFFFFF"/>
          <w:sz w:val="36"/>
        </w:rPr>
        <w:t>Self-management support can be used in CKD cases as it helps to encourage patients to manage symptoms by facilitating fluid intake restriction and maintaining physical activity (Farris et al., 2025).</w:t>
      </w:r>
    </w:p>
    <w:p>
      <w:pPr>
        <w:pStyle w:val="ListParagraph"/>
        <w:numPr>
          <w:ilvl w:val="0"/>
          <w:numId w:val="4"/>
        </w:numPr>
        <w:tabs>
          <w:tab w:pos="1061" w:val="left" w:leader="none"/>
        </w:tabs>
        <w:spacing w:line="376" w:lineRule="auto" w:before="276" w:after="0"/>
        <w:ind w:left="1060" w:right="5483" w:hanging="288"/>
        <w:jc w:val="both"/>
        <w:rPr>
          <w:sz w:val="36"/>
        </w:rPr>
      </w:pPr>
      <w:r>
        <w:rPr>
          <w:color w:val="FFFFFF"/>
          <w:sz w:val="36"/>
        </w:rPr>
        <w:t>Lastly, health care professionals need to embrace a personal health budget, which allows patients to manage their care in a personalised manner.</w:t>
      </w:r>
    </w:p>
    <w:p>
      <w:pPr>
        <w:spacing w:after="0" w:line="376" w:lineRule="auto"/>
        <w:jc w:val="both"/>
        <w:rPr>
          <w:sz w:val="36"/>
        </w:rPr>
        <w:sectPr>
          <w:pgSz w:w="19200" w:h="10800" w:orient="landscape"/>
          <w:pgMar w:top="0" w:bottom="0" w:left="0" w:right="0"/>
        </w:sectPr>
      </w:pPr>
    </w:p>
    <w:p>
      <w:pPr>
        <w:pStyle w:val="BodyText"/>
        <w:rPr>
          <w:sz w:val="72"/>
        </w:rPr>
      </w:pPr>
      <w:r>
        <w:rPr/>
        <w:pict>
          <v:group style="position:absolute;margin-left:0pt;margin-top:0pt;width:960pt;height:540pt;mso-position-horizontal-relative:page;mso-position-vertical-relative:page;z-index:-16049152" id="docshapegroup169" coordorigin="0,0" coordsize="19200,10800" alt="Capsules and pills inside a glass bowl">
            <v:shape style="position:absolute;left:0;top:0;width:19195;height:10800" type="#_x0000_t75" id="docshape170" alt="Capsules and pills inside a glass bowl" stroked="false">
              <v:imagedata r:id="rId49" o:title=""/>
            </v:shape>
            <v:rect style="position:absolute;left:0;top:1195;width:5424;height:8396" id="docshape171" filled="true" fillcolor="#40b9d2" stroked="false">
              <v:fill type="solid"/>
            </v:rect>
            <v:rect style="position:absolute;left:18607;top:1195;width:593;height:8396" id="docshape172" filled="true" fillcolor="#c7c7c7" stroked="false">
              <v:fill opacity="32639f" type="solid"/>
            </v:rect>
            <w10:wrap type="none"/>
          </v:group>
        </w:pict>
      </w:r>
    </w:p>
    <w:p>
      <w:pPr>
        <w:pStyle w:val="BodyText"/>
        <w:rPr>
          <w:sz w:val="72"/>
        </w:rPr>
      </w:pPr>
    </w:p>
    <w:p>
      <w:pPr>
        <w:pStyle w:val="BodyText"/>
        <w:rPr>
          <w:sz w:val="72"/>
        </w:rPr>
      </w:pPr>
    </w:p>
    <w:p>
      <w:pPr>
        <w:pStyle w:val="BodyText"/>
        <w:spacing w:before="7"/>
        <w:rPr>
          <w:sz w:val="104"/>
        </w:rPr>
      </w:pPr>
    </w:p>
    <w:p>
      <w:pPr>
        <w:pStyle w:val="Heading1"/>
        <w:rPr>
          <w:rFonts w:ascii="Corbel"/>
        </w:rPr>
      </w:pPr>
      <w:r>
        <w:rPr>
          <w:rFonts w:ascii="Corbel"/>
          <w:color w:val="FFFFFF"/>
          <w:spacing w:val="-10"/>
        </w:rPr>
        <w:t>Conclusion</w:t>
      </w:r>
    </w:p>
    <w:p>
      <w:pPr>
        <w:pStyle w:val="ListParagraph"/>
        <w:numPr>
          <w:ilvl w:val="0"/>
          <w:numId w:val="5"/>
        </w:numPr>
        <w:tabs>
          <w:tab w:pos="862" w:val="left" w:leader="none"/>
        </w:tabs>
        <w:spacing w:line="225" w:lineRule="auto" w:before="105" w:after="0"/>
        <w:ind w:left="830" w:right="2397" w:hanging="288"/>
        <w:jc w:val="left"/>
        <w:rPr>
          <w:sz w:val="40"/>
        </w:rPr>
      </w:pPr>
      <w:r>
        <w:rPr/>
        <w:br w:type="column"/>
      </w:r>
      <w:r>
        <w:rPr>
          <w:color w:val="585858"/>
          <w:sz w:val="40"/>
        </w:rPr>
        <w:t>This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presentation</w:t>
      </w:r>
      <w:r>
        <w:rPr>
          <w:color w:val="585858"/>
          <w:spacing w:val="-12"/>
          <w:sz w:val="40"/>
        </w:rPr>
        <w:t> </w:t>
      </w:r>
      <w:r>
        <w:rPr>
          <w:color w:val="585858"/>
          <w:sz w:val="40"/>
        </w:rPr>
        <w:t>has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evaluated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long-term</w:t>
      </w:r>
      <w:r>
        <w:rPr>
          <w:color w:val="585858"/>
          <w:spacing w:val="-11"/>
          <w:sz w:val="40"/>
        </w:rPr>
        <w:t> </w:t>
      </w:r>
      <w:r>
        <w:rPr>
          <w:color w:val="585858"/>
          <w:sz w:val="40"/>
        </w:rPr>
        <w:t>condition</w:t>
      </w:r>
      <w:r>
        <w:rPr>
          <w:color w:val="585858"/>
          <w:spacing w:val="-7"/>
          <w:sz w:val="40"/>
        </w:rPr>
        <w:t> </w:t>
      </w:r>
      <w:r>
        <w:rPr>
          <w:color w:val="585858"/>
          <w:sz w:val="40"/>
        </w:rPr>
        <w:t>CKD, including its diagnosis, treatment, prevalence, and </w:t>
      </w:r>
      <w:r>
        <w:rPr>
          <w:color w:val="585858"/>
          <w:spacing w:val="-2"/>
          <w:sz w:val="40"/>
        </w:rPr>
        <w:t>management.</w:t>
      </w:r>
    </w:p>
    <w:p>
      <w:pPr>
        <w:pStyle w:val="ListParagraph"/>
        <w:numPr>
          <w:ilvl w:val="0"/>
          <w:numId w:val="5"/>
        </w:numPr>
        <w:tabs>
          <w:tab w:pos="863" w:val="left" w:leader="none"/>
        </w:tabs>
        <w:spacing w:line="446" w:lineRule="exact" w:before="216" w:after="0"/>
        <w:ind w:left="862" w:right="0" w:hanging="321"/>
        <w:jc w:val="left"/>
        <w:rPr>
          <w:sz w:val="40"/>
        </w:rPr>
      </w:pPr>
      <w:r>
        <w:rPr>
          <w:color w:val="585858"/>
          <w:sz w:val="40"/>
        </w:rPr>
        <w:t>It</w:t>
      </w:r>
      <w:r>
        <w:rPr>
          <w:color w:val="585858"/>
          <w:spacing w:val="-10"/>
          <w:sz w:val="40"/>
        </w:rPr>
        <w:t> </w:t>
      </w:r>
      <w:r>
        <w:rPr>
          <w:color w:val="585858"/>
          <w:sz w:val="40"/>
        </w:rPr>
        <w:t>reflects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that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hypertension,</w:t>
      </w:r>
      <w:r>
        <w:rPr>
          <w:color w:val="585858"/>
          <w:spacing w:val="-12"/>
          <w:sz w:val="40"/>
        </w:rPr>
        <w:t> </w:t>
      </w:r>
      <w:r>
        <w:rPr>
          <w:color w:val="585858"/>
          <w:sz w:val="40"/>
        </w:rPr>
        <w:t>high</w:t>
      </w:r>
      <w:r>
        <w:rPr>
          <w:color w:val="585858"/>
          <w:spacing w:val="-7"/>
          <w:sz w:val="40"/>
        </w:rPr>
        <w:t> </w:t>
      </w:r>
      <w:r>
        <w:rPr>
          <w:color w:val="585858"/>
          <w:sz w:val="40"/>
        </w:rPr>
        <w:t>blood</w:t>
      </w:r>
      <w:r>
        <w:rPr>
          <w:color w:val="585858"/>
          <w:spacing w:val="-7"/>
          <w:sz w:val="40"/>
        </w:rPr>
        <w:t> </w:t>
      </w:r>
      <w:r>
        <w:rPr>
          <w:color w:val="585858"/>
          <w:sz w:val="40"/>
        </w:rPr>
        <w:t>pressure,</w:t>
      </w:r>
      <w:r>
        <w:rPr>
          <w:color w:val="585858"/>
          <w:spacing w:val="-13"/>
          <w:sz w:val="40"/>
        </w:rPr>
        <w:t> </w:t>
      </w:r>
      <w:r>
        <w:rPr>
          <w:color w:val="585858"/>
          <w:spacing w:val="-5"/>
          <w:sz w:val="40"/>
        </w:rPr>
        <w:t>and</w:t>
      </w:r>
    </w:p>
    <w:p>
      <w:pPr>
        <w:spacing w:line="446" w:lineRule="exact" w:before="0"/>
        <w:ind w:left="830" w:right="0" w:firstLine="0"/>
        <w:jc w:val="left"/>
        <w:rPr>
          <w:sz w:val="40"/>
        </w:rPr>
      </w:pPr>
      <w:r>
        <w:rPr>
          <w:color w:val="585858"/>
          <w:sz w:val="40"/>
        </w:rPr>
        <w:t>diabetes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are</w:t>
      </w:r>
      <w:r>
        <w:rPr>
          <w:color w:val="585858"/>
          <w:spacing w:val="-7"/>
          <w:sz w:val="40"/>
        </w:rPr>
        <w:t> </w:t>
      </w:r>
      <w:r>
        <w:rPr>
          <w:color w:val="585858"/>
          <w:sz w:val="40"/>
        </w:rPr>
        <w:t>major</w:t>
      </w:r>
      <w:r>
        <w:rPr>
          <w:color w:val="585858"/>
          <w:spacing w:val="-4"/>
          <w:sz w:val="40"/>
        </w:rPr>
        <w:t> </w:t>
      </w:r>
      <w:r>
        <w:rPr>
          <w:color w:val="585858"/>
          <w:sz w:val="40"/>
        </w:rPr>
        <w:t>causes</w:t>
      </w:r>
      <w:r>
        <w:rPr>
          <w:color w:val="585858"/>
          <w:spacing w:val="-8"/>
          <w:sz w:val="40"/>
        </w:rPr>
        <w:t> </w:t>
      </w:r>
      <w:r>
        <w:rPr>
          <w:color w:val="585858"/>
          <w:sz w:val="40"/>
        </w:rPr>
        <w:t>of</w:t>
      </w:r>
      <w:r>
        <w:rPr>
          <w:color w:val="585858"/>
          <w:spacing w:val="-5"/>
          <w:sz w:val="40"/>
        </w:rPr>
        <w:t> </w:t>
      </w:r>
      <w:r>
        <w:rPr>
          <w:color w:val="585858"/>
          <w:spacing w:val="-4"/>
          <w:sz w:val="40"/>
        </w:rPr>
        <w:t>CKD.</w:t>
      </w:r>
    </w:p>
    <w:p>
      <w:pPr>
        <w:pStyle w:val="ListParagraph"/>
        <w:numPr>
          <w:ilvl w:val="0"/>
          <w:numId w:val="5"/>
        </w:numPr>
        <w:tabs>
          <w:tab w:pos="862" w:val="left" w:leader="none"/>
        </w:tabs>
        <w:spacing w:line="225" w:lineRule="auto" w:before="235" w:after="0"/>
        <w:ind w:left="830" w:right="2230" w:hanging="288"/>
        <w:jc w:val="left"/>
        <w:rPr>
          <w:sz w:val="40"/>
        </w:rPr>
      </w:pPr>
      <w:r>
        <w:rPr>
          <w:color w:val="585858"/>
          <w:sz w:val="40"/>
        </w:rPr>
        <w:t>Biopsychosocial models of health are implemented by the NHS</w:t>
      </w:r>
      <w:r>
        <w:rPr>
          <w:color w:val="585858"/>
          <w:spacing w:val="-3"/>
          <w:sz w:val="40"/>
        </w:rPr>
        <w:t> </w:t>
      </w:r>
      <w:r>
        <w:rPr>
          <w:color w:val="585858"/>
          <w:sz w:val="40"/>
        </w:rPr>
        <w:t>to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manage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the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associated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conditions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of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CKD,</w:t>
      </w:r>
      <w:r>
        <w:rPr>
          <w:color w:val="585858"/>
          <w:spacing w:val="-1"/>
          <w:sz w:val="40"/>
        </w:rPr>
        <w:t> </w:t>
      </w:r>
      <w:r>
        <w:rPr>
          <w:color w:val="585858"/>
          <w:sz w:val="40"/>
        </w:rPr>
        <w:t>such</w:t>
      </w:r>
      <w:r>
        <w:rPr>
          <w:color w:val="585858"/>
          <w:spacing w:val="-7"/>
          <w:sz w:val="40"/>
        </w:rPr>
        <w:t> </w:t>
      </w:r>
      <w:r>
        <w:rPr>
          <w:color w:val="585858"/>
          <w:sz w:val="40"/>
        </w:rPr>
        <w:t>as high cholesterol and high blood pressure.</w:t>
      </w:r>
    </w:p>
    <w:p>
      <w:pPr>
        <w:pStyle w:val="ListParagraph"/>
        <w:numPr>
          <w:ilvl w:val="0"/>
          <w:numId w:val="5"/>
        </w:numPr>
        <w:tabs>
          <w:tab w:pos="863" w:val="left" w:leader="none"/>
        </w:tabs>
        <w:spacing w:line="225" w:lineRule="auto" w:before="239" w:after="0"/>
        <w:ind w:left="830" w:right="2507" w:hanging="288"/>
        <w:jc w:val="both"/>
        <w:rPr>
          <w:sz w:val="40"/>
        </w:rPr>
      </w:pPr>
      <w:r>
        <w:rPr>
          <w:color w:val="585858"/>
          <w:sz w:val="40"/>
        </w:rPr>
        <w:t>NHS</w:t>
      </w:r>
      <w:r>
        <w:rPr>
          <w:color w:val="585858"/>
          <w:spacing w:val="-3"/>
          <w:sz w:val="40"/>
        </w:rPr>
        <w:t> </w:t>
      </w:r>
      <w:r>
        <w:rPr>
          <w:color w:val="585858"/>
          <w:sz w:val="40"/>
        </w:rPr>
        <w:t>guidelines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emphasise</w:t>
      </w:r>
      <w:r>
        <w:rPr>
          <w:color w:val="585858"/>
          <w:spacing w:val="-11"/>
          <w:sz w:val="40"/>
        </w:rPr>
        <w:t> </w:t>
      </w:r>
      <w:r>
        <w:rPr>
          <w:color w:val="585858"/>
          <w:sz w:val="40"/>
        </w:rPr>
        <w:t>that</w:t>
      </w:r>
      <w:r>
        <w:rPr>
          <w:color w:val="585858"/>
          <w:spacing w:val="-8"/>
          <w:sz w:val="40"/>
        </w:rPr>
        <w:t> </w:t>
      </w:r>
      <w:r>
        <w:rPr>
          <w:color w:val="585858"/>
          <w:sz w:val="40"/>
        </w:rPr>
        <w:t>lifestyle</w:t>
      </w:r>
      <w:r>
        <w:rPr>
          <w:color w:val="585858"/>
          <w:spacing w:val="-3"/>
          <w:sz w:val="40"/>
        </w:rPr>
        <w:t> </w:t>
      </w:r>
      <w:r>
        <w:rPr>
          <w:color w:val="585858"/>
          <w:sz w:val="40"/>
        </w:rPr>
        <w:t>changes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such</w:t>
      </w:r>
      <w:r>
        <w:rPr>
          <w:color w:val="585858"/>
          <w:spacing w:val="-8"/>
          <w:sz w:val="40"/>
        </w:rPr>
        <w:t> </w:t>
      </w:r>
      <w:r>
        <w:rPr>
          <w:color w:val="585858"/>
          <w:sz w:val="40"/>
        </w:rPr>
        <w:t>as exercise and weight management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are key to delaying the progression of CKD.</w:t>
      </w:r>
    </w:p>
    <w:p>
      <w:pPr>
        <w:pStyle w:val="ListParagraph"/>
        <w:numPr>
          <w:ilvl w:val="0"/>
          <w:numId w:val="5"/>
        </w:numPr>
        <w:tabs>
          <w:tab w:pos="862" w:val="left" w:leader="none"/>
        </w:tabs>
        <w:spacing w:line="225" w:lineRule="auto" w:before="239" w:after="0"/>
        <w:ind w:left="830" w:right="1969" w:hanging="288"/>
        <w:jc w:val="left"/>
        <w:rPr>
          <w:sz w:val="40"/>
        </w:rPr>
      </w:pPr>
      <w:r>
        <w:rPr>
          <w:color w:val="585858"/>
          <w:sz w:val="40"/>
        </w:rPr>
        <w:t>Moreover,</w:t>
      </w:r>
      <w:r>
        <w:rPr>
          <w:color w:val="585858"/>
          <w:spacing w:val="-3"/>
          <w:sz w:val="40"/>
        </w:rPr>
        <w:t> </w:t>
      </w:r>
      <w:r>
        <w:rPr>
          <w:color w:val="585858"/>
          <w:sz w:val="40"/>
        </w:rPr>
        <w:t>it is recommended</w:t>
      </w:r>
      <w:r>
        <w:rPr>
          <w:color w:val="585858"/>
          <w:spacing w:val="-2"/>
          <w:sz w:val="40"/>
        </w:rPr>
        <w:t> </w:t>
      </w:r>
      <w:r>
        <w:rPr>
          <w:color w:val="585858"/>
          <w:sz w:val="40"/>
        </w:rPr>
        <w:t>to implement shared</w:t>
      </w:r>
      <w:r>
        <w:rPr>
          <w:color w:val="585858"/>
          <w:spacing w:val="-2"/>
          <w:sz w:val="40"/>
        </w:rPr>
        <w:t> </w:t>
      </w:r>
      <w:r>
        <w:rPr>
          <w:color w:val="585858"/>
          <w:sz w:val="40"/>
        </w:rPr>
        <w:t>decision- making, self-management, community-based support and personalised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support</w:t>
      </w:r>
      <w:r>
        <w:rPr>
          <w:color w:val="585858"/>
          <w:spacing w:val="-10"/>
          <w:sz w:val="40"/>
        </w:rPr>
        <w:t> </w:t>
      </w:r>
      <w:r>
        <w:rPr>
          <w:color w:val="585858"/>
          <w:sz w:val="40"/>
        </w:rPr>
        <w:t>to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boost</w:t>
      </w:r>
      <w:r>
        <w:rPr>
          <w:color w:val="585858"/>
          <w:spacing w:val="-8"/>
          <w:sz w:val="40"/>
        </w:rPr>
        <w:t> </w:t>
      </w:r>
      <w:r>
        <w:rPr>
          <w:color w:val="585858"/>
          <w:sz w:val="40"/>
        </w:rPr>
        <w:t>health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outcomes</w:t>
      </w:r>
      <w:r>
        <w:rPr>
          <w:color w:val="585858"/>
          <w:spacing w:val="-9"/>
          <w:sz w:val="40"/>
        </w:rPr>
        <w:t> </w:t>
      </w:r>
      <w:r>
        <w:rPr>
          <w:color w:val="585858"/>
          <w:sz w:val="40"/>
        </w:rPr>
        <w:t>of</w:t>
      </w:r>
      <w:r>
        <w:rPr>
          <w:color w:val="585858"/>
          <w:spacing w:val="-6"/>
          <w:sz w:val="40"/>
        </w:rPr>
        <w:t> </w:t>
      </w:r>
      <w:r>
        <w:rPr>
          <w:color w:val="585858"/>
          <w:sz w:val="40"/>
        </w:rPr>
        <w:t>the</w:t>
      </w:r>
      <w:r>
        <w:rPr>
          <w:color w:val="585858"/>
          <w:spacing w:val="-5"/>
          <w:sz w:val="40"/>
        </w:rPr>
        <w:t> </w:t>
      </w:r>
      <w:r>
        <w:rPr>
          <w:color w:val="585858"/>
          <w:sz w:val="40"/>
        </w:rPr>
        <w:t>people with CKD.</w:t>
      </w:r>
    </w:p>
    <w:p>
      <w:pPr>
        <w:spacing w:after="0" w:line="225" w:lineRule="auto"/>
        <w:jc w:val="left"/>
        <w:rPr>
          <w:sz w:val="40"/>
        </w:rPr>
        <w:sectPr>
          <w:pgSz w:w="19200" w:h="10800" w:orient="landscape"/>
          <w:pgMar w:top="1220" w:bottom="280" w:left="0" w:right="0"/>
          <w:cols w:num="2" w:equalWidth="0">
            <w:col w:w="3864" w:space="1832"/>
            <w:col w:w="13504"/>
          </w:cols>
        </w:sectPr>
      </w:pPr>
    </w:p>
    <w:p>
      <w:pPr>
        <w:pStyle w:val="BodyText"/>
      </w:pPr>
      <w:r>
        <w:rPr/>
        <w:pict>
          <v:group style="position:absolute;margin-left:-.000031pt;margin-top:-.000061pt;width:317.9pt;height:540pt;mso-position-horizontal-relative:page;mso-position-vertical-relative:page;z-index:15746048" id="docshapegroup173" coordorigin="0,0" coordsize="6358,10800">
            <v:shape style="position:absolute;left:0;top:0;width:6358;height:10800" type="#_x0000_t75" id="docshape174" stroked="false">
              <v:imagedata r:id="rId50" o:title=""/>
            </v:shape>
            <v:shape style="position:absolute;left:0;top:0;width:6358;height:10800" type="#_x0000_t202" id="docshape175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105"/>
                      </w:rPr>
                    </w:pPr>
                  </w:p>
                  <w:p>
                    <w:pPr>
                      <w:spacing w:before="0"/>
                      <w:ind w:left="1312" w:right="712" w:firstLine="0"/>
                      <w:jc w:val="center"/>
                      <w:rPr>
                        <w:b/>
                        <w:sz w:val="80"/>
                      </w:rPr>
                    </w:pPr>
                    <w:r>
                      <w:rPr>
                        <w:b/>
                        <w:color w:val="FFFFFF"/>
                        <w:spacing w:val="-2"/>
                        <w:sz w:val="80"/>
                      </w:rPr>
                      <w:t>References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8"/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900" w:hanging="360"/>
        <w:jc w:val="left"/>
        <w:rPr>
          <w:sz w:val="20"/>
        </w:rPr>
      </w:pPr>
      <w:r>
        <w:rPr>
          <w:sz w:val="20"/>
        </w:rPr>
        <w:t>Borg,</w:t>
      </w:r>
      <w:r>
        <w:rPr>
          <w:spacing w:val="-6"/>
          <w:sz w:val="20"/>
        </w:rPr>
        <w:t> </w:t>
      </w:r>
      <w:r>
        <w:rPr>
          <w:sz w:val="20"/>
        </w:rPr>
        <w:t>R.,</w:t>
      </w:r>
      <w:r>
        <w:rPr>
          <w:spacing w:val="-6"/>
          <w:sz w:val="20"/>
        </w:rPr>
        <w:t> </w:t>
      </w:r>
      <w:r>
        <w:rPr>
          <w:sz w:val="20"/>
        </w:rPr>
        <w:t>Carlson,</w:t>
      </w:r>
      <w:r>
        <w:rPr>
          <w:spacing w:val="-6"/>
          <w:sz w:val="20"/>
        </w:rPr>
        <w:t> </w:t>
      </w:r>
      <w:r>
        <w:rPr>
          <w:sz w:val="20"/>
        </w:rPr>
        <w:t>N.,</w:t>
      </w:r>
      <w:r>
        <w:rPr>
          <w:spacing w:val="-6"/>
          <w:sz w:val="20"/>
        </w:rPr>
        <w:t> </w:t>
      </w:r>
      <w:r>
        <w:rPr>
          <w:sz w:val="20"/>
        </w:rPr>
        <w:t>Søndergaard,</w:t>
      </w:r>
      <w:r>
        <w:rPr>
          <w:spacing w:val="-6"/>
          <w:sz w:val="20"/>
        </w:rPr>
        <w:t> </w:t>
      </w:r>
      <w:r>
        <w:rPr>
          <w:sz w:val="20"/>
        </w:rPr>
        <w:t>J.</w:t>
      </w:r>
      <w:r>
        <w:rPr>
          <w:spacing w:val="-8"/>
          <w:sz w:val="20"/>
        </w:rPr>
        <w:t> </w:t>
      </w:r>
      <w:r>
        <w:rPr>
          <w:sz w:val="20"/>
        </w:rPr>
        <w:t>and</w:t>
      </w:r>
      <w:r>
        <w:rPr>
          <w:spacing w:val="-6"/>
          <w:sz w:val="20"/>
        </w:rPr>
        <w:t> </w:t>
      </w:r>
      <w:r>
        <w:rPr>
          <w:sz w:val="20"/>
        </w:rPr>
        <w:t>Persson,</w:t>
      </w:r>
      <w:r>
        <w:rPr>
          <w:spacing w:val="-8"/>
          <w:sz w:val="20"/>
        </w:rPr>
        <w:t> </w:t>
      </w:r>
      <w:r>
        <w:rPr>
          <w:sz w:val="20"/>
        </w:rPr>
        <w:t>F.,</w:t>
      </w:r>
      <w:r>
        <w:rPr>
          <w:spacing w:val="-9"/>
          <w:sz w:val="20"/>
        </w:rPr>
        <w:t> </w:t>
      </w:r>
      <w:r>
        <w:rPr>
          <w:sz w:val="20"/>
        </w:rPr>
        <w:t>(2023).</w:t>
      </w:r>
      <w:r>
        <w:rPr>
          <w:spacing w:val="-6"/>
          <w:sz w:val="20"/>
        </w:rPr>
        <w:t> </w:t>
      </w:r>
      <w:r>
        <w:rPr>
          <w:sz w:val="20"/>
        </w:rPr>
        <w:t>‘The</w:t>
      </w:r>
      <w:r>
        <w:rPr>
          <w:spacing w:val="-9"/>
          <w:sz w:val="20"/>
        </w:rPr>
        <w:t> </w:t>
      </w:r>
      <w:r>
        <w:rPr>
          <w:sz w:val="20"/>
        </w:rPr>
        <w:t>growing</w:t>
      </w:r>
      <w:r>
        <w:rPr>
          <w:spacing w:val="-2"/>
          <w:sz w:val="20"/>
        </w:rPr>
        <w:t> </w:t>
      </w:r>
      <w:r>
        <w:rPr>
          <w:sz w:val="20"/>
        </w:rPr>
        <w:t>challenge</w:t>
      </w:r>
      <w:r>
        <w:rPr>
          <w:spacing w:val="-7"/>
          <w:sz w:val="20"/>
        </w:rPr>
        <w:t> </w:t>
      </w:r>
      <w:r>
        <w:rPr>
          <w:sz w:val="20"/>
        </w:rPr>
        <w:t>of</w:t>
      </w:r>
      <w:r>
        <w:rPr>
          <w:spacing w:val="-9"/>
          <w:sz w:val="20"/>
        </w:rPr>
        <w:t> </w:t>
      </w:r>
      <w:r>
        <w:rPr>
          <w:sz w:val="20"/>
        </w:rPr>
        <w:t>chronic</w:t>
      </w:r>
      <w:r>
        <w:rPr>
          <w:spacing w:val="-5"/>
          <w:sz w:val="20"/>
        </w:rPr>
        <w:t> </w:t>
      </w:r>
      <w:r>
        <w:rPr>
          <w:sz w:val="20"/>
        </w:rPr>
        <w:t>kidney disease: an overview of current knowledge’. </w:t>
      </w:r>
      <w:r>
        <w:rPr>
          <w:i/>
          <w:sz w:val="20"/>
        </w:rPr>
        <w:t>International Journal of Nephrology, </w:t>
      </w:r>
      <w:r>
        <w:rPr>
          <w:sz w:val="20"/>
        </w:rPr>
        <w:t>2023(1), p.9609266. Available at:</w:t>
      </w:r>
      <w:r>
        <w:rPr>
          <w:spacing w:val="53"/>
          <w:sz w:val="20"/>
        </w:rPr>
        <w:t> </w:t>
      </w:r>
      <w:hyperlink r:id="rId51">
        <w:r>
          <w:rPr>
            <w:color w:val="0462C1"/>
            <w:sz w:val="20"/>
            <w:u w:val="single" w:color="0462C1"/>
          </w:rPr>
          <w:t>https://doi.org/10.1155/2023/9609266</w:t>
        </w:r>
      </w:hyperlink>
      <w:r>
        <w:rPr>
          <w:color w:val="0462C1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893" w:hanging="360"/>
        <w:jc w:val="left"/>
        <w:rPr>
          <w:sz w:val="20"/>
        </w:rPr>
      </w:pPr>
      <w:r>
        <w:rPr>
          <w:sz w:val="20"/>
        </w:rPr>
        <w:t>Cleveland Clinic (2024) </w:t>
      </w:r>
      <w:r>
        <w:rPr>
          <w:i/>
          <w:sz w:val="20"/>
        </w:rPr>
        <w:t>Urine Albumin-Creatinine Ratio (uACR) </w:t>
      </w:r>
      <w:r>
        <w:rPr>
          <w:sz w:val="20"/>
        </w:rPr>
        <w:t>Available at: </w:t>
      </w:r>
      <w:hyperlink r:id="rId52">
        <w:r>
          <w:rPr>
            <w:color w:val="0462C1"/>
            <w:sz w:val="20"/>
            <w:u w:val="single" w:color="0462C1"/>
          </w:rPr>
          <w:t>https://my.clevelandclinic.org/health/diagnostics/urine-albumin-creatinine-ratio</w:t>
        </w:r>
      </w:hyperlink>
      <w:r>
        <w:rPr>
          <w:color w:val="0462C1"/>
          <w:spacing w:val="-14"/>
          <w:sz w:val="20"/>
        </w:rPr>
        <w:t> </w:t>
      </w:r>
      <w:r>
        <w:rPr>
          <w:sz w:val="20"/>
        </w:rPr>
        <w:t>(Accessed:</w:t>
      </w:r>
      <w:r>
        <w:rPr>
          <w:spacing w:val="-14"/>
          <w:sz w:val="20"/>
        </w:rPr>
        <w:t> </w:t>
      </w:r>
      <w:r>
        <w:rPr>
          <w:sz w:val="20"/>
        </w:rPr>
        <w:t>01</w:t>
      </w:r>
      <w:r>
        <w:rPr>
          <w:spacing w:val="-14"/>
          <w:sz w:val="20"/>
        </w:rPr>
        <w:t> </w:t>
      </w:r>
      <w:r>
        <w:rPr>
          <w:sz w:val="20"/>
        </w:rPr>
        <w:t>April</w:t>
      </w:r>
      <w:r>
        <w:rPr>
          <w:spacing w:val="-14"/>
          <w:sz w:val="20"/>
        </w:rPr>
        <w:t> </w:t>
      </w:r>
      <w:r>
        <w:rPr>
          <w:sz w:val="20"/>
        </w:rPr>
        <w:t>2026).</w:t>
      </w:r>
    </w:p>
    <w:p>
      <w:pPr>
        <w:pStyle w:val="BodyText"/>
        <w:spacing w:before="6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718" w:hanging="360"/>
        <w:jc w:val="left"/>
        <w:rPr>
          <w:sz w:val="20"/>
        </w:rPr>
      </w:pPr>
      <w:r>
        <w:rPr>
          <w:sz w:val="20"/>
        </w:rPr>
        <w:t>Coyle, M.,</w:t>
      </w:r>
      <w:r>
        <w:rPr>
          <w:spacing w:val="-4"/>
          <w:sz w:val="20"/>
        </w:rPr>
        <w:t> </w:t>
      </w:r>
      <w:r>
        <w:rPr>
          <w:sz w:val="20"/>
        </w:rPr>
        <w:t>Flaherty, G.</w:t>
      </w:r>
      <w:r>
        <w:rPr>
          <w:spacing w:val="-8"/>
          <w:sz w:val="20"/>
        </w:rPr>
        <w:t> </w:t>
      </w:r>
      <w:r>
        <w:rPr>
          <w:sz w:val="20"/>
        </w:rPr>
        <w:t>and</w:t>
      </w:r>
      <w:r>
        <w:rPr>
          <w:spacing w:val="-6"/>
          <w:sz w:val="20"/>
        </w:rPr>
        <w:t> </w:t>
      </w:r>
      <w:r>
        <w:rPr>
          <w:sz w:val="20"/>
        </w:rPr>
        <w:t>Jennings,</w:t>
      </w:r>
      <w:r>
        <w:rPr>
          <w:spacing w:val="-8"/>
          <w:sz w:val="20"/>
        </w:rPr>
        <w:t> </w:t>
      </w:r>
      <w:r>
        <w:rPr>
          <w:sz w:val="20"/>
        </w:rPr>
        <w:t>C.,</w:t>
      </w:r>
      <w:r>
        <w:rPr>
          <w:spacing w:val="-6"/>
          <w:sz w:val="20"/>
        </w:rPr>
        <w:t> </w:t>
      </w:r>
      <w:r>
        <w:rPr>
          <w:sz w:val="20"/>
        </w:rPr>
        <w:t>(2021).</w:t>
      </w:r>
      <w:r>
        <w:rPr>
          <w:spacing w:val="-8"/>
          <w:sz w:val="20"/>
        </w:rPr>
        <w:t> </w:t>
      </w:r>
      <w:r>
        <w:rPr>
          <w:sz w:val="20"/>
        </w:rPr>
        <w:t>‘A</w:t>
      </w:r>
      <w:r>
        <w:rPr>
          <w:spacing w:val="-5"/>
          <w:sz w:val="20"/>
        </w:rPr>
        <w:t> </w:t>
      </w:r>
      <w:r>
        <w:rPr>
          <w:sz w:val="20"/>
        </w:rPr>
        <w:t>critical</w:t>
      </w:r>
      <w:r>
        <w:rPr>
          <w:spacing w:val="-5"/>
          <w:sz w:val="20"/>
        </w:rPr>
        <w:t> </w:t>
      </w:r>
      <w:r>
        <w:rPr>
          <w:sz w:val="20"/>
        </w:rPr>
        <w:t>review</w:t>
      </w:r>
      <w:r>
        <w:rPr>
          <w:spacing w:val="-1"/>
          <w:sz w:val="20"/>
        </w:rPr>
        <w:t> </w:t>
      </w:r>
      <w:r>
        <w:rPr>
          <w:sz w:val="20"/>
        </w:rPr>
        <w:t>of</w:t>
      </w:r>
      <w:r>
        <w:rPr>
          <w:spacing w:val="-7"/>
          <w:sz w:val="20"/>
        </w:rPr>
        <w:t> </w:t>
      </w:r>
      <w:r>
        <w:rPr>
          <w:sz w:val="20"/>
        </w:rPr>
        <w:t>chronic</w:t>
      </w:r>
      <w:r>
        <w:rPr>
          <w:spacing w:val="-8"/>
          <w:sz w:val="20"/>
        </w:rPr>
        <w:t> </w:t>
      </w:r>
      <w:r>
        <w:rPr>
          <w:sz w:val="20"/>
        </w:rPr>
        <w:t>kidney</w:t>
      </w:r>
      <w:r>
        <w:rPr>
          <w:spacing w:val="-8"/>
          <w:sz w:val="20"/>
        </w:rPr>
        <w:t> </w:t>
      </w:r>
      <w:r>
        <w:rPr>
          <w:sz w:val="20"/>
        </w:rPr>
        <w:t>disease</w:t>
      </w:r>
      <w:r>
        <w:rPr>
          <w:spacing w:val="-8"/>
          <w:sz w:val="20"/>
        </w:rPr>
        <w:t> </w:t>
      </w:r>
      <w:r>
        <w:rPr>
          <w:sz w:val="20"/>
        </w:rPr>
        <w:t>as</w:t>
      </w:r>
      <w:r>
        <w:rPr>
          <w:spacing w:val="-5"/>
          <w:sz w:val="20"/>
        </w:rPr>
        <w:t> </w:t>
      </w:r>
      <w:r>
        <w:rPr>
          <w:sz w:val="20"/>
        </w:rPr>
        <w:t>a</w:t>
      </w:r>
      <w:r>
        <w:rPr>
          <w:spacing w:val="-8"/>
          <w:sz w:val="20"/>
        </w:rPr>
        <w:t> </w:t>
      </w:r>
      <w:r>
        <w:rPr>
          <w:sz w:val="20"/>
        </w:rPr>
        <w:t>risk</w:t>
      </w:r>
      <w:r>
        <w:rPr>
          <w:spacing w:val="-5"/>
          <w:sz w:val="20"/>
        </w:rPr>
        <w:t> </w:t>
      </w:r>
      <w:r>
        <w:rPr>
          <w:sz w:val="20"/>
        </w:rPr>
        <w:t>factor for coronary artery disease’. </w:t>
      </w:r>
      <w:r>
        <w:rPr>
          <w:i/>
          <w:sz w:val="20"/>
        </w:rPr>
        <w:t>IJC Heart &amp; Vasculature, </w:t>
      </w:r>
      <w:r>
        <w:rPr>
          <w:sz w:val="20"/>
        </w:rPr>
        <w:t>35, p.100822. Available at:</w:t>
      </w:r>
      <w:hyperlink r:id="rId53">
        <w:r>
          <w:rPr>
            <w:color w:val="0462C1"/>
            <w:sz w:val="20"/>
            <w:u w:val="single" w:color="0462C1"/>
          </w:rPr>
          <w:t>https://doi.org/10.1016/j.ijcha.2021.100822</w:t>
        </w:r>
      </w:hyperlink>
      <w:r>
        <w:rPr>
          <w:color w:val="0462C1"/>
          <w:spacing w:val="80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" w:after="0"/>
        <w:ind w:left="8080" w:right="1480" w:hanging="360"/>
        <w:jc w:val="left"/>
        <w:rPr>
          <w:sz w:val="20"/>
        </w:rPr>
      </w:pPr>
      <w:r>
        <w:rPr>
          <w:sz w:val="20"/>
        </w:rPr>
        <w:t>Dahm, M.R., Raine, S.E., Slade, D., Chien, L.J., Kennard, A., Walters,</w:t>
      </w:r>
      <w:r>
        <w:rPr>
          <w:spacing w:val="-3"/>
          <w:sz w:val="20"/>
        </w:rPr>
        <w:t> </w:t>
      </w:r>
      <w:r>
        <w:rPr>
          <w:sz w:val="20"/>
        </w:rPr>
        <w:t>G., Spinks, T. and Talaulikar, G., (2023).</w:t>
      </w:r>
      <w:r>
        <w:rPr>
          <w:spacing w:val="-7"/>
          <w:sz w:val="20"/>
        </w:rPr>
        <w:t> </w:t>
      </w:r>
      <w:r>
        <w:rPr>
          <w:sz w:val="20"/>
        </w:rPr>
        <w:t>‘Shared</w:t>
      </w:r>
      <w:r>
        <w:rPr>
          <w:spacing w:val="-5"/>
          <w:sz w:val="20"/>
        </w:rPr>
        <w:t> </w:t>
      </w:r>
      <w:r>
        <w:rPr>
          <w:sz w:val="20"/>
        </w:rPr>
        <w:t>decision</w:t>
      </w:r>
      <w:r>
        <w:rPr>
          <w:spacing w:val="-7"/>
          <w:sz w:val="20"/>
        </w:rPr>
        <w:t> </w:t>
      </w:r>
      <w:r>
        <w:rPr>
          <w:sz w:val="20"/>
        </w:rPr>
        <w:t>making</w:t>
      </w:r>
      <w:r>
        <w:rPr>
          <w:spacing w:val="-13"/>
          <w:sz w:val="20"/>
        </w:rPr>
        <w:t> </w:t>
      </w:r>
      <w:r>
        <w:rPr>
          <w:sz w:val="20"/>
        </w:rPr>
        <w:t>in</w:t>
      </w:r>
      <w:r>
        <w:rPr>
          <w:spacing w:val="-4"/>
          <w:sz w:val="20"/>
        </w:rPr>
        <w:t> </w:t>
      </w:r>
      <w:r>
        <w:rPr>
          <w:sz w:val="20"/>
        </w:rPr>
        <w:t>chronic</w:t>
      </w:r>
      <w:r>
        <w:rPr>
          <w:spacing w:val="-5"/>
          <w:sz w:val="20"/>
        </w:rPr>
        <w:t> </w:t>
      </w:r>
      <w:r>
        <w:rPr>
          <w:sz w:val="20"/>
        </w:rPr>
        <w:t>kidney</w:t>
      </w:r>
      <w:r>
        <w:rPr>
          <w:spacing w:val="-9"/>
          <w:sz w:val="20"/>
        </w:rPr>
        <w:t> </w:t>
      </w:r>
      <w:r>
        <w:rPr>
          <w:sz w:val="20"/>
        </w:rPr>
        <w:t>disease:</w:t>
      </w:r>
      <w:r>
        <w:rPr>
          <w:spacing w:val="-8"/>
          <w:sz w:val="20"/>
        </w:rPr>
        <w:t> </w:t>
      </w:r>
      <w:r>
        <w:rPr>
          <w:sz w:val="20"/>
        </w:rPr>
        <w:t>a</w:t>
      </w:r>
      <w:r>
        <w:rPr>
          <w:spacing w:val="-6"/>
          <w:sz w:val="20"/>
        </w:rPr>
        <w:t> </w:t>
      </w:r>
      <w:r>
        <w:rPr>
          <w:sz w:val="20"/>
        </w:rPr>
        <w:t>qualitative</w:t>
      </w:r>
      <w:r>
        <w:rPr>
          <w:spacing w:val="-2"/>
          <w:sz w:val="20"/>
        </w:rPr>
        <w:t> </w:t>
      </w:r>
      <w:r>
        <w:rPr>
          <w:sz w:val="20"/>
        </w:rPr>
        <w:t>study</w:t>
      </w:r>
      <w:r>
        <w:rPr>
          <w:spacing w:val="-7"/>
          <w:sz w:val="20"/>
        </w:rPr>
        <w:t> </w:t>
      </w:r>
      <w:r>
        <w:rPr>
          <w:sz w:val="20"/>
        </w:rPr>
        <w:t>of</w:t>
      </w:r>
      <w:r>
        <w:rPr>
          <w:spacing w:val="-8"/>
          <w:sz w:val="20"/>
        </w:rPr>
        <w:t> </w:t>
      </w:r>
      <w:r>
        <w:rPr>
          <w:sz w:val="20"/>
        </w:rPr>
        <w:t>the</w:t>
      </w:r>
      <w:r>
        <w:rPr>
          <w:spacing w:val="-6"/>
          <w:sz w:val="20"/>
        </w:rPr>
        <w:t> </w:t>
      </w:r>
      <w:r>
        <w:rPr>
          <w:sz w:val="20"/>
        </w:rPr>
        <w:t>impact</w:t>
      </w:r>
      <w:r>
        <w:rPr>
          <w:spacing w:val="-7"/>
          <w:sz w:val="20"/>
        </w:rPr>
        <w:t> </w:t>
      </w:r>
      <w:r>
        <w:rPr>
          <w:sz w:val="20"/>
        </w:rPr>
        <w:t>of</w:t>
      </w:r>
      <w:r>
        <w:rPr>
          <w:spacing w:val="-8"/>
          <w:sz w:val="20"/>
        </w:rPr>
        <w:t> </w:t>
      </w:r>
      <w:r>
        <w:rPr>
          <w:sz w:val="20"/>
        </w:rPr>
        <w:t>communication practices on treatment</w:t>
      </w:r>
      <w:r>
        <w:rPr>
          <w:spacing w:val="-1"/>
          <w:sz w:val="20"/>
        </w:rPr>
        <w:t> </w:t>
      </w:r>
      <w:r>
        <w:rPr>
          <w:sz w:val="20"/>
        </w:rPr>
        <w:t>decisions for older patients’. </w:t>
      </w:r>
      <w:r>
        <w:rPr>
          <w:i/>
          <w:sz w:val="20"/>
        </w:rPr>
        <w:t>BMC nephrology, </w:t>
      </w:r>
      <w:r>
        <w:rPr>
          <w:sz w:val="20"/>
        </w:rPr>
        <w:t>24(1), p.383. Available at: </w:t>
      </w:r>
      <w:hyperlink r:id="rId54">
        <w:r>
          <w:rPr>
            <w:color w:val="0462C1"/>
            <w:sz w:val="20"/>
            <w:u w:val="single" w:color="0462C1"/>
          </w:rPr>
          <w:t>https://doi.org/10.1186/s12882-023-03406-9</w:t>
        </w:r>
      </w:hyperlink>
      <w:r>
        <w:rPr>
          <w:color w:val="0462C1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2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" w:after="0"/>
        <w:ind w:left="8080" w:right="1525" w:hanging="360"/>
        <w:jc w:val="left"/>
        <w:rPr>
          <w:sz w:val="20"/>
        </w:rPr>
      </w:pPr>
      <w:r>
        <w:rPr>
          <w:sz w:val="20"/>
        </w:rPr>
        <w:t>Farris,</w:t>
      </w:r>
      <w:r>
        <w:rPr>
          <w:spacing w:val="-6"/>
          <w:sz w:val="20"/>
        </w:rPr>
        <w:t> </w:t>
      </w:r>
      <w:r>
        <w:rPr>
          <w:sz w:val="20"/>
        </w:rPr>
        <w:t>O.,</w:t>
      </w:r>
      <w:r>
        <w:rPr>
          <w:spacing w:val="-4"/>
          <w:sz w:val="20"/>
        </w:rPr>
        <w:t> </w:t>
      </w:r>
      <w:r>
        <w:rPr>
          <w:sz w:val="20"/>
        </w:rPr>
        <w:t>Orbell,</w:t>
      </w:r>
      <w:r>
        <w:rPr>
          <w:spacing w:val="-5"/>
          <w:sz w:val="20"/>
        </w:rPr>
        <w:t> </w:t>
      </w:r>
      <w:r>
        <w:rPr>
          <w:sz w:val="20"/>
        </w:rPr>
        <w:t>S.,</w:t>
      </w:r>
      <w:r>
        <w:rPr>
          <w:spacing w:val="-5"/>
          <w:sz w:val="20"/>
        </w:rPr>
        <w:t> </w:t>
      </w:r>
      <w:r>
        <w:rPr>
          <w:sz w:val="20"/>
        </w:rPr>
        <w:t>Lamarche,</w:t>
      </w:r>
      <w:r>
        <w:rPr>
          <w:spacing w:val="-10"/>
          <w:sz w:val="20"/>
        </w:rPr>
        <w:t> </w:t>
      </w:r>
      <w:r>
        <w:rPr>
          <w:sz w:val="20"/>
        </w:rPr>
        <w:t>V.M.</w:t>
      </w:r>
      <w:r>
        <w:rPr>
          <w:spacing w:val="-3"/>
          <w:sz w:val="20"/>
        </w:rPr>
        <w:t> </w:t>
      </w:r>
      <w:r>
        <w:rPr>
          <w:sz w:val="20"/>
        </w:rPr>
        <w:t>and</w:t>
      </w:r>
      <w:r>
        <w:rPr>
          <w:spacing w:val="-8"/>
          <w:sz w:val="20"/>
        </w:rPr>
        <w:t> </w:t>
      </w:r>
      <w:r>
        <w:rPr>
          <w:sz w:val="20"/>
        </w:rPr>
        <w:t>Smith,</w:t>
      </w:r>
      <w:r>
        <w:rPr>
          <w:spacing w:val="-8"/>
          <w:sz w:val="20"/>
        </w:rPr>
        <w:t> </w:t>
      </w:r>
      <w:r>
        <w:rPr>
          <w:sz w:val="20"/>
        </w:rPr>
        <w:t>R.,</w:t>
      </w:r>
      <w:r>
        <w:rPr>
          <w:spacing w:val="-3"/>
          <w:sz w:val="20"/>
        </w:rPr>
        <w:t> </w:t>
      </w:r>
      <w:r>
        <w:rPr>
          <w:sz w:val="20"/>
        </w:rPr>
        <w:t>(2025).</w:t>
      </w:r>
      <w:r>
        <w:rPr>
          <w:spacing w:val="-7"/>
          <w:sz w:val="20"/>
        </w:rPr>
        <w:t> </w:t>
      </w:r>
      <w:r>
        <w:rPr>
          <w:sz w:val="20"/>
        </w:rPr>
        <w:t>‘Promoting</w:t>
      </w:r>
      <w:r>
        <w:rPr>
          <w:spacing w:val="-6"/>
          <w:sz w:val="20"/>
        </w:rPr>
        <w:t> </w:t>
      </w:r>
      <w:r>
        <w:rPr>
          <w:sz w:val="20"/>
        </w:rPr>
        <w:t>self-management</w:t>
      </w:r>
      <w:r>
        <w:rPr>
          <w:spacing w:val="-14"/>
          <w:sz w:val="20"/>
        </w:rPr>
        <w:t> </w:t>
      </w:r>
      <w:r>
        <w:rPr>
          <w:sz w:val="20"/>
        </w:rPr>
        <w:t>in</w:t>
      </w:r>
      <w:r>
        <w:rPr>
          <w:spacing w:val="-3"/>
          <w:sz w:val="20"/>
        </w:rPr>
        <w:t> </w:t>
      </w:r>
      <w:r>
        <w:rPr>
          <w:sz w:val="20"/>
        </w:rPr>
        <w:t>chronic</w:t>
      </w:r>
      <w:r>
        <w:rPr>
          <w:spacing w:val="-4"/>
          <w:sz w:val="20"/>
        </w:rPr>
        <w:t> </w:t>
      </w:r>
      <w:r>
        <w:rPr>
          <w:sz w:val="20"/>
        </w:rPr>
        <w:t>disease: a systematic review and</w:t>
      </w:r>
      <w:r>
        <w:rPr>
          <w:spacing w:val="-1"/>
          <w:sz w:val="20"/>
        </w:rPr>
        <w:t> </w:t>
      </w:r>
      <w:r>
        <w:rPr>
          <w:sz w:val="20"/>
        </w:rPr>
        <w:t>meta-analysis of</w:t>
      </w:r>
      <w:r>
        <w:rPr>
          <w:spacing w:val="-1"/>
          <w:sz w:val="20"/>
        </w:rPr>
        <w:t> </w:t>
      </w:r>
      <w:r>
        <w:rPr>
          <w:sz w:val="20"/>
        </w:rPr>
        <w:t>behaviour change</w:t>
      </w:r>
      <w:r>
        <w:rPr>
          <w:spacing w:val="-1"/>
          <w:sz w:val="20"/>
        </w:rPr>
        <w:t> </w:t>
      </w:r>
      <w:r>
        <w:rPr>
          <w:sz w:val="20"/>
        </w:rPr>
        <w:t>interventions for patients on</w:t>
      </w:r>
      <w:r>
        <w:rPr>
          <w:spacing w:val="-1"/>
          <w:sz w:val="20"/>
        </w:rPr>
        <w:t> </w:t>
      </w:r>
      <w:r>
        <w:rPr>
          <w:sz w:val="20"/>
        </w:rPr>
        <w:t>dialysis’. </w:t>
      </w:r>
      <w:r>
        <w:rPr>
          <w:i/>
          <w:sz w:val="20"/>
        </w:rPr>
        <w:t>Health</w:t>
      </w:r>
      <w:r>
        <w:rPr>
          <w:i/>
          <w:sz w:val="20"/>
        </w:rPr>
        <w:t> Psychology Review, </w:t>
      </w:r>
      <w:r>
        <w:rPr>
          <w:sz w:val="20"/>
        </w:rPr>
        <w:t>19(2), pp.368-408. Available at:</w:t>
      </w:r>
      <w:r>
        <w:rPr>
          <w:spacing w:val="54"/>
          <w:sz w:val="20"/>
        </w:rPr>
        <w:t> </w:t>
      </w:r>
      <w:hyperlink r:id="rId55">
        <w:r>
          <w:rPr>
            <w:color w:val="0462C1"/>
            <w:sz w:val="20"/>
            <w:u w:val="single" w:color="0462C1"/>
          </w:rPr>
          <w:t>https://doi.org/10.1080/17437199.2025.2471775</w:t>
        </w:r>
      </w:hyperlink>
      <w:r>
        <w:rPr>
          <w:color w:val="0462C1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5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2067" w:hanging="360"/>
        <w:jc w:val="left"/>
        <w:rPr>
          <w:sz w:val="20"/>
        </w:rPr>
      </w:pPr>
      <w:r>
        <w:rPr>
          <w:sz w:val="20"/>
        </w:rPr>
        <w:t>Ghelichi-Ghojogh,</w:t>
      </w:r>
      <w:r>
        <w:rPr>
          <w:spacing w:val="-8"/>
          <w:sz w:val="20"/>
        </w:rPr>
        <w:t> </w:t>
      </w:r>
      <w:r>
        <w:rPr>
          <w:sz w:val="20"/>
        </w:rPr>
        <w:t>M.,</w:t>
      </w:r>
      <w:r>
        <w:rPr>
          <w:spacing w:val="-5"/>
          <w:sz w:val="20"/>
        </w:rPr>
        <w:t> </w:t>
      </w:r>
      <w:r>
        <w:rPr>
          <w:sz w:val="20"/>
        </w:rPr>
        <w:t>Fararouei,</w:t>
      </w:r>
      <w:r>
        <w:rPr>
          <w:spacing w:val="-6"/>
          <w:sz w:val="20"/>
        </w:rPr>
        <w:t> </w:t>
      </w:r>
      <w:r>
        <w:rPr>
          <w:sz w:val="20"/>
        </w:rPr>
        <w:t>M.,</w:t>
      </w:r>
      <w:r>
        <w:rPr>
          <w:spacing w:val="-5"/>
          <w:sz w:val="20"/>
        </w:rPr>
        <w:t> </w:t>
      </w:r>
      <w:r>
        <w:rPr>
          <w:sz w:val="20"/>
        </w:rPr>
        <w:t>Seif,</w:t>
      </w:r>
      <w:r>
        <w:rPr>
          <w:spacing w:val="-8"/>
          <w:sz w:val="20"/>
        </w:rPr>
        <w:t> </w:t>
      </w:r>
      <w:r>
        <w:rPr>
          <w:sz w:val="20"/>
        </w:rPr>
        <w:t>M.</w:t>
      </w:r>
      <w:r>
        <w:rPr>
          <w:spacing w:val="-5"/>
          <w:sz w:val="20"/>
        </w:rPr>
        <w:t> </w:t>
      </w:r>
      <w:r>
        <w:rPr>
          <w:sz w:val="20"/>
        </w:rPr>
        <w:t>and</w:t>
      </w:r>
      <w:r>
        <w:rPr>
          <w:spacing w:val="-8"/>
          <w:sz w:val="20"/>
        </w:rPr>
        <w:t> </w:t>
      </w:r>
      <w:r>
        <w:rPr>
          <w:sz w:val="20"/>
        </w:rPr>
        <w:t>Pakfetrat,</w:t>
      </w:r>
      <w:r>
        <w:rPr>
          <w:spacing w:val="-13"/>
          <w:sz w:val="20"/>
        </w:rPr>
        <w:t> </w:t>
      </w:r>
      <w:r>
        <w:rPr>
          <w:sz w:val="20"/>
        </w:rPr>
        <w:t>M.,</w:t>
      </w:r>
      <w:r>
        <w:rPr>
          <w:spacing w:val="-5"/>
          <w:sz w:val="20"/>
        </w:rPr>
        <w:t> </w:t>
      </w:r>
      <w:r>
        <w:rPr>
          <w:sz w:val="20"/>
        </w:rPr>
        <w:t>(2022).</w:t>
      </w:r>
      <w:r>
        <w:rPr>
          <w:spacing w:val="-8"/>
          <w:sz w:val="20"/>
        </w:rPr>
        <w:t> </w:t>
      </w:r>
      <w:r>
        <w:rPr>
          <w:sz w:val="20"/>
        </w:rPr>
        <w:t>‘Chronic</w:t>
      </w:r>
      <w:r>
        <w:rPr>
          <w:spacing w:val="-4"/>
          <w:sz w:val="20"/>
        </w:rPr>
        <w:t> </w:t>
      </w:r>
      <w:r>
        <w:rPr>
          <w:sz w:val="20"/>
        </w:rPr>
        <w:t>kidney</w:t>
      </w:r>
      <w:r>
        <w:rPr>
          <w:spacing w:val="-8"/>
          <w:sz w:val="20"/>
        </w:rPr>
        <w:t> </w:t>
      </w:r>
      <w:r>
        <w:rPr>
          <w:sz w:val="20"/>
        </w:rPr>
        <w:t>disease</w:t>
      </w:r>
      <w:r>
        <w:rPr>
          <w:spacing w:val="-9"/>
          <w:sz w:val="20"/>
        </w:rPr>
        <w:t> </w:t>
      </w:r>
      <w:r>
        <w:rPr>
          <w:sz w:val="20"/>
        </w:rPr>
        <w:t>and</w:t>
      </w:r>
      <w:r>
        <w:rPr>
          <w:spacing w:val="-6"/>
          <w:sz w:val="20"/>
        </w:rPr>
        <w:t> </w:t>
      </w:r>
      <w:r>
        <w:rPr>
          <w:sz w:val="20"/>
        </w:rPr>
        <w:t>its health-related factors: a case-control study’. </w:t>
      </w:r>
      <w:r>
        <w:rPr>
          <w:i/>
          <w:sz w:val="20"/>
        </w:rPr>
        <w:t>BMC nephrology, </w:t>
      </w:r>
      <w:r>
        <w:rPr>
          <w:sz w:val="20"/>
        </w:rPr>
        <w:t>23(1), p.24. Available at: </w:t>
      </w:r>
      <w:hyperlink r:id="rId56">
        <w:r>
          <w:rPr>
            <w:color w:val="0462C1"/>
            <w:sz w:val="20"/>
            <w:u w:val="single" w:color="0462C1"/>
          </w:rPr>
          <w:t>https://doi.org/10.1186/s12882-021-02655-w</w:t>
        </w:r>
      </w:hyperlink>
      <w:r>
        <w:rPr>
          <w:color w:val="0462C1"/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788" w:hanging="360"/>
        <w:jc w:val="left"/>
        <w:rPr>
          <w:sz w:val="20"/>
        </w:rPr>
      </w:pPr>
      <w:r>
        <w:rPr>
          <w:sz w:val="20"/>
        </w:rPr>
        <w:t>Golsorkhi, M., Ebrahimi, N., Vakhshoori,</w:t>
      </w:r>
      <w:r>
        <w:rPr>
          <w:spacing w:val="-1"/>
          <w:sz w:val="20"/>
        </w:rPr>
        <w:t> </w:t>
      </w:r>
      <w:r>
        <w:rPr>
          <w:sz w:val="20"/>
        </w:rPr>
        <w:t>M., Norouzi, S. and Abdipour, A., (2025). ‘Patient-physician communication</w:t>
      </w:r>
      <w:r>
        <w:rPr>
          <w:spacing w:val="-14"/>
          <w:sz w:val="20"/>
        </w:rPr>
        <w:t> </w:t>
      </w:r>
      <w:r>
        <w:rPr>
          <w:sz w:val="20"/>
        </w:rPr>
        <w:t>in</w:t>
      </w:r>
      <w:r>
        <w:rPr>
          <w:spacing w:val="-6"/>
          <w:sz w:val="20"/>
        </w:rPr>
        <w:t> </w:t>
      </w:r>
      <w:r>
        <w:rPr>
          <w:sz w:val="20"/>
        </w:rPr>
        <w:t>advanced</w:t>
      </w:r>
      <w:r>
        <w:rPr>
          <w:spacing w:val="-10"/>
          <w:sz w:val="20"/>
        </w:rPr>
        <w:t> </w:t>
      </w:r>
      <w:r>
        <w:rPr>
          <w:sz w:val="20"/>
        </w:rPr>
        <w:t>kidney</w:t>
      </w:r>
      <w:r>
        <w:rPr>
          <w:spacing w:val="-10"/>
          <w:sz w:val="20"/>
        </w:rPr>
        <w:t> </w:t>
      </w:r>
      <w:r>
        <w:rPr>
          <w:sz w:val="20"/>
        </w:rPr>
        <w:t>disease:</w:t>
      </w:r>
      <w:r>
        <w:rPr>
          <w:spacing w:val="-10"/>
          <w:sz w:val="20"/>
        </w:rPr>
        <w:t> </w:t>
      </w:r>
      <w:r>
        <w:rPr>
          <w:sz w:val="20"/>
        </w:rPr>
        <w:t>a</w:t>
      </w:r>
      <w:r>
        <w:rPr>
          <w:spacing w:val="-8"/>
          <w:sz w:val="20"/>
        </w:rPr>
        <w:t> </w:t>
      </w:r>
      <w:r>
        <w:rPr>
          <w:sz w:val="20"/>
        </w:rPr>
        <w:t>narrative</w:t>
      </w:r>
      <w:r>
        <w:rPr>
          <w:spacing w:val="-8"/>
          <w:sz w:val="20"/>
        </w:rPr>
        <w:t> </w:t>
      </w:r>
      <w:r>
        <w:rPr>
          <w:sz w:val="20"/>
        </w:rPr>
        <w:t>review’. </w:t>
      </w:r>
      <w:r>
        <w:rPr>
          <w:i/>
          <w:sz w:val="20"/>
        </w:rPr>
        <w:t>Journal</w:t>
      </w:r>
      <w:r>
        <w:rPr>
          <w:i/>
          <w:spacing w:val="-10"/>
          <w:sz w:val="20"/>
        </w:rPr>
        <w:t> </w:t>
      </w:r>
      <w:r>
        <w:rPr>
          <w:i/>
          <w:sz w:val="20"/>
        </w:rPr>
        <w:t>of</w:t>
      </w:r>
      <w:r>
        <w:rPr>
          <w:i/>
          <w:spacing w:val="-9"/>
          <w:sz w:val="20"/>
        </w:rPr>
        <w:t> </w:t>
      </w:r>
      <w:r>
        <w:rPr>
          <w:i/>
          <w:sz w:val="20"/>
        </w:rPr>
        <w:t>nephrology,</w:t>
      </w:r>
      <w:r>
        <w:rPr>
          <w:i/>
          <w:spacing w:val="-8"/>
          <w:sz w:val="20"/>
        </w:rPr>
        <w:t> </w:t>
      </w:r>
      <w:r>
        <w:rPr>
          <w:sz w:val="20"/>
        </w:rPr>
        <w:t>38(3),</w:t>
      </w:r>
      <w:r>
        <w:rPr>
          <w:spacing w:val="-8"/>
          <w:sz w:val="20"/>
        </w:rPr>
        <w:t> </w:t>
      </w:r>
      <w:r>
        <w:rPr>
          <w:sz w:val="20"/>
        </w:rPr>
        <w:t>pp.827-843. Available at: </w:t>
      </w:r>
      <w:hyperlink r:id="rId57">
        <w:r>
          <w:rPr>
            <w:color w:val="0462C1"/>
            <w:sz w:val="20"/>
            <w:u w:val="single" w:color="0462C1"/>
          </w:rPr>
          <w:t>https://doi.org/10.1007/s40620-024-02176-3</w:t>
        </w:r>
      </w:hyperlink>
      <w:r>
        <w:rPr>
          <w:color w:val="0462C1"/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" w:after="0"/>
        <w:ind w:left="8080" w:right="1805" w:hanging="360"/>
        <w:jc w:val="left"/>
        <w:rPr>
          <w:sz w:val="20"/>
        </w:rPr>
      </w:pPr>
      <w:r>
        <w:rPr>
          <w:sz w:val="20"/>
        </w:rPr>
        <w:t>ISN (2026) </w:t>
      </w:r>
      <w:r>
        <w:rPr>
          <w:i/>
          <w:sz w:val="20"/>
        </w:rPr>
        <w:t>More than 850 Million Worldwide have some form of Kidney Disease: Help Raise Awareness</w:t>
      </w:r>
      <w:r>
        <w:rPr>
          <w:i/>
          <w:sz w:val="20"/>
        </w:rPr>
        <w:t> </w:t>
      </w:r>
      <w:hyperlink r:id="rId58">
        <w:r>
          <w:rPr>
            <w:sz w:val="20"/>
          </w:rPr>
          <w:t>Available</w:t>
        </w:r>
        <w:r>
          <w:rPr>
            <w:spacing w:val="-14"/>
            <w:sz w:val="20"/>
          </w:rPr>
          <w:t> </w:t>
        </w:r>
        <w:r>
          <w:rPr>
            <w:sz w:val="20"/>
          </w:rPr>
          <w:t>at:</w:t>
        </w:r>
        <w:r>
          <w:rPr>
            <w:spacing w:val="15"/>
            <w:sz w:val="20"/>
          </w:rPr>
          <w:t> </w:t>
        </w:r>
        <w:r>
          <w:rPr>
            <w:color w:val="0462C1"/>
            <w:sz w:val="20"/>
            <w:u w:val="single" w:color="0462C1"/>
          </w:rPr>
          <w:t>https://www.theisn.org/more-than-850-million-worldwide-have-some-form-of-kidney-disease-</w:t>
        </w:r>
        <w:r>
          <w:rPr>
            <w:color w:val="0462C1"/>
            <w:sz w:val="20"/>
          </w:rPr>
          <w:t> </w:t>
        </w:r>
        <w:r>
          <w:rPr>
            <w:color w:val="0462C1"/>
            <w:sz w:val="20"/>
            <w:u w:val="single" w:color="0462C1"/>
          </w:rPr>
          <w:t>help-raise-awareness/</w:t>
        </w:r>
        <w:r>
          <w:rPr>
            <w:color w:val="0462C1"/>
            <w:sz w:val="20"/>
          </w:rPr>
          <w:t> </w:t>
        </w:r>
        <w:r>
          <w:rPr>
            <w:sz w:val="20"/>
          </w:rPr>
          <w:t>(Accessed: 01 April 2026).</w:t>
        </w:r>
      </w:hyperlink>
    </w:p>
    <w:p>
      <w:pPr>
        <w:pStyle w:val="BodyText"/>
        <w:spacing w:before="6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688" w:hanging="360"/>
        <w:jc w:val="left"/>
        <w:rPr>
          <w:sz w:val="20"/>
        </w:rPr>
      </w:pPr>
      <w:r>
        <w:rPr>
          <w:sz w:val="20"/>
        </w:rPr>
        <w:t>Jha,</w:t>
      </w:r>
      <w:r>
        <w:rPr>
          <w:spacing w:val="-7"/>
          <w:sz w:val="20"/>
        </w:rPr>
        <w:t> </w:t>
      </w:r>
      <w:r>
        <w:rPr>
          <w:sz w:val="20"/>
        </w:rPr>
        <w:t>V.,</w:t>
      </w:r>
      <w:r>
        <w:rPr>
          <w:spacing w:val="-5"/>
          <w:sz w:val="20"/>
        </w:rPr>
        <w:t> </w:t>
      </w:r>
      <w:r>
        <w:rPr>
          <w:sz w:val="20"/>
        </w:rPr>
        <w:t>Al-Ghamdi,</w:t>
      </w:r>
      <w:r>
        <w:rPr>
          <w:spacing w:val="-5"/>
          <w:sz w:val="20"/>
        </w:rPr>
        <w:t> </w:t>
      </w:r>
      <w:r>
        <w:rPr>
          <w:sz w:val="20"/>
        </w:rPr>
        <w:t>S.M.,</w:t>
      </w:r>
      <w:r>
        <w:rPr>
          <w:spacing w:val="-5"/>
          <w:sz w:val="20"/>
        </w:rPr>
        <w:t> </w:t>
      </w:r>
      <w:r>
        <w:rPr>
          <w:sz w:val="20"/>
        </w:rPr>
        <w:t>Li,</w:t>
      </w:r>
      <w:r>
        <w:rPr>
          <w:spacing w:val="-3"/>
          <w:sz w:val="20"/>
        </w:rPr>
        <w:t> </w:t>
      </w:r>
      <w:r>
        <w:rPr>
          <w:sz w:val="20"/>
        </w:rPr>
        <w:t>G.,</w:t>
      </w:r>
      <w:r>
        <w:rPr>
          <w:spacing w:val="-8"/>
          <w:sz w:val="20"/>
        </w:rPr>
        <w:t> </w:t>
      </w:r>
      <w:r>
        <w:rPr>
          <w:sz w:val="20"/>
        </w:rPr>
        <w:t>Wu,</w:t>
      </w:r>
      <w:r>
        <w:rPr>
          <w:spacing w:val="-13"/>
          <w:sz w:val="20"/>
        </w:rPr>
        <w:t> </w:t>
      </w:r>
      <w:r>
        <w:rPr>
          <w:sz w:val="20"/>
        </w:rPr>
        <w:t>M.S.,</w:t>
      </w:r>
      <w:r>
        <w:rPr>
          <w:spacing w:val="-2"/>
          <w:sz w:val="20"/>
        </w:rPr>
        <w:t> </w:t>
      </w:r>
      <w:r>
        <w:rPr>
          <w:sz w:val="20"/>
        </w:rPr>
        <w:t>Stafylas,</w:t>
      </w:r>
      <w:r>
        <w:rPr>
          <w:spacing w:val="-3"/>
          <w:sz w:val="20"/>
        </w:rPr>
        <w:t> </w:t>
      </w:r>
      <w:r>
        <w:rPr>
          <w:sz w:val="20"/>
        </w:rPr>
        <w:t>P.,</w:t>
      </w:r>
      <w:r>
        <w:rPr>
          <w:spacing w:val="-5"/>
          <w:sz w:val="20"/>
        </w:rPr>
        <w:t> </w:t>
      </w:r>
      <w:r>
        <w:rPr>
          <w:sz w:val="20"/>
        </w:rPr>
        <w:t>Retat,</w:t>
      </w:r>
      <w:r>
        <w:rPr>
          <w:spacing w:val="-5"/>
          <w:sz w:val="20"/>
        </w:rPr>
        <w:t> </w:t>
      </w:r>
      <w:r>
        <w:rPr>
          <w:sz w:val="20"/>
        </w:rPr>
        <w:t>L.,</w:t>
      </w:r>
      <w:r>
        <w:rPr>
          <w:spacing w:val="-5"/>
          <w:sz w:val="20"/>
        </w:rPr>
        <w:t> </w:t>
      </w:r>
      <w:r>
        <w:rPr>
          <w:sz w:val="20"/>
        </w:rPr>
        <w:t>Card-Gowers,</w:t>
      </w:r>
      <w:r>
        <w:rPr>
          <w:spacing w:val="-5"/>
          <w:sz w:val="20"/>
        </w:rPr>
        <w:t> </w:t>
      </w:r>
      <w:r>
        <w:rPr>
          <w:sz w:val="20"/>
        </w:rPr>
        <w:t>J.,</w:t>
      </w:r>
      <w:r>
        <w:rPr>
          <w:spacing w:val="-5"/>
          <w:sz w:val="20"/>
        </w:rPr>
        <w:t> </w:t>
      </w:r>
      <w:r>
        <w:rPr>
          <w:sz w:val="20"/>
        </w:rPr>
        <w:t>Barone,</w:t>
      </w:r>
      <w:r>
        <w:rPr>
          <w:spacing w:val="-8"/>
          <w:sz w:val="20"/>
        </w:rPr>
        <w:t> </w:t>
      </w:r>
      <w:r>
        <w:rPr>
          <w:sz w:val="20"/>
        </w:rPr>
        <w:t>S.,</w:t>
      </w:r>
      <w:r>
        <w:rPr>
          <w:spacing w:val="-5"/>
          <w:sz w:val="20"/>
        </w:rPr>
        <w:t> </w:t>
      </w:r>
      <w:r>
        <w:rPr>
          <w:sz w:val="20"/>
        </w:rPr>
        <w:t>Cabrera,</w:t>
      </w:r>
      <w:r>
        <w:rPr>
          <w:spacing w:val="-6"/>
          <w:sz w:val="20"/>
        </w:rPr>
        <w:t> </w:t>
      </w:r>
      <w:r>
        <w:rPr>
          <w:sz w:val="20"/>
        </w:rPr>
        <w:t>C. and Garcia Sanchez, J.J., (2023). ‘Global economic burden associated with chronic kidney disease: a pragmatic</w:t>
      </w:r>
      <w:r>
        <w:rPr>
          <w:spacing w:val="-2"/>
          <w:sz w:val="20"/>
        </w:rPr>
        <w:t> </w:t>
      </w:r>
      <w:r>
        <w:rPr>
          <w:sz w:val="20"/>
        </w:rPr>
        <w:t>review of medical</w:t>
      </w:r>
      <w:r>
        <w:rPr>
          <w:spacing w:val="-2"/>
          <w:sz w:val="20"/>
        </w:rPr>
        <w:t> </w:t>
      </w:r>
      <w:r>
        <w:rPr>
          <w:sz w:val="20"/>
        </w:rPr>
        <w:t>costs for the</w:t>
      </w:r>
      <w:r>
        <w:rPr>
          <w:spacing w:val="-1"/>
          <w:sz w:val="20"/>
        </w:rPr>
        <w:t> </w:t>
      </w:r>
      <w:r>
        <w:rPr>
          <w:sz w:val="20"/>
        </w:rPr>
        <w:t>inside CKD research</w:t>
      </w:r>
      <w:r>
        <w:rPr>
          <w:spacing w:val="-3"/>
          <w:sz w:val="20"/>
        </w:rPr>
        <w:t> </w:t>
      </w:r>
      <w:r>
        <w:rPr>
          <w:sz w:val="20"/>
        </w:rPr>
        <w:t>programme’. </w:t>
      </w:r>
      <w:r>
        <w:rPr>
          <w:i/>
          <w:sz w:val="20"/>
        </w:rPr>
        <w:t>Advances</w:t>
      </w:r>
      <w:r>
        <w:rPr>
          <w:i/>
          <w:spacing w:val="-2"/>
          <w:sz w:val="20"/>
        </w:rPr>
        <w:t> </w:t>
      </w:r>
      <w:r>
        <w:rPr>
          <w:i/>
          <w:sz w:val="20"/>
        </w:rPr>
        <w:t>in Therapy, </w:t>
      </w:r>
      <w:r>
        <w:rPr>
          <w:sz w:val="20"/>
        </w:rPr>
        <w:t>40(10), pp.4405-4420. Available at:</w:t>
      </w:r>
      <w:r>
        <w:rPr>
          <w:spacing w:val="52"/>
          <w:sz w:val="20"/>
        </w:rPr>
        <w:t> </w:t>
      </w:r>
      <w:hyperlink r:id="rId59">
        <w:r>
          <w:rPr>
            <w:color w:val="0462C1"/>
            <w:sz w:val="20"/>
            <w:u w:val="single" w:color="0462C1"/>
          </w:rPr>
          <w:t>https://doi.org/10.1007/s12325-023-02608-9</w:t>
        </w:r>
      </w:hyperlink>
      <w:r>
        <w:rPr>
          <w:color w:val="0462C1"/>
          <w:sz w:val="20"/>
        </w:rPr>
        <w:t> </w:t>
      </w:r>
      <w:r>
        <w:rPr>
          <w:sz w:val="20"/>
        </w:rPr>
        <w:t>(Accessed: 01 April 2026).</w:t>
      </w:r>
    </w:p>
    <w:p>
      <w:pPr>
        <w:pStyle w:val="ListParagraph"/>
        <w:numPr>
          <w:ilvl w:val="1"/>
          <w:numId w:val="5"/>
        </w:numPr>
        <w:tabs>
          <w:tab w:pos="6300" w:val="left" w:leader="none"/>
          <w:tab w:pos="6301" w:val="left" w:leader="none"/>
        </w:tabs>
        <w:spacing w:line="223" w:lineRule="exact" w:before="187" w:after="0"/>
        <w:ind w:left="6300" w:right="0" w:hanging="361"/>
        <w:jc w:val="center"/>
        <w:rPr>
          <w:sz w:val="20"/>
        </w:rPr>
      </w:pPr>
      <w:r>
        <w:rPr>
          <w:sz w:val="20"/>
        </w:rPr>
        <w:t>Kalantar-Zadeh,</w:t>
      </w:r>
      <w:r>
        <w:rPr>
          <w:spacing w:val="-10"/>
          <w:sz w:val="20"/>
        </w:rPr>
        <w:t> </w:t>
      </w:r>
      <w:r>
        <w:rPr>
          <w:sz w:val="20"/>
        </w:rPr>
        <w:t>K.,</w:t>
      </w:r>
      <w:r>
        <w:rPr>
          <w:spacing w:val="-9"/>
          <w:sz w:val="20"/>
        </w:rPr>
        <w:t> </w:t>
      </w:r>
      <w:r>
        <w:rPr>
          <w:sz w:val="20"/>
        </w:rPr>
        <w:t>Jafar,</w:t>
      </w:r>
      <w:r>
        <w:rPr>
          <w:spacing w:val="-13"/>
          <w:sz w:val="20"/>
        </w:rPr>
        <w:t> </w:t>
      </w:r>
      <w:r>
        <w:rPr>
          <w:sz w:val="20"/>
        </w:rPr>
        <w:t>T.H.,</w:t>
      </w:r>
      <w:r>
        <w:rPr>
          <w:spacing w:val="-11"/>
          <w:sz w:val="20"/>
        </w:rPr>
        <w:t> </w:t>
      </w:r>
      <w:r>
        <w:rPr>
          <w:sz w:val="20"/>
        </w:rPr>
        <w:t>Nitsch,</w:t>
      </w:r>
      <w:r>
        <w:rPr>
          <w:spacing w:val="-9"/>
          <w:sz w:val="20"/>
        </w:rPr>
        <w:t> </w:t>
      </w:r>
      <w:r>
        <w:rPr>
          <w:sz w:val="20"/>
        </w:rPr>
        <w:t>D.,</w:t>
      </w:r>
      <w:r>
        <w:rPr>
          <w:spacing w:val="-9"/>
          <w:sz w:val="20"/>
        </w:rPr>
        <w:t> </w:t>
      </w:r>
      <w:r>
        <w:rPr>
          <w:sz w:val="20"/>
        </w:rPr>
        <w:t>Neuen,</w:t>
      </w:r>
      <w:r>
        <w:rPr>
          <w:spacing w:val="-9"/>
          <w:sz w:val="20"/>
        </w:rPr>
        <w:t> </w:t>
      </w:r>
      <w:r>
        <w:rPr>
          <w:sz w:val="20"/>
        </w:rPr>
        <w:t>B.L.</w:t>
      </w:r>
      <w:r>
        <w:rPr>
          <w:spacing w:val="-10"/>
          <w:sz w:val="20"/>
        </w:rPr>
        <w:t> </w:t>
      </w:r>
      <w:r>
        <w:rPr>
          <w:sz w:val="20"/>
        </w:rPr>
        <w:t>and</w:t>
      </w:r>
      <w:r>
        <w:rPr>
          <w:spacing w:val="-11"/>
          <w:sz w:val="20"/>
        </w:rPr>
        <w:t> </w:t>
      </w:r>
      <w:r>
        <w:rPr>
          <w:sz w:val="20"/>
        </w:rPr>
        <w:t>Perkovic,</w:t>
      </w:r>
      <w:r>
        <w:rPr>
          <w:spacing w:val="-9"/>
          <w:sz w:val="20"/>
        </w:rPr>
        <w:t> </w:t>
      </w:r>
      <w:r>
        <w:rPr>
          <w:sz w:val="20"/>
        </w:rPr>
        <w:t>V.,</w:t>
      </w:r>
      <w:r>
        <w:rPr>
          <w:spacing w:val="-9"/>
          <w:sz w:val="20"/>
        </w:rPr>
        <w:t> </w:t>
      </w:r>
      <w:r>
        <w:rPr>
          <w:sz w:val="20"/>
        </w:rPr>
        <w:t>(2021).</w:t>
      </w:r>
      <w:r>
        <w:rPr>
          <w:spacing w:val="-11"/>
          <w:sz w:val="20"/>
        </w:rPr>
        <w:t> </w:t>
      </w:r>
      <w:r>
        <w:rPr>
          <w:sz w:val="20"/>
        </w:rPr>
        <w:t>‘Chronic</w:t>
      </w:r>
      <w:r>
        <w:rPr>
          <w:spacing w:val="-7"/>
          <w:sz w:val="20"/>
        </w:rPr>
        <w:t> </w:t>
      </w:r>
      <w:r>
        <w:rPr>
          <w:sz w:val="20"/>
        </w:rPr>
        <w:t>kidney</w:t>
      </w:r>
      <w:r>
        <w:rPr>
          <w:spacing w:val="-11"/>
          <w:sz w:val="20"/>
        </w:rPr>
        <w:t> </w:t>
      </w:r>
      <w:r>
        <w:rPr>
          <w:spacing w:val="-2"/>
          <w:sz w:val="20"/>
        </w:rPr>
        <w:t>disease’.</w:t>
      </w:r>
    </w:p>
    <w:p>
      <w:pPr>
        <w:pStyle w:val="BodyText"/>
        <w:spacing w:line="223" w:lineRule="exact"/>
        <w:ind w:left="8074" w:right="2230"/>
        <w:jc w:val="center"/>
      </w:pPr>
      <w:r>
        <w:rPr>
          <w:i/>
        </w:rPr>
        <w:t>The</w:t>
      </w:r>
      <w:r>
        <w:rPr>
          <w:i/>
          <w:spacing w:val="-14"/>
        </w:rPr>
        <w:t> </w:t>
      </w:r>
      <w:r>
        <w:rPr>
          <w:i/>
        </w:rPr>
        <w:t>lancet,</w:t>
      </w:r>
      <w:r>
        <w:rPr>
          <w:i/>
          <w:spacing w:val="-14"/>
        </w:rPr>
        <w:t> </w:t>
      </w:r>
      <w:r>
        <w:rPr/>
        <w:t>398(10302),</w:t>
      </w:r>
      <w:r>
        <w:rPr>
          <w:spacing w:val="-14"/>
        </w:rPr>
        <w:t> </w:t>
      </w:r>
      <w:r>
        <w:rPr/>
        <w:t>pp.786-802.</w:t>
      </w:r>
      <w:r>
        <w:rPr>
          <w:spacing w:val="-14"/>
        </w:rPr>
        <w:t> </w:t>
      </w:r>
      <w:r>
        <w:rPr/>
        <w:t>Available</w:t>
      </w:r>
      <w:r>
        <w:rPr>
          <w:spacing w:val="-9"/>
        </w:rPr>
        <w:t> </w:t>
      </w:r>
      <w:r>
        <w:rPr/>
        <w:t>at:</w:t>
      </w:r>
      <w:r>
        <w:rPr>
          <w:spacing w:val="-12"/>
        </w:rPr>
        <w:t> </w:t>
      </w:r>
      <w:hyperlink r:id="rId60">
        <w:r>
          <w:rPr>
            <w:color w:val="0462C1"/>
            <w:u w:val="single" w:color="0462C1"/>
          </w:rPr>
          <w:t>https://doi.org/10.1016/</w:t>
        </w:r>
      </w:hyperlink>
      <w:r>
        <w:rPr>
          <w:color w:val="0462C1"/>
          <w:spacing w:val="26"/>
        </w:rPr>
        <w:t> </w:t>
      </w:r>
      <w:r>
        <w:rPr/>
        <w:t>(Accessed:</w:t>
      </w:r>
      <w:r>
        <w:rPr>
          <w:spacing w:val="-14"/>
        </w:rPr>
        <w:t> </w:t>
      </w:r>
      <w:r>
        <w:rPr/>
        <w:t>01</w:t>
      </w:r>
      <w:r>
        <w:rPr>
          <w:spacing w:val="-13"/>
        </w:rPr>
        <w:t> </w:t>
      </w:r>
      <w:r>
        <w:rPr/>
        <w:t>April</w:t>
      </w:r>
      <w:r>
        <w:rPr>
          <w:spacing w:val="-10"/>
        </w:rPr>
        <w:t> </w:t>
      </w:r>
      <w:r>
        <w:rPr>
          <w:spacing w:val="-2"/>
        </w:rPr>
        <w:t>2026).</w:t>
      </w:r>
    </w:p>
    <w:p>
      <w:pPr>
        <w:spacing w:after="0" w:line="223" w:lineRule="exact"/>
        <w:jc w:val="center"/>
        <w:sectPr>
          <w:pgSz w:w="19200" w:h="10800" w:orient="landscape"/>
          <w:pgMar w:top="0" w:bottom="0" w:left="0" w:right="0"/>
        </w:sectPr>
      </w:pPr>
    </w:p>
    <w:p>
      <w:pPr>
        <w:pStyle w:val="BodyText"/>
      </w:pPr>
      <w:r>
        <w:rPr/>
        <w:pict>
          <v:group style="position:absolute;margin-left:-.000031pt;margin-top:-.000061pt;width:317.9pt;height:540pt;mso-position-horizontal-relative:page;mso-position-vertical-relative:page;z-index:15746560" id="docshapegroup176" coordorigin="0,0" coordsize="6358,10800">
            <v:shape style="position:absolute;left:0;top:0;width:6358;height:10800" type="#_x0000_t75" id="docshape177" stroked="false">
              <v:imagedata r:id="rId50" o:title=""/>
            </v:shape>
            <v:shape style="position:absolute;left:0;top:0;width:6358;height:10800" type="#_x0000_t202" id="docshape178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8"/>
                      <w:rPr>
                        <w:sz w:val="121"/>
                      </w:rPr>
                    </w:pPr>
                  </w:p>
                  <w:p>
                    <w:pPr>
                      <w:spacing w:line="225" w:lineRule="auto" w:before="0"/>
                      <w:ind w:left="2348" w:right="719" w:hanging="1023"/>
                      <w:jc w:val="left"/>
                      <w:rPr>
                        <w:b/>
                        <w:sz w:val="80"/>
                      </w:rPr>
                    </w:pPr>
                    <w:r>
                      <w:rPr>
                        <w:b/>
                        <w:color w:val="FFFFFF"/>
                        <w:spacing w:val="-2"/>
                        <w:sz w:val="80"/>
                      </w:rPr>
                      <w:t>References (Contd..)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11"/>
        <w:rPr>
          <w:sz w:val="16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04" w:after="0"/>
        <w:ind w:left="8080" w:right="1930" w:hanging="360"/>
        <w:jc w:val="left"/>
        <w:rPr>
          <w:sz w:val="16"/>
        </w:rPr>
      </w:pPr>
      <w:r>
        <w:rPr>
          <w:sz w:val="16"/>
        </w:rPr>
        <w:t>Kidney Care (2023) </w:t>
      </w:r>
      <w:r>
        <w:rPr>
          <w:i/>
          <w:sz w:val="16"/>
        </w:rPr>
        <w:t>Transplantation </w:t>
      </w:r>
      <w:r>
        <w:rPr>
          <w:sz w:val="16"/>
        </w:rPr>
        <w:t>Available at:</w:t>
      </w:r>
      <w:r>
        <w:rPr>
          <w:spacing w:val="45"/>
          <w:sz w:val="16"/>
        </w:rPr>
        <w:t> </w:t>
      </w:r>
      <w:hyperlink r:id="rId61">
        <w:r>
          <w:rPr>
            <w:color w:val="0462C1"/>
            <w:sz w:val="16"/>
            <w:u w:val="single" w:color="0462C1"/>
          </w:rPr>
          <w:t>https://kidneycareuk.org/kidney-disease-information/treatments/transplantation/</w:t>
        </w:r>
      </w:hyperlink>
      <w:r>
        <w:rPr>
          <w:color w:val="0462C1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4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820" w:hanging="360"/>
        <w:jc w:val="left"/>
        <w:rPr>
          <w:sz w:val="16"/>
        </w:rPr>
      </w:pPr>
      <w:hyperlink r:id="rId62">
        <w:r>
          <w:rPr>
            <w:sz w:val="16"/>
          </w:rPr>
          <w:t>Kidney Care</w:t>
        </w:r>
        <w:r>
          <w:rPr>
            <w:spacing w:val="-1"/>
            <w:sz w:val="16"/>
          </w:rPr>
          <w:t> </w:t>
        </w:r>
        <w:r>
          <w:rPr>
            <w:sz w:val="16"/>
          </w:rPr>
          <w:t>(2025) </w:t>
        </w:r>
        <w:r>
          <w:rPr>
            <w:i/>
            <w:sz w:val="16"/>
          </w:rPr>
          <w:t>World</w:t>
        </w:r>
        <w:r>
          <w:rPr>
            <w:i/>
            <w:spacing w:val="-3"/>
            <w:sz w:val="16"/>
          </w:rPr>
          <w:t> </w:t>
        </w:r>
        <w:r>
          <w:rPr>
            <w:i/>
            <w:sz w:val="16"/>
          </w:rPr>
          <w:t>Health</w:t>
        </w:r>
        <w:r>
          <w:rPr>
            <w:i/>
            <w:spacing w:val="-1"/>
            <w:sz w:val="16"/>
          </w:rPr>
          <w:t> </w:t>
        </w:r>
        <w:r>
          <w:rPr>
            <w:i/>
            <w:sz w:val="16"/>
          </w:rPr>
          <w:t>Organisation adopts resolution</w:t>
        </w:r>
        <w:r>
          <w:rPr>
            <w:i/>
            <w:spacing w:val="-1"/>
            <w:sz w:val="16"/>
          </w:rPr>
          <w:t> </w:t>
        </w:r>
        <w:r>
          <w:rPr>
            <w:i/>
            <w:sz w:val="16"/>
          </w:rPr>
          <w:t>on kidney health </w:t>
        </w:r>
        <w:r>
          <w:rPr>
            <w:sz w:val="16"/>
          </w:rPr>
          <w:t>Available</w:t>
        </w:r>
        <w:r>
          <w:rPr>
            <w:spacing w:val="-1"/>
            <w:sz w:val="16"/>
          </w:rPr>
          <w:t> </w:t>
        </w:r>
        <w:r>
          <w:rPr>
            <w:sz w:val="16"/>
          </w:rPr>
          <w:t>at:</w:t>
        </w:r>
        <w:r>
          <w:rPr>
            <w:color w:val="0462C1"/>
            <w:sz w:val="16"/>
            <w:u w:val="single" w:color="0462C1"/>
          </w:rPr>
          <w:t>https://kidneycareuk.org/news-from-</w:t>
        </w:r>
        <w:r>
          <w:rPr>
            <w:color w:val="0462C1"/>
            <w:sz w:val="16"/>
          </w:rPr>
          <w:t> </w:t>
        </w:r>
        <w:r>
          <w:rPr>
            <w:color w:val="0462C1"/>
            <w:sz w:val="16"/>
            <w:u w:val="single" w:color="0462C1"/>
          </w:rPr>
          <w:t>kidney-care-uk/who-adopts-resolution-on-kidney-health/</w:t>
        </w:r>
        <w:r>
          <w:rPr>
            <w:color w:val="0462C1"/>
            <w:spacing w:val="80"/>
            <w:sz w:val="16"/>
          </w:rPr>
          <w:t> </w:t>
        </w:r>
        <w:r>
          <w:rPr>
            <w:sz w:val="16"/>
          </w:rPr>
          <w:t>(Accessed: 01 April 2026).</w:t>
        </w:r>
      </w:hyperlink>
    </w:p>
    <w:p>
      <w:pPr>
        <w:pStyle w:val="BodyText"/>
        <w:spacing w:before="6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2032" w:hanging="360"/>
        <w:jc w:val="left"/>
        <w:rPr>
          <w:sz w:val="16"/>
        </w:rPr>
      </w:pPr>
      <w:hyperlink r:id="rId63">
        <w:r>
          <w:rPr>
            <w:sz w:val="16"/>
          </w:rPr>
          <w:t>Kidney Research</w:t>
        </w:r>
        <w:r>
          <w:rPr>
            <w:spacing w:val="-2"/>
            <w:sz w:val="16"/>
          </w:rPr>
          <w:t> </w:t>
        </w:r>
        <w:r>
          <w:rPr>
            <w:sz w:val="16"/>
          </w:rPr>
          <w:t>UK</w:t>
        </w:r>
        <w:r>
          <w:rPr>
            <w:spacing w:val="-1"/>
            <w:sz w:val="16"/>
          </w:rPr>
          <w:t> </w:t>
        </w:r>
        <w:r>
          <w:rPr>
            <w:sz w:val="16"/>
          </w:rPr>
          <w:t>(2023) </w:t>
        </w:r>
        <w:r>
          <w:rPr>
            <w:i/>
            <w:sz w:val="16"/>
          </w:rPr>
          <w:t>Kidney disease:</w:t>
        </w:r>
        <w:r>
          <w:rPr>
            <w:i/>
            <w:spacing w:val="-1"/>
            <w:sz w:val="16"/>
          </w:rPr>
          <w:t> </w:t>
        </w:r>
        <w:r>
          <w:rPr>
            <w:i/>
            <w:sz w:val="16"/>
          </w:rPr>
          <w:t>A</w:t>
        </w:r>
        <w:r>
          <w:rPr>
            <w:i/>
            <w:spacing w:val="-3"/>
            <w:sz w:val="16"/>
          </w:rPr>
          <w:t> </w:t>
        </w:r>
        <w:r>
          <w:rPr>
            <w:i/>
            <w:sz w:val="16"/>
          </w:rPr>
          <w:t>UK</w:t>
        </w:r>
        <w:r>
          <w:rPr>
            <w:i/>
            <w:spacing w:val="-1"/>
            <w:sz w:val="16"/>
          </w:rPr>
          <w:t> </w:t>
        </w:r>
        <w:r>
          <w:rPr>
            <w:i/>
            <w:sz w:val="16"/>
          </w:rPr>
          <w:t>public health Emergency </w:t>
        </w:r>
        <w:r>
          <w:rPr>
            <w:sz w:val="16"/>
          </w:rPr>
          <w:t>Available at:</w:t>
        </w:r>
        <w:r>
          <w:rPr>
            <w:spacing w:val="-2"/>
            <w:sz w:val="16"/>
          </w:rPr>
          <w:t> </w:t>
        </w:r>
        <w:r>
          <w:rPr>
            <w:color w:val="0462C1"/>
            <w:sz w:val="16"/>
            <w:u w:val="single" w:color="0462C1"/>
          </w:rPr>
          <w:t>https://www.kidneyresearchuk.org/wp-</w:t>
        </w:r>
        <w:r>
          <w:rPr>
            <w:color w:val="0462C1"/>
            <w:sz w:val="16"/>
          </w:rPr>
          <w:t> </w:t>
        </w:r>
        <w:r>
          <w:rPr>
            <w:color w:val="0462C1"/>
            <w:sz w:val="16"/>
            <w:u w:val="single" w:color="0462C1"/>
          </w:rPr>
          <w:t>content/uploads/2023/06/Economics-of-Kidney-Disease-full-report_accessible.pdf</w:t>
        </w:r>
        <w:r>
          <w:rPr>
            <w:color w:val="0462C1"/>
            <w:spacing w:val="40"/>
            <w:sz w:val="16"/>
          </w:rPr>
          <w:t> </w:t>
        </w:r>
        <w:r>
          <w:rPr>
            <w:sz w:val="16"/>
          </w:rPr>
          <w:t>(Accessed: 01 April 2026).</w:t>
        </w:r>
      </w:hyperlink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911" w:hanging="360"/>
        <w:jc w:val="left"/>
        <w:rPr>
          <w:sz w:val="16"/>
        </w:rPr>
      </w:pPr>
      <w:r>
        <w:rPr>
          <w:sz w:val="16"/>
        </w:rPr>
        <w:t>Kushwaha, R.,</w:t>
      </w:r>
      <w:r>
        <w:rPr>
          <w:spacing w:val="-2"/>
          <w:sz w:val="16"/>
        </w:rPr>
        <w:t> </w:t>
      </w:r>
      <w:r>
        <w:rPr>
          <w:sz w:val="16"/>
        </w:rPr>
        <w:t>Vardhan, P.S.</w:t>
      </w:r>
      <w:r>
        <w:rPr>
          <w:spacing w:val="-2"/>
          <w:sz w:val="16"/>
        </w:rPr>
        <w:t> </w:t>
      </w:r>
      <w:r>
        <w:rPr>
          <w:sz w:val="16"/>
        </w:rPr>
        <w:t>and Kushwaha, P.P.,</w:t>
      </w:r>
      <w:r>
        <w:rPr>
          <w:spacing w:val="-2"/>
          <w:sz w:val="16"/>
        </w:rPr>
        <w:t> </w:t>
      </w:r>
      <w:r>
        <w:rPr>
          <w:sz w:val="16"/>
        </w:rPr>
        <w:t>(2023). ‘Chronic</w:t>
      </w:r>
      <w:r>
        <w:rPr>
          <w:spacing w:val="-2"/>
          <w:sz w:val="16"/>
        </w:rPr>
        <w:t> </w:t>
      </w:r>
      <w:r>
        <w:rPr>
          <w:sz w:val="16"/>
        </w:rPr>
        <w:t>kidney disease</w:t>
      </w:r>
      <w:r>
        <w:rPr>
          <w:spacing w:val="-2"/>
          <w:sz w:val="16"/>
        </w:rPr>
        <w:t> </w:t>
      </w:r>
      <w:r>
        <w:rPr>
          <w:sz w:val="16"/>
        </w:rPr>
        <w:t>interplay with</w:t>
      </w:r>
      <w:r>
        <w:rPr>
          <w:spacing w:val="-2"/>
          <w:sz w:val="16"/>
        </w:rPr>
        <w:t> </w:t>
      </w:r>
      <w:r>
        <w:rPr>
          <w:sz w:val="16"/>
        </w:rPr>
        <w:t>comorbidities</w:t>
      </w:r>
      <w:r>
        <w:rPr>
          <w:spacing w:val="-4"/>
          <w:sz w:val="16"/>
        </w:rPr>
        <w:t> </w:t>
      </w:r>
      <w:r>
        <w:rPr>
          <w:sz w:val="16"/>
        </w:rPr>
        <w:t>and carbohydrate metabolism:</w:t>
      </w:r>
      <w:r>
        <w:rPr>
          <w:spacing w:val="-1"/>
          <w:sz w:val="16"/>
        </w:rPr>
        <w:t> </w:t>
      </w:r>
      <w:r>
        <w:rPr>
          <w:sz w:val="16"/>
        </w:rPr>
        <w:t>a review. Life,’ 14(1), p.13. Available at:</w:t>
      </w:r>
      <w:r>
        <w:rPr>
          <w:spacing w:val="50"/>
          <w:sz w:val="16"/>
        </w:rPr>
        <w:t> </w:t>
      </w:r>
      <w:hyperlink r:id="rId64">
        <w:r>
          <w:rPr>
            <w:color w:val="0462C1"/>
            <w:sz w:val="16"/>
            <w:u w:val="single" w:color="0462C1"/>
          </w:rPr>
          <w:t>https://doi.org/10.3390/life14010013</w:t>
        </w:r>
      </w:hyperlink>
      <w:r>
        <w:rPr>
          <w:color w:val="0462C1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4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534" w:hanging="360"/>
        <w:jc w:val="left"/>
        <w:rPr>
          <w:sz w:val="16"/>
        </w:rPr>
      </w:pPr>
      <w:r>
        <w:rPr>
          <w:sz w:val="16"/>
        </w:rPr>
        <w:t>Lencovsky, O., Angel-Korman, A., Glasswine, E., Tal-Ben Ishay, R., Amital, M., Kukuy, O. and Leiba, A., (2023). ‘Patients with ckd secondary to</w:t>
      </w:r>
      <w:r>
        <w:rPr>
          <w:spacing w:val="-1"/>
          <w:sz w:val="16"/>
        </w:rPr>
        <w:t> </w:t>
      </w:r>
      <w:r>
        <w:rPr>
          <w:sz w:val="16"/>
        </w:rPr>
        <w:t>glomerular</w:t>
      </w:r>
      <w:r>
        <w:rPr>
          <w:spacing w:val="-4"/>
          <w:sz w:val="16"/>
        </w:rPr>
        <w:t> </w:t>
      </w:r>
      <w:r>
        <w:rPr>
          <w:sz w:val="16"/>
        </w:rPr>
        <w:t>disorders have lower arterial stiffness,</w:t>
      </w:r>
      <w:r>
        <w:rPr>
          <w:spacing w:val="-7"/>
          <w:sz w:val="16"/>
        </w:rPr>
        <w:t> </w:t>
      </w:r>
      <w:r>
        <w:rPr>
          <w:sz w:val="16"/>
        </w:rPr>
        <w:t>as compared</w:t>
      </w:r>
      <w:r>
        <w:rPr>
          <w:spacing w:val="-3"/>
          <w:sz w:val="16"/>
        </w:rPr>
        <w:t> </w:t>
      </w:r>
      <w:r>
        <w:rPr>
          <w:sz w:val="16"/>
        </w:rPr>
        <w:t>to</w:t>
      </w:r>
      <w:r>
        <w:rPr>
          <w:spacing w:val="-1"/>
          <w:sz w:val="16"/>
        </w:rPr>
        <w:t> </w:t>
      </w:r>
      <w:r>
        <w:rPr>
          <w:sz w:val="16"/>
        </w:rPr>
        <w:t>hypertensive and diabetic ckd’. </w:t>
      </w:r>
      <w:r>
        <w:rPr>
          <w:i/>
          <w:sz w:val="16"/>
        </w:rPr>
        <w:t>Artery</w:t>
      </w:r>
      <w:r>
        <w:rPr>
          <w:i/>
          <w:spacing w:val="-2"/>
          <w:sz w:val="16"/>
        </w:rPr>
        <w:t> </w:t>
      </w:r>
      <w:r>
        <w:rPr>
          <w:i/>
          <w:sz w:val="16"/>
        </w:rPr>
        <w:t>Research, </w:t>
      </w:r>
      <w:r>
        <w:rPr>
          <w:sz w:val="16"/>
        </w:rPr>
        <w:t>29(3), pp.73-78. Available at:</w:t>
      </w:r>
      <w:r>
        <w:rPr>
          <w:spacing w:val="45"/>
          <w:sz w:val="16"/>
        </w:rPr>
        <w:t> </w:t>
      </w:r>
      <w:hyperlink r:id="rId65">
        <w:r>
          <w:rPr>
            <w:color w:val="0462C1"/>
            <w:sz w:val="16"/>
            <w:u w:val="single" w:color="0462C1"/>
          </w:rPr>
          <w:t>https://doi.org/10.1007/s44200-023-00034-4</w:t>
        </w:r>
      </w:hyperlink>
      <w:r>
        <w:rPr>
          <w:color w:val="0462C1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5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" w:after="0"/>
        <w:ind w:left="8080" w:right="1700" w:hanging="360"/>
        <w:jc w:val="left"/>
        <w:rPr>
          <w:sz w:val="16"/>
        </w:rPr>
      </w:pPr>
      <w:r>
        <w:rPr>
          <w:sz w:val="16"/>
        </w:rPr>
        <w:t>Li, Y.,</w:t>
      </w:r>
      <w:r>
        <w:rPr>
          <w:spacing w:val="-1"/>
          <w:sz w:val="16"/>
        </w:rPr>
        <w:t> </w:t>
      </w:r>
      <w:r>
        <w:rPr>
          <w:sz w:val="16"/>
        </w:rPr>
        <w:t>Barve, K.,</w:t>
      </w:r>
      <w:r>
        <w:rPr>
          <w:spacing w:val="-1"/>
          <w:sz w:val="16"/>
        </w:rPr>
        <w:t> </w:t>
      </w:r>
      <w:r>
        <w:rPr>
          <w:sz w:val="16"/>
        </w:rPr>
        <w:t>Cockrell,</w:t>
      </w:r>
      <w:r>
        <w:rPr>
          <w:spacing w:val="-3"/>
          <w:sz w:val="16"/>
        </w:rPr>
        <w:t> </w:t>
      </w:r>
      <w:r>
        <w:rPr>
          <w:sz w:val="16"/>
        </w:rPr>
        <w:t>M., Agarwal, A.,</w:t>
      </w:r>
      <w:r>
        <w:rPr>
          <w:spacing w:val="-1"/>
          <w:sz w:val="16"/>
        </w:rPr>
        <w:t> </w:t>
      </w:r>
      <w:r>
        <w:rPr>
          <w:sz w:val="16"/>
        </w:rPr>
        <w:t>Casebeer, A.,</w:t>
      </w:r>
      <w:r>
        <w:rPr>
          <w:spacing w:val="-1"/>
          <w:sz w:val="16"/>
        </w:rPr>
        <w:t> </w:t>
      </w:r>
      <w:r>
        <w:rPr>
          <w:sz w:val="16"/>
        </w:rPr>
        <w:t>Dixon, S.W.</w:t>
      </w:r>
      <w:r>
        <w:rPr>
          <w:spacing w:val="-8"/>
          <w:sz w:val="16"/>
        </w:rPr>
        <w:t> </w:t>
      </w:r>
      <w:r>
        <w:rPr>
          <w:sz w:val="16"/>
        </w:rPr>
        <w:t>and Poonawalla, I.,</w:t>
      </w:r>
      <w:r>
        <w:rPr>
          <w:spacing w:val="-1"/>
          <w:sz w:val="16"/>
        </w:rPr>
        <w:t> </w:t>
      </w:r>
      <w:r>
        <w:rPr>
          <w:sz w:val="16"/>
        </w:rPr>
        <w:t>(2023). ‘Managing comorbidities</w:t>
      </w:r>
      <w:r>
        <w:rPr>
          <w:spacing w:val="-3"/>
          <w:sz w:val="16"/>
        </w:rPr>
        <w:t> </w:t>
      </w:r>
      <w:r>
        <w:rPr>
          <w:sz w:val="16"/>
        </w:rPr>
        <w:t>in</w:t>
      </w:r>
      <w:r>
        <w:rPr>
          <w:spacing w:val="-3"/>
          <w:sz w:val="16"/>
        </w:rPr>
        <w:t> </w:t>
      </w:r>
      <w:r>
        <w:rPr>
          <w:sz w:val="16"/>
        </w:rPr>
        <w:t>chronic kidney disease reduces utilization and costs’. </w:t>
      </w:r>
      <w:r>
        <w:rPr>
          <w:i/>
          <w:sz w:val="16"/>
        </w:rPr>
        <w:t>BMC Health Services Research, </w:t>
      </w:r>
      <w:r>
        <w:rPr>
          <w:sz w:val="16"/>
        </w:rPr>
        <w:t>23(1), p.1418. Available at: </w:t>
      </w:r>
      <w:hyperlink r:id="rId66">
        <w:r>
          <w:rPr>
            <w:color w:val="0462C1"/>
            <w:sz w:val="16"/>
            <w:u w:val="single" w:color="0462C1"/>
          </w:rPr>
          <w:t>https://doi.org/10.1186/s12913-023-10424-8</w:t>
        </w:r>
      </w:hyperlink>
      <w:r>
        <w:rPr>
          <w:color w:val="0462C1"/>
          <w:spacing w:val="40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748" w:hanging="360"/>
        <w:jc w:val="left"/>
        <w:rPr>
          <w:sz w:val="16"/>
        </w:rPr>
      </w:pPr>
      <w:r>
        <w:rPr>
          <w:sz w:val="16"/>
        </w:rPr>
        <w:t>Lichodziejewska-Niemierko, M., Mosakowska, M., Adamczak, M. and Naumnik, B., (2026). ‘Patient Education in Chronic Kidney Disease:</w:t>
      </w:r>
      <w:r>
        <w:rPr>
          <w:spacing w:val="-2"/>
          <w:sz w:val="16"/>
        </w:rPr>
        <w:t> </w:t>
      </w:r>
      <w:r>
        <w:rPr>
          <w:sz w:val="16"/>
        </w:rPr>
        <w:t>A Position</w:t>
      </w:r>
      <w:r>
        <w:rPr>
          <w:spacing w:val="-4"/>
          <w:sz w:val="16"/>
        </w:rPr>
        <w:t> </w:t>
      </w:r>
      <w:r>
        <w:rPr>
          <w:sz w:val="16"/>
        </w:rPr>
        <w:t>Statement</w:t>
      </w:r>
      <w:r>
        <w:rPr>
          <w:spacing w:val="-2"/>
          <w:sz w:val="16"/>
        </w:rPr>
        <w:t> </w:t>
      </w:r>
      <w:r>
        <w:rPr>
          <w:sz w:val="16"/>
        </w:rPr>
        <w:t>of the Polish</w:t>
      </w:r>
      <w:r>
        <w:rPr>
          <w:spacing w:val="-3"/>
          <w:sz w:val="16"/>
        </w:rPr>
        <w:t> </w:t>
      </w:r>
      <w:r>
        <w:rPr>
          <w:sz w:val="16"/>
        </w:rPr>
        <w:t>Society</w:t>
      </w:r>
      <w:r>
        <w:rPr>
          <w:spacing w:val="-4"/>
          <w:sz w:val="16"/>
        </w:rPr>
        <w:t> </w:t>
      </w:r>
      <w:r>
        <w:rPr>
          <w:sz w:val="16"/>
        </w:rPr>
        <w:t>of Nephrology’. </w:t>
      </w:r>
      <w:r>
        <w:rPr>
          <w:i/>
          <w:sz w:val="16"/>
        </w:rPr>
        <w:t>International Journal of Nephrology and Renovascular</w:t>
      </w:r>
      <w:r>
        <w:rPr>
          <w:i/>
          <w:spacing w:val="-2"/>
          <w:sz w:val="16"/>
        </w:rPr>
        <w:t> </w:t>
      </w:r>
      <w:r>
        <w:rPr>
          <w:i/>
          <w:sz w:val="16"/>
        </w:rPr>
        <w:t>Disease,</w:t>
      </w:r>
      <w:r>
        <w:rPr>
          <w:i/>
          <w:sz w:val="16"/>
        </w:rPr>
        <w:t> </w:t>
      </w:r>
      <w:r>
        <w:rPr>
          <w:sz w:val="16"/>
        </w:rPr>
        <w:t>p.582946. Available at:</w:t>
      </w:r>
      <w:r>
        <w:rPr>
          <w:spacing w:val="48"/>
          <w:sz w:val="16"/>
        </w:rPr>
        <w:t> </w:t>
      </w:r>
      <w:hyperlink r:id="rId67">
        <w:r>
          <w:rPr>
            <w:color w:val="0462C1"/>
            <w:sz w:val="16"/>
            <w:u w:val="single" w:color="0462C1"/>
          </w:rPr>
          <w:t>https://doi.org/10.2147/IJNRD.S582946</w:t>
        </w:r>
      </w:hyperlink>
      <w:r>
        <w:rPr>
          <w:color w:val="0462C1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1" w:after="0"/>
        <w:ind w:left="8080" w:right="1696" w:hanging="360"/>
        <w:jc w:val="left"/>
        <w:rPr>
          <w:sz w:val="16"/>
        </w:rPr>
      </w:pPr>
      <w:r>
        <w:rPr>
          <w:sz w:val="16"/>
        </w:rPr>
        <w:t>Lightfoot, C.J.,</w:t>
      </w:r>
      <w:r>
        <w:rPr>
          <w:spacing w:val="-3"/>
          <w:sz w:val="16"/>
        </w:rPr>
        <w:t> </w:t>
      </w:r>
      <w:r>
        <w:rPr>
          <w:sz w:val="16"/>
        </w:rPr>
        <w:t>Wilkinson,</w:t>
      </w:r>
      <w:r>
        <w:rPr>
          <w:spacing w:val="-3"/>
          <w:sz w:val="16"/>
        </w:rPr>
        <w:t> </w:t>
      </w:r>
      <w:r>
        <w:rPr>
          <w:sz w:val="16"/>
        </w:rPr>
        <w:t>T.J.,</w:t>
      </w:r>
      <w:r>
        <w:rPr>
          <w:spacing w:val="-3"/>
          <w:sz w:val="16"/>
        </w:rPr>
        <w:t> </w:t>
      </w:r>
      <w:r>
        <w:rPr>
          <w:sz w:val="16"/>
        </w:rPr>
        <w:t>Graham-Brown, M.P.</w:t>
      </w:r>
      <w:r>
        <w:rPr>
          <w:spacing w:val="-1"/>
          <w:sz w:val="16"/>
        </w:rPr>
        <w:t> </w:t>
      </w:r>
      <w:r>
        <w:rPr>
          <w:sz w:val="16"/>
        </w:rPr>
        <w:t>and Smith,</w:t>
      </w:r>
      <w:r>
        <w:rPr>
          <w:spacing w:val="-6"/>
          <w:sz w:val="16"/>
        </w:rPr>
        <w:t> </w:t>
      </w:r>
      <w:r>
        <w:rPr>
          <w:sz w:val="16"/>
        </w:rPr>
        <w:t>A.C.,</w:t>
      </w:r>
      <w:r>
        <w:rPr>
          <w:spacing w:val="-1"/>
          <w:sz w:val="16"/>
        </w:rPr>
        <w:t> </w:t>
      </w:r>
      <w:r>
        <w:rPr>
          <w:sz w:val="16"/>
        </w:rPr>
        <w:t>(2025). ‘Supporting people with chronic kidney disease to self- manage their condition: understanding the lived experiences, needs and requirements, and barriers and facilitators’. </w:t>
      </w:r>
      <w:r>
        <w:rPr>
          <w:i/>
          <w:sz w:val="16"/>
        </w:rPr>
        <w:t>Journal of</w:t>
      </w:r>
      <w:r>
        <w:rPr>
          <w:i/>
          <w:sz w:val="16"/>
        </w:rPr>
        <w:t> Nephrology</w:t>
      </w:r>
      <w:r>
        <w:rPr>
          <w:sz w:val="16"/>
        </w:rPr>
        <w:t>, 38(7), pp.1969-1984. Available at: </w:t>
      </w:r>
      <w:hyperlink r:id="rId68">
        <w:r>
          <w:rPr>
            <w:color w:val="0462C1"/>
            <w:sz w:val="16"/>
            <w:u w:val="single" w:color="0462C1"/>
          </w:rPr>
          <w:t>https://doi.org/10.1007/s40620-025-02349-8</w:t>
        </w:r>
      </w:hyperlink>
      <w:r>
        <w:rPr>
          <w:color w:val="0462C1"/>
          <w:spacing w:val="80"/>
          <w:sz w:val="16"/>
        </w:rPr>
        <w:t> </w:t>
      </w:r>
      <w:r>
        <w:rPr>
          <w:sz w:val="16"/>
        </w:rPr>
        <w:t>(Accessed: 01 April 2026).</w:t>
      </w:r>
    </w:p>
    <w:p>
      <w:pPr>
        <w:pStyle w:val="BodyText"/>
        <w:spacing w:before="8"/>
        <w:rPr>
          <w:sz w:val="16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178" w:lineRule="exact" w:before="0" w:after="0"/>
        <w:ind w:left="8080" w:right="0" w:hanging="361"/>
        <w:jc w:val="left"/>
        <w:rPr>
          <w:sz w:val="16"/>
        </w:rPr>
      </w:pPr>
      <w:r>
        <w:rPr>
          <w:sz w:val="16"/>
        </w:rPr>
        <w:t>McDonnell,</w:t>
      </w:r>
      <w:r>
        <w:rPr>
          <w:spacing w:val="-5"/>
          <w:sz w:val="16"/>
        </w:rPr>
        <w:t> </w:t>
      </w:r>
      <w:r>
        <w:rPr>
          <w:sz w:val="16"/>
        </w:rPr>
        <w:t>T.,</w:t>
      </w:r>
      <w:r>
        <w:rPr>
          <w:spacing w:val="-4"/>
          <w:sz w:val="16"/>
        </w:rPr>
        <w:t> </w:t>
      </w:r>
      <w:r>
        <w:rPr>
          <w:sz w:val="16"/>
        </w:rPr>
        <w:t>Banks,</w:t>
      </w:r>
      <w:r>
        <w:rPr>
          <w:spacing w:val="-3"/>
          <w:sz w:val="16"/>
        </w:rPr>
        <w:t> </w:t>
      </w:r>
      <w:r>
        <w:rPr>
          <w:sz w:val="16"/>
        </w:rPr>
        <w:t>R.E.,</w:t>
      </w:r>
      <w:r>
        <w:rPr>
          <w:spacing w:val="-4"/>
          <w:sz w:val="16"/>
        </w:rPr>
        <w:t> </w:t>
      </w:r>
      <w:r>
        <w:rPr>
          <w:sz w:val="16"/>
        </w:rPr>
        <w:t>Taal,</w:t>
      </w:r>
      <w:r>
        <w:rPr>
          <w:spacing w:val="-4"/>
          <w:sz w:val="16"/>
        </w:rPr>
        <w:t> </w:t>
      </w:r>
      <w:r>
        <w:rPr>
          <w:sz w:val="16"/>
        </w:rPr>
        <w:t>M.W.,</w:t>
      </w:r>
      <w:r>
        <w:rPr>
          <w:spacing w:val="-11"/>
          <w:sz w:val="16"/>
        </w:rPr>
        <w:t> </w:t>
      </w:r>
      <w:r>
        <w:rPr>
          <w:sz w:val="16"/>
        </w:rPr>
        <w:t>Vuilleumier,</w:t>
      </w:r>
      <w:r>
        <w:rPr>
          <w:spacing w:val="-6"/>
          <w:sz w:val="16"/>
        </w:rPr>
        <w:t> </w:t>
      </w:r>
      <w:r>
        <w:rPr>
          <w:sz w:val="16"/>
        </w:rPr>
        <w:t>N.</w:t>
      </w:r>
      <w:r>
        <w:rPr>
          <w:spacing w:val="-4"/>
          <w:sz w:val="16"/>
        </w:rPr>
        <w:t> </w:t>
      </w:r>
      <w:r>
        <w:rPr>
          <w:sz w:val="16"/>
        </w:rPr>
        <w:t>and</w:t>
      </w:r>
      <w:r>
        <w:rPr>
          <w:spacing w:val="-1"/>
          <w:sz w:val="16"/>
        </w:rPr>
        <w:t> </w:t>
      </w:r>
      <w:r>
        <w:rPr>
          <w:sz w:val="16"/>
        </w:rPr>
        <w:t>Kalra,</w:t>
      </w:r>
      <w:r>
        <w:rPr>
          <w:spacing w:val="-2"/>
          <w:sz w:val="16"/>
        </w:rPr>
        <w:t> </w:t>
      </w:r>
      <w:r>
        <w:rPr>
          <w:sz w:val="16"/>
        </w:rPr>
        <w:t>P.A.,</w:t>
      </w:r>
      <w:r>
        <w:rPr>
          <w:spacing w:val="-4"/>
          <w:sz w:val="16"/>
        </w:rPr>
        <w:t> </w:t>
      </w:r>
      <w:r>
        <w:rPr>
          <w:sz w:val="16"/>
        </w:rPr>
        <w:t>(2025).</w:t>
      </w:r>
      <w:r>
        <w:rPr>
          <w:spacing w:val="1"/>
          <w:sz w:val="16"/>
        </w:rPr>
        <w:t> </w:t>
      </w:r>
      <w:r>
        <w:rPr>
          <w:sz w:val="16"/>
        </w:rPr>
        <w:t>‘Personalized</w:t>
      </w:r>
      <w:r>
        <w:rPr>
          <w:spacing w:val="-1"/>
          <w:sz w:val="16"/>
        </w:rPr>
        <w:t> </w:t>
      </w:r>
      <w:r>
        <w:rPr>
          <w:sz w:val="16"/>
        </w:rPr>
        <w:t>care</w:t>
      </w:r>
      <w:r>
        <w:rPr>
          <w:spacing w:val="-3"/>
          <w:sz w:val="16"/>
        </w:rPr>
        <w:t> </w:t>
      </w:r>
      <w:r>
        <w:rPr>
          <w:sz w:val="16"/>
        </w:rPr>
        <w:t>in</w:t>
      </w:r>
      <w:r>
        <w:rPr>
          <w:spacing w:val="-3"/>
          <w:sz w:val="16"/>
        </w:rPr>
        <w:t> </w:t>
      </w:r>
      <w:r>
        <w:rPr>
          <w:sz w:val="16"/>
        </w:rPr>
        <w:t>CKD:</w:t>
      </w:r>
      <w:r>
        <w:rPr>
          <w:spacing w:val="-4"/>
          <w:sz w:val="16"/>
        </w:rPr>
        <w:t> </w:t>
      </w:r>
      <w:r>
        <w:rPr>
          <w:sz w:val="16"/>
        </w:rPr>
        <w:t>moving</w:t>
      </w:r>
      <w:r>
        <w:rPr>
          <w:spacing w:val="-6"/>
          <w:sz w:val="16"/>
        </w:rPr>
        <w:t> </w:t>
      </w:r>
      <w:r>
        <w:rPr>
          <w:sz w:val="16"/>
        </w:rPr>
        <w:t>beyond</w:t>
      </w:r>
      <w:r>
        <w:rPr>
          <w:spacing w:val="4"/>
          <w:sz w:val="16"/>
        </w:rPr>
        <w:t> </w:t>
      </w:r>
      <w:r>
        <w:rPr>
          <w:spacing w:val="-2"/>
          <w:sz w:val="16"/>
        </w:rPr>
        <w:t>traditional</w:t>
      </w:r>
    </w:p>
    <w:p>
      <w:pPr>
        <w:spacing w:line="178" w:lineRule="exact" w:before="0"/>
        <w:ind w:left="8080" w:right="0" w:firstLine="0"/>
        <w:jc w:val="left"/>
        <w:rPr>
          <w:sz w:val="16"/>
        </w:rPr>
      </w:pPr>
      <w:r>
        <w:rPr>
          <w:sz w:val="16"/>
        </w:rPr>
        <w:t>biomarkers’.</w:t>
      </w:r>
      <w:r>
        <w:rPr>
          <w:spacing w:val="-12"/>
          <w:sz w:val="16"/>
        </w:rPr>
        <w:t> </w:t>
      </w:r>
      <w:r>
        <w:rPr>
          <w:i/>
          <w:sz w:val="16"/>
        </w:rPr>
        <w:t>Nephron</w:t>
      </w:r>
      <w:r>
        <w:rPr>
          <w:sz w:val="16"/>
        </w:rPr>
        <w:t>,</w:t>
      </w:r>
      <w:r>
        <w:rPr>
          <w:spacing w:val="-1"/>
          <w:sz w:val="16"/>
        </w:rPr>
        <w:t> </w:t>
      </w:r>
      <w:r>
        <w:rPr>
          <w:sz w:val="16"/>
        </w:rPr>
        <w:t>149(6),</w:t>
      </w:r>
      <w:r>
        <w:rPr>
          <w:spacing w:val="-2"/>
          <w:sz w:val="16"/>
        </w:rPr>
        <w:t> </w:t>
      </w:r>
      <w:r>
        <w:rPr>
          <w:sz w:val="16"/>
        </w:rPr>
        <w:t>pp.339-357.</w:t>
      </w:r>
      <w:r>
        <w:rPr>
          <w:spacing w:val="2"/>
          <w:sz w:val="16"/>
        </w:rPr>
        <w:t> </w:t>
      </w:r>
      <w:r>
        <w:rPr>
          <w:sz w:val="16"/>
        </w:rPr>
        <w:t>Available</w:t>
      </w:r>
      <w:r>
        <w:rPr>
          <w:spacing w:val="-4"/>
          <w:sz w:val="16"/>
        </w:rPr>
        <w:t> </w:t>
      </w:r>
      <w:r>
        <w:rPr>
          <w:sz w:val="16"/>
        </w:rPr>
        <w:t>at:</w:t>
      </w:r>
      <w:r>
        <w:rPr>
          <w:spacing w:val="-4"/>
          <w:sz w:val="16"/>
        </w:rPr>
        <w:t> </w:t>
      </w:r>
      <w:hyperlink r:id="rId69">
        <w:r>
          <w:rPr>
            <w:color w:val="0462C1"/>
            <w:sz w:val="16"/>
            <w:u w:val="single" w:color="0462C1"/>
          </w:rPr>
          <w:t>https://doi.org/10.1159/000543640</w:t>
        </w:r>
      </w:hyperlink>
      <w:r>
        <w:rPr>
          <w:color w:val="0462C1"/>
          <w:spacing w:val="44"/>
          <w:sz w:val="16"/>
        </w:rPr>
        <w:t> </w:t>
      </w:r>
      <w:r>
        <w:rPr>
          <w:sz w:val="16"/>
        </w:rPr>
        <w:t>(Accessed:</w:t>
      </w:r>
      <w:r>
        <w:rPr>
          <w:spacing w:val="-8"/>
          <w:sz w:val="16"/>
        </w:rPr>
        <w:t> </w:t>
      </w:r>
      <w:r>
        <w:rPr>
          <w:sz w:val="16"/>
        </w:rPr>
        <w:t>01</w:t>
      </w:r>
      <w:r>
        <w:rPr>
          <w:spacing w:val="-4"/>
          <w:sz w:val="16"/>
        </w:rPr>
        <w:t> </w:t>
      </w:r>
      <w:r>
        <w:rPr>
          <w:sz w:val="16"/>
        </w:rPr>
        <w:t>April</w:t>
      </w:r>
      <w:r>
        <w:rPr>
          <w:spacing w:val="-6"/>
          <w:sz w:val="16"/>
        </w:rPr>
        <w:t> </w:t>
      </w:r>
      <w:r>
        <w:rPr>
          <w:spacing w:val="-2"/>
          <w:sz w:val="16"/>
        </w:rPr>
        <w:t>2026).</w:t>
      </w:r>
    </w:p>
    <w:p>
      <w:pPr>
        <w:pStyle w:val="BodyText"/>
        <w:spacing w:before="2"/>
        <w:rPr>
          <w:sz w:val="17"/>
        </w:rPr>
      </w:pPr>
    </w:p>
    <w:p>
      <w:pPr>
        <w:pStyle w:val="ListParagraph"/>
        <w:numPr>
          <w:ilvl w:val="1"/>
          <w:numId w:val="5"/>
        </w:numPr>
        <w:tabs>
          <w:tab w:pos="8080" w:val="left" w:leader="none"/>
          <w:tab w:pos="8081" w:val="left" w:leader="none"/>
        </w:tabs>
        <w:spacing w:line="225" w:lineRule="auto" w:before="0" w:after="0"/>
        <w:ind w:left="8080" w:right="1669" w:hanging="360"/>
        <w:jc w:val="left"/>
        <w:rPr>
          <w:sz w:val="16"/>
        </w:rPr>
      </w:pPr>
      <w:r>
        <w:rPr>
          <w:sz w:val="16"/>
        </w:rPr>
        <w:t>Nair,</w:t>
      </w:r>
      <w:r>
        <w:rPr>
          <w:spacing w:val="-2"/>
          <w:sz w:val="16"/>
        </w:rPr>
        <w:t> </w:t>
      </w:r>
      <w:r>
        <w:rPr>
          <w:sz w:val="16"/>
        </w:rPr>
        <w:t>D., Cukor,</w:t>
      </w:r>
      <w:r>
        <w:rPr>
          <w:spacing w:val="-2"/>
          <w:sz w:val="16"/>
        </w:rPr>
        <w:t> </w:t>
      </w:r>
      <w:r>
        <w:rPr>
          <w:sz w:val="16"/>
        </w:rPr>
        <w:t>D.,</w:t>
      </w:r>
      <w:r>
        <w:rPr>
          <w:spacing w:val="-2"/>
          <w:sz w:val="16"/>
        </w:rPr>
        <w:t> </w:t>
      </w:r>
      <w:r>
        <w:rPr>
          <w:sz w:val="16"/>
        </w:rPr>
        <w:t>Taylor, W.D.</w:t>
      </w:r>
      <w:r>
        <w:rPr>
          <w:spacing w:val="-7"/>
          <w:sz w:val="16"/>
        </w:rPr>
        <w:t> </w:t>
      </w:r>
      <w:r>
        <w:rPr>
          <w:sz w:val="16"/>
        </w:rPr>
        <w:t>and Cavanaugh, K.L., (2021), ‘November.</w:t>
      </w:r>
      <w:r>
        <w:rPr>
          <w:spacing w:val="-2"/>
          <w:sz w:val="16"/>
        </w:rPr>
        <w:t> </w:t>
      </w:r>
      <w:r>
        <w:rPr>
          <w:sz w:val="16"/>
        </w:rPr>
        <w:t>Applying a biopsychosocial</w:t>
      </w:r>
      <w:r>
        <w:rPr>
          <w:spacing w:val="-3"/>
          <w:sz w:val="16"/>
        </w:rPr>
        <w:t> </w:t>
      </w:r>
      <w:r>
        <w:rPr>
          <w:sz w:val="16"/>
        </w:rPr>
        <w:t>framework to</w:t>
      </w:r>
      <w:r>
        <w:rPr>
          <w:spacing w:val="-1"/>
          <w:sz w:val="16"/>
        </w:rPr>
        <w:t> </w:t>
      </w:r>
      <w:r>
        <w:rPr>
          <w:sz w:val="16"/>
        </w:rPr>
        <w:t>achieve durable behavior change in kidney disease’. In Seminars in nephrology (Vol. 41, No. 6, pp. 487-504). </w:t>
      </w:r>
      <w:r>
        <w:rPr>
          <w:i/>
          <w:sz w:val="16"/>
        </w:rPr>
        <w:t>WB Saunders. </w:t>
      </w:r>
      <w:r>
        <w:rPr>
          <w:sz w:val="16"/>
        </w:rPr>
        <w:t>Available at: </w:t>
      </w:r>
      <w:hyperlink r:id="rId70">
        <w:r>
          <w:rPr>
            <w:color w:val="0462C1"/>
            <w:sz w:val="16"/>
            <w:u w:val="single" w:color="0462C1"/>
          </w:rPr>
          <w:t>https://doi.org/10.1016/j.semnephrol.2021.10.002</w:t>
        </w:r>
      </w:hyperlink>
      <w:r>
        <w:rPr>
          <w:color w:val="0462C1"/>
          <w:spacing w:val="40"/>
          <w:sz w:val="16"/>
        </w:rPr>
        <w:t> </w:t>
      </w:r>
      <w:r>
        <w:rPr>
          <w:sz w:val="16"/>
        </w:rPr>
        <w:t>(Accessed: 01 April 2026).</w:t>
      </w:r>
    </w:p>
    <w:p>
      <w:pPr>
        <w:spacing w:after="0" w:line="225" w:lineRule="auto"/>
        <w:jc w:val="left"/>
        <w:rPr>
          <w:sz w:val="16"/>
        </w:rPr>
        <w:sectPr>
          <w:pgSz w:w="19200" w:h="10800" w:orient="landscape"/>
          <w:pgMar w:top="0" w:bottom="0" w:left="0" w:right="0"/>
        </w:sectPr>
      </w:pPr>
    </w:p>
    <w:p>
      <w:pPr>
        <w:pStyle w:val="Heading2"/>
        <w:spacing w:before="36"/>
      </w:pPr>
      <w:r>
        <w:rPr/>
        <w:drawing>
          <wp:anchor distT="0" distB="0" distL="0" distR="0" allowOverlap="1" layoutInCell="1" locked="0" behindDoc="1" simplePos="0" relativeHeight="48726886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3" name="image4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47.png"/>
                    <pic:cNvPicPr/>
                  </pic:nvPicPr>
                  <pic:blipFill>
                    <a:blip r:embed="rId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References</w:t>
      </w:r>
      <w:r>
        <w:rPr>
          <w:spacing w:val="-41"/>
        </w:rPr>
        <w:t> </w:t>
      </w:r>
      <w:r>
        <w:rPr>
          <w:spacing w:val="-2"/>
        </w:rPr>
        <w:t>(Contd..)</w:t>
      </w:r>
    </w:p>
    <w:p>
      <w:pPr>
        <w:pStyle w:val="ListParagraph"/>
        <w:numPr>
          <w:ilvl w:val="0"/>
          <w:numId w:val="6"/>
        </w:numPr>
        <w:tabs>
          <w:tab w:pos="696" w:val="left" w:leader="none"/>
          <w:tab w:pos="697" w:val="left" w:leader="none"/>
        </w:tabs>
        <w:spacing w:line="240" w:lineRule="auto" w:before="283" w:after="0"/>
        <w:ind w:left="696" w:right="0" w:hanging="361"/>
        <w:jc w:val="left"/>
        <w:rPr>
          <w:sz w:val="20"/>
        </w:rPr>
      </w:pPr>
      <w:r>
        <w:rPr>
          <w:spacing w:val="-2"/>
          <w:sz w:val="20"/>
        </w:rPr>
        <w:t>National</w:t>
      </w:r>
      <w:r>
        <w:rPr>
          <w:spacing w:val="4"/>
          <w:sz w:val="20"/>
        </w:rPr>
        <w:t> </w:t>
      </w:r>
      <w:r>
        <w:rPr>
          <w:spacing w:val="-2"/>
          <w:sz w:val="20"/>
        </w:rPr>
        <w:t>Kidney</w:t>
      </w:r>
      <w:r>
        <w:rPr>
          <w:spacing w:val="2"/>
          <w:sz w:val="20"/>
        </w:rPr>
        <w:t> </w:t>
      </w:r>
      <w:r>
        <w:rPr>
          <w:spacing w:val="-2"/>
          <w:sz w:val="20"/>
        </w:rPr>
        <w:t>Foundation</w:t>
      </w:r>
      <w:r>
        <w:rPr>
          <w:spacing w:val="2"/>
          <w:sz w:val="20"/>
        </w:rPr>
        <w:t> </w:t>
      </w:r>
      <w:r>
        <w:rPr>
          <w:spacing w:val="-2"/>
          <w:sz w:val="20"/>
        </w:rPr>
        <w:t>(2026)</w:t>
      </w:r>
      <w:r>
        <w:rPr>
          <w:spacing w:val="1"/>
          <w:sz w:val="20"/>
        </w:rPr>
        <w:t> </w:t>
      </w:r>
      <w:r>
        <w:rPr>
          <w:i/>
          <w:spacing w:val="-2"/>
          <w:sz w:val="20"/>
        </w:rPr>
        <w:t>Global</w:t>
      </w:r>
      <w:r>
        <w:rPr>
          <w:i/>
          <w:spacing w:val="3"/>
          <w:sz w:val="20"/>
        </w:rPr>
        <w:t> </w:t>
      </w:r>
      <w:r>
        <w:rPr>
          <w:i/>
          <w:spacing w:val="-2"/>
          <w:sz w:val="20"/>
        </w:rPr>
        <w:t>Facts:</w:t>
      </w:r>
      <w:r>
        <w:rPr>
          <w:i/>
          <w:sz w:val="20"/>
        </w:rPr>
        <w:t> </w:t>
      </w:r>
      <w:r>
        <w:rPr>
          <w:i/>
          <w:spacing w:val="-2"/>
          <w:sz w:val="20"/>
        </w:rPr>
        <w:t>About</w:t>
      </w:r>
      <w:r>
        <w:rPr>
          <w:i/>
          <w:spacing w:val="-1"/>
          <w:sz w:val="20"/>
        </w:rPr>
        <w:t> </w:t>
      </w:r>
      <w:r>
        <w:rPr>
          <w:i/>
          <w:spacing w:val="-2"/>
          <w:sz w:val="20"/>
        </w:rPr>
        <w:t>Kidney</w:t>
      </w:r>
      <w:r>
        <w:rPr>
          <w:i/>
          <w:spacing w:val="3"/>
          <w:sz w:val="20"/>
        </w:rPr>
        <w:t> </w:t>
      </w:r>
      <w:r>
        <w:rPr>
          <w:i/>
          <w:spacing w:val="-2"/>
          <w:sz w:val="20"/>
        </w:rPr>
        <w:t>Disease</w:t>
      </w:r>
      <w:r>
        <w:rPr>
          <w:i/>
          <w:spacing w:val="2"/>
          <w:sz w:val="20"/>
        </w:rPr>
        <w:t> </w:t>
      </w:r>
      <w:r>
        <w:rPr>
          <w:spacing w:val="-2"/>
          <w:sz w:val="20"/>
        </w:rPr>
        <w:t>Available</w:t>
      </w:r>
      <w:r>
        <w:rPr>
          <w:spacing w:val="7"/>
          <w:sz w:val="20"/>
        </w:rPr>
        <w:t> </w:t>
      </w:r>
      <w:r>
        <w:rPr>
          <w:spacing w:val="-2"/>
          <w:sz w:val="20"/>
        </w:rPr>
        <w:t>at:</w:t>
      </w:r>
      <w:r>
        <w:rPr>
          <w:spacing w:val="2"/>
          <w:sz w:val="20"/>
        </w:rPr>
        <w:t> </w:t>
      </w:r>
      <w:hyperlink r:id="rId72">
        <w:r>
          <w:rPr>
            <w:color w:val="0462C1"/>
            <w:spacing w:val="-2"/>
            <w:sz w:val="20"/>
            <w:u w:val="single" w:color="0462C1"/>
          </w:rPr>
          <w:t>https://www.kidney.org/global-facts-about-kidney-disease</w:t>
        </w:r>
      </w:hyperlink>
      <w:r>
        <w:rPr>
          <w:color w:val="0462C1"/>
          <w:spacing w:val="69"/>
          <w:sz w:val="20"/>
        </w:rPr>
        <w:t> </w:t>
      </w:r>
      <w:r>
        <w:rPr>
          <w:spacing w:val="-2"/>
          <w:sz w:val="20"/>
        </w:rPr>
        <w:t>(Accessed:</w:t>
      </w:r>
      <w:r>
        <w:rPr>
          <w:spacing w:val="-3"/>
          <w:sz w:val="20"/>
        </w:rPr>
        <w:t> </w:t>
      </w:r>
      <w:r>
        <w:rPr>
          <w:spacing w:val="-2"/>
          <w:sz w:val="20"/>
        </w:rPr>
        <w:t>01</w:t>
      </w:r>
      <w:r>
        <w:rPr>
          <w:spacing w:val="1"/>
          <w:sz w:val="20"/>
        </w:rPr>
        <w:t> </w:t>
      </w:r>
      <w:r>
        <w:rPr>
          <w:spacing w:val="-2"/>
          <w:sz w:val="20"/>
        </w:rPr>
        <w:t>April</w:t>
      </w:r>
      <w:r>
        <w:rPr>
          <w:spacing w:val="3"/>
          <w:sz w:val="20"/>
        </w:rPr>
        <w:t> </w:t>
      </w:r>
      <w:r>
        <w:rPr>
          <w:spacing w:val="-2"/>
          <w:sz w:val="20"/>
        </w:rPr>
        <w:t>2026).</w:t>
      </w:r>
    </w:p>
    <w:p>
      <w:pPr>
        <w:pStyle w:val="BodyText"/>
        <w:spacing w:before="7"/>
        <w:rPr>
          <w:sz w:val="28"/>
        </w:rPr>
      </w:pP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1" w:after="0"/>
        <w:ind w:left="696" w:right="412" w:hanging="360"/>
        <w:jc w:val="both"/>
        <w:rPr>
          <w:sz w:val="20"/>
        </w:rPr>
      </w:pPr>
      <w:r>
        <w:rPr>
          <w:sz w:val="20"/>
        </w:rPr>
        <w:t>NHS</w:t>
      </w:r>
      <w:r>
        <w:rPr>
          <w:spacing w:val="-8"/>
          <w:sz w:val="20"/>
        </w:rPr>
        <w:t> </w:t>
      </w:r>
      <w:r>
        <w:rPr>
          <w:sz w:val="20"/>
        </w:rPr>
        <w:t>England</w:t>
      </w:r>
      <w:r>
        <w:rPr>
          <w:spacing w:val="-8"/>
          <w:sz w:val="20"/>
        </w:rPr>
        <w:t> </w:t>
      </w:r>
      <w:r>
        <w:rPr>
          <w:sz w:val="20"/>
        </w:rPr>
        <w:t>(2024)</w:t>
      </w:r>
      <w:r>
        <w:rPr>
          <w:spacing w:val="-7"/>
          <w:sz w:val="20"/>
        </w:rPr>
        <w:t> </w:t>
      </w:r>
      <w:r>
        <w:rPr>
          <w:i/>
          <w:sz w:val="20"/>
        </w:rPr>
        <w:t>Health</w:t>
      </w:r>
      <w:r>
        <w:rPr>
          <w:i/>
          <w:spacing w:val="-8"/>
          <w:sz w:val="20"/>
        </w:rPr>
        <w:t> </w:t>
      </w:r>
      <w:r>
        <w:rPr>
          <w:i/>
          <w:sz w:val="20"/>
        </w:rPr>
        <w:t>Survey</w:t>
      </w:r>
      <w:r>
        <w:rPr>
          <w:i/>
          <w:spacing w:val="-7"/>
          <w:sz w:val="20"/>
        </w:rPr>
        <w:t> </w:t>
      </w:r>
      <w:r>
        <w:rPr>
          <w:i/>
          <w:sz w:val="20"/>
        </w:rPr>
        <w:t>for</w:t>
      </w:r>
      <w:r>
        <w:rPr>
          <w:i/>
          <w:spacing w:val="-7"/>
          <w:sz w:val="20"/>
        </w:rPr>
        <w:t> </w:t>
      </w:r>
      <w:r>
        <w:rPr>
          <w:i/>
          <w:sz w:val="20"/>
        </w:rPr>
        <w:t>England,</w:t>
      </w:r>
      <w:r>
        <w:rPr>
          <w:i/>
          <w:spacing w:val="-7"/>
          <w:sz w:val="20"/>
        </w:rPr>
        <w:t> </w:t>
      </w:r>
      <w:r>
        <w:rPr>
          <w:i/>
          <w:sz w:val="20"/>
        </w:rPr>
        <w:t>2022</w:t>
      </w:r>
      <w:r>
        <w:rPr>
          <w:i/>
          <w:spacing w:val="-10"/>
          <w:sz w:val="20"/>
        </w:rPr>
        <w:t> </w:t>
      </w:r>
      <w:r>
        <w:rPr>
          <w:i/>
          <w:sz w:val="20"/>
        </w:rPr>
        <w:t>Part</w:t>
      </w:r>
      <w:r>
        <w:rPr>
          <w:i/>
          <w:spacing w:val="-7"/>
          <w:sz w:val="20"/>
        </w:rPr>
        <w:t> </w:t>
      </w:r>
      <w:r>
        <w:rPr>
          <w:i/>
          <w:sz w:val="20"/>
        </w:rPr>
        <w:t>2</w:t>
      </w:r>
      <w:r>
        <w:rPr>
          <w:i/>
          <w:spacing w:val="-8"/>
          <w:sz w:val="20"/>
        </w:rPr>
        <w:t> </w:t>
      </w:r>
      <w:r>
        <w:rPr>
          <w:sz w:val="20"/>
        </w:rPr>
        <w:t>Available</w:t>
      </w:r>
      <w:r>
        <w:rPr>
          <w:spacing w:val="-7"/>
          <w:sz w:val="20"/>
        </w:rPr>
        <w:t> </w:t>
      </w:r>
      <w:r>
        <w:rPr>
          <w:sz w:val="20"/>
        </w:rPr>
        <w:t>at:</w:t>
      </w:r>
      <w:r>
        <w:rPr>
          <w:spacing w:val="-8"/>
          <w:sz w:val="20"/>
        </w:rPr>
        <w:t> </w:t>
      </w:r>
      <w:hyperlink r:id="rId73">
        <w:r>
          <w:rPr>
            <w:color w:val="0462C1"/>
            <w:sz w:val="20"/>
            <w:u w:val="single" w:color="0462C1"/>
          </w:rPr>
          <w:t>https://digital.nhs.uk/data-and-information/publications/statistical/health-survey-for-england/2022-part-2/kidney-disease</w:t>
        </w:r>
      </w:hyperlink>
      <w:r>
        <w:rPr>
          <w:color w:val="0462C1"/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ListParagraph"/>
        <w:numPr>
          <w:ilvl w:val="0"/>
          <w:numId w:val="6"/>
        </w:numPr>
        <w:tabs>
          <w:tab w:pos="696" w:val="left" w:leader="none"/>
          <w:tab w:pos="697" w:val="left" w:leader="none"/>
        </w:tabs>
        <w:spacing w:line="240" w:lineRule="auto" w:before="197" w:after="0"/>
        <w:ind w:left="696" w:right="0" w:hanging="361"/>
        <w:jc w:val="left"/>
        <w:rPr>
          <w:sz w:val="20"/>
        </w:rPr>
      </w:pPr>
      <w:r>
        <w:rPr>
          <w:sz w:val="20"/>
        </w:rPr>
        <w:t>NHS</w:t>
      </w:r>
      <w:r>
        <w:rPr>
          <w:spacing w:val="-14"/>
          <w:sz w:val="20"/>
        </w:rPr>
        <w:t> </w:t>
      </w:r>
      <w:r>
        <w:rPr>
          <w:sz w:val="20"/>
        </w:rPr>
        <w:t>UK</w:t>
      </w:r>
      <w:r>
        <w:rPr>
          <w:spacing w:val="15"/>
          <w:sz w:val="20"/>
        </w:rPr>
        <w:t> </w:t>
      </w:r>
      <w:r>
        <w:rPr>
          <w:sz w:val="20"/>
        </w:rPr>
        <w:t>(2026b)</w:t>
      </w:r>
      <w:r>
        <w:rPr>
          <w:spacing w:val="-14"/>
          <w:sz w:val="20"/>
        </w:rPr>
        <w:t> </w:t>
      </w:r>
      <w:r>
        <w:rPr>
          <w:i/>
          <w:sz w:val="20"/>
        </w:rPr>
        <w:t>Prevention</w:t>
      </w:r>
      <w:r>
        <w:rPr>
          <w:i/>
          <w:spacing w:val="-14"/>
          <w:sz w:val="20"/>
        </w:rPr>
        <w:t> </w:t>
      </w:r>
      <w:r>
        <w:rPr>
          <w:sz w:val="20"/>
        </w:rPr>
        <w:t>Available</w:t>
      </w:r>
      <w:r>
        <w:rPr>
          <w:spacing w:val="-13"/>
          <w:sz w:val="20"/>
        </w:rPr>
        <w:t> </w:t>
      </w:r>
      <w:r>
        <w:rPr>
          <w:sz w:val="20"/>
        </w:rPr>
        <w:t>at:</w:t>
      </w:r>
      <w:hyperlink r:id="rId74">
        <w:r>
          <w:rPr>
            <w:color w:val="0462C1"/>
            <w:sz w:val="20"/>
            <w:u w:val="single" w:color="0462C1"/>
          </w:rPr>
          <w:t>https://www.nhs.uk/conditions/kidney-disease/prevention/</w:t>
        </w:r>
      </w:hyperlink>
      <w:r>
        <w:rPr>
          <w:color w:val="0462C1"/>
          <w:spacing w:val="68"/>
          <w:sz w:val="20"/>
        </w:rPr>
        <w:t> </w:t>
      </w:r>
      <w:r>
        <w:rPr>
          <w:sz w:val="20"/>
        </w:rPr>
        <w:t>(Accessed:</w:t>
      </w:r>
      <w:r>
        <w:rPr>
          <w:spacing w:val="-14"/>
          <w:sz w:val="20"/>
        </w:rPr>
        <w:t> </w:t>
      </w:r>
      <w:r>
        <w:rPr>
          <w:sz w:val="20"/>
        </w:rPr>
        <w:t>01</w:t>
      </w:r>
      <w:r>
        <w:rPr>
          <w:spacing w:val="-14"/>
          <w:sz w:val="20"/>
        </w:rPr>
        <w:t> </w:t>
      </w:r>
      <w:r>
        <w:rPr>
          <w:sz w:val="20"/>
        </w:rPr>
        <w:t>April</w:t>
      </w:r>
      <w:r>
        <w:rPr>
          <w:spacing w:val="-13"/>
          <w:sz w:val="20"/>
        </w:rPr>
        <w:t> </w:t>
      </w:r>
      <w:r>
        <w:rPr>
          <w:spacing w:val="-2"/>
          <w:sz w:val="20"/>
        </w:rPr>
        <w:t>2026).</w:t>
      </w:r>
    </w:p>
    <w:p>
      <w:pPr>
        <w:pStyle w:val="BodyText"/>
        <w:spacing w:before="9"/>
        <w:rPr>
          <w:sz w:val="28"/>
        </w:rPr>
      </w:pPr>
    </w:p>
    <w:p>
      <w:pPr>
        <w:pStyle w:val="ListParagraph"/>
        <w:numPr>
          <w:ilvl w:val="0"/>
          <w:numId w:val="6"/>
        </w:numPr>
        <w:tabs>
          <w:tab w:pos="696" w:val="left" w:leader="none"/>
          <w:tab w:pos="697" w:val="left" w:leader="none"/>
        </w:tabs>
        <w:spacing w:line="240" w:lineRule="auto" w:before="0" w:after="0"/>
        <w:ind w:left="696" w:right="0" w:hanging="361"/>
        <w:jc w:val="left"/>
        <w:rPr>
          <w:sz w:val="20"/>
        </w:rPr>
      </w:pPr>
      <w:r>
        <w:rPr>
          <w:spacing w:val="-2"/>
          <w:sz w:val="20"/>
        </w:rPr>
        <w:t>NHS</w:t>
      </w:r>
      <w:r>
        <w:rPr>
          <w:spacing w:val="5"/>
          <w:sz w:val="20"/>
        </w:rPr>
        <w:t> </w:t>
      </w:r>
      <w:r>
        <w:rPr>
          <w:spacing w:val="-2"/>
          <w:sz w:val="20"/>
        </w:rPr>
        <w:t>UK</w:t>
      </w:r>
      <w:r>
        <w:rPr>
          <w:spacing w:val="2"/>
          <w:sz w:val="20"/>
        </w:rPr>
        <w:t> </w:t>
      </w:r>
      <w:r>
        <w:rPr>
          <w:spacing w:val="-2"/>
          <w:sz w:val="20"/>
        </w:rPr>
        <w:t>(2026a)</w:t>
      </w:r>
      <w:r>
        <w:rPr>
          <w:spacing w:val="4"/>
          <w:sz w:val="20"/>
        </w:rPr>
        <w:t> </w:t>
      </w:r>
      <w:r>
        <w:rPr>
          <w:i/>
          <w:spacing w:val="-2"/>
          <w:sz w:val="20"/>
        </w:rPr>
        <w:t>Treatment</w:t>
      </w:r>
      <w:r>
        <w:rPr>
          <w:i/>
          <w:spacing w:val="4"/>
          <w:sz w:val="20"/>
        </w:rPr>
        <w:t> </w:t>
      </w:r>
      <w:r>
        <w:rPr>
          <w:spacing w:val="-2"/>
          <w:sz w:val="20"/>
        </w:rPr>
        <w:t>Available</w:t>
      </w:r>
      <w:r>
        <w:rPr>
          <w:spacing w:val="8"/>
          <w:sz w:val="20"/>
        </w:rPr>
        <w:t> </w:t>
      </w:r>
      <w:r>
        <w:rPr>
          <w:spacing w:val="-2"/>
          <w:sz w:val="20"/>
        </w:rPr>
        <w:t>at:</w:t>
      </w:r>
      <w:r>
        <w:rPr>
          <w:spacing w:val="63"/>
          <w:sz w:val="20"/>
        </w:rPr>
        <w:t> </w:t>
      </w:r>
      <w:hyperlink r:id="rId75">
        <w:r>
          <w:rPr>
            <w:color w:val="0462C1"/>
            <w:spacing w:val="-2"/>
            <w:sz w:val="20"/>
            <w:u w:val="single" w:color="0462C1"/>
          </w:rPr>
          <w:t>https://www.nhs.uk/conditions/kidney-disease/treatment/</w:t>
        </w:r>
      </w:hyperlink>
      <w:r>
        <w:rPr>
          <w:color w:val="0462C1"/>
          <w:spacing w:val="2"/>
          <w:sz w:val="20"/>
        </w:rPr>
        <w:t> </w:t>
      </w:r>
      <w:r>
        <w:rPr>
          <w:spacing w:val="-2"/>
          <w:sz w:val="20"/>
        </w:rPr>
        <w:t>(Accessed:</w:t>
      </w:r>
      <w:r>
        <w:rPr>
          <w:spacing w:val="1"/>
          <w:sz w:val="20"/>
        </w:rPr>
        <w:t> </w:t>
      </w:r>
      <w:r>
        <w:rPr>
          <w:spacing w:val="-2"/>
          <w:sz w:val="20"/>
        </w:rPr>
        <w:t>01</w:t>
      </w:r>
      <w:r>
        <w:rPr>
          <w:sz w:val="20"/>
        </w:rPr>
        <w:t> </w:t>
      </w:r>
      <w:r>
        <w:rPr>
          <w:spacing w:val="-2"/>
          <w:sz w:val="20"/>
        </w:rPr>
        <w:t>April</w:t>
      </w:r>
      <w:r>
        <w:rPr>
          <w:spacing w:val="6"/>
          <w:sz w:val="20"/>
        </w:rPr>
        <w:t> </w:t>
      </w:r>
      <w:r>
        <w:rPr>
          <w:spacing w:val="-2"/>
          <w:sz w:val="20"/>
        </w:rPr>
        <w:t>2026).</w:t>
      </w:r>
    </w:p>
    <w:p>
      <w:pPr>
        <w:pStyle w:val="BodyText"/>
        <w:spacing w:before="8"/>
        <w:rPr>
          <w:sz w:val="28"/>
        </w:rPr>
      </w:pPr>
    </w:p>
    <w:p>
      <w:pPr>
        <w:pStyle w:val="ListParagraph"/>
        <w:numPr>
          <w:ilvl w:val="0"/>
          <w:numId w:val="6"/>
        </w:numPr>
        <w:tabs>
          <w:tab w:pos="696" w:val="left" w:leader="none"/>
          <w:tab w:pos="697" w:val="left" w:leader="none"/>
        </w:tabs>
        <w:spacing w:line="240" w:lineRule="auto" w:before="0" w:after="0"/>
        <w:ind w:left="696" w:right="0" w:hanging="361"/>
        <w:jc w:val="left"/>
        <w:rPr>
          <w:sz w:val="20"/>
        </w:rPr>
      </w:pPr>
      <w:r>
        <w:rPr>
          <w:sz w:val="20"/>
        </w:rPr>
        <w:t>NHS.</w:t>
      </w:r>
      <w:r>
        <w:rPr>
          <w:spacing w:val="-14"/>
          <w:sz w:val="20"/>
        </w:rPr>
        <w:t> </w:t>
      </w:r>
      <w:r>
        <w:rPr>
          <w:sz w:val="20"/>
        </w:rPr>
        <w:t>UK</w:t>
      </w:r>
      <w:r>
        <w:rPr>
          <w:spacing w:val="-14"/>
          <w:sz w:val="20"/>
        </w:rPr>
        <w:t> </w:t>
      </w:r>
      <w:r>
        <w:rPr>
          <w:sz w:val="20"/>
        </w:rPr>
        <w:t>(2026)</w:t>
      </w:r>
      <w:r>
        <w:rPr>
          <w:spacing w:val="-14"/>
          <w:sz w:val="20"/>
        </w:rPr>
        <w:t> </w:t>
      </w:r>
      <w:r>
        <w:rPr>
          <w:i/>
          <w:sz w:val="20"/>
        </w:rPr>
        <w:t>Chronic</w:t>
      </w:r>
      <w:r>
        <w:rPr>
          <w:i/>
          <w:spacing w:val="-13"/>
          <w:sz w:val="20"/>
        </w:rPr>
        <w:t> </w:t>
      </w:r>
      <w:r>
        <w:rPr>
          <w:i/>
          <w:sz w:val="20"/>
        </w:rPr>
        <w:t>kidney</w:t>
      </w:r>
      <w:r>
        <w:rPr>
          <w:i/>
          <w:spacing w:val="-13"/>
          <w:sz w:val="20"/>
        </w:rPr>
        <w:t> </w:t>
      </w:r>
      <w:r>
        <w:rPr>
          <w:i/>
          <w:sz w:val="20"/>
        </w:rPr>
        <w:t>disease</w:t>
      </w:r>
      <w:r>
        <w:rPr>
          <w:i/>
          <w:spacing w:val="-14"/>
          <w:sz w:val="20"/>
        </w:rPr>
        <w:t> </w:t>
      </w:r>
      <w:r>
        <w:rPr>
          <w:sz w:val="20"/>
        </w:rPr>
        <w:t>Available</w:t>
      </w:r>
      <w:r>
        <w:rPr>
          <w:spacing w:val="-6"/>
          <w:sz w:val="20"/>
        </w:rPr>
        <w:t> </w:t>
      </w:r>
      <w:r>
        <w:rPr>
          <w:sz w:val="20"/>
        </w:rPr>
        <w:t>at:</w:t>
      </w:r>
      <w:r>
        <w:rPr>
          <w:spacing w:val="27"/>
          <w:sz w:val="20"/>
        </w:rPr>
        <w:t> </w:t>
      </w:r>
      <w:hyperlink r:id="rId76">
        <w:r>
          <w:rPr>
            <w:color w:val="0462C1"/>
            <w:sz w:val="20"/>
            <w:u w:val="single" w:color="0462C1"/>
          </w:rPr>
          <w:t>https://www.nhs.uk/conditions/kidney-disease/diagnosis/</w:t>
        </w:r>
      </w:hyperlink>
      <w:r>
        <w:rPr>
          <w:color w:val="0462C1"/>
          <w:spacing w:val="-10"/>
          <w:sz w:val="20"/>
        </w:rPr>
        <w:t> </w:t>
      </w:r>
      <w:r>
        <w:rPr>
          <w:sz w:val="20"/>
        </w:rPr>
        <w:t>(Accessed:</w:t>
      </w:r>
      <w:r>
        <w:rPr>
          <w:spacing w:val="-14"/>
          <w:sz w:val="20"/>
        </w:rPr>
        <w:t> </w:t>
      </w:r>
      <w:r>
        <w:rPr>
          <w:sz w:val="20"/>
        </w:rPr>
        <w:t>01</w:t>
      </w:r>
      <w:r>
        <w:rPr>
          <w:spacing w:val="-14"/>
          <w:sz w:val="20"/>
        </w:rPr>
        <w:t> </w:t>
      </w:r>
      <w:r>
        <w:rPr>
          <w:sz w:val="20"/>
        </w:rPr>
        <w:t>April</w:t>
      </w:r>
      <w:r>
        <w:rPr>
          <w:spacing w:val="-11"/>
          <w:sz w:val="20"/>
        </w:rPr>
        <w:t> </w:t>
      </w:r>
      <w:r>
        <w:rPr>
          <w:sz w:val="20"/>
        </w:rPr>
        <w:t>2026).m</w:t>
      </w:r>
      <w:r>
        <w:rPr>
          <w:spacing w:val="-13"/>
          <w:sz w:val="20"/>
        </w:rPr>
        <w:t> </w:t>
      </w:r>
      <w:r>
        <w:rPr>
          <w:sz w:val="20"/>
        </w:rPr>
        <w:t>Available</w:t>
      </w:r>
      <w:r>
        <w:rPr>
          <w:spacing w:val="-9"/>
          <w:sz w:val="20"/>
        </w:rPr>
        <w:t> </w:t>
      </w:r>
      <w:r>
        <w:rPr>
          <w:sz w:val="20"/>
        </w:rPr>
        <w:t>at:</w:t>
      </w:r>
      <w:r>
        <w:rPr>
          <w:spacing w:val="30"/>
          <w:sz w:val="20"/>
        </w:rPr>
        <w:t> </w:t>
      </w:r>
      <w:r>
        <w:rPr>
          <w:sz w:val="20"/>
        </w:rPr>
        <w:t>(Accessed:</w:t>
      </w:r>
      <w:r>
        <w:rPr>
          <w:spacing w:val="-14"/>
          <w:sz w:val="20"/>
        </w:rPr>
        <w:t> </w:t>
      </w:r>
      <w:r>
        <w:rPr>
          <w:sz w:val="20"/>
        </w:rPr>
        <w:t>01</w:t>
      </w:r>
      <w:r>
        <w:rPr>
          <w:spacing w:val="-13"/>
          <w:sz w:val="20"/>
        </w:rPr>
        <w:t> </w:t>
      </w:r>
      <w:r>
        <w:rPr>
          <w:sz w:val="20"/>
        </w:rPr>
        <w:t>April</w:t>
      </w:r>
      <w:r>
        <w:rPr>
          <w:spacing w:val="-12"/>
          <w:sz w:val="20"/>
        </w:rPr>
        <w:t> </w:t>
      </w:r>
      <w:r>
        <w:rPr>
          <w:spacing w:val="-2"/>
          <w:sz w:val="20"/>
        </w:rPr>
        <w:t>2026).</w:t>
      </w:r>
    </w:p>
    <w:p>
      <w:pPr>
        <w:pStyle w:val="BodyText"/>
        <w:spacing w:before="7"/>
        <w:rPr>
          <w:sz w:val="28"/>
        </w:rPr>
      </w:pP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0" w:after="0"/>
        <w:ind w:left="696" w:right="411" w:hanging="360"/>
        <w:jc w:val="both"/>
        <w:rPr>
          <w:sz w:val="20"/>
        </w:rPr>
      </w:pPr>
      <w:r>
        <w:rPr>
          <w:sz w:val="20"/>
        </w:rPr>
        <w:t>Ortiz, A., Guerra, J.M.A., Chan, J.C., Jha, V., Kramer, H., Nicholas, S.B., Pavkov, M.E., Wanner, C., Wong, L.P., Cheung, M. and King, J.M., (2025). ‘Preventing chronic kidney disease and maintaining kidney</w:t>
      </w:r>
      <w:r>
        <w:rPr>
          <w:spacing w:val="-7"/>
          <w:sz w:val="20"/>
        </w:rPr>
        <w:t> </w:t>
      </w:r>
      <w:r>
        <w:rPr>
          <w:sz w:val="20"/>
        </w:rPr>
        <w:t>health:</w:t>
      </w:r>
      <w:r>
        <w:rPr>
          <w:spacing w:val="-3"/>
          <w:sz w:val="20"/>
        </w:rPr>
        <w:t> </w:t>
      </w:r>
      <w:r>
        <w:rPr>
          <w:sz w:val="20"/>
        </w:rPr>
        <w:t>conclusions</w:t>
      </w:r>
      <w:r>
        <w:rPr>
          <w:spacing w:val="-1"/>
          <w:sz w:val="20"/>
        </w:rPr>
        <w:t> </w:t>
      </w:r>
      <w:r>
        <w:rPr>
          <w:sz w:val="20"/>
        </w:rPr>
        <w:t>from a</w:t>
      </w:r>
      <w:r>
        <w:rPr>
          <w:spacing w:val="-3"/>
          <w:sz w:val="20"/>
        </w:rPr>
        <w:t> </w:t>
      </w:r>
      <w:r>
        <w:rPr>
          <w:sz w:val="20"/>
        </w:rPr>
        <w:t>Kidney</w:t>
      </w:r>
      <w:r>
        <w:rPr>
          <w:spacing w:val="-8"/>
          <w:sz w:val="20"/>
        </w:rPr>
        <w:t> </w:t>
      </w:r>
      <w:r>
        <w:rPr>
          <w:sz w:val="20"/>
        </w:rPr>
        <w:t>Disease:</w:t>
      </w:r>
      <w:r>
        <w:rPr>
          <w:spacing w:val="-3"/>
          <w:sz w:val="20"/>
        </w:rPr>
        <w:t> </w:t>
      </w:r>
      <w:r>
        <w:rPr>
          <w:sz w:val="20"/>
        </w:rPr>
        <w:t>Improving</w:t>
      </w:r>
      <w:r>
        <w:rPr>
          <w:spacing w:val="-3"/>
          <w:sz w:val="20"/>
        </w:rPr>
        <w:t> </w:t>
      </w:r>
      <w:r>
        <w:rPr>
          <w:sz w:val="20"/>
        </w:rPr>
        <w:t>Global</w:t>
      </w:r>
      <w:r>
        <w:rPr>
          <w:spacing w:val="-4"/>
          <w:sz w:val="20"/>
        </w:rPr>
        <w:t> </w:t>
      </w:r>
      <w:r>
        <w:rPr>
          <w:sz w:val="20"/>
        </w:rPr>
        <w:t>Outcomes</w:t>
      </w:r>
      <w:r>
        <w:rPr>
          <w:spacing w:val="-1"/>
          <w:sz w:val="20"/>
        </w:rPr>
        <w:t> </w:t>
      </w:r>
      <w:r>
        <w:rPr>
          <w:sz w:val="20"/>
        </w:rPr>
        <w:t>(KDIGO)</w:t>
      </w:r>
      <w:r>
        <w:rPr>
          <w:spacing w:val="-1"/>
          <w:sz w:val="20"/>
        </w:rPr>
        <w:t> </w:t>
      </w:r>
      <w:r>
        <w:rPr>
          <w:sz w:val="20"/>
        </w:rPr>
        <w:t>Controversies</w:t>
      </w:r>
      <w:r>
        <w:rPr>
          <w:spacing w:val="-2"/>
          <w:sz w:val="20"/>
        </w:rPr>
        <w:t> </w:t>
      </w:r>
      <w:r>
        <w:rPr>
          <w:sz w:val="20"/>
        </w:rPr>
        <w:t>Conference’.</w:t>
      </w:r>
      <w:r>
        <w:rPr>
          <w:spacing w:val="-3"/>
          <w:sz w:val="20"/>
        </w:rPr>
        <w:t> </w:t>
      </w:r>
      <w:r>
        <w:rPr>
          <w:i/>
          <w:sz w:val="20"/>
        </w:rPr>
        <w:t>Kidney</w:t>
      </w:r>
      <w:r>
        <w:rPr>
          <w:i/>
          <w:spacing w:val="-2"/>
          <w:sz w:val="20"/>
        </w:rPr>
        <w:t> </w:t>
      </w:r>
      <w:r>
        <w:rPr>
          <w:i/>
          <w:sz w:val="20"/>
        </w:rPr>
        <w:t>international.</w:t>
      </w:r>
      <w:r>
        <w:rPr>
          <w:i/>
          <w:spacing w:val="-3"/>
          <w:sz w:val="20"/>
        </w:rPr>
        <w:t> </w:t>
      </w:r>
      <w:r>
        <w:rPr>
          <w:sz w:val="20"/>
        </w:rPr>
        <w:t>Available</w:t>
      </w:r>
      <w:r>
        <w:rPr>
          <w:spacing w:val="-3"/>
          <w:sz w:val="20"/>
        </w:rPr>
        <w:t> </w:t>
      </w:r>
      <w:r>
        <w:rPr>
          <w:sz w:val="20"/>
        </w:rPr>
        <w:t>at:</w:t>
      </w:r>
      <w:r>
        <w:rPr>
          <w:spacing w:val="-3"/>
          <w:sz w:val="20"/>
        </w:rPr>
        <w:t> </w:t>
      </w:r>
      <w:hyperlink r:id="rId77">
        <w:r>
          <w:rPr>
            <w:color w:val="0462C1"/>
            <w:sz w:val="20"/>
            <w:u w:val="single" w:color="0462C1"/>
          </w:rPr>
          <w:t>https://doi.org/10.1016/j.kint.2025.04.005</w:t>
        </w:r>
      </w:hyperlink>
      <w:r>
        <w:rPr>
          <w:color w:val="0462C1"/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BodyText"/>
        <w:spacing w:before="3"/>
        <w:rPr>
          <w:sz w:val="17"/>
        </w:rPr>
      </w:pP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0" w:after="0"/>
        <w:ind w:left="696" w:right="411" w:hanging="360"/>
        <w:jc w:val="both"/>
        <w:rPr>
          <w:sz w:val="20"/>
        </w:rPr>
      </w:pPr>
      <w:r>
        <w:rPr>
          <w:sz w:val="20"/>
        </w:rPr>
        <w:t>Sharma,</w:t>
      </w:r>
      <w:r>
        <w:rPr>
          <w:spacing w:val="-4"/>
          <w:sz w:val="20"/>
        </w:rPr>
        <w:t> </w:t>
      </w:r>
      <w:r>
        <w:rPr>
          <w:sz w:val="20"/>
        </w:rPr>
        <w:t>S.,</w:t>
      </w:r>
      <w:r>
        <w:rPr>
          <w:spacing w:val="-3"/>
          <w:sz w:val="20"/>
        </w:rPr>
        <w:t> </w:t>
      </w:r>
      <w:r>
        <w:rPr>
          <w:sz w:val="20"/>
        </w:rPr>
        <w:t>Darwish,</w:t>
      </w:r>
      <w:r>
        <w:rPr>
          <w:spacing w:val="-3"/>
          <w:sz w:val="20"/>
        </w:rPr>
        <w:t> </w:t>
      </w:r>
      <w:r>
        <w:rPr>
          <w:sz w:val="20"/>
        </w:rPr>
        <w:t>R.,</w:t>
      </w:r>
      <w:r>
        <w:rPr>
          <w:spacing w:val="-3"/>
          <w:sz w:val="20"/>
        </w:rPr>
        <w:t> </w:t>
      </w:r>
      <w:r>
        <w:rPr>
          <w:sz w:val="20"/>
        </w:rPr>
        <w:t>Verma,</w:t>
      </w:r>
      <w:r>
        <w:rPr>
          <w:spacing w:val="-3"/>
          <w:sz w:val="20"/>
        </w:rPr>
        <w:t> </w:t>
      </w:r>
      <w:r>
        <w:rPr>
          <w:sz w:val="20"/>
        </w:rPr>
        <w:t>M.</w:t>
      </w:r>
      <w:r>
        <w:rPr>
          <w:spacing w:val="-3"/>
          <w:sz w:val="20"/>
        </w:rPr>
        <w:t> </w:t>
      </w:r>
      <w:r>
        <w:rPr>
          <w:sz w:val="20"/>
        </w:rPr>
        <w:t>and</w:t>
      </w:r>
      <w:r>
        <w:rPr>
          <w:spacing w:val="-3"/>
          <w:sz w:val="20"/>
        </w:rPr>
        <w:t> </w:t>
      </w:r>
      <w:r>
        <w:rPr>
          <w:sz w:val="20"/>
        </w:rPr>
        <w:t>Kalra,</w:t>
      </w:r>
      <w:r>
        <w:rPr>
          <w:spacing w:val="-2"/>
          <w:sz w:val="20"/>
        </w:rPr>
        <w:t> </w:t>
      </w:r>
      <w:r>
        <w:rPr>
          <w:sz w:val="20"/>
        </w:rPr>
        <w:t>S.,</w:t>
      </w:r>
      <w:r>
        <w:rPr>
          <w:spacing w:val="-3"/>
          <w:sz w:val="20"/>
        </w:rPr>
        <w:t> </w:t>
      </w:r>
      <w:r>
        <w:rPr>
          <w:sz w:val="20"/>
        </w:rPr>
        <w:t>(2025).</w:t>
      </w:r>
      <w:r>
        <w:rPr>
          <w:spacing w:val="-3"/>
          <w:sz w:val="20"/>
        </w:rPr>
        <w:t> </w:t>
      </w:r>
      <w:r>
        <w:rPr>
          <w:sz w:val="20"/>
        </w:rPr>
        <w:t>‘Preventing</w:t>
      </w:r>
      <w:r>
        <w:rPr>
          <w:spacing w:val="-3"/>
          <w:sz w:val="20"/>
        </w:rPr>
        <w:t> </w:t>
      </w:r>
      <w:r>
        <w:rPr>
          <w:sz w:val="20"/>
        </w:rPr>
        <w:t>Chronic</w:t>
      </w:r>
      <w:r>
        <w:rPr>
          <w:spacing w:val="-1"/>
          <w:sz w:val="20"/>
        </w:rPr>
        <w:t> </w:t>
      </w:r>
      <w:r>
        <w:rPr>
          <w:sz w:val="20"/>
        </w:rPr>
        <w:t>Kidney</w:t>
      </w:r>
      <w:r>
        <w:rPr>
          <w:spacing w:val="-7"/>
          <w:sz w:val="20"/>
        </w:rPr>
        <w:t> </w:t>
      </w:r>
      <w:r>
        <w:rPr>
          <w:sz w:val="20"/>
        </w:rPr>
        <w:t>Disease:</w:t>
      </w:r>
      <w:r>
        <w:rPr>
          <w:spacing w:val="-3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Role</w:t>
      </w:r>
      <w:r>
        <w:rPr>
          <w:spacing w:val="-3"/>
          <w:sz w:val="20"/>
        </w:rPr>
        <w:t> </w:t>
      </w:r>
      <w:r>
        <w:rPr>
          <w:sz w:val="20"/>
        </w:rPr>
        <w:t>of</w:t>
      </w:r>
      <w:r>
        <w:rPr>
          <w:spacing w:val="-3"/>
          <w:sz w:val="20"/>
        </w:rPr>
        <w:t> </w:t>
      </w:r>
      <w:r>
        <w:rPr>
          <w:sz w:val="20"/>
        </w:rPr>
        <w:t>Community-Based</w:t>
      </w:r>
      <w:r>
        <w:rPr>
          <w:spacing w:val="-3"/>
          <w:sz w:val="20"/>
        </w:rPr>
        <w:t> </w:t>
      </w:r>
      <w:r>
        <w:rPr>
          <w:sz w:val="20"/>
        </w:rPr>
        <w:t>Interventions.</w:t>
      </w:r>
      <w:r>
        <w:rPr>
          <w:spacing w:val="-3"/>
          <w:sz w:val="20"/>
        </w:rPr>
        <w:t> </w:t>
      </w:r>
      <w:r>
        <w:rPr>
          <w:sz w:val="20"/>
        </w:rPr>
        <w:t>JPMA’.</w:t>
      </w:r>
      <w:r>
        <w:rPr>
          <w:spacing w:val="-3"/>
          <w:sz w:val="20"/>
        </w:rPr>
        <w:t> </w:t>
      </w:r>
      <w:r>
        <w:rPr>
          <w:i/>
          <w:sz w:val="20"/>
        </w:rPr>
        <w:t>The</w:t>
      </w:r>
      <w:r>
        <w:rPr>
          <w:i/>
          <w:spacing w:val="-3"/>
          <w:sz w:val="20"/>
        </w:rPr>
        <w:t> </w:t>
      </w:r>
      <w:r>
        <w:rPr>
          <w:i/>
          <w:sz w:val="20"/>
        </w:rPr>
        <w:t>Journal</w:t>
      </w:r>
      <w:r>
        <w:rPr>
          <w:i/>
          <w:spacing w:val="-3"/>
          <w:sz w:val="20"/>
        </w:rPr>
        <w:t> </w:t>
      </w:r>
      <w:r>
        <w:rPr>
          <w:i/>
          <w:sz w:val="20"/>
        </w:rPr>
        <w:t>of</w:t>
      </w:r>
      <w:r>
        <w:rPr>
          <w:i/>
          <w:spacing w:val="-3"/>
          <w:sz w:val="20"/>
        </w:rPr>
        <w:t> </w:t>
      </w:r>
      <w:r>
        <w:rPr>
          <w:i/>
          <w:sz w:val="20"/>
        </w:rPr>
        <w:t>the</w:t>
      </w:r>
      <w:r>
        <w:rPr>
          <w:i/>
          <w:spacing w:val="-3"/>
          <w:sz w:val="20"/>
        </w:rPr>
        <w:t> </w:t>
      </w:r>
      <w:r>
        <w:rPr>
          <w:i/>
          <w:sz w:val="20"/>
        </w:rPr>
        <w:t>Pakistan</w:t>
      </w:r>
      <w:r>
        <w:rPr>
          <w:i/>
          <w:spacing w:val="-2"/>
          <w:sz w:val="20"/>
        </w:rPr>
        <w:t> </w:t>
      </w:r>
      <w:r>
        <w:rPr>
          <w:i/>
          <w:sz w:val="20"/>
        </w:rPr>
        <w:t>Medical</w:t>
      </w:r>
      <w:r>
        <w:rPr>
          <w:i/>
          <w:spacing w:val="-4"/>
          <w:sz w:val="20"/>
        </w:rPr>
        <w:t> </w:t>
      </w:r>
      <w:r>
        <w:rPr>
          <w:i/>
          <w:sz w:val="20"/>
        </w:rPr>
        <w:t>Association</w:t>
      </w:r>
      <w:r>
        <w:rPr>
          <w:sz w:val="20"/>
        </w:rPr>
        <w:t>,</w:t>
      </w:r>
      <w:r>
        <w:rPr>
          <w:spacing w:val="-3"/>
          <w:sz w:val="20"/>
        </w:rPr>
        <w:t> </w:t>
      </w:r>
      <w:r>
        <w:rPr>
          <w:sz w:val="20"/>
        </w:rPr>
        <w:t>75(5), pp.831-833. Available at:</w:t>
      </w:r>
      <w:r>
        <w:rPr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198" w:after="0"/>
        <w:ind w:left="696" w:right="412" w:hanging="360"/>
        <w:jc w:val="both"/>
        <w:rPr>
          <w:sz w:val="20"/>
        </w:rPr>
      </w:pPr>
      <w:r>
        <w:rPr>
          <w:sz w:val="20"/>
        </w:rPr>
        <w:t>Shi, H. and Fan, L., (2025). ‘The success of community-based management in improving maintenance hemodialysis outcomes: a pilot study’. </w:t>
      </w:r>
      <w:r>
        <w:rPr>
          <w:i/>
          <w:sz w:val="20"/>
        </w:rPr>
        <w:t>Frontiers in Nutrition, </w:t>
      </w:r>
      <w:r>
        <w:rPr>
          <w:sz w:val="20"/>
        </w:rPr>
        <w:t>12, p.1652718. Available at: </w:t>
      </w:r>
      <w:hyperlink r:id="rId78">
        <w:r>
          <w:rPr>
            <w:color w:val="0462C1"/>
            <w:sz w:val="20"/>
            <w:u w:val="single" w:color="0462C1"/>
          </w:rPr>
          <w:t>https://doi.org/10.3389/fnut.2025.1652718</w:t>
        </w:r>
      </w:hyperlink>
      <w:r>
        <w:rPr>
          <w:color w:val="0462C1"/>
          <w:spacing w:val="40"/>
          <w:sz w:val="20"/>
        </w:rPr>
        <w:t> </w:t>
      </w:r>
      <w:r>
        <w:rPr>
          <w:sz w:val="20"/>
        </w:rPr>
        <w:t>(Accessed: 01 April 2026).</w:t>
      </w: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197" w:after="0"/>
        <w:ind w:left="696" w:right="415" w:hanging="360"/>
        <w:jc w:val="both"/>
        <w:rPr>
          <w:sz w:val="20"/>
        </w:rPr>
      </w:pPr>
      <w:hyperlink r:id="rId79">
        <w:r>
          <w:rPr>
            <w:sz w:val="20"/>
          </w:rPr>
          <w:t>Stewart, C (2026) </w:t>
        </w:r>
        <w:r>
          <w:rPr>
            <w:i/>
            <w:sz w:val="20"/>
          </w:rPr>
          <w:t>Prevalence rates for chronic kidney disease in select countries worldwide in 2017 </w:t>
        </w:r>
        <w:r>
          <w:rPr>
            <w:sz w:val="20"/>
          </w:rPr>
          <w:t>Available at: </w:t>
        </w:r>
        <w:r>
          <w:rPr>
            <w:color w:val="0462C1"/>
            <w:sz w:val="20"/>
            <w:u w:val="single" w:color="0462C1"/>
          </w:rPr>
          <w:t>https://www.statista.com/statistics/1105641/chronic-kidney-disease-prevalence-rates-by-</w:t>
        </w:r>
        <w:r>
          <w:rPr>
            <w:color w:val="0462C1"/>
            <w:sz w:val="20"/>
          </w:rPr>
          <w:t> </w:t>
        </w:r>
        <w:r>
          <w:rPr>
            <w:color w:val="0462C1"/>
            <w:sz w:val="20"/>
            <w:u w:val="single" w:color="0462C1"/>
          </w:rPr>
          <w:t>country-worldwide/?srsltid=AfmBOoqvQ--Zohj82dhDq8iui_AFctOT7jhH8L6TqHipGN_WjOZTN8ed</w:t>
        </w:r>
        <w:r>
          <w:rPr>
            <w:color w:val="0462C1"/>
            <w:spacing w:val="40"/>
            <w:sz w:val="20"/>
          </w:rPr>
          <w:t> </w:t>
        </w:r>
        <w:r>
          <w:rPr>
            <w:sz w:val="20"/>
          </w:rPr>
          <w:t>(Accessed: 01 April 2026).</w:t>
        </w:r>
      </w:hyperlink>
    </w:p>
    <w:p>
      <w:pPr>
        <w:pStyle w:val="BodyText"/>
        <w:spacing w:before="4"/>
        <w:rPr>
          <w:sz w:val="17"/>
        </w:rPr>
      </w:pPr>
    </w:p>
    <w:p>
      <w:pPr>
        <w:pStyle w:val="ListParagraph"/>
        <w:numPr>
          <w:ilvl w:val="0"/>
          <w:numId w:val="6"/>
        </w:numPr>
        <w:tabs>
          <w:tab w:pos="696" w:val="left" w:leader="none"/>
          <w:tab w:pos="697" w:val="left" w:leader="none"/>
        </w:tabs>
        <w:spacing w:line="240" w:lineRule="auto" w:before="0" w:after="0"/>
        <w:ind w:left="696" w:right="0" w:hanging="361"/>
        <w:jc w:val="left"/>
        <w:rPr>
          <w:sz w:val="20"/>
        </w:rPr>
      </w:pPr>
      <w:r>
        <w:rPr>
          <w:spacing w:val="-2"/>
          <w:sz w:val="20"/>
        </w:rPr>
        <w:t>UKKA</w:t>
      </w:r>
      <w:r>
        <w:rPr>
          <w:spacing w:val="6"/>
          <w:sz w:val="20"/>
        </w:rPr>
        <w:t> </w:t>
      </w:r>
      <w:r>
        <w:rPr>
          <w:spacing w:val="-2"/>
          <w:sz w:val="20"/>
        </w:rPr>
        <w:t>(2025)</w:t>
      </w:r>
      <w:r>
        <w:rPr>
          <w:spacing w:val="2"/>
          <w:sz w:val="20"/>
        </w:rPr>
        <w:t> </w:t>
      </w:r>
      <w:r>
        <w:rPr>
          <w:i/>
          <w:spacing w:val="-2"/>
          <w:sz w:val="20"/>
        </w:rPr>
        <w:t>ONS</w:t>
      </w:r>
      <w:r>
        <w:rPr>
          <w:i/>
          <w:spacing w:val="6"/>
          <w:sz w:val="20"/>
        </w:rPr>
        <w:t> </w:t>
      </w:r>
      <w:r>
        <w:rPr>
          <w:i/>
          <w:spacing w:val="-2"/>
          <w:sz w:val="20"/>
        </w:rPr>
        <w:t>analysis</w:t>
      </w:r>
      <w:r>
        <w:rPr>
          <w:i/>
          <w:spacing w:val="6"/>
          <w:sz w:val="20"/>
        </w:rPr>
        <w:t> </w:t>
      </w:r>
      <w:r>
        <w:rPr>
          <w:i/>
          <w:spacing w:val="-2"/>
          <w:sz w:val="20"/>
        </w:rPr>
        <w:t>shows</w:t>
      </w:r>
      <w:r>
        <w:rPr>
          <w:i/>
          <w:spacing w:val="3"/>
          <w:sz w:val="20"/>
        </w:rPr>
        <w:t> </w:t>
      </w:r>
      <w:r>
        <w:rPr>
          <w:i/>
          <w:spacing w:val="-2"/>
          <w:sz w:val="20"/>
        </w:rPr>
        <w:t>long-term</w:t>
      </w:r>
      <w:r>
        <w:rPr>
          <w:i/>
          <w:spacing w:val="6"/>
          <w:sz w:val="20"/>
        </w:rPr>
        <w:t> </w:t>
      </w:r>
      <w:r>
        <w:rPr>
          <w:i/>
          <w:spacing w:val="-2"/>
          <w:sz w:val="20"/>
        </w:rPr>
        <w:t>economic</w:t>
      </w:r>
      <w:r>
        <w:rPr>
          <w:i/>
          <w:spacing w:val="6"/>
          <w:sz w:val="20"/>
        </w:rPr>
        <w:t> </w:t>
      </w:r>
      <w:r>
        <w:rPr>
          <w:i/>
          <w:spacing w:val="-2"/>
          <w:sz w:val="20"/>
        </w:rPr>
        <w:t>effects</w:t>
      </w:r>
      <w:r>
        <w:rPr>
          <w:i/>
          <w:spacing w:val="3"/>
          <w:sz w:val="20"/>
        </w:rPr>
        <w:t> </w:t>
      </w:r>
      <w:r>
        <w:rPr>
          <w:i/>
          <w:spacing w:val="-2"/>
          <w:sz w:val="20"/>
        </w:rPr>
        <w:t>of</w:t>
      </w:r>
      <w:r>
        <w:rPr>
          <w:i/>
          <w:spacing w:val="2"/>
          <w:sz w:val="20"/>
        </w:rPr>
        <w:t> </w:t>
      </w:r>
      <w:r>
        <w:rPr>
          <w:i/>
          <w:spacing w:val="-2"/>
          <w:sz w:val="20"/>
        </w:rPr>
        <w:t>CKD</w:t>
      </w:r>
      <w:r>
        <w:rPr>
          <w:i/>
          <w:spacing w:val="7"/>
          <w:sz w:val="20"/>
        </w:rPr>
        <w:t> </w:t>
      </w:r>
      <w:r>
        <w:rPr>
          <w:spacing w:val="-2"/>
          <w:sz w:val="20"/>
        </w:rPr>
        <w:t>Available</w:t>
      </w:r>
      <w:r>
        <w:rPr>
          <w:spacing w:val="11"/>
          <w:sz w:val="20"/>
        </w:rPr>
        <w:t> </w:t>
      </w:r>
      <w:r>
        <w:rPr>
          <w:spacing w:val="-2"/>
          <w:sz w:val="20"/>
        </w:rPr>
        <w:t>at:</w:t>
      </w:r>
      <w:hyperlink r:id="rId80">
        <w:r>
          <w:rPr>
            <w:color w:val="0462C1"/>
            <w:spacing w:val="-2"/>
            <w:sz w:val="20"/>
            <w:u w:val="single" w:color="0462C1"/>
          </w:rPr>
          <w:t>https://www.ukkidney.org/about-us/news/ons-analysis-shows-long-term-economic-effects-ckd</w:t>
        </w:r>
      </w:hyperlink>
      <w:r>
        <w:rPr>
          <w:color w:val="0462C1"/>
          <w:spacing w:val="31"/>
          <w:sz w:val="20"/>
        </w:rPr>
        <w:t>  </w:t>
      </w:r>
      <w:r>
        <w:rPr>
          <w:spacing w:val="-2"/>
          <w:sz w:val="20"/>
        </w:rPr>
        <w:t>(Accessed: 01</w:t>
      </w:r>
      <w:r>
        <w:rPr>
          <w:spacing w:val="4"/>
          <w:sz w:val="20"/>
        </w:rPr>
        <w:t> </w:t>
      </w:r>
      <w:r>
        <w:rPr>
          <w:spacing w:val="-2"/>
          <w:sz w:val="20"/>
        </w:rPr>
        <w:t>April</w:t>
      </w:r>
      <w:r>
        <w:rPr>
          <w:spacing w:val="5"/>
          <w:sz w:val="20"/>
        </w:rPr>
        <w:t> </w:t>
      </w:r>
      <w:r>
        <w:rPr>
          <w:spacing w:val="-2"/>
          <w:sz w:val="20"/>
        </w:rPr>
        <w:t>2026).</w:t>
      </w:r>
    </w:p>
    <w:p>
      <w:pPr>
        <w:pStyle w:val="BodyText"/>
        <w:spacing w:before="7"/>
        <w:rPr>
          <w:sz w:val="28"/>
        </w:rPr>
      </w:pPr>
    </w:p>
    <w:p>
      <w:pPr>
        <w:pStyle w:val="ListParagraph"/>
        <w:numPr>
          <w:ilvl w:val="0"/>
          <w:numId w:val="6"/>
        </w:numPr>
        <w:tabs>
          <w:tab w:pos="697" w:val="left" w:leader="none"/>
        </w:tabs>
        <w:spacing w:line="376" w:lineRule="auto" w:before="0" w:after="0"/>
        <w:ind w:left="696" w:right="406" w:hanging="360"/>
        <w:jc w:val="both"/>
        <w:rPr>
          <w:sz w:val="20"/>
        </w:rPr>
      </w:pPr>
      <w:r>
        <w:rPr>
          <w:sz w:val="20"/>
        </w:rPr>
        <w:t>Wang, F., Hwang, J.S., Huang,</w:t>
      </w:r>
      <w:r>
        <w:rPr>
          <w:spacing w:val="-2"/>
          <w:sz w:val="20"/>
        </w:rPr>
        <w:t> </w:t>
      </w:r>
      <w:r>
        <w:rPr>
          <w:sz w:val="20"/>
        </w:rPr>
        <w:t>W.Y., Chang, Y.T. and</w:t>
      </w:r>
      <w:r>
        <w:rPr>
          <w:spacing w:val="-2"/>
          <w:sz w:val="20"/>
        </w:rPr>
        <w:t> </w:t>
      </w:r>
      <w:r>
        <w:rPr>
          <w:sz w:val="20"/>
        </w:rPr>
        <w:t>Wang, J.D., (2024). ‘Estimation of lifetime productivity</w:t>
      </w:r>
      <w:r>
        <w:rPr>
          <w:spacing w:val="-1"/>
          <w:sz w:val="20"/>
        </w:rPr>
        <w:t> </w:t>
      </w:r>
      <w:r>
        <w:rPr>
          <w:sz w:val="20"/>
        </w:rPr>
        <w:t>loss from patients with chronic diseases: methods and empirical evidence of end-stage kidney disease</w:t>
      </w:r>
      <w:r>
        <w:rPr>
          <w:spacing w:val="-2"/>
          <w:sz w:val="20"/>
        </w:rPr>
        <w:t> </w:t>
      </w:r>
      <w:r>
        <w:rPr>
          <w:sz w:val="20"/>
        </w:rPr>
        <w:t>from Taiwan’. </w:t>
      </w:r>
      <w:r>
        <w:rPr>
          <w:i/>
          <w:sz w:val="20"/>
        </w:rPr>
        <w:t>Health economics review, </w:t>
      </w:r>
      <w:r>
        <w:rPr>
          <w:sz w:val="20"/>
        </w:rPr>
        <w:t>14(1), p.10.</w:t>
      </w:r>
      <w:r>
        <w:rPr>
          <w:spacing w:val="-2"/>
          <w:sz w:val="20"/>
        </w:rPr>
        <w:t> </w:t>
      </w:r>
      <w:r>
        <w:rPr>
          <w:sz w:val="20"/>
        </w:rPr>
        <w:t>Available at:</w:t>
      </w:r>
      <w:hyperlink r:id="rId81">
        <w:r>
          <w:rPr>
            <w:color w:val="0462C1"/>
            <w:sz w:val="20"/>
            <w:u w:val="single" w:color="0462C1"/>
          </w:rPr>
          <w:t>https://doi.org/10.1186/s13561-024-00480-z</w:t>
        </w:r>
      </w:hyperlink>
      <w:r>
        <w:rPr>
          <w:color w:val="0462C1"/>
          <w:spacing w:val="80"/>
          <w:sz w:val="20"/>
        </w:rPr>
        <w:t> </w:t>
      </w:r>
      <w:r>
        <w:rPr>
          <w:sz w:val="20"/>
        </w:rPr>
        <w:t>(Accessed:</w:t>
      </w:r>
      <w:r>
        <w:rPr>
          <w:spacing w:val="-5"/>
          <w:sz w:val="20"/>
        </w:rPr>
        <w:t> </w:t>
      </w:r>
      <w:r>
        <w:rPr>
          <w:sz w:val="20"/>
        </w:rPr>
        <w:t>01 April 2026).</w:t>
      </w:r>
    </w:p>
    <w:sectPr>
      <w:pgSz w:w="19200" w:h="10800" w:orient="landscape"/>
      <w:pgMar w:top="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Trebuchet MS">
    <w:altName w:val="Trebuchet MS"/>
    <w:charset w:val="0"/>
    <w:family w:val="swiss"/>
    <w:pitch w:val="variable"/>
  </w:font>
  <w:font w:name="Wingdings 3">
    <w:altName w:val="Wingdings 3"/>
    <w:charset w:val="2"/>
    <w:family w:val="roman"/>
    <w:pitch w:val="variable"/>
  </w:font>
  <w:font w:name="Calibri Light">
    <w:altName w:val="Calibri Light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Wingdings">
    <w:altName w:val="Wingdings"/>
    <w:charset w:val="2"/>
    <w:family w:val="auto"/>
    <w:pitch w:val="variable"/>
  </w:font>
  <w:font w:name="Gill Sans MT">
    <w:altName w:val="Gill Sans MT"/>
    <w:charset w:val="0"/>
    <w:family w:val="swiss"/>
    <w:pitch w:val="variable"/>
  </w:font>
  <w:font w:name="Century Gothic">
    <w:altName w:val="Century Gothic"/>
    <w:charset w:val="0"/>
    <w:family w:val="swiss"/>
    <w:pitch w:val="variable"/>
  </w:font>
  <w:font w:name="Corbel">
    <w:altName w:val="Corbel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5">
    <w:multiLevelType w:val="hybridMultilevel"/>
    <w:lvl w:ilvl="0">
      <w:start w:val="0"/>
      <w:numFmt w:val="bullet"/>
      <w:lvlText w:val="•"/>
      <w:lvlJc w:val="left"/>
      <w:pPr>
        <w:ind w:left="696" w:hanging="360"/>
      </w:pPr>
      <w:rPr>
        <w:rFonts w:hint="default" w:ascii="Arial" w:hAnsi="Arial" w:eastAsia="Arial" w:cs="Arial"/>
        <w:b w:val="0"/>
        <w:bCs w:val="0"/>
        <w:i w:val="0"/>
        <w:iCs w:val="0"/>
        <w:w w:val="99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55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40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25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10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95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8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65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500" w:hanging="360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"/>
      <w:lvlJc w:val="left"/>
      <w:pPr>
        <w:ind w:left="830" w:hanging="320"/>
      </w:pPr>
      <w:rPr>
        <w:rFonts w:hint="default" w:ascii="Wingdings" w:hAnsi="Wingdings" w:eastAsia="Wingdings" w:cs="Wingdings"/>
        <w:b w:val="0"/>
        <w:bCs w:val="0"/>
        <w:i w:val="0"/>
        <w:iCs w:val="0"/>
        <w:color w:val="40B9D2"/>
        <w:spacing w:val="-2"/>
        <w:w w:val="100"/>
        <w:sz w:val="38"/>
        <w:szCs w:val="3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8080" w:hanging="360"/>
      </w:pPr>
      <w:rPr>
        <w:rFonts w:hint="default" w:ascii="Arial" w:hAnsi="Arial" w:eastAsia="Arial" w:cs="Arial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868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285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9888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49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093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169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2298" w:hanging="36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"/>
      <w:lvlJc w:val="left"/>
      <w:pPr>
        <w:ind w:left="1060" w:hanging="288"/>
      </w:pPr>
      <w:rPr>
        <w:rFonts w:hint="default" w:ascii="Wingdings" w:hAnsi="Wingdings" w:eastAsia="Wingdings" w:cs="Wingdings"/>
        <w:b w:val="0"/>
        <w:bCs w:val="0"/>
        <w:i w:val="0"/>
        <w:iCs w:val="0"/>
        <w:color w:val="FFFFFF"/>
        <w:spacing w:val="2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874" w:hanging="288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688" w:hanging="288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502" w:hanging="28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316" w:hanging="28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130" w:hanging="28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944" w:hanging="28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758" w:hanging="28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572" w:hanging="288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"/>
      <w:lvlJc w:val="left"/>
      <w:pPr>
        <w:ind w:left="1387" w:hanging="452"/>
      </w:pPr>
      <w:rPr>
        <w:rFonts w:hint="default" w:ascii="Wingdings" w:hAnsi="Wingdings" w:eastAsia="Wingdings" w:cs="Wingdings"/>
        <w:b w:val="0"/>
        <w:bCs w:val="0"/>
        <w:i w:val="0"/>
        <w:iCs w:val="0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162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944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726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508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29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072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854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636" w:hanging="452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918" w:hanging="452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699" w:hanging="360"/>
      </w:pPr>
      <w:rPr>
        <w:rFonts w:hint="default" w:ascii="Arial" w:hAnsi="Arial" w:eastAsia="Arial" w:cs="Arial"/>
        <w:b w:val="0"/>
        <w:bCs w:val="0"/>
        <w:i w:val="0"/>
        <w:iCs w:val="0"/>
        <w:color w:val="585858"/>
        <w:w w:val="100"/>
        <w:sz w:val="28"/>
        <w:szCs w:val="28"/>
        <w:lang w:val="en-US" w:eastAsia="en-US" w:bidi="ar-SA"/>
      </w:rPr>
    </w:lvl>
    <w:lvl w:ilvl="2">
      <w:start w:val="0"/>
      <w:numFmt w:val="bullet"/>
      <w:lvlText w:val=""/>
      <w:lvlJc w:val="left"/>
      <w:pPr>
        <w:ind w:left="8196" w:hanging="452"/>
      </w:pPr>
      <w:rPr>
        <w:rFonts w:hint="default" w:ascii="Wingdings" w:hAnsi="Wingdings" w:eastAsia="Wingdings" w:cs="Wingdings"/>
        <w:b w:val="0"/>
        <w:bCs w:val="0"/>
        <w:i w:val="0"/>
        <w:iCs w:val="0"/>
        <w:color w:val="353535"/>
        <w:w w:val="100"/>
        <w:sz w:val="36"/>
        <w:szCs w:val="36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575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095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2325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3700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5075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450" w:hanging="45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"/>
      <w:lvlJc w:val="left"/>
      <w:pPr>
        <w:ind w:left="7235" w:hanging="540"/>
      </w:pPr>
      <w:rPr>
        <w:rFonts w:hint="default" w:ascii="Wingdings 3" w:hAnsi="Wingdings 3" w:eastAsia="Wingdings 3" w:cs="Wingdings 3"/>
        <w:b w:val="0"/>
        <w:bCs w:val="0"/>
        <w:i w:val="0"/>
        <w:iCs w:val="0"/>
        <w:color w:val="90C225"/>
        <w:w w:val="99"/>
        <w:sz w:val="29"/>
        <w:szCs w:val="2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7474" w:hanging="360"/>
      </w:pPr>
      <w:rPr>
        <w:rFonts w:hint="default" w:ascii="Arial" w:hAnsi="Arial" w:eastAsia="Arial" w:cs="Arial"/>
        <w:b w:val="0"/>
        <w:bCs w:val="0"/>
        <w:i w:val="0"/>
        <w:iCs w:val="0"/>
        <w:w w:val="99"/>
        <w:sz w:val="38"/>
        <w:szCs w:val="38"/>
        <w:lang w:val="en-US" w:eastAsia="en-US" w:bidi="ar-SA"/>
      </w:rPr>
    </w:lvl>
    <w:lvl w:ilvl="2">
      <w:start w:val="0"/>
      <w:numFmt w:val="bullet"/>
      <w:lvlText w:val="•"/>
      <w:lvlJc w:val="left"/>
      <w:pPr>
        <w:ind w:left="878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084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386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2688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3991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5293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595" w:hanging="360"/>
      </w:pPr>
      <w:rPr>
        <w:rFonts w:hint="default"/>
        <w:lang w:val="en-US" w:eastAsia="en-US" w:bidi="ar-SA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0"/>
      <w:szCs w:val="20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542"/>
      <w:outlineLvl w:val="1"/>
    </w:pPr>
    <w:rPr>
      <w:rFonts w:ascii="Trebuchet MS" w:hAnsi="Trebuchet MS" w:eastAsia="Trebuchet MS" w:cs="Trebuchet MS"/>
      <w:b/>
      <w:bCs/>
      <w:sz w:val="72"/>
      <w:szCs w:val="72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66"/>
      <w:ind w:left="336"/>
      <w:outlineLvl w:val="2"/>
    </w:pPr>
    <w:rPr>
      <w:rFonts w:ascii="Arial" w:hAnsi="Arial" w:eastAsia="Arial" w:cs="Arial"/>
      <w:b/>
      <w:bCs/>
      <w:sz w:val="60"/>
      <w:szCs w:val="60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1450" w:right="1"/>
      <w:jc w:val="center"/>
      <w:outlineLvl w:val="3"/>
    </w:pPr>
    <w:rPr>
      <w:rFonts w:ascii="Arial" w:hAnsi="Arial" w:eastAsia="Arial" w:cs="Arial"/>
      <w:sz w:val="32"/>
      <w:szCs w:val="32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8080" w:hanging="360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png"/><Relationship Id="rId20" Type="http://schemas.openxmlformats.org/officeDocument/2006/relationships/image" Target="media/image16.jpeg"/><Relationship Id="rId21" Type="http://schemas.openxmlformats.org/officeDocument/2006/relationships/image" Target="media/image17.png"/><Relationship Id="rId22" Type="http://schemas.openxmlformats.org/officeDocument/2006/relationships/image" Target="media/image18.jpeg"/><Relationship Id="rId23" Type="http://schemas.openxmlformats.org/officeDocument/2006/relationships/image" Target="media/image19.jpeg"/><Relationship Id="rId24" Type="http://schemas.openxmlformats.org/officeDocument/2006/relationships/image" Target="media/image20.jpeg"/><Relationship Id="rId25" Type="http://schemas.openxmlformats.org/officeDocument/2006/relationships/image" Target="media/image21.jpeg"/><Relationship Id="rId26" Type="http://schemas.openxmlformats.org/officeDocument/2006/relationships/image" Target="media/image22.png"/><Relationship Id="rId27" Type="http://schemas.openxmlformats.org/officeDocument/2006/relationships/image" Target="media/image23.png"/><Relationship Id="rId28" Type="http://schemas.openxmlformats.org/officeDocument/2006/relationships/image" Target="media/image24.png"/><Relationship Id="rId29" Type="http://schemas.openxmlformats.org/officeDocument/2006/relationships/image" Target="media/image25.png"/><Relationship Id="rId30" Type="http://schemas.openxmlformats.org/officeDocument/2006/relationships/image" Target="media/image26.png"/><Relationship Id="rId31" Type="http://schemas.openxmlformats.org/officeDocument/2006/relationships/image" Target="media/image27.png"/><Relationship Id="rId32" Type="http://schemas.openxmlformats.org/officeDocument/2006/relationships/image" Target="media/image28.png"/><Relationship Id="rId33" Type="http://schemas.openxmlformats.org/officeDocument/2006/relationships/image" Target="media/image29.png"/><Relationship Id="rId34" Type="http://schemas.openxmlformats.org/officeDocument/2006/relationships/image" Target="media/image30.jpeg"/><Relationship Id="rId35" Type="http://schemas.openxmlformats.org/officeDocument/2006/relationships/image" Target="media/image31.png"/><Relationship Id="rId36" Type="http://schemas.openxmlformats.org/officeDocument/2006/relationships/image" Target="media/image32.jpeg"/><Relationship Id="rId37" Type="http://schemas.openxmlformats.org/officeDocument/2006/relationships/image" Target="media/image33.png"/><Relationship Id="rId38" Type="http://schemas.openxmlformats.org/officeDocument/2006/relationships/image" Target="media/image34.png"/><Relationship Id="rId39" Type="http://schemas.openxmlformats.org/officeDocument/2006/relationships/image" Target="media/image35.png"/><Relationship Id="rId40" Type="http://schemas.openxmlformats.org/officeDocument/2006/relationships/image" Target="media/image36.png"/><Relationship Id="rId41" Type="http://schemas.openxmlformats.org/officeDocument/2006/relationships/image" Target="media/image37.jpeg"/><Relationship Id="rId42" Type="http://schemas.openxmlformats.org/officeDocument/2006/relationships/image" Target="media/image38.png"/><Relationship Id="rId43" Type="http://schemas.openxmlformats.org/officeDocument/2006/relationships/image" Target="media/image39.png"/><Relationship Id="rId44" Type="http://schemas.openxmlformats.org/officeDocument/2006/relationships/image" Target="media/image40.png"/><Relationship Id="rId45" Type="http://schemas.openxmlformats.org/officeDocument/2006/relationships/image" Target="media/image41.png"/><Relationship Id="rId46" Type="http://schemas.openxmlformats.org/officeDocument/2006/relationships/image" Target="media/image42.jpeg"/><Relationship Id="rId47" Type="http://schemas.openxmlformats.org/officeDocument/2006/relationships/image" Target="media/image43.jpeg"/><Relationship Id="rId48" Type="http://schemas.openxmlformats.org/officeDocument/2006/relationships/image" Target="media/image44.jpeg"/><Relationship Id="rId49" Type="http://schemas.openxmlformats.org/officeDocument/2006/relationships/image" Target="media/image45.png"/><Relationship Id="rId50" Type="http://schemas.openxmlformats.org/officeDocument/2006/relationships/image" Target="media/image46.png"/><Relationship Id="rId51" Type="http://schemas.openxmlformats.org/officeDocument/2006/relationships/hyperlink" Target="https://doi.org/10.1155/2023/9609266" TargetMode="External"/><Relationship Id="rId52" Type="http://schemas.openxmlformats.org/officeDocument/2006/relationships/hyperlink" Target="https://my.clevelandclinic.org/health/diagnostics/urine-albumin-creatinine-ratio" TargetMode="External"/><Relationship Id="rId53" Type="http://schemas.openxmlformats.org/officeDocument/2006/relationships/hyperlink" Target="https://doi.org/10.1016/j.ijcha.2021.100822" TargetMode="External"/><Relationship Id="rId54" Type="http://schemas.openxmlformats.org/officeDocument/2006/relationships/hyperlink" Target="https://doi.org/10.1186/s12882-023-03406-9" TargetMode="External"/><Relationship Id="rId55" Type="http://schemas.openxmlformats.org/officeDocument/2006/relationships/hyperlink" Target="https://doi.org/10.1080/17437199.2025.2471775" TargetMode="External"/><Relationship Id="rId56" Type="http://schemas.openxmlformats.org/officeDocument/2006/relationships/hyperlink" Target="https://doi.org/10.1186/s12882-021-02655-w" TargetMode="External"/><Relationship Id="rId57" Type="http://schemas.openxmlformats.org/officeDocument/2006/relationships/hyperlink" Target="https://doi.org/10.1007/s40620-024-02176-3" TargetMode="External"/><Relationship Id="rId58" Type="http://schemas.openxmlformats.org/officeDocument/2006/relationships/hyperlink" Target="https://www.theisn.org/more-than-850-million-worldwide-have-some-form-of-kidney-disease-help-raise-awareness/" TargetMode="External"/><Relationship Id="rId59" Type="http://schemas.openxmlformats.org/officeDocument/2006/relationships/hyperlink" Target="https://doi.org/10.1007/s12325-023-02608-9" TargetMode="External"/><Relationship Id="rId60" Type="http://schemas.openxmlformats.org/officeDocument/2006/relationships/hyperlink" Target="https://doi.org/10.1016/" TargetMode="External"/><Relationship Id="rId61" Type="http://schemas.openxmlformats.org/officeDocument/2006/relationships/hyperlink" Target="https://kidneycareuk.org/kidney-disease-information/treatments/transplantation/" TargetMode="External"/><Relationship Id="rId62" Type="http://schemas.openxmlformats.org/officeDocument/2006/relationships/hyperlink" Target="https://kidneycareuk.org/news-from-kidney-care-uk/who-adopts-resolution-on-kidney-health/" TargetMode="External"/><Relationship Id="rId63" Type="http://schemas.openxmlformats.org/officeDocument/2006/relationships/hyperlink" Target="https://www.kidneyresearchuk.org/wp-content/uploads/2023/06/Economics-of-Kidney-Disease-full-report_accessible.pdf" TargetMode="External"/><Relationship Id="rId64" Type="http://schemas.openxmlformats.org/officeDocument/2006/relationships/hyperlink" Target="https://doi.org/10.3390/life14010013" TargetMode="External"/><Relationship Id="rId65" Type="http://schemas.openxmlformats.org/officeDocument/2006/relationships/hyperlink" Target="https://doi.org/10.1007/s44200-023-00034-4" TargetMode="External"/><Relationship Id="rId66" Type="http://schemas.openxmlformats.org/officeDocument/2006/relationships/hyperlink" Target="https://doi.org/10.1186/s12913-023-10424-8" TargetMode="External"/><Relationship Id="rId67" Type="http://schemas.openxmlformats.org/officeDocument/2006/relationships/hyperlink" Target="https://doi.org/10.2147/IJNRD.S582946" TargetMode="External"/><Relationship Id="rId68" Type="http://schemas.openxmlformats.org/officeDocument/2006/relationships/hyperlink" Target="https://doi.org/10.1007/s40620-025-02349-8" TargetMode="External"/><Relationship Id="rId69" Type="http://schemas.openxmlformats.org/officeDocument/2006/relationships/hyperlink" Target="https://doi.org/10.1159/000543640" TargetMode="External"/><Relationship Id="rId70" Type="http://schemas.openxmlformats.org/officeDocument/2006/relationships/hyperlink" Target="https://doi.org/10.1016/j.semnephrol.2021.10.002" TargetMode="External"/><Relationship Id="rId71" Type="http://schemas.openxmlformats.org/officeDocument/2006/relationships/image" Target="media/image47.png"/><Relationship Id="rId72" Type="http://schemas.openxmlformats.org/officeDocument/2006/relationships/hyperlink" Target="https://www.kidney.org/global-facts-about-kidney-disease" TargetMode="External"/><Relationship Id="rId73" Type="http://schemas.openxmlformats.org/officeDocument/2006/relationships/hyperlink" Target="https://digital.nhs.uk/data-and-information/publications/statistical/health-survey-for-england/2022-part-2/kidney-disease" TargetMode="External"/><Relationship Id="rId74" Type="http://schemas.openxmlformats.org/officeDocument/2006/relationships/hyperlink" Target="https://www.nhs.uk/conditions/kidney-disease/prevention/" TargetMode="External"/><Relationship Id="rId75" Type="http://schemas.openxmlformats.org/officeDocument/2006/relationships/hyperlink" Target="https://www.nhs.uk/conditions/kidney-disease/treatment/" TargetMode="External"/><Relationship Id="rId76" Type="http://schemas.openxmlformats.org/officeDocument/2006/relationships/hyperlink" Target="https://www.nhs.uk/conditions/kidney-disease/diagnosis/" TargetMode="External"/><Relationship Id="rId77" Type="http://schemas.openxmlformats.org/officeDocument/2006/relationships/hyperlink" Target="https://doi.org/10.1016/j.kint.2025.04.005" TargetMode="External"/><Relationship Id="rId78" Type="http://schemas.openxmlformats.org/officeDocument/2006/relationships/hyperlink" Target="https://doi.org/10.3389/fnut.2025.1652718" TargetMode="External"/><Relationship Id="rId79" Type="http://schemas.openxmlformats.org/officeDocument/2006/relationships/hyperlink" Target="https://www.statista.com/statistics/1105641/chronic-kidney-disease-prevalence-rates-by-country-worldwide/?srsltid=AfmBOoqvQ--Zohj82dhDq8iui_AFctOT7jhH8L6TqHipGN_WjOZTN8ed" TargetMode="External"/><Relationship Id="rId80" Type="http://schemas.openxmlformats.org/officeDocument/2006/relationships/hyperlink" Target="https://www.ukkidney.org/about-us/news/ons-analysis-shows-long-term-economic-effects-ckd" TargetMode="External"/><Relationship Id="rId81" Type="http://schemas.openxmlformats.org/officeDocument/2006/relationships/hyperlink" Target="https://doi.org/10.1186/s13561-024-00480-z" TargetMode="External"/><Relationship Id="rId82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2026-04-15T05:19:28Z</dcterms:created>
  <dcterms:modified xsi:type="dcterms:W3CDTF">2026-04-15T05:19:28Z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2026-04-14T00:00:00Z</vt:filetime>
  </property>
  <property fmtid="{D5CDD505-2E9C-101B-9397-08002B2CF9AE}" pid="3" name="Creator">
    <vt:lpwstr>Microsoft® PowerPoint® LTSC</vt:lpwstr>
  </property>
  <property fmtid="{D5CDD505-2E9C-101B-9397-08002B2CF9AE}" pid="4" name="LastSaved">
    <vt:filetime>2026-04-15T00:00:00Z</vt:filetime>
  </property>
  <property fmtid="{D5CDD505-2E9C-101B-9397-08002B2CF9AE}" pid="5" name="Producer">
    <vt:lpwstr>Microsoft® PowerPoint® LTSC</vt:lpwstr>
  </property>
</Properties>
</file>