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Ex1.xml" ContentType="application/vnd.ms-office.chartex+xml"/>
  <Override PartName="/word/charts/style2.xml" ContentType="application/vnd.ms-office.chartstyle+xml"/>
  <Override PartName="/word/charts/colors2.xml" ContentType="application/vnd.ms-office.chartcolorstyle+xml"/>
  <Override PartName="/word/charts/chart2.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Ex2.xml" ContentType="application/vnd.ms-office.chartex+xml"/>
  <Override PartName="/word/charts/style4.xml" ContentType="application/vnd.ms-office.chartstyle+xml"/>
  <Override PartName="/word/charts/colors4.xml" ContentType="application/vnd.ms-office.chartcolorstyle+xml"/>
  <Override PartName="/word/charts/chart3.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Ex3.xml" ContentType="application/vnd.ms-office.chartex+xml"/>
  <Override PartName="/word/charts/style6.xml" ContentType="application/vnd.ms-office.chartstyle+xml"/>
  <Override PartName="/word/charts/colors6.xml" ContentType="application/vnd.ms-office.chartcolorstyle+xml"/>
  <Override PartName="/word/charts/chart4.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5.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6.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7.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8.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9.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0.xml" ContentType="application/vnd.openxmlformats-officedocument.drawingml.chart+xml"/>
  <Override PartName="/word/charts/style13.xml" ContentType="application/vnd.ms-office.chartstyle+xml"/>
  <Override PartName="/word/charts/colors13.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2134696957"/>
        <w:docPartObj>
          <w:docPartGallery w:val="Cover Pages"/>
          <w:docPartUnique/>
        </w:docPartObj>
      </w:sdtPr>
      <w:sdtEndPr>
        <w:rPr>
          <w:b/>
          <w:bCs/>
          <w:color w:val="auto"/>
          <w:sz w:val="24"/>
          <w:szCs w:val="24"/>
          <w:u w:val="single"/>
        </w:rPr>
      </w:sdtEndPr>
      <w:sdtContent>
        <w:p w14:paraId="264CFCAA" w14:textId="6CCA9275" w:rsidR="00536FA8" w:rsidRDefault="001D5321" w:rsidP="001D5321">
          <w:pPr>
            <w:pStyle w:val="NoSpacing"/>
            <w:spacing w:before="1540" w:after="240"/>
            <w:rPr>
              <w:color w:val="4472C4" w:themeColor="accent1"/>
            </w:rPr>
          </w:pPr>
          <w:r w:rsidRPr="0067731C">
            <w:rPr>
              <w:noProof/>
            </w:rPr>
            <w:drawing>
              <wp:anchor distT="0" distB="0" distL="114300" distR="114300" simplePos="0" relativeHeight="251661312" behindDoc="0" locked="0" layoutInCell="1" allowOverlap="1" wp14:anchorId="3BE29943" wp14:editId="48FD95AC">
                <wp:simplePos x="0" y="0"/>
                <wp:positionH relativeFrom="margin">
                  <wp:align>center</wp:align>
                </wp:positionH>
                <wp:positionV relativeFrom="paragraph">
                  <wp:posOffset>1200785</wp:posOffset>
                </wp:positionV>
                <wp:extent cx="2381250" cy="789305"/>
                <wp:effectExtent l="0" t="0" r="0" b="0"/>
                <wp:wrapTopAndBottom/>
                <wp:docPr id="3" name="Picture 3" descr="A picture containing knif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jjj.png"/>
                        <pic:cNvPicPr/>
                      </pic:nvPicPr>
                      <pic:blipFill>
                        <a:blip r:embed="rId8">
                          <a:extLst>
                            <a:ext uri="{28A0092B-C50C-407E-A947-70E740481C1C}">
                              <a14:useLocalDpi xmlns:a14="http://schemas.microsoft.com/office/drawing/2010/main" val="0"/>
                            </a:ext>
                          </a:extLst>
                        </a:blip>
                        <a:stretch>
                          <a:fillRect/>
                        </a:stretch>
                      </pic:blipFill>
                      <pic:spPr>
                        <a:xfrm>
                          <a:off x="0" y="0"/>
                          <a:ext cx="2381250" cy="789305"/>
                        </a:xfrm>
                        <a:prstGeom prst="rect">
                          <a:avLst/>
                        </a:prstGeom>
                      </pic:spPr>
                    </pic:pic>
                  </a:graphicData>
                </a:graphic>
                <wp14:sizeRelH relativeFrom="margin">
                  <wp14:pctWidth>0</wp14:pctWidth>
                </wp14:sizeRelH>
                <wp14:sizeRelV relativeFrom="margin">
                  <wp14:pctHeight>0</wp14:pctHeight>
                </wp14:sizeRelV>
              </wp:anchor>
            </w:drawing>
          </w:r>
          <w:r>
            <w:rPr>
              <w:noProof/>
              <w:color w:val="4472C4" w:themeColor="accent1"/>
            </w:rPr>
            <w:drawing>
              <wp:anchor distT="0" distB="0" distL="114300" distR="114300" simplePos="0" relativeHeight="251663360" behindDoc="1" locked="0" layoutInCell="1" allowOverlap="1" wp14:anchorId="4F8FD4DE" wp14:editId="3EC6C92D">
                <wp:simplePos x="0" y="0"/>
                <wp:positionH relativeFrom="margin">
                  <wp:align>center</wp:align>
                </wp:positionH>
                <wp:positionV relativeFrom="paragraph">
                  <wp:posOffset>265518</wp:posOffset>
                </wp:positionV>
                <wp:extent cx="1417320" cy="750570"/>
                <wp:effectExtent l="0" t="0" r="0" b="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570"/>
                        </a:xfrm>
                        <a:prstGeom prst="rect">
                          <a:avLst/>
                        </a:prstGeom>
                        <a:noFill/>
                        <a:ln>
                          <a:noFill/>
                        </a:ln>
                      </pic:spPr>
                    </pic:pic>
                  </a:graphicData>
                </a:graphic>
                <wp14:sizeRelH relativeFrom="page">
                  <wp14:pctWidth>0</wp14:pctWidth>
                </wp14:sizeRelH>
                <wp14:sizeRelV relativeFrom="page">
                  <wp14:pctHeight>0</wp14:pctHeight>
                </wp14:sizeRelV>
              </wp:anchor>
            </w:drawing>
          </w:r>
        </w:p>
        <w:sdt>
          <w:sdtPr>
            <w:rPr>
              <w:rFonts w:eastAsia="Times New Roman" w:cstheme="minorHAnsi"/>
              <w:sz w:val="44"/>
              <w:szCs w:val="44"/>
            </w:rPr>
            <w:alias w:val="Title"/>
            <w:tag w:val=""/>
            <w:id w:val="1735040861"/>
            <w:placeholder>
              <w:docPart w:val="863CB99E09394B3FBCF5002E86713BAB"/>
            </w:placeholder>
            <w:dataBinding w:prefixMappings="xmlns:ns0='http://purl.org/dc/elements/1.1/' xmlns:ns1='http://schemas.openxmlformats.org/package/2006/metadata/core-properties' " w:xpath="/ns1:coreProperties[1]/ns0:title[1]" w:storeItemID="{6C3C8BC8-F283-45AE-878A-BAB7291924A1}"/>
            <w:text/>
          </w:sdtPr>
          <w:sdtEndPr/>
          <w:sdtContent>
            <w:p w14:paraId="7285D507" w14:textId="696A32B4" w:rsidR="00536FA8" w:rsidRPr="00E632D5" w:rsidRDefault="003970B6" w:rsidP="001D5321">
              <w:pPr>
                <w:pStyle w:val="NoSpacing"/>
                <w:pBdr>
                  <w:top w:val="single" w:sz="6" w:space="0" w:color="4472C4" w:themeColor="accent1"/>
                  <w:bottom w:val="single" w:sz="6" w:space="6" w:color="4472C4" w:themeColor="accent1"/>
                </w:pBdr>
                <w:spacing w:after="240"/>
                <w:jc w:val="center"/>
                <w:rPr>
                  <w:rFonts w:asciiTheme="majorHAnsi" w:eastAsiaTheme="majorEastAsia" w:hAnsiTheme="majorHAnsi" w:cstheme="majorBidi"/>
                  <w:b/>
                  <w:bCs/>
                  <w:caps/>
                  <w:color w:val="4472C4" w:themeColor="accent1"/>
                  <w:sz w:val="44"/>
                  <w:szCs w:val="44"/>
                </w:rPr>
              </w:pPr>
              <w:r w:rsidRPr="00E632D5">
                <w:rPr>
                  <w:rFonts w:eastAsia="Times New Roman" w:cstheme="minorHAnsi"/>
                  <w:sz w:val="44"/>
                  <w:szCs w:val="44"/>
                </w:rPr>
                <w:t xml:space="preserve">A Correlation between the </w:t>
              </w:r>
              <w:r w:rsidR="00AC2B67" w:rsidRPr="00E632D5">
                <w:rPr>
                  <w:rFonts w:eastAsia="Times New Roman" w:cstheme="minorHAnsi"/>
                  <w:sz w:val="44"/>
                  <w:szCs w:val="44"/>
                </w:rPr>
                <w:t>Offenders ‘and</w:t>
              </w:r>
              <w:r w:rsidRPr="00E632D5">
                <w:rPr>
                  <w:rFonts w:eastAsia="Times New Roman" w:cstheme="minorHAnsi"/>
                  <w:sz w:val="44"/>
                  <w:szCs w:val="44"/>
                </w:rPr>
                <w:t xml:space="preserve"> Anti-Social Behaviour within Dyfed Powys in relation to Genetics and Social Constructionism Theories</w:t>
              </w:r>
            </w:p>
          </w:sdtContent>
        </w:sdt>
        <w:sdt>
          <w:sdtPr>
            <w:rPr>
              <w:b/>
              <w:bCs/>
              <w:sz w:val="40"/>
              <w:szCs w:val="40"/>
            </w:rPr>
            <w:alias w:val="Subtitle"/>
            <w:tag w:val=""/>
            <w:id w:val="328029620"/>
            <w:placeholder>
              <w:docPart w:val="863C5141F0F74CBBB82998B28B2CFD9C"/>
            </w:placeholder>
            <w:dataBinding w:prefixMappings="xmlns:ns0='http://purl.org/dc/elements/1.1/' xmlns:ns1='http://schemas.openxmlformats.org/package/2006/metadata/core-properties' " w:xpath="/ns1:coreProperties[1]/ns0:subject[1]" w:storeItemID="{6C3C8BC8-F283-45AE-878A-BAB7291924A1}"/>
            <w:text/>
          </w:sdtPr>
          <w:sdtEndPr/>
          <w:sdtContent>
            <w:p w14:paraId="134A747E" w14:textId="6E98F249" w:rsidR="00536FA8" w:rsidRDefault="00536FA8">
              <w:pPr>
                <w:pStyle w:val="NoSpacing"/>
                <w:jc w:val="center"/>
                <w:rPr>
                  <w:color w:val="4472C4" w:themeColor="accent1"/>
                  <w:sz w:val="28"/>
                  <w:szCs w:val="28"/>
                </w:rPr>
              </w:pPr>
              <w:r w:rsidRPr="00536FA8">
                <w:rPr>
                  <w:b/>
                  <w:bCs/>
                  <w:sz w:val="40"/>
                  <w:szCs w:val="40"/>
                </w:rPr>
                <w:t>Jack Jones</w:t>
              </w:r>
            </w:p>
          </w:sdtContent>
        </w:sdt>
        <w:p w14:paraId="2A63BE7F" w14:textId="20D638B4" w:rsidR="00536FA8" w:rsidRDefault="00536FA8">
          <w:pPr>
            <w:pStyle w:val="NoSpacing"/>
            <w:spacing w:before="480"/>
            <w:jc w:val="center"/>
            <w:rPr>
              <w:color w:val="4472C4" w:themeColor="accent1"/>
            </w:rPr>
          </w:pPr>
          <w:r>
            <w:rPr>
              <w:noProof/>
              <w:color w:val="4472C4" w:themeColor="accent1"/>
            </w:rPr>
            <w:drawing>
              <wp:anchor distT="0" distB="0" distL="114300" distR="114300" simplePos="0" relativeHeight="251662336" behindDoc="1" locked="0" layoutInCell="1" allowOverlap="1" wp14:anchorId="4D2FC0B4" wp14:editId="37A2B026">
                <wp:simplePos x="0" y="0"/>
                <wp:positionH relativeFrom="margin">
                  <wp:align>center</wp:align>
                </wp:positionH>
                <wp:positionV relativeFrom="paragraph">
                  <wp:posOffset>125316</wp:posOffset>
                </wp:positionV>
                <wp:extent cx="758952" cy="478932"/>
                <wp:effectExtent l="0" t="0" r="3175" b="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anchor>
            </w:drawing>
          </w:r>
        </w:p>
        <w:p w14:paraId="718091DB" w14:textId="77777777" w:rsidR="00685CBE" w:rsidRDefault="00685CBE" w:rsidP="00685CBE">
          <w:pPr>
            <w:spacing w:line="276" w:lineRule="auto"/>
            <w:rPr>
              <w:rFonts w:cstheme="minorHAnsi"/>
              <w:sz w:val="24"/>
              <w:szCs w:val="24"/>
            </w:rPr>
          </w:pPr>
        </w:p>
        <w:p w14:paraId="7CEB5201" w14:textId="77777777" w:rsidR="00685CBE" w:rsidRDefault="00685CBE" w:rsidP="00685CBE">
          <w:pPr>
            <w:spacing w:line="276" w:lineRule="auto"/>
            <w:rPr>
              <w:rFonts w:cstheme="minorHAnsi"/>
              <w:sz w:val="24"/>
              <w:szCs w:val="24"/>
            </w:rPr>
          </w:pPr>
        </w:p>
        <w:p w14:paraId="29FAA4DB" w14:textId="5C3C194A" w:rsidR="00685CBE" w:rsidRPr="00685CBE" w:rsidRDefault="00685CBE" w:rsidP="004F766F">
          <w:pPr>
            <w:spacing w:line="276" w:lineRule="auto"/>
            <w:jc w:val="center"/>
            <w:rPr>
              <w:rFonts w:cstheme="minorHAnsi"/>
              <w:sz w:val="24"/>
              <w:szCs w:val="24"/>
            </w:rPr>
          </w:pPr>
          <w:r w:rsidRPr="00685CBE">
            <w:rPr>
              <w:rFonts w:cstheme="minorHAnsi"/>
              <w:sz w:val="24"/>
              <w:szCs w:val="24"/>
            </w:rPr>
            <w:t>Student Number: 1902835</w:t>
          </w:r>
        </w:p>
        <w:p w14:paraId="2A6E85BE" w14:textId="105829EE" w:rsidR="00685CBE" w:rsidRPr="00685CBE" w:rsidRDefault="00685CBE" w:rsidP="004F766F">
          <w:pPr>
            <w:spacing w:line="276" w:lineRule="auto"/>
            <w:jc w:val="center"/>
            <w:rPr>
              <w:rFonts w:cstheme="minorHAnsi"/>
              <w:sz w:val="24"/>
              <w:szCs w:val="24"/>
            </w:rPr>
          </w:pPr>
          <w:r w:rsidRPr="00685CBE">
            <w:rPr>
              <w:rFonts w:cstheme="minorHAnsi"/>
              <w:sz w:val="24"/>
              <w:szCs w:val="24"/>
            </w:rPr>
            <w:t>Module Code: BMPL6008</w:t>
          </w:r>
        </w:p>
        <w:p w14:paraId="3215EEBB" w14:textId="14375669" w:rsidR="00536FA8" w:rsidRPr="00685CBE" w:rsidRDefault="00536FA8" w:rsidP="004F766F">
          <w:pPr>
            <w:spacing w:line="276" w:lineRule="auto"/>
            <w:jc w:val="center"/>
            <w:rPr>
              <w:rFonts w:cstheme="minorHAnsi"/>
              <w:sz w:val="24"/>
              <w:szCs w:val="24"/>
            </w:rPr>
          </w:pPr>
          <w:r w:rsidRPr="00685CBE">
            <w:rPr>
              <w:rFonts w:cstheme="minorHAnsi"/>
              <w:sz w:val="24"/>
              <w:szCs w:val="24"/>
            </w:rPr>
            <w:t>School: UWTSD Swansea</w:t>
          </w:r>
        </w:p>
        <w:p w14:paraId="0E744644" w14:textId="6DC30769" w:rsidR="00536FA8" w:rsidRPr="00685CBE" w:rsidRDefault="00536FA8" w:rsidP="004F766F">
          <w:pPr>
            <w:spacing w:line="276" w:lineRule="auto"/>
            <w:jc w:val="center"/>
            <w:rPr>
              <w:rFonts w:cstheme="minorHAnsi"/>
              <w:sz w:val="24"/>
              <w:szCs w:val="24"/>
            </w:rPr>
          </w:pPr>
          <w:r w:rsidRPr="00685CBE">
            <w:rPr>
              <w:rFonts w:cstheme="minorHAnsi"/>
              <w:sz w:val="24"/>
              <w:szCs w:val="24"/>
            </w:rPr>
            <w:t>Degree: Professional Policing</w:t>
          </w:r>
        </w:p>
        <w:p w14:paraId="1DB85960" w14:textId="63E35177" w:rsidR="00536FA8" w:rsidRPr="00685CBE" w:rsidRDefault="00536FA8" w:rsidP="004F766F">
          <w:pPr>
            <w:spacing w:line="276" w:lineRule="auto"/>
            <w:jc w:val="center"/>
            <w:rPr>
              <w:rFonts w:cstheme="minorHAnsi"/>
              <w:sz w:val="24"/>
              <w:szCs w:val="24"/>
            </w:rPr>
          </w:pPr>
          <w:r w:rsidRPr="00685CBE">
            <w:rPr>
              <w:rFonts w:cstheme="minorHAnsi"/>
              <w:sz w:val="24"/>
              <w:szCs w:val="24"/>
            </w:rPr>
            <w:t>Due Date: 6</w:t>
          </w:r>
          <w:r w:rsidRPr="00685CBE">
            <w:rPr>
              <w:rFonts w:cstheme="minorHAnsi"/>
              <w:sz w:val="24"/>
              <w:szCs w:val="24"/>
              <w:vertAlign w:val="superscript"/>
            </w:rPr>
            <w:t>th</w:t>
          </w:r>
          <w:r w:rsidRPr="00685CBE">
            <w:rPr>
              <w:rFonts w:cstheme="minorHAnsi"/>
              <w:sz w:val="24"/>
              <w:szCs w:val="24"/>
            </w:rPr>
            <w:t xml:space="preserve"> May 2022</w:t>
          </w:r>
        </w:p>
        <w:p w14:paraId="470E13F9" w14:textId="37F700C7" w:rsidR="005564A1" w:rsidRPr="005564A1" w:rsidRDefault="00536FA8" w:rsidP="004F766F">
          <w:pPr>
            <w:spacing w:line="276" w:lineRule="auto"/>
            <w:jc w:val="center"/>
            <w:rPr>
              <w:rFonts w:cstheme="minorHAnsi"/>
              <w:b/>
              <w:bCs/>
              <w:sz w:val="24"/>
              <w:szCs w:val="24"/>
              <w:u w:val="single"/>
            </w:rPr>
          </w:pPr>
          <w:r w:rsidRPr="005564A1">
            <w:rPr>
              <w:rFonts w:cstheme="minorHAnsi"/>
              <w:sz w:val="24"/>
              <w:szCs w:val="24"/>
            </w:rPr>
            <w:t xml:space="preserve">Word Count: </w:t>
          </w:r>
          <w:r w:rsidR="005564A1" w:rsidRPr="005564A1">
            <w:rPr>
              <w:rFonts w:cstheme="minorHAnsi"/>
              <w:sz w:val="24"/>
              <w:szCs w:val="24"/>
            </w:rPr>
            <w:t>8,</w:t>
          </w:r>
          <w:r w:rsidR="005D7B67">
            <w:rPr>
              <w:rFonts w:cstheme="minorHAnsi"/>
              <w:sz w:val="24"/>
              <w:szCs w:val="24"/>
            </w:rPr>
            <w:t>799</w:t>
          </w:r>
        </w:p>
        <w:p w14:paraId="63B1BB67" w14:textId="77777777" w:rsidR="00E85C99" w:rsidRDefault="00E85C99" w:rsidP="00B82FC4">
          <w:pPr>
            <w:spacing w:line="276" w:lineRule="auto"/>
            <w:rPr>
              <w:b/>
              <w:bCs/>
              <w:u w:val="single"/>
            </w:rPr>
          </w:pPr>
        </w:p>
        <w:p w14:paraId="68C8B629" w14:textId="346F4957" w:rsidR="00B82FC4" w:rsidRDefault="00B82FC4" w:rsidP="00B82FC4">
          <w:pPr>
            <w:spacing w:line="276" w:lineRule="auto"/>
            <w:rPr>
              <w:b/>
              <w:bCs/>
              <w:sz w:val="24"/>
              <w:szCs w:val="24"/>
              <w:u w:val="single"/>
            </w:rPr>
          </w:pPr>
          <w:r w:rsidRPr="00E85C99">
            <w:rPr>
              <w:b/>
              <w:bCs/>
              <w:u w:val="single"/>
            </w:rPr>
            <w:t>Abstract</w:t>
          </w:r>
          <w:r>
            <w:rPr>
              <w:b/>
              <w:bCs/>
              <w:sz w:val="24"/>
              <w:szCs w:val="24"/>
              <w:u w:val="single"/>
            </w:rPr>
            <w:t xml:space="preserve"> </w:t>
          </w:r>
        </w:p>
      </w:sdtContent>
    </w:sdt>
    <w:p w14:paraId="7329F199" w14:textId="71DC12F4" w:rsidR="0004293E" w:rsidRPr="00E85C99" w:rsidRDefault="0004293E" w:rsidP="00E12169">
      <w:r w:rsidRPr="00E85C99">
        <w:t xml:space="preserve">This critical evaluation establishes the sufficiency of crime prediction within the framework of ASB and both sociological and biological effects on a person. Dyfed Powys Police contributed to the primary research by providing reliable findings for the study to conclude and provide recommendations based on the results. </w:t>
      </w:r>
      <w:r w:rsidR="0007585C" w:rsidRPr="00E85C99">
        <w:t>Although the results have shown that a person may be "born and made" into a criminal, this study also bridges the gap in terms of preventing ASB by merging both themes. Another result was that other services such as the local counsel and education are not doing enough to assist prevent ASB.</w:t>
      </w:r>
    </w:p>
    <w:p w14:paraId="60B5768D" w14:textId="77777777" w:rsidR="0072316A" w:rsidRPr="000E1888" w:rsidRDefault="009341B7" w:rsidP="001C09C2">
      <w:pPr>
        <w:jc w:val="center"/>
        <w:rPr>
          <w:b/>
          <w:bCs/>
          <w:sz w:val="24"/>
          <w:szCs w:val="24"/>
          <w:u w:val="single"/>
        </w:rPr>
      </w:pPr>
      <w:r w:rsidRPr="000E1888">
        <w:rPr>
          <w:b/>
          <w:bCs/>
          <w:sz w:val="24"/>
          <w:szCs w:val="24"/>
        </w:rPr>
        <w:t>Key words:</w:t>
      </w:r>
      <w:r w:rsidR="0007585C" w:rsidRPr="000E1888">
        <w:rPr>
          <w:b/>
          <w:bCs/>
          <w:sz w:val="24"/>
          <w:szCs w:val="24"/>
        </w:rPr>
        <w:t xml:space="preserve"> ASB, Born, Made, Dyfed Powys Police</w:t>
      </w:r>
    </w:p>
    <w:p w14:paraId="41E40863" w14:textId="09079A2E" w:rsidR="00B82FC4" w:rsidRPr="000E1888" w:rsidRDefault="00B82FC4" w:rsidP="00E12169">
      <w:pPr>
        <w:rPr>
          <w:b/>
          <w:bCs/>
          <w:sz w:val="24"/>
          <w:szCs w:val="24"/>
          <w:u w:val="single"/>
        </w:rPr>
      </w:pPr>
      <w:r w:rsidRPr="000E1888">
        <w:rPr>
          <w:b/>
          <w:bCs/>
          <w:sz w:val="24"/>
          <w:szCs w:val="24"/>
          <w:u w:val="single"/>
        </w:rPr>
        <w:lastRenderedPageBreak/>
        <w:t xml:space="preserve">Declarations </w:t>
      </w:r>
    </w:p>
    <w:p w14:paraId="5CC279F7" w14:textId="77777777" w:rsidR="00E85C99" w:rsidRPr="000E1888" w:rsidRDefault="00E85C99" w:rsidP="00E12169">
      <w:pPr>
        <w:rPr>
          <w:b/>
          <w:bCs/>
          <w:sz w:val="24"/>
          <w:szCs w:val="24"/>
          <w:u w:val="single"/>
        </w:rPr>
      </w:pPr>
    </w:p>
    <w:p w14:paraId="1FEF96F2" w14:textId="15C2FF0E" w:rsidR="00B82FC4" w:rsidRPr="000E1888" w:rsidRDefault="00E57634" w:rsidP="00E12169">
      <w:pPr>
        <w:rPr>
          <w:sz w:val="24"/>
          <w:szCs w:val="24"/>
        </w:rPr>
      </w:pPr>
      <w:r w:rsidRPr="000E1888">
        <w:rPr>
          <w:sz w:val="24"/>
          <w:szCs w:val="24"/>
        </w:rPr>
        <w:t xml:space="preserve">This work has not previously been accepted in substance for any degree and is not being concurrently submitted in candidature for any degree. </w:t>
      </w:r>
    </w:p>
    <w:p w14:paraId="74BF83F0" w14:textId="575D44B3" w:rsidR="00E57634" w:rsidRPr="000E1888" w:rsidRDefault="00E57634" w:rsidP="00E12169">
      <w:pPr>
        <w:rPr>
          <w:sz w:val="24"/>
          <w:szCs w:val="24"/>
        </w:rPr>
      </w:pPr>
      <w:r w:rsidRPr="000E1888">
        <w:rPr>
          <w:sz w:val="24"/>
          <w:szCs w:val="24"/>
        </w:rPr>
        <w:t>STATEMENT 1</w:t>
      </w:r>
    </w:p>
    <w:p w14:paraId="30217300" w14:textId="776D0408" w:rsidR="00E57634" w:rsidRPr="000E1888" w:rsidRDefault="00E57634" w:rsidP="00E12169">
      <w:pPr>
        <w:rPr>
          <w:sz w:val="24"/>
          <w:szCs w:val="24"/>
        </w:rPr>
      </w:pPr>
      <w:r w:rsidRPr="000E1888">
        <w:rPr>
          <w:sz w:val="24"/>
          <w:szCs w:val="24"/>
        </w:rPr>
        <w:t xml:space="preserve">This dissertation is being submitted in partial fulfilment of the requirements for the degree of BA/BSc. </w:t>
      </w:r>
    </w:p>
    <w:p w14:paraId="2C409C65" w14:textId="4ABFF82A" w:rsidR="00E57634" w:rsidRPr="000E1888" w:rsidRDefault="00E57634" w:rsidP="00E12169">
      <w:pPr>
        <w:rPr>
          <w:sz w:val="24"/>
          <w:szCs w:val="24"/>
        </w:rPr>
      </w:pPr>
      <w:r w:rsidRPr="000E1888">
        <w:rPr>
          <w:sz w:val="24"/>
          <w:szCs w:val="24"/>
        </w:rPr>
        <w:t xml:space="preserve">STATEMENT 2 </w:t>
      </w:r>
    </w:p>
    <w:p w14:paraId="41A04BC8" w14:textId="67FC7074" w:rsidR="00E57634" w:rsidRPr="000E1888" w:rsidRDefault="00E57634" w:rsidP="00E12169">
      <w:pPr>
        <w:rPr>
          <w:sz w:val="24"/>
          <w:szCs w:val="24"/>
        </w:rPr>
      </w:pPr>
      <w:r w:rsidRPr="000E1888">
        <w:rPr>
          <w:sz w:val="24"/>
          <w:szCs w:val="24"/>
        </w:rPr>
        <w:t xml:space="preserve">This dissertation is the result of my own independent work/investigation, except where otherwise stated. </w:t>
      </w:r>
    </w:p>
    <w:p w14:paraId="5A72FEDC" w14:textId="68055E25" w:rsidR="00E57634" w:rsidRPr="000E1888" w:rsidRDefault="00E57634" w:rsidP="00E12169">
      <w:pPr>
        <w:rPr>
          <w:sz w:val="24"/>
          <w:szCs w:val="24"/>
        </w:rPr>
      </w:pPr>
      <w:r w:rsidRPr="000E1888">
        <w:rPr>
          <w:sz w:val="24"/>
          <w:szCs w:val="24"/>
        </w:rPr>
        <w:t xml:space="preserve">STATEMENT 3 </w:t>
      </w:r>
    </w:p>
    <w:p w14:paraId="30F9A2BC" w14:textId="425B32C4" w:rsidR="00E57634" w:rsidRPr="000E1888" w:rsidRDefault="00E57634" w:rsidP="00E12169">
      <w:pPr>
        <w:rPr>
          <w:sz w:val="24"/>
          <w:szCs w:val="24"/>
        </w:rPr>
      </w:pPr>
      <w:r w:rsidRPr="000E1888">
        <w:rPr>
          <w:sz w:val="24"/>
          <w:szCs w:val="24"/>
        </w:rPr>
        <w:t xml:space="preserve">I hereby give consent for my dissertation, if accepted, to be available on the university’s IT system to those who have consent to use the system. </w:t>
      </w:r>
    </w:p>
    <w:p w14:paraId="3FB75AA7" w14:textId="46E17133" w:rsidR="00E57634" w:rsidRPr="000E1888" w:rsidRDefault="00E57634" w:rsidP="00E12169">
      <w:pPr>
        <w:rPr>
          <w:sz w:val="24"/>
          <w:szCs w:val="24"/>
        </w:rPr>
      </w:pPr>
      <w:r w:rsidRPr="000E1888">
        <w:rPr>
          <w:sz w:val="24"/>
          <w:szCs w:val="24"/>
        </w:rPr>
        <w:t xml:space="preserve">Student’s Name: Jack Jones </w:t>
      </w:r>
    </w:p>
    <w:p w14:paraId="51C098B4" w14:textId="74BED58F" w:rsidR="00E57634" w:rsidRPr="000E1888" w:rsidRDefault="00E57634" w:rsidP="00E12169">
      <w:pPr>
        <w:rPr>
          <w:sz w:val="24"/>
          <w:szCs w:val="24"/>
        </w:rPr>
      </w:pPr>
      <w:r w:rsidRPr="000E1888">
        <w:rPr>
          <w:sz w:val="24"/>
          <w:szCs w:val="24"/>
        </w:rPr>
        <w:t>Signed: JTJONES</w:t>
      </w:r>
    </w:p>
    <w:p w14:paraId="7D0CCE53" w14:textId="6F545437" w:rsidR="00E57634" w:rsidRPr="000E1888" w:rsidRDefault="00E57634" w:rsidP="00E12169">
      <w:pPr>
        <w:rPr>
          <w:sz w:val="24"/>
          <w:szCs w:val="24"/>
        </w:rPr>
      </w:pPr>
      <w:r w:rsidRPr="000E1888">
        <w:rPr>
          <w:sz w:val="24"/>
          <w:szCs w:val="24"/>
        </w:rPr>
        <w:t>Date: 26/04/2022</w:t>
      </w:r>
    </w:p>
    <w:p w14:paraId="7A12A256" w14:textId="77777777" w:rsidR="00995D44" w:rsidRPr="000E1888" w:rsidRDefault="00995D44" w:rsidP="00E12169">
      <w:pPr>
        <w:rPr>
          <w:b/>
          <w:bCs/>
          <w:sz w:val="24"/>
          <w:szCs w:val="24"/>
          <w:u w:val="single"/>
        </w:rPr>
      </w:pPr>
    </w:p>
    <w:p w14:paraId="05F57CCF" w14:textId="77777777" w:rsidR="000E1888" w:rsidRPr="000E1888" w:rsidRDefault="000E1888" w:rsidP="00E12169">
      <w:pPr>
        <w:rPr>
          <w:b/>
          <w:bCs/>
          <w:sz w:val="24"/>
          <w:szCs w:val="24"/>
          <w:u w:val="single"/>
        </w:rPr>
      </w:pPr>
    </w:p>
    <w:p w14:paraId="6643EB46" w14:textId="77777777" w:rsidR="000E1888" w:rsidRPr="000E1888" w:rsidRDefault="000E1888" w:rsidP="00E12169">
      <w:pPr>
        <w:rPr>
          <w:b/>
          <w:bCs/>
          <w:sz w:val="24"/>
          <w:szCs w:val="24"/>
          <w:u w:val="single"/>
        </w:rPr>
      </w:pPr>
    </w:p>
    <w:p w14:paraId="33E5C656" w14:textId="77777777" w:rsidR="000E1888" w:rsidRPr="000E1888" w:rsidRDefault="000E1888" w:rsidP="00E12169">
      <w:pPr>
        <w:rPr>
          <w:b/>
          <w:bCs/>
          <w:sz w:val="24"/>
          <w:szCs w:val="24"/>
          <w:u w:val="single"/>
        </w:rPr>
      </w:pPr>
    </w:p>
    <w:p w14:paraId="5F22B7ED" w14:textId="77777777" w:rsidR="000E1888" w:rsidRPr="000E1888" w:rsidRDefault="000E1888" w:rsidP="00E12169">
      <w:pPr>
        <w:rPr>
          <w:b/>
          <w:bCs/>
          <w:sz w:val="24"/>
          <w:szCs w:val="24"/>
          <w:u w:val="single"/>
        </w:rPr>
      </w:pPr>
    </w:p>
    <w:p w14:paraId="0574864C" w14:textId="77777777" w:rsidR="000E1888" w:rsidRPr="000E1888" w:rsidRDefault="000E1888" w:rsidP="00E12169">
      <w:pPr>
        <w:rPr>
          <w:b/>
          <w:bCs/>
          <w:sz w:val="24"/>
          <w:szCs w:val="24"/>
          <w:u w:val="single"/>
        </w:rPr>
      </w:pPr>
    </w:p>
    <w:p w14:paraId="4CC5CFC5" w14:textId="77777777" w:rsidR="000E1888" w:rsidRPr="000E1888" w:rsidRDefault="000E1888" w:rsidP="00E12169">
      <w:pPr>
        <w:rPr>
          <w:b/>
          <w:bCs/>
          <w:sz w:val="24"/>
          <w:szCs w:val="24"/>
          <w:u w:val="single"/>
        </w:rPr>
      </w:pPr>
    </w:p>
    <w:p w14:paraId="088C1120" w14:textId="77777777" w:rsidR="000E1888" w:rsidRPr="000E1888" w:rsidRDefault="000E1888" w:rsidP="00E12169">
      <w:pPr>
        <w:rPr>
          <w:b/>
          <w:bCs/>
          <w:sz w:val="24"/>
          <w:szCs w:val="24"/>
          <w:u w:val="single"/>
        </w:rPr>
      </w:pPr>
    </w:p>
    <w:p w14:paraId="578FAA52" w14:textId="77777777" w:rsidR="000E1888" w:rsidRPr="000E1888" w:rsidRDefault="000E1888" w:rsidP="00E12169">
      <w:pPr>
        <w:rPr>
          <w:b/>
          <w:bCs/>
          <w:sz w:val="24"/>
          <w:szCs w:val="24"/>
          <w:u w:val="single"/>
        </w:rPr>
      </w:pPr>
    </w:p>
    <w:p w14:paraId="58B5415C" w14:textId="77777777" w:rsidR="000E1888" w:rsidRPr="000E1888" w:rsidRDefault="000E1888" w:rsidP="00E12169">
      <w:pPr>
        <w:rPr>
          <w:b/>
          <w:bCs/>
          <w:sz w:val="24"/>
          <w:szCs w:val="24"/>
          <w:u w:val="single"/>
        </w:rPr>
      </w:pPr>
    </w:p>
    <w:p w14:paraId="5F4E6FFC" w14:textId="77777777" w:rsidR="000E1888" w:rsidRPr="000E1888" w:rsidRDefault="000E1888" w:rsidP="00E12169">
      <w:pPr>
        <w:rPr>
          <w:b/>
          <w:bCs/>
          <w:sz w:val="24"/>
          <w:szCs w:val="24"/>
          <w:u w:val="single"/>
        </w:rPr>
      </w:pPr>
    </w:p>
    <w:p w14:paraId="0D51F7C5" w14:textId="77777777" w:rsidR="000E1888" w:rsidRPr="000E1888" w:rsidRDefault="000E1888" w:rsidP="00E12169">
      <w:pPr>
        <w:rPr>
          <w:b/>
          <w:bCs/>
          <w:sz w:val="24"/>
          <w:szCs w:val="24"/>
          <w:u w:val="single"/>
        </w:rPr>
      </w:pPr>
    </w:p>
    <w:p w14:paraId="001DF556" w14:textId="77777777" w:rsidR="000E1888" w:rsidRPr="000E1888" w:rsidRDefault="000E1888" w:rsidP="00E12169">
      <w:pPr>
        <w:rPr>
          <w:b/>
          <w:bCs/>
          <w:sz w:val="24"/>
          <w:szCs w:val="24"/>
          <w:u w:val="single"/>
        </w:rPr>
      </w:pPr>
    </w:p>
    <w:p w14:paraId="3E88F1C1" w14:textId="77777777" w:rsidR="000E1888" w:rsidRPr="000E1888" w:rsidRDefault="000E1888" w:rsidP="00E12169">
      <w:pPr>
        <w:rPr>
          <w:b/>
          <w:bCs/>
          <w:sz w:val="24"/>
          <w:szCs w:val="24"/>
          <w:u w:val="single"/>
        </w:rPr>
      </w:pPr>
    </w:p>
    <w:p w14:paraId="2C3BF4D3" w14:textId="77777777" w:rsidR="000E1888" w:rsidRPr="000E1888" w:rsidRDefault="000E1888" w:rsidP="00E12169">
      <w:pPr>
        <w:rPr>
          <w:b/>
          <w:bCs/>
          <w:sz w:val="24"/>
          <w:szCs w:val="24"/>
          <w:u w:val="single"/>
        </w:rPr>
      </w:pPr>
    </w:p>
    <w:p w14:paraId="2A89596A" w14:textId="26AF4021" w:rsidR="00B82FC4" w:rsidRPr="000E1888" w:rsidRDefault="00B82FC4" w:rsidP="00E12169">
      <w:pPr>
        <w:rPr>
          <w:b/>
          <w:bCs/>
          <w:sz w:val="24"/>
          <w:szCs w:val="24"/>
          <w:u w:val="single"/>
        </w:rPr>
      </w:pPr>
      <w:r w:rsidRPr="000E1888">
        <w:rPr>
          <w:b/>
          <w:bCs/>
          <w:sz w:val="24"/>
          <w:szCs w:val="24"/>
          <w:u w:val="single"/>
        </w:rPr>
        <w:lastRenderedPageBreak/>
        <w:t>Acknowledgements</w:t>
      </w:r>
    </w:p>
    <w:p w14:paraId="26863A55" w14:textId="77777777" w:rsidR="00E85C99" w:rsidRPr="000E1888" w:rsidRDefault="00E85C99" w:rsidP="00E12169">
      <w:pPr>
        <w:rPr>
          <w:b/>
          <w:bCs/>
          <w:sz w:val="24"/>
          <w:szCs w:val="24"/>
          <w:u w:val="single"/>
        </w:rPr>
      </w:pPr>
    </w:p>
    <w:p w14:paraId="226E6F19" w14:textId="77777777" w:rsidR="000E1888" w:rsidRPr="000E1888" w:rsidRDefault="006B19EF" w:rsidP="006B19EF">
      <w:pPr>
        <w:rPr>
          <w:sz w:val="24"/>
          <w:szCs w:val="24"/>
        </w:rPr>
      </w:pPr>
      <w:r w:rsidRPr="000E1888">
        <w:rPr>
          <w:sz w:val="24"/>
          <w:szCs w:val="24"/>
        </w:rPr>
        <w:t xml:space="preserve">First and foremost, I'd want to express my gratitude to my dissertation mentor, Rhiannon Lloyd, for her cooperation and guidance. Another tutor, Mike </w:t>
      </w:r>
      <w:proofErr w:type="spellStart"/>
      <w:r w:rsidRPr="000E1888">
        <w:rPr>
          <w:sz w:val="24"/>
          <w:szCs w:val="24"/>
        </w:rPr>
        <w:t>Durke</w:t>
      </w:r>
      <w:proofErr w:type="spellEnd"/>
      <w:r w:rsidRPr="000E1888">
        <w:rPr>
          <w:sz w:val="24"/>
          <w:szCs w:val="24"/>
        </w:rPr>
        <w:t>, deserves special attention for his initial eager enthusiasm at the start of the module.</w:t>
      </w:r>
    </w:p>
    <w:p w14:paraId="53823836" w14:textId="36AB289B" w:rsidR="006B19EF" w:rsidRPr="000E1888" w:rsidRDefault="000E1888" w:rsidP="000E1888">
      <w:pPr>
        <w:ind w:firstLine="720"/>
        <w:rPr>
          <w:sz w:val="24"/>
          <w:szCs w:val="24"/>
        </w:rPr>
      </w:pPr>
      <w:r w:rsidRPr="000E1888">
        <w:rPr>
          <w:sz w:val="24"/>
          <w:szCs w:val="24"/>
        </w:rPr>
        <w:t xml:space="preserve">Secondly, </w:t>
      </w:r>
      <w:r w:rsidR="006B19EF" w:rsidRPr="000E1888">
        <w:rPr>
          <w:sz w:val="24"/>
          <w:szCs w:val="24"/>
        </w:rPr>
        <w:t xml:space="preserve">I'd want to express my gratitude to my family for their unending support and understanding. A particular thanks goes to my mother, who has encouraged me as well as listened to what I had to say regarding my university and policing. </w:t>
      </w:r>
    </w:p>
    <w:p w14:paraId="1E84A73D" w14:textId="1F902AC5" w:rsidR="006B19EF" w:rsidRPr="000E1888" w:rsidRDefault="000E1888" w:rsidP="000E1888">
      <w:pPr>
        <w:ind w:firstLine="720"/>
        <w:rPr>
          <w:sz w:val="24"/>
          <w:szCs w:val="24"/>
        </w:rPr>
      </w:pPr>
      <w:r w:rsidRPr="000E1888">
        <w:rPr>
          <w:sz w:val="24"/>
          <w:szCs w:val="24"/>
        </w:rPr>
        <w:t>Lastly, a</w:t>
      </w:r>
      <w:r w:rsidR="006B19EF" w:rsidRPr="000E1888">
        <w:rPr>
          <w:sz w:val="24"/>
          <w:szCs w:val="24"/>
        </w:rPr>
        <w:t xml:space="preserve"> huge thank you to Dyfed Powys Police, and especially my code, for their tireless efforts to provide me with the finest experiences as a special constable. A huge thanks also goes to all of the people who generously took part in my primary research. </w:t>
      </w:r>
    </w:p>
    <w:p w14:paraId="1806722A" w14:textId="4A567552" w:rsidR="00B82FC4" w:rsidRDefault="00B82FC4" w:rsidP="00E12169">
      <w:pPr>
        <w:rPr>
          <w:b/>
          <w:bCs/>
          <w:sz w:val="24"/>
          <w:szCs w:val="24"/>
          <w:u w:val="single"/>
        </w:rPr>
      </w:pPr>
    </w:p>
    <w:p w14:paraId="71DFB03D" w14:textId="2D79121E" w:rsidR="00B82FC4" w:rsidRDefault="00B82FC4" w:rsidP="00E12169">
      <w:pPr>
        <w:rPr>
          <w:b/>
          <w:bCs/>
          <w:sz w:val="24"/>
          <w:szCs w:val="24"/>
          <w:u w:val="single"/>
        </w:rPr>
      </w:pPr>
    </w:p>
    <w:p w14:paraId="18B8C96A" w14:textId="0413AA0C" w:rsidR="00B82FC4" w:rsidRDefault="00B82FC4" w:rsidP="00E12169">
      <w:pPr>
        <w:rPr>
          <w:b/>
          <w:bCs/>
          <w:sz w:val="24"/>
          <w:szCs w:val="24"/>
          <w:u w:val="single"/>
        </w:rPr>
      </w:pPr>
    </w:p>
    <w:p w14:paraId="016F4D3A" w14:textId="25F26CC2" w:rsidR="00B82FC4" w:rsidRDefault="00B82FC4" w:rsidP="00E12169">
      <w:pPr>
        <w:rPr>
          <w:b/>
          <w:bCs/>
          <w:sz w:val="24"/>
          <w:szCs w:val="24"/>
          <w:u w:val="single"/>
        </w:rPr>
      </w:pPr>
    </w:p>
    <w:p w14:paraId="60431B47" w14:textId="097A5F1B" w:rsidR="00B82FC4" w:rsidRDefault="00B82FC4" w:rsidP="00E12169">
      <w:pPr>
        <w:rPr>
          <w:b/>
          <w:bCs/>
          <w:sz w:val="24"/>
          <w:szCs w:val="24"/>
          <w:u w:val="single"/>
        </w:rPr>
      </w:pPr>
    </w:p>
    <w:p w14:paraId="12FFB21C" w14:textId="77777777" w:rsidR="00E85C99" w:rsidRDefault="00E85C99" w:rsidP="00E12169">
      <w:pPr>
        <w:rPr>
          <w:b/>
          <w:bCs/>
          <w:sz w:val="24"/>
          <w:szCs w:val="24"/>
          <w:u w:val="single"/>
        </w:rPr>
      </w:pPr>
    </w:p>
    <w:p w14:paraId="72278E74" w14:textId="77777777" w:rsidR="00BA338B" w:rsidRDefault="00BA338B" w:rsidP="00E12169">
      <w:pPr>
        <w:rPr>
          <w:b/>
          <w:bCs/>
          <w:sz w:val="24"/>
          <w:szCs w:val="24"/>
          <w:u w:val="single"/>
        </w:rPr>
      </w:pPr>
    </w:p>
    <w:p w14:paraId="3C1BB62B" w14:textId="77777777" w:rsidR="00BA338B" w:rsidRDefault="00BA338B" w:rsidP="00E12169">
      <w:pPr>
        <w:rPr>
          <w:b/>
          <w:bCs/>
          <w:sz w:val="24"/>
          <w:szCs w:val="24"/>
          <w:u w:val="single"/>
        </w:rPr>
      </w:pPr>
    </w:p>
    <w:p w14:paraId="3E433279" w14:textId="77777777" w:rsidR="00BA338B" w:rsidRDefault="00BA338B" w:rsidP="00E12169">
      <w:pPr>
        <w:rPr>
          <w:b/>
          <w:bCs/>
          <w:sz w:val="24"/>
          <w:szCs w:val="24"/>
          <w:u w:val="single"/>
        </w:rPr>
      </w:pPr>
    </w:p>
    <w:p w14:paraId="59CE26A0" w14:textId="77777777" w:rsidR="00BA338B" w:rsidRDefault="00BA338B" w:rsidP="00E12169">
      <w:pPr>
        <w:rPr>
          <w:b/>
          <w:bCs/>
          <w:sz w:val="24"/>
          <w:szCs w:val="24"/>
          <w:u w:val="single"/>
        </w:rPr>
      </w:pPr>
    </w:p>
    <w:p w14:paraId="027A1C9B" w14:textId="77777777" w:rsidR="00BA338B" w:rsidRDefault="00BA338B" w:rsidP="00E12169">
      <w:pPr>
        <w:rPr>
          <w:b/>
          <w:bCs/>
          <w:sz w:val="24"/>
          <w:szCs w:val="24"/>
          <w:u w:val="single"/>
        </w:rPr>
      </w:pPr>
    </w:p>
    <w:p w14:paraId="4AACB1C7" w14:textId="77777777" w:rsidR="00BA338B" w:rsidRDefault="00BA338B" w:rsidP="00E12169">
      <w:pPr>
        <w:rPr>
          <w:b/>
          <w:bCs/>
          <w:sz w:val="24"/>
          <w:szCs w:val="24"/>
          <w:u w:val="single"/>
        </w:rPr>
      </w:pPr>
    </w:p>
    <w:p w14:paraId="7EA07C0C" w14:textId="77777777" w:rsidR="00BA338B" w:rsidRDefault="00BA338B" w:rsidP="00E12169">
      <w:pPr>
        <w:rPr>
          <w:b/>
          <w:bCs/>
          <w:sz w:val="24"/>
          <w:szCs w:val="24"/>
          <w:u w:val="single"/>
        </w:rPr>
      </w:pPr>
    </w:p>
    <w:p w14:paraId="0A91DDEE" w14:textId="77777777" w:rsidR="00BA338B" w:rsidRDefault="00BA338B" w:rsidP="00E12169">
      <w:pPr>
        <w:rPr>
          <w:b/>
          <w:bCs/>
          <w:sz w:val="24"/>
          <w:szCs w:val="24"/>
          <w:u w:val="single"/>
        </w:rPr>
      </w:pPr>
    </w:p>
    <w:p w14:paraId="0C427434" w14:textId="77777777" w:rsidR="00BA338B" w:rsidRDefault="00BA338B" w:rsidP="00E12169">
      <w:pPr>
        <w:rPr>
          <w:b/>
          <w:bCs/>
          <w:sz w:val="24"/>
          <w:szCs w:val="24"/>
          <w:u w:val="single"/>
        </w:rPr>
      </w:pPr>
    </w:p>
    <w:p w14:paraId="3936F4A1" w14:textId="77777777" w:rsidR="00BA338B" w:rsidRDefault="00BA338B" w:rsidP="00E12169">
      <w:pPr>
        <w:rPr>
          <w:b/>
          <w:bCs/>
          <w:sz w:val="24"/>
          <w:szCs w:val="24"/>
          <w:u w:val="single"/>
        </w:rPr>
      </w:pPr>
    </w:p>
    <w:p w14:paraId="7F1BCC1D" w14:textId="77777777" w:rsidR="00BA338B" w:rsidRDefault="00BA338B" w:rsidP="00E12169">
      <w:pPr>
        <w:rPr>
          <w:b/>
          <w:bCs/>
          <w:sz w:val="24"/>
          <w:szCs w:val="24"/>
          <w:u w:val="single"/>
        </w:rPr>
      </w:pPr>
    </w:p>
    <w:p w14:paraId="0B81F690" w14:textId="77777777" w:rsidR="00BA338B" w:rsidRDefault="00BA338B" w:rsidP="00E12169">
      <w:pPr>
        <w:rPr>
          <w:b/>
          <w:bCs/>
          <w:sz w:val="24"/>
          <w:szCs w:val="24"/>
          <w:u w:val="single"/>
        </w:rPr>
      </w:pPr>
    </w:p>
    <w:p w14:paraId="14CDD12B" w14:textId="77777777" w:rsidR="00BA338B" w:rsidRDefault="00BA338B" w:rsidP="00E12169">
      <w:pPr>
        <w:rPr>
          <w:b/>
          <w:bCs/>
          <w:sz w:val="24"/>
          <w:szCs w:val="24"/>
          <w:u w:val="single"/>
        </w:rPr>
      </w:pPr>
    </w:p>
    <w:p w14:paraId="0043BC70" w14:textId="77777777" w:rsidR="00BA338B" w:rsidRDefault="00BA338B" w:rsidP="00E12169">
      <w:pPr>
        <w:rPr>
          <w:b/>
          <w:bCs/>
          <w:sz w:val="24"/>
          <w:szCs w:val="24"/>
          <w:u w:val="single"/>
        </w:rPr>
      </w:pPr>
    </w:p>
    <w:p w14:paraId="268C697A" w14:textId="36DE1120" w:rsidR="00F25394" w:rsidRPr="00F25394" w:rsidRDefault="00F25394" w:rsidP="00E12169">
      <w:pPr>
        <w:rPr>
          <w:b/>
          <w:bCs/>
          <w:sz w:val="24"/>
          <w:szCs w:val="24"/>
          <w:u w:val="single"/>
        </w:rPr>
      </w:pPr>
      <w:r w:rsidRPr="00F25394">
        <w:rPr>
          <w:b/>
          <w:bCs/>
          <w:sz w:val="24"/>
          <w:szCs w:val="24"/>
          <w:u w:val="single"/>
        </w:rPr>
        <w:lastRenderedPageBreak/>
        <w:t xml:space="preserve">Table of Contents </w:t>
      </w:r>
    </w:p>
    <w:p w14:paraId="1F6F7105" w14:textId="0320FBDF" w:rsidR="001C69BB" w:rsidRPr="009C7C8B" w:rsidRDefault="00E12169" w:rsidP="00685CBE">
      <w:pPr>
        <w:spacing w:line="240" w:lineRule="auto"/>
        <w:rPr>
          <w:b/>
          <w:bCs/>
          <w:color w:val="0070C0"/>
          <w:sz w:val="24"/>
          <w:szCs w:val="24"/>
        </w:rPr>
      </w:pPr>
      <w:r w:rsidRPr="009C7C8B">
        <w:rPr>
          <w:b/>
          <w:bCs/>
          <w:color w:val="0070C0"/>
          <w:sz w:val="24"/>
          <w:szCs w:val="24"/>
        </w:rPr>
        <w:t xml:space="preserve">Chapter One: </w:t>
      </w:r>
      <w:r w:rsidR="000C7065" w:rsidRPr="009C7C8B">
        <w:rPr>
          <w:b/>
          <w:bCs/>
          <w:color w:val="0070C0"/>
          <w:sz w:val="24"/>
          <w:szCs w:val="24"/>
        </w:rPr>
        <w:t>Introduction</w:t>
      </w:r>
      <w:r w:rsidR="00976D37" w:rsidRPr="009C7C8B">
        <w:rPr>
          <w:color w:val="0070C0"/>
          <w:sz w:val="24"/>
          <w:szCs w:val="24"/>
        </w:rPr>
        <w:t>…………………………………………………………………………………</w:t>
      </w:r>
      <w:r w:rsidR="009C7C8B" w:rsidRPr="009C7C8B">
        <w:rPr>
          <w:color w:val="0070C0"/>
          <w:sz w:val="24"/>
          <w:szCs w:val="24"/>
        </w:rPr>
        <w:t>..</w:t>
      </w:r>
      <w:r w:rsidR="00976D37" w:rsidRPr="009C7C8B">
        <w:rPr>
          <w:color w:val="0070C0"/>
          <w:sz w:val="24"/>
          <w:szCs w:val="24"/>
        </w:rPr>
        <w:t>……………</w:t>
      </w:r>
      <w:r w:rsidR="009C7C8B">
        <w:rPr>
          <w:color w:val="0070C0"/>
          <w:sz w:val="24"/>
          <w:szCs w:val="24"/>
        </w:rPr>
        <w:t>…</w:t>
      </w:r>
      <w:r w:rsidR="00D5159E" w:rsidRPr="009C7C8B">
        <w:rPr>
          <w:b/>
          <w:bCs/>
          <w:color w:val="0070C0"/>
          <w:sz w:val="24"/>
          <w:szCs w:val="24"/>
        </w:rPr>
        <w:t>1</w:t>
      </w:r>
    </w:p>
    <w:p w14:paraId="26F7A952" w14:textId="10FB47EB" w:rsidR="00E12169" w:rsidRPr="00F25394" w:rsidRDefault="00F725EE" w:rsidP="00685CBE">
      <w:pPr>
        <w:spacing w:line="240" w:lineRule="auto"/>
        <w:rPr>
          <w:sz w:val="24"/>
          <w:szCs w:val="24"/>
        </w:rPr>
      </w:pPr>
      <w:r w:rsidRPr="00F25394">
        <w:rPr>
          <w:sz w:val="24"/>
          <w:szCs w:val="24"/>
        </w:rPr>
        <w:t xml:space="preserve">1.1 </w:t>
      </w:r>
      <w:r w:rsidR="00E12169" w:rsidRPr="00F25394">
        <w:rPr>
          <w:sz w:val="24"/>
          <w:szCs w:val="24"/>
        </w:rPr>
        <w:t>Introduction</w:t>
      </w:r>
      <w:r w:rsidR="00976D37">
        <w:rPr>
          <w:sz w:val="24"/>
          <w:szCs w:val="24"/>
        </w:rPr>
        <w:t>……………………………………………………………………………………………………………………</w:t>
      </w:r>
      <w:r w:rsidR="00D5159E">
        <w:rPr>
          <w:sz w:val="24"/>
          <w:szCs w:val="24"/>
        </w:rPr>
        <w:t>1</w:t>
      </w:r>
    </w:p>
    <w:p w14:paraId="0627754D" w14:textId="244D1243" w:rsidR="00E12169" w:rsidRPr="00F25394" w:rsidRDefault="00E12169" w:rsidP="00685CBE">
      <w:pPr>
        <w:spacing w:line="240" w:lineRule="auto"/>
        <w:rPr>
          <w:sz w:val="24"/>
          <w:szCs w:val="24"/>
        </w:rPr>
      </w:pPr>
      <w:r w:rsidRPr="00F25394">
        <w:rPr>
          <w:sz w:val="24"/>
          <w:szCs w:val="24"/>
        </w:rPr>
        <w:t>1.</w:t>
      </w:r>
      <w:r w:rsidR="00F725EE" w:rsidRPr="00F25394">
        <w:rPr>
          <w:sz w:val="24"/>
          <w:szCs w:val="24"/>
        </w:rPr>
        <w:t>2</w:t>
      </w:r>
      <w:r w:rsidRPr="00F25394">
        <w:rPr>
          <w:sz w:val="24"/>
          <w:szCs w:val="24"/>
        </w:rPr>
        <w:t xml:space="preserve"> Background</w:t>
      </w:r>
      <w:r w:rsidR="00976D37">
        <w:rPr>
          <w:sz w:val="24"/>
          <w:szCs w:val="24"/>
        </w:rPr>
        <w:t>………………………………………………………………………………………………………………</w:t>
      </w:r>
      <w:r w:rsidR="00E0668D">
        <w:rPr>
          <w:sz w:val="24"/>
          <w:szCs w:val="24"/>
        </w:rPr>
        <w:t>.</w:t>
      </w:r>
      <w:r w:rsidR="00976D37">
        <w:rPr>
          <w:sz w:val="24"/>
          <w:szCs w:val="24"/>
        </w:rPr>
        <w:t>…</w:t>
      </w:r>
      <w:r w:rsidR="00D5159E">
        <w:rPr>
          <w:sz w:val="24"/>
          <w:szCs w:val="24"/>
        </w:rPr>
        <w:t>1-2</w:t>
      </w:r>
    </w:p>
    <w:p w14:paraId="32CBBB87" w14:textId="2846E338" w:rsidR="00E12169" w:rsidRPr="00F25394" w:rsidRDefault="00E12169" w:rsidP="00685CBE">
      <w:pPr>
        <w:spacing w:line="240" w:lineRule="auto"/>
        <w:rPr>
          <w:sz w:val="24"/>
          <w:szCs w:val="24"/>
        </w:rPr>
      </w:pPr>
      <w:r w:rsidRPr="00F25394">
        <w:rPr>
          <w:sz w:val="24"/>
          <w:szCs w:val="24"/>
        </w:rPr>
        <w:t>1.</w:t>
      </w:r>
      <w:r w:rsidR="00F725EE" w:rsidRPr="00F25394">
        <w:rPr>
          <w:sz w:val="24"/>
          <w:szCs w:val="24"/>
        </w:rPr>
        <w:t>3</w:t>
      </w:r>
      <w:r w:rsidRPr="00F25394">
        <w:rPr>
          <w:sz w:val="24"/>
          <w:szCs w:val="24"/>
        </w:rPr>
        <w:t xml:space="preserve"> Rationale</w:t>
      </w:r>
      <w:r w:rsidR="00976D37">
        <w:rPr>
          <w:sz w:val="24"/>
          <w:szCs w:val="24"/>
        </w:rPr>
        <w:t>………………………………………………………………………………………………………………………..</w:t>
      </w:r>
      <w:r w:rsidR="00D5159E">
        <w:rPr>
          <w:sz w:val="24"/>
          <w:szCs w:val="24"/>
        </w:rPr>
        <w:t>2</w:t>
      </w:r>
    </w:p>
    <w:p w14:paraId="4CE5F87E" w14:textId="0D2535FB" w:rsidR="00E12169" w:rsidRPr="00F25394" w:rsidRDefault="00E12169" w:rsidP="00685CBE">
      <w:pPr>
        <w:spacing w:line="240" w:lineRule="auto"/>
        <w:rPr>
          <w:sz w:val="24"/>
          <w:szCs w:val="24"/>
        </w:rPr>
      </w:pPr>
      <w:r w:rsidRPr="00F25394">
        <w:rPr>
          <w:sz w:val="24"/>
          <w:szCs w:val="24"/>
        </w:rPr>
        <w:t>1.</w:t>
      </w:r>
      <w:r w:rsidR="00737A3E" w:rsidRPr="00F25394">
        <w:rPr>
          <w:sz w:val="24"/>
          <w:szCs w:val="24"/>
        </w:rPr>
        <w:t>4</w:t>
      </w:r>
      <w:r w:rsidRPr="00F25394">
        <w:rPr>
          <w:sz w:val="24"/>
          <w:szCs w:val="24"/>
        </w:rPr>
        <w:t xml:space="preserve"> Objectives</w:t>
      </w:r>
      <w:r w:rsidR="00976D37">
        <w:rPr>
          <w:sz w:val="24"/>
          <w:szCs w:val="24"/>
        </w:rPr>
        <w:t>……………………………………………………………………………………………………………………….</w:t>
      </w:r>
      <w:r w:rsidR="00D5159E">
        <w:rPr>
          <w:sz w:val="24"/>
          <w:szCs w:val="24"/>
        </w:rPr>
        <w:t>3</w:t>
      </w:r>
    </w:p>
    <w:p w14:paraId="2D7ADA6F" w14:textId="770B1D08" w:rsidR="00E12169" w:rsidRPr="00F25394" w:rsidRDefault="00E12169" w:rsidP="00685CBE">
      <w:pPr>
        <w:spacing w:line="240" w:lineRule="auto"/>
        <w:rPr>
          <w:sz w:val="24"/>
          <w:szCs w:val="24"/>
        </w:rPr>
      </w:pPr>
      <w:r w:rsidRPr="00F25394">
        <w:rPr>
          <w:sz w:val="24"/>
          <w:szCs w:val="24"/>
        </w:rPr>
        <w:t>1.</w:t>
      </w:r>
      <w:r w:rsidR="00737A3E" w:rsidRPr="00F25394">
        <w:rPr>
          <w:sz w:val="24"/>
          <w:szCs w:val="24"/>
        </w:rPr>
        <w:t>5</w:t>
      </w:r>
      <w:r w:rsidRPr="00F25394">
        <w:rPr>
          <w:sz w:val="24"/>
          <w:szCs w:val="24"/>
        </w:rPr>
        <w:t xml:space="preserve"> Research Techniques</w:t>
      </w:r>
      <w:r w:rsidR="00976D37">
        <w:rPr>
          <w:sz w:val="24"/>
          <w:szCs w:val="24"/>
        </w:rPr>
        <w:t>…………………………………………………………………………………………………</w:t>
      </w:r>
      <w:r w:rsidR="00D5159E">
        <w:rPr>
          <w:sz w:val="24"/>
          <w:szCs w:val="24"/>
        </w:rPr>
        <w:t>…3-4</w:t>
      </w:r>
    </w:p>
    <w:p w14:paraId="661AC78E" w14:textId="7591CD3C" w:rsidR="00903747" w:rsidRPr="009C7C8B" w:rsidRDefault="00903747" w:rsidP="00685CBE">
      <w:pPr>
        <w:spacing w:line="240" w:lineRule="auto"/>
        <w:rPr>
          <w:b/>
          <w:bCs/>
          <w:sz w:val="24"/>
          <w:szCs w:val="24"/>
        </w:rPr>
      </w:pPr>
      <w:r w:rsidRPr="009C7C8B">
        <w:rPr>
          <w:rFonts w:cstheme="minorHAnsi"/>
          <w:b/>
          <w:bCs/>
          <w:color w:val="0070C0"/>
          <w:sz w:val="24"/>
          <w:szCs w:val="24"/>
          <w:shd w:val="clear" w:color="auto" w:fill="FFFFFF"/>
        </w:rPr>
        <w:t>Chapter Two – Literature Review:</w:t>
      </w:r>
      <w:r w:rsidR="00976D37" w:rsidRPr="009C7C8B">
        <w:rPr>
          <w:b/>
          <w:bCs/>
          <w:color w:val="0070C0"/>
          <w:sz w:val="24"/>
          <w:szCs w:val="24"/>
        </w:rPr>
        <w:t xml:space="preserve"> </w:t>
      </w:r>
      <w:r w:rsidR="00976D37" w:rsidRPr="009C7C8B">
        <w:rPr>
          <w:color w:val="0070C0"/>
          <w:sz w:val="24"/>
          <w:szCs w:val="24"/>
        </w:rPr>
        <w:t>……………………………………………………………………………</w:t>
      </w:r>
      <w:r w:rsidR="009C7C8B" w:rsidRPr="009C7C8B">
        <w:rPr>
          <w:color w:val="0070C0"/>
          <w:sz w:val="24"/>
          <w:szCs w:val="24"/>
        </w:rPr>
        <w:t>..</w:t>
      </w:r>
      <w:r w:rsidR="00976D37" w:rsidRPr="009C7C8B">
        <w:rPr>
          <w:color w:val="0070C0"/>
          <w:sz w:val="24"/>
          <w:szCs w:val="24"/>
        </w:rPr>
        <w:t>…</w:t>
      </w:r>
      <w:r w:rsidR="00223F03" w:rsidRPr="009C7C8B">
        <w:rPr>
          <w:color w:val="0070C0"/>
          <w:sz w:val="24"/>
          <w:szCs w:val="24"/>
        </w:rPr>
        <w:t>…</w:t>
      </w:r>
      <w:r w:rsidR="009C7C8B">
        <w:rPr>
          <w:color w:val="0070C0"/>
          <w:sz w:val="24"/>
          <w:szCs w:val="24"/>
        </w:rPr>
        <w:t>….</w:t>
      </w:r>
      <w:r w:rsidR="00D5159E" w:rsidRPr="009C7C8B">
        <w:rPr>
          <w:b/>
          <w:bCs/>
          <w:color w:val="0070C0"/>
          <w:sz w:val="24"/>
          <w:szCs w:val="24"/>
        </w:rPr>
        <w:t>5</w:t>
      </w:r>
    </w:p>
    <w:p w14:paraId="2C66926A" w14:textId="777F3BB5" w:rsidR="00903747" w:rsidRPr="00976D37" w:rsidRDefault="00903747" w:rsidP="00685CBE">
      <w:pPr>
        <w:spacing w:line="240" w:lineRule="auto"/>
        <w:rPr>
          <w:sz w:val="24"/>
          <w:szCs w:val="24"/>
        </w:rPr>
      </w:pPr>
      <w:r w:rsidRPr="00F25394">
        <w:rPr>
          <w:rFonts w:cstheme="minorHAnsi"/>
          <w:sz w:val="24"/>
          <w:szCs w:val="24"/>
          <w:shd w:val="clear" w:color="auto" w:fill="FFFFFF"/>
        </w:rPr>
        <w:t>2.1 Introduction</w:t>
      </w:r>
      <w:r w:rsidR="00976D37">
        <w:rPr>
          <w:sz w:val="24"/>
          <w:szCs w:val="24"/>
        </w:rPr>
        <w:t>………………………………………………………………………………………………………</w:t>
      </w:r>
      <w:r w:rsidR="00223F03">
        <w:rPr>
          <w:sz w:val="24"/>
          <w:szCs w:val="24"/>
        </w:rPr>
        <w:t>……………</w:t>
      </w:r>
      <w:r w:rsidR="00D5159E">
        <w:rPr>
          <w:sz w:val="24"/>
          <w:szCs w:val="24"/>
        </w:rPr>
        <w:t>5</w:t>
      </w:r>
    </w:p>
    <w:p w14:paraId="760BC1B3" w14:textId="56C00FCC" w:rsidR="00903747" w:rsidRPr="00976D37" w:rsidRDefault="00903747" w:rsidP="00685CBE">
      <w:pPr>
        <w:spacing w:line="240" w:lineRule="auto"/>
        <w:rPr>
          <w:sz w:val="24"/>
          <w:szCs w:val="24"/>
        </w:rPr>
      </w:pPr>
      <w:r w:rsidRPr="00F25394">
        <w:rPr>
          <w:rFonts w:cstheme="minorHAnsi"/>
          <w:sz w:val="24"/>
          <w:szCs w:val="24"/>
          <w:shd w:val="clear" w:color="auto" w:fill="FFFFFF"/>
        </w:rPr>
        <w:t xml:space="preserve">2.2 </w:t>
      </w:r>
      <w:bookmarkStart w:id="0" w:name="_Hlk100094129"/>
      <w:r w:rsidRPr="00F25394">
        <w:rPr>
          <w:rFonts w:cstheme="minorHAnsi"/>
          <w:sz w:val="24"/>
          <w:szCs w:val="24"/>
          <w:shd w:val="clear" w:color="auto" w:fill="FFFFFF"/>
        </w:rPr>
        <w:t>Genetics and Crime Theories</w:t>
      </w:r>
      <w:bookmarkEnd w:id="0"/>
      <w:r w:rsidR="00976D37">
        <w:rPr>
          <w:sz w:val="24"/>
          <w:szCs w:val="24"/>
        </w:rPr>
        <w:t>……………………………………………………………………………………</w:t>
      </w:r>
      <w:r w:rsidR="00E0668D">
        <w:rPr>
          <w:sz w:val="24"/>
          <w:szCs w:val="24"/>
        </w:rPr>
        <w:t>.</w:t>
      </w:r>
      <w:r w:rsidR="00976D37">
        <w:rPr>
          <w:sz w:val="24"/>
          <w:szCs w:val="24"/>
        </w:rPr>
        <w:t>…</w:t>
      </w:r>
      <w:r w:rsidR="00D5159E">
        <w:rPr>
          <w:sz w:val="24"/>
          <w:szCs w:val="24"/>
        </w:rPr>
        <w:t>5-7</w:t>
      </w:r>
    </w:p>
    <w:p w14:paraId="3C12DE06" w14:textId="30F13DAF" w:rsidR="00903747" w:rsidRPr="00976D37" w:rsidRDefault="00903747" w:rsidP="00685CBE">
      <w:pPr>
        <w:spacing w:line="240" w:lineRule="auto"/>
        <w:rPr>
          <w:sz w:val="24"/>
          <w:szCs w:val="24"/>
        </w:rPr>
      </w:pPr>
      <w:r w:rsidRPr="00F25394">
        <w:rPr>
          <w:rFonts w:cstheme="minorHAnsi"/>
          <w:sz w:val="24"/>
          <w:szCs w:val="24"/>
          <w:shd w:val="clear" w:color="auto" w:fill="FFFFFF"/>
        </w:rPr>
        <w:t>2.3 Social Reaction and Social Constructionism Theories</w:t>
      </w:r>
      <w:r w:rsidR="00976D37">
        <w:rPr>
          <w:sz w:val="24"/>
          <w:szCs w:val="24"/>
        </w:rPr>
        <w:t>…………………………………………………</w:t>
      </w:r>
      <w:r w:rsidR="00D5159E">
        <w:rPr>
          <w:sz w:val="24"/>
          <w:szCs w:val="24"/>
        </w:rPr>
        <w:t>8-10</w:t>
      </w:r>
    </w:p>
    <w:p w14:paraId="3ADC5888" w14:textId="47B33961" w:rsidR="00903747" w:rsidRPr="00976D37" w:rsidRDefault="00903747" w:rsidP="00685CBE">
      <w:pPr>
        <w:spacing w:line="240" w:lineRule="auto"/>
        <w:rPr>
          <w:sz w:val="24"/>
          <w:szCs w:val="24"/>
        </w:rPr>
      </w:pPr>
      <w:r w:rsidRPr="00F25394">
        <w:rPr>
          <w:rFonts w:cstheme="minorHAnsi"/>
          <w:sz w:val="24"/>
          <w:szCs w:val="24"/>
          <w:shd w:val="clear" w:color="auto" w:fill="FFFFFF"/>
        </w:rPr>
        <w:t xml:space="preserve">2.4 Anti-Social Behaviour Statistics and the Offenders </w:t>
      </w:r>
      <w:r w:rsidR="00976D37">
        <w:rPr>
          <w:sz w:val="24"/>
          <w:szCs w:val="24"/>
        </w:rPr>
        <w:t>………………………………………………</w:t>
      </w:r>
      <w:r w:rsidR="00D5159E">
        <w:rPr>
          <w:sz w:val="24"/>
          <w:szCs w:val="24"/>
        </w:rPr>
        <w:t>….10-12</w:t>
      </w:r>
    </w:p>
    <w:p w14:paraId="323D36C5" w14:textId="093E5710" w:rsidR="00903747" w:rsidRPr="00976D37" w:rsidRDefault="00903747" w:rsidP="00685CBE">
      <w:pPr>
        <w:spacing w:line="240" w:lineRule="auto"/>
        <w:rPr>
          <w:sz w:val="24"/>
          <w:szCs w:val="24"/>
        </w:rPr>
      </w:pPr>
      <w:bookmarkStart w:id="1" w:name="_Hlk93693983"/>
      <w:r w:rsidRPr="00F25394">
        <w:rPr>
          <w:rFonts w:cstheme="minorHAnsi"/>
          <w:sz w:val="24"/>
          <w:szCs w:val="24"/>
          <w:shd w:val="clear" w:color="auto" w:fill="FFFFFF"/>
        </w:rPr>
        <w:t>2.5 The Effectiveness of Anti-social Behaviour Legislation and Prevention Efforts</w:t>
      </w:r>
      <w:r w:rsidR="00976D37">
        <w:rPr>
          <w:sz w:val="24"/>
          <w:szCs w:val="24"/>
        </w:rPr>
        <w:t>………</w:t>
      </w:r>
      <w:r w:rsidR="00E0668D">
        <w:rPr>
          <w:sz w:val="24"/>
          <w:szCs w:val="24"/>
        </w:rPr>
        <w:t>…</w:t>
      </w:r>
      <w:r w:rsidR="00D5159E">
        <w:rPr>
          <w:sz w:val="24"/>
          <w:szCs w:val="24"/>
        </w:rPr>
        <w:t>12-</w:t>
      </w:r>
      <w:r w:rsidR="00E0668D">
        <w:rPr>
          <w:sz w:val="24"/>
          <w:szCs w:val="24"/>
        </w:rPr>
        <w:t>14</w:t>
      </w:r>
    </w:p>
    <w:bookmarkEnd w:id="1"/>
    <w:p w14:paraId="716AE37A" w14:textId="5A15055B" w:rsidR="00903747" w:rsidRPr="00976D37" w:rsidRDefault="00903747" w:rsidP="00685CBE">
      <w:pPr>
        <w:spacing w:line="240" w:lineRule="auto"/>
        <w:rPr>
          <w:sz w:val="24"/>
          <w:szCs w:val="24"/>
        </w:rPr>
      </w:pPr>
      <w:r w:rsidRPr="00F25394">
        <w:rPr>
          <w:rFonts w:cstheme="minorHAnsi"/>
          <w:sz w:val="24"/>
          <w:szCs w:val="24"/>
          <w:shd w:val="clear" w:color="auto" w:fill="FFFFFF"/>
        </w:rPr>
        <w:t>2.6 Conclusion</w:t>
      </w:r>
      <w:r w:rsidR="00976D37">
        <w:rPr>
          <w:sz w:val="24"/>
          <w:szCs w:val="24"/>
        </w:rPr>
        <w:t>………………………………………………………………………………………………………</w:t>
      </w:r>
      <w:r w:rsidR="00223F03">
        <w:rPr>
          <w:sz w:val="24"/>
          <w:szCs w:val="24"/>
        </w:rPr>
        <w:t>…………</w:t>
      </w:r>
      <w:r w:rsidR="00E0668D">
        <w:rPr>
          <w:sz w:val="24"/>
          <w:szCs w:val="24"/>
        </w:rPr>
        <w:t>….14</w:t>
      </w:r>
    </w:p>
    <w:p w14:paraId="49512D1C" w14:textId="3B7410B9" w:rsidR="00903747" w:rsidRPr="00976D37" w:rsidRDefault="00903747" w:rsidP="00685CBE">
      <w:pPr>
        <w:spacing w:line="240" w:lineRule="auto"/>
        <w:rPr>
          <w:sz w:val="24"/>
          <w:szCs w:val="24"/>
        </w:rPr>
      </w:pPr>
      <w:r w:rsidRPr="009C7C8B">
        <w:rPr>
          <w:b/>
          <w:bCs/>
          <w:color w:val="0070C0"/>
          <w:sz w:val="24"/>
          <w:szCs w:val="24"/>
        </w:rPr>
        <w:t>Chapter Three: Methodology</w:t>
      </w:r>
      <w:r w:rsidR="00976D37" w:rsidRPr="00223F03">
        <w:rPr>
          <w:color w:val="0070C0"/>
          <w:sz w:val="24"/>
          <w:szCs w:val="24"/>
        </w:rPr>
        <w:t>…………………………………………………………………………………</w:t>
      </w:r>
      <w:r w:rsidR="00223F03">
        <w:rPr>
          <w:color w:val="0070C0"/>
          <w:sz w:val="24"/>
          <w:szCs w:val="24"/>
        </w:rPr>
        <w:t>…………</w:t>
      </w:r>
      <w:r w:rsidR="00E0668D">
        <w:rPr>
          <w:color w:val="0070C0"/>
          <w:sz w:val="24"/>
          <w:szCs w:val="24"/>
        </w:rPr>
        <w:t>.</w:t>
      </w:r>
      <w:r w:rsidR="00E0668D" w:rsidRPr="009C7C8B">
        <w:rPr>
          <w:b/>
          <w:bCs/>
          <w:color w:val="0070C0"/>
          <w:sz w:val="24"/>
          <w:szCs w:val="24"/>
        </w:rPr>
        <w:t>15</w:t>
      </w:r>
    </w:p>
    <w:p w14:paraId="4A3C55A6" w14:textId="076EAE5E" w:rsidR="00903747" w:rsidRPr="00F25394" w:rsidRDefault="00903747" w:rsidP="00685CBE">
      <w:pPr>
        <w:spacing w:line="240" w:lineRule="auto"/>
        <w:rPr>
          <w:sz w:val="24"/>
          <w:szCs w:val="24"/>
        </w:rPr>
      </w:pPr>
      <w:r w:rsidRPr="00F25394">
        <w:rPr>
          <w:sz w:val="24"/>
          <w:szCs w:val="24"/>
        </w:rPr>
        <w:t>3.1 Introduction</w:t>
      </w:r>
      <w:r w:rsidR="00976D37">
        <w:rPr>
          <w:sz w:val="24"/>
          <w:szCs w:val="24"/>
        </w:rPr>
        <w:t>………………………………………………………………………………………………………</w:t>
      </w:r>
      <w:r w:rsidR="00223F03">
        <w:rPr>
          <w:sz w:val="24"/>
          <w:szCs w:val="24"/>
        </w:rPr>
        <w:t>………….</w:t>
      </w:r>
      <w:r w:rsidR="00E0668D">
        <w:rPr>
          <w:sz w:val="24"/>
          <w:szCs w:val="24"/>
        </w:rPr>
        <w:t>15</w:t>
      </w:r>
    </w:p>
    <w:p w14:paraId="07AEB047" w14:textId="371B17A8" w:rsidR="00903747" w:rsidRPr="00F25394" w:rsidRDefault="00903747" w:rsidP="004E54A7">
      <w:pPr>
        <w:spacing w:line="240" w:lineRule="auto"/>
        <w:ind w:firstLine="720"/>
        <w:rPr>
          <w:sz w:val="24"/>
          <w:szCs w:val="24"/>
        </w:rPr>
      </w:pPr>
      <w:r w:rsidRPr="00F25394">
        <w:rPr>
          <w:sz w:val="24"/>
          <w:szCs w:val="24"/>
        </w:rPr>
        <w:t>3.2.1 Research Onion</w:t>
      </w:r>
      <w:r w:rsidR="00976D37">
        <w:rPr>
          <w:sz w:val="24"/>
          <w:szCs w:val="24"/>
        </w:rPr>
        <w:t>………………………………………………………………………………………</w:t>
      </w:r>
      <w:r w:rsidR="00E0668D">
        <w:rPr>
          <w:sz w:val="24"/>
          <w:szCs w:val="24"/>
        </w:rPr>
        <w:t>..</w:t>
      </w:r>
      <w:r w:rsidR="004E54A7">
        <w:rPr>
          <w:sz w:val="24"/>
          <w:szCs w:val="24"/>
        </w:rPr>
        <w:t>.</w:t>
      </w:r>
      <w:r w:rsidR="00E0668D">
        <w:rPr>
          <w:sz w:val="24"/>
          <w:szCs w:val="24"/>
        </w:rPr>
        <w:t>15-16</w:t>
      </w:r>
    </w:p>
    <w:p w14:paraId="53AD47A4" w14:textId="1D5F5FCA" w:rsidR="00903747" w:rsidRPr="00F25394" w:rsidRDefault="00903747" w:rsidP="00976D37">
      <w:pPr>
        <w:spacing w:line="240" w:lineRule="auto"/>
        <w:ind w:firstLine="720"/>
        <w:rPr>
          <w:sz w:val="24"/>
          <w:szCs w:val="24"/>
        </w:rPr>
      </w:pPr>
      <w:r w:rsidRPr="00F25394">
        <w:rPr>
          <w:sz w:val="24"/>
          <w:szCs w:val="24"/>
        </w:rPr>
        <w:t>3.2.2 Research Philosophy</w:t>
      </w:r>
      <w:r w:rsidR="00976D37">
        <w:rPr>
          <w:sz w:val="24"/>
          <w:szCs w:val="24"/>
        </w:rPr>
        <w:t>………………………………………………………………………………</w:t>
      </w:r>
      <w:r w:rsidR="00E0668D">
        <w:rPr>
          <w:sz w:val="24"/>
          <w:szCs w:val="24"/>
        </w:rPr>
        <w:t>..</w:t>
      </w:r>
      <w:r w:rsidR="00223F03">
        <w:rPr>
          <w:sz w:val="24"/>
          <w:szCs w:val="24"/>
        </w:rPr>
        <w:t>.</w:t>
      </w:r>
      <w:r w:rsidR="00E0668D">
        <w:rPr>
          <w:sz w:val="24"/>
          <w:szCs w:val="24"/>
        </w:rPr>
        <w:t>16-17</w:t>
      </w:r>
    </w:p>
    <w:p w14:paraId="39A25318" w14:textId="472A330F" w:rsidR="00903747" w:rsidRPr="00F25394" w:rsidRDefault="00903747" w:rsidP="00976D37">
      <w:pPr>
        <w:spacing w:line="240" w:lineRule="auto"/>
        <w:ind w:firstLine="720"/>
        <w:rPr>
          <w:sz w:val="24"/>
          <w:szCs w:val="24"/>
        </w:rPr>
      </w:pPr>
      <w:r w:rsidRPr="00F25394">
        <w:rPr>
          <w:sz w:val="24"/>
          <w:szCs w:val="24"/>
        </w:rPr>
        <w:t>3.2.3 Research Approach</w:t>
      </w:r>
      <w:r w:rsidR="00976D37">
        <w:rPr>
          <w:sz w:val="24"/>
          <w:szCs w:val="24"/>
        </w:rPr>
        <w:t>……………………………………………………………………………………</w:t>
      </w:r>
      <w:r w:rsidR="00E0668D">
        <w:rPr>
          <w:sz w:val="24"/>
          <w:szCs w:val="24"/>
        </w:rPr>
        <w:t>17-18</w:t>
      </w:r>
    </w:p>
    <w:p w14:paraId="235A8481" w14:textId="58B58C79" w:rsidR="00903747" w:rsidRPr="00F25394" w:rsidRDefault="00903747" w:rsidP="00976D37">
      <w:pPr>
        <w:spacing w:line="240" w:lineRule="auto"/>
        <w:ind w:firstLine="720"/>
        <w:rPr>
          <w:sz w:val="24"/>
          <w:szCs w:val="24"/>
        </w:rPr>
      </w:pPr>
      <w:r w:rsidRPr="00F25394">
        <w:rPr>
          <w:sz w:val="24"/>
          <w:szCs w:val="24"/>
        </w:rPr>
        <w:t>3.2.4 Strategies, Techniques and Procedures of the Research</w:t>
      </w:r>
      <w:r w:rsidR="00976D37">
        <w:rPr>
          <w:sz w:val="24"/>
          <w:szCs w:val="24"/>
        </w:rPr>
        <w:t>……………………………</w:t>
      </w:r>
      <w:r w:rsidR="00E0668D">
        <w:rPr>
          <w:sz w:val="24"/>
          <w:szCs w:val="24"/>
        </w:rPr>
        <w:t>18-19</w:t>
      </w:r>
    </w:p>
    <w:p w14:paraId="629A18F6" w14:textId="2269ADB4" w:rsidR="00903747" w:rsidRPr="00F25394" w:rsidRDefault="00903747" w:rsidP="00976D37">
      <w:pPr>
        <w:spacing w:line="240" w:lineRule="auto"/>
        <w:ind w:firstLine="720"/>
        <w:rPr>
          <w:sz w:val="24"/>
          <w:szCs w:val="24"/>
        </w:rPr>
      </w:pPr>
      <w:r w:rsidRPr="00F25394">
        <w:rPr>
          <w:sz w:val="24"/>
          <w:szCs w:val="24"/>
        </w:rPr>
        <w:t>3.2.5 Choices</w:t>
      </w:r>
      <w:r w:rsidR="00976D37">
        <w:rPr>
          <w:sz w:val="24"/>
          <w:szCs w:val="24"/>
        </w:rPr>
        <w:t>…………………………………………………………………………………………</w:t>
      </w:r>
      <w:r w:rsidR="00E0668D">
        <w:rPr>
          <w:sz w:val="24"/>
          <w:szCs w:val="24"/>
        </w:rPr>
        <w:t>…</w:t>
      </w:r>
      <w:r w:rsidR="00976D37">
        <w:rPr>
          <w:sz w:val="24"/>
          <w:szCs w:val="24"/>
        </w:rPr>
        <w:t>…</w:t>
      </w:r>
      <w:r w:rsidR="00223F03">
        <w:rPr>
          <w:sz w:val="24"/>
          <w:szCs w:val="24"/>
        </w:rPr>
        <w:t>……..</w:t>
      </w:r>
      <w:r w:rsidR="00E0668D">
        <w:rPr>
          <w:sz w:val="24"/>
          <w:szCs w:val="24"/>
        </w:rPr>
        <w:t>19-20</w:t>
      </w:r>
    </w:p>
    <w:p w14:paraId="4CBC75E0" w14:textId="4A8318C2" w:rsidR="00903747" w:rsidRPr="00F25394" w:rsidRDefault="00903747" w:rsidP="00976D37">
      <w:pPr>
        <w:spacing w:line="240" w:lineRule="auto"/>
        <w:ind w:firstLine="720"/>
        <w:rPr>
          <w:sz w:val="24"/>
          <w:szCs w:val="24"/>
        </w:rPr>
      </w:pPr>
      <w:r w:rsidRPr="00F25394">
        <w:rPr>
          <w:sz w:val="24"/>
          <w:szCs w:val="24"/>
        </w:rPr>
        <w:t>3.2.6 Time Horizons</w:t>
      </w:r>
      <w:r w:rsidR="00976D37">
        <w:rPr>
          <w:sz w:val="24"/>
          <w:szCs w:val="24"/>
        </w:rPr>
        <w:t>………………………………………………………………………………</w:t>
      </w:r>
      <w:r w:rsidR="00223F03">
        <w:rPr>
          <w:sz w:val="24"/>
          <w:szCs w:val="24"/>
        </w:rPr>
        <w:t>…</w:t>
      </w:r>
      <w:r w:rsidR="00E0668D">
        <w:rPr>
          <w:sz w:val="24"/>
          <w:szCs w:val="24"/>
        </w:rPr>
        <w:t>…………</w:t>
      </w:r>
      <w:r w:rsidR="00223F03">
        <w:rPr>
          <w:sz w:val="24"/>
          <w:szCs w:val="24"/>
        </w:rPr>
        <w:t>…..</w:t>
      </w:r>
      <w:r w:rsidR="00E0668D">
        <w:rPr>
          <w:sz w:val="24"/>
          <w:szCs w:val="24"/>
        </w:rPr>
        <w:t>20</w:t>
      </w:r>
    </w:p>
    <w:p w14:paraId="7502EA6A" w14:textId="212AED43" w:rsidR="00903747" w:rsidRDefault="00903747" w:rsidP="00685CBE">
      <w:pPr>
        <w:spacing w:line="240" w:lineRule="auto"/>
        <w:rPr>
          <w:sz w:val="24"/>
          <w:szCs w:val="24"/>
        </w:rPr>
      </w:pPr>
      <w:r w:rsidRPr="00F25394">
        <w:rPr>
          <w:sz w:val="24"/>
          <w:szCs w:val="24"/>
        </w:rPr>
        <w:t>3.3 Ethical Considerations</w:t>
      </w:r>
      <w:r w:rsidR="00976D37">
        <w:rPr>
          <w:sz w:val="24"/>
          <w:szCs w:val="24"/>
        </w:rPr>
        <w:t>……………………………………………………………………………………</w:t>
      </w:r>
      <w:r w:rsidR="00E0668D">
        <w:rPr>
          <w:sz w:val="24"/>
          <w:szCs w:val="24"/>
        </w:rPr>
        <w:t>….</w:t>
      </w:r>
      <w:r w:rsidR="00223F03">
        <w:rPr>
          <w:sz w:val="24"/>
          <w:szCs w:val="24"/>
        </w:rPr>
        <w:t>…….</w:t>
      </w:r>
      <w:r w:rsidR="00E0668D">
        <w:rPr>
          <w:sz w:val="24"/>
          <w:szCs w:val="24"/>
        </w:rPr>
        <w:t>20-21</w:t>
      </w:r>
    </w:p>
    <w:p w14:paraId="06DCE940" w14:textId="50FF62E4" w:rsidR="00E0668D" w:rsidRDefault="00E0668D" w:rsidP="00685CBE">
      <w:pPr>
        <w:spacing w:line="240" w:lineRule="auto"/>
        <w:rPr>
          <w:sz w:val="24"/>
          <w:szCs w:val="24"/>
        </w:rPr>
      </w:pPr>
      <w:r>
        <w:rPr>
          <w:sz w:val="24"/>
          <w:szCs w:val="24"/>
        </w:rPr>
        <w:t>3.4 Limitations……………………………………………………………………………………………………………</w:t>
      </w:r>
      <w:r w:rsidR="009B4699">
        <w:rPr>
          <w:sz w:val="24"/>
          <w:szCs w:val="24"/>
        </w:rPr>
        <w:t>….21-22</w:t>
      </w:r>
    </w:p>
    <w:p w14:paraId="276943B5" w14:textId="22C4DE85" w:rsidR="00E0668D" w:rsidRPr="00F25394" w:rsidRDefault="00E0668D" w:rsidP="00685CBE">
      <w:pPr>
        <w:spacing w:line="240" w:lineRule="auto"/>
        <w:rPr>
          <w:sz w:val="24"/>
          <w:szCs w:val="24"/>
        </w:rPr>
      </w:pPr>
      <w:r>
        <w:rPr>
          <w:sz w:val="24"/>
          <w:szCs w:val="24"/>
        </w:rPr>
        <w:t>3.5 Summary……………………………………………………………………………………………………………………</w:t>
      </w:r>
      <w:r w:rsidR="009B4699">
        <w:rPr>
          <w:sz w:val="24"/>
          <w:szCs w:val="24"/>
        </w:rPr>
        <w:t>…22</w:t>
      </w:r>
    </w:p>
    <w:p w14:paraId="7458C847" w14:textId="3C11ED28" w:rsidR="00903747" w:rsidRPr="00976D37" w:rsidRDefault="00903747" w:rsidP="00685CBE">
      <w:pPr>
        <w:spacing w:line="240" w:lineRule="auto"/>
        <w:rPr>
          <w:sz w:val="24"/>
          <w:szCs w:val="24"/>
        </w:rPr>
      </w:pPr>
      <w:r w:rsidRPr="009C7C8B">
        <w:rPr>
          <w:b/>
          <w:bCs/>
          <w:color w:val="0070C0"/>
          <w:sz w:val="24"/>
          <w:szCs w:val="24"/>
        </w:rPr>
        <w:t>Chapter Four: Findings &amp; Data Analysis</w:t>
      </w:r>
      <w:r w:rsidR="00976D37" w:rsidRPr="00223F03">
        <w:rPr>
          <w:color w:val="0070C0"/>
          <w:sz w:val="24"/>
          <w:szCs w:val="24"/>
        </w:rPr>
        <w:t>…………………………………………………………………………</w:t>
      </w:r>
      <w:r w:rsidR="009C7C8B">
        <w:rPr>
          <w:color w:val="0070C0"/>
          <w:sz w:val="24"/>
          <w:szCs w:val="24"/>
        </w:rPr>
        <w:t>.</w:t>
      </w:r>
      <w:r w:rsidR="007D4256">
        <w:rPr>
          <w:color w:val="0070C0"/>
          <w:sz w:val="24"/>
          <w:szCs w:val="24"/>
        </w:rPr>
        <w:t>…</w:t>
      </w:r>
      <w:r w:rsidR="007D4256" w:rsidRPr="009C7C8B">
        <w:rPr>
          <w:b/>
          <w:bCs/>
          <w:color w:val="0070C0"/>
          <w:sz w:val="24"/>
          <w:szCs w:val="24"/>
        </w:rPr>
        <w:t>23</w:t>
      </w:r>
    </w:p>
    <w:p w14:paraId="0D0839A4" w14:textId="5D46F8C4" w:rsidR="00903747" w:rsidRPr="00F25394" w:rsidRDefault="00903747" w:rsidP="00685CBE">
      <w:pPr>
        <w:spacing w:line="240" w:lineRule="auto"/>
        <w:rPr>
          <w:sz w:val="24"/>
          <w:szCs w:val="24"/>
        </w:rPr>
      </w:pPr>
      <w:r w:rsidRPr="00F25394">
        <w:rPr>
          <w:sz w:val="24"/>
          <w:szCs w:val="24"/>
        </w:rPr>
        <w:t>4.1 Introduction</w:t>
      </w:r>
      <w:r w:rsidR="00976D37">
        <w:rPr>
          <w:sz w:val="24"/>
          <w:szCs w:val="24"/>
        </w:rPr>
        <w:t>………………………………………………………………………………………………………</w:t>
      </w:r>
      <w:r w:rsidR="00223F03">
        <w:rPr>
          <w:sz w:val="24"/>
          <w:szCs w:val="24"/>
        </w:rPr>
        <w:t>………</w:t>
      </w:r>
      <w:r w:rsidR="007D4256">
        <w:rPr>
          <w:sz w:val="24"/>
          <w:szCs w:val="24"/>
        </w:rPr>
        <w:t>….23</w:t>
      </w:r>
    </w:p>
    <w:p w14:paraId="0F980726" w14:textId="70066F36" w:rsidR="00903747" w:rsidRPr="00F25394" w:rsidRDefault="00903747" w:rsidP="00976D37">
      <w:pPr>
        <w:spacing w:line="240" w:lineRule="auto"/>
        <w:rPr>
          <w:sz w:val="24"/>
          <w:szCs w:val="24"/>
        </w:rPr>
      </w:pPr>
      <w:r w:rsidRPr="00F25394">
        <w:rPr>
          <w:sz w:val="24"/>
          <w:szCs w:val="24"/>
        </w:rPr>
        <w:t>4.2 Data Analysis</w:t>
      </w:r>
      <w:r w:rsidR="00976D37">
        <w:rPr>
          <w:sz w:val="24"/>
          <w:szCs w:val="24"/>
        </w:rPr>
        <w:t>……………………………………………………………………</w:t>
      </w:r>
      <w:r w:rsidR="007D4256">
        <w:rPr>
          <w:sz w:val="24"/>
          <w:szCs w:val="24"/>
        </w:rPr>
        <w:t>..</w:t>
      </w:r>
      <w:r w:rsidR="00976D37">
        <w:rPr>
          <w:sz w:val="24"/>
          <w:szCs w:val="24"/>
        </w:rPr>
        <w:t>…………………</w:t>
      </w:r>
      <w:r w:rsidR="00223F03">
        <w:rPr>
          <w:sz w:val="24"/>
          <w:szCs w:val="24"/>
        </w:rPr>
        <w:t>…</w:t>
      </w:r>
      <w:r w:rsidR="007D4256">
        <w:rPr>
          <w:sz w:val="24"/>
          <w:szCs w:val="24"/>
        </w:rPr>
        <w:t>……..</w:t>
      </w:r>
      <w:r w:rsidR="00223F03">
        <w:rPr>
          <w:sz w:val="24"/>
          <w:szCs w:val="24"/>
        </w:rPr>
        <w:t>……….</w:t>
      </w:r>
      <w:r w:rsidR="007D4256">
        <w:rPr>
          <w:sz w:val="24"/>
          <w:szCs w:val="24"/>
        </w:rPr>
        <w:t>23-24</w:t>
      </w:r>
    </w:p>
    <w:p w14:paraId="5656E39E" w14:textId="23EA7D2B" w:rsidR="00903747" w:rsidRPr="00F25394" w:rsidRDefault="00903747" w:rsidP="00685CBE">
      <w:pPr>
        <w:spacing w:line="240" w:lineRule="auto"/>
        <w:rPr>
          <w:sz w:val="24"/>
          <w:szCs w:val="24"/>
        </w:rPr>
      </w:pPr>
      <w:r w:rsidRPr="00F25394">
        <w:rPr>
          <w:sz w:val="24"/>
          <w:szCs w:val="24"/>
        </w:rPr>
        <w:t>4.3 Descriptive Statistics</w:t>
      </w:r>
      <w:r w:rsidR="00976D37">
        <w:rPr>
          <w:sz w:val="24"/>
          <w:szCs w:val="24"/>
        </w:rPr>
        <w:t>…………………………………………………………………………………………</w:t>
      </w:r>
      <w:r w:rsidR="007D4256">
        <w:rPr>
          <w:sz w:val="24"/>
          <w:szCs w:val="24"/>
        </w:rPr>
        <w:t>…</w:t>
      </w:r>
      <w:r w:rsidR="00976D37">
        <w:rPr>
          <w:sz w:val="24"/>
          <w:szCs w:val="24"/>
        </w:rPr>
        <w:t>……….</w:t>
      </w:r>
      <w:r w:rsidR="007D4256">
        <w:rPr>
          <w:sz w:val="24"/>
          <w:szCs w:val="24"/>
        </w:rPr>
        <w:t>24</w:t>
      </w:r>
    </w:p>
    <w:p w14:paraId="5E6701AF" w14:textId="68000380" w:rsidR="00903747" w:rsidRPr="00F25394" w:rsidRDefault="00903747" w:rsidP="004E54A7">
      <w:pPr>
        <w:spacing w:line="240" w:lineRule="auto"/>
        <w:ind w:firstLine="720"/>
        <w:rPr>
          <w:sz w:val="24"/>
          <w:szCs w:val="24"/>
        </w:rPr>
      </w:pPr>
      <w:r w:rsidRPr="00F25394">
        <w:rPr>
          <w:sz w:val="24"/>
          <w:szCs w:val="24"/>
        </w:rPr>
        <w:t>4.4.1 Analysis</w:t>
      </w:r>
      <w:r w:rsidR="00976D37">
        <w:rPr>
          <w:sz w:val="24"/>
          <w:szCs w:val="24"/>
        </w:rPr>
        <w:t>………………………………………………………………………………………………………</w:t>
      </w:r>
      <w:r w:rsidR="004E54A7">
        <w:rPr>
          <w:sz w:val="24"/>
          <w:szCs w:val="24"/>
        </w:rPr>
        <w:t>…</w:t>
      </w:r>
      <w:r w:rsidR="007D4256">
        <w:rPr>
          <w:sz w:val="24"/>
          <w:szCs w:val="24"/>
        </w:rPr>
        <w:t>.24</w:t>
      </w:r>
    </w:p>
    <w:p w14:paraId="30B875E2" w14:textId="77777777" w:rsidR="00903747" w:rsidRPr="00F25394" w:rsidRDefault="00903747" w:rsidP="00685CBE">
      <w:pPr>
        <w:spacing w:line="240" w:lineRule="auto"/>
        <w:rPr>
          <w:sz w:val="24"/>
          <w:szCs w:val="24"/>
        </w:rPr>
      </w:pPr>
      <w:r w:rsidRPr="00F25394">
        <w:rPr>
          <w:sz w:val="24"/>
          <w:szCs w:val="24"/>
        </w:rPr>
        <w:tab/>
        <w:t>4.4.2 Environment and Parenting</w:t>
      </w:r>
      <w:r w:rsidR="00976D37">
        <w:rPr>
          <w:sz w:val="24"/>
          <w:szCs w:val="24"/>
        </w:rPr>
        <w:t>……………………………………………………………</w:t>
      </w:r>
      <w:r w:rsidR="00223F03">
        <w:rPr>
          <w:sz w:val="24"/>
          <w:szCs w:val="24"/>
        </w:rPr>
        <w:t>…………</w:t>
      </w:r>
      <w:r w:rsidR="007D4256">
        <w:rPr>
          <w:sz w:val="24"/>
          <w:szCs w:val="24"/>
        </w:rPr>
        <w:t>24-27</w:t>
      </w:r>
    </w:p>
    <w:p w14:paraId="2F8F3ABD" w14:textId="07FAADCC" w:rsidR="00903747" w:rsidRPr="00F25394" w:rsidRDefault="00903747" w:rsidP="00976D37">
      <w:pPr>
        <w:spacing w:line="240" w:lineRule="auto"/>
        <w:ind w:firstLine="720"/>
        <w:rPr>
          <w:sz w:val="24"/>
          <w:szCs w:val="24"/>
        </w:rPr>
      </w:pPr>
      <w:r w:rsidRPr="00F25394">
        <w:rPr>
          <w:sz w:val="24"/>
          <w:szCs w:val="24"/>
        </w:rPr>
        <w:lastRenderedPageBreak/>
        <w:t>4.4.3 Biological influences on Crime</w:t>
      </w:r>
      <w:r w:rsidR="00976D37">
        <w:rPr>
          <w:sz w:val="24"/>
          <w:szCs w:val="24"/>
        </w:rPr>
        <w:t>…………………………………………………………………</w:t>
      </w:r>
      <w:r w:rsidR="007D4256">
        <w:rPr>
          <w:sz w:val="24"/>
          <w:szCs w:val="24"/>
        </w:rPr>
        <w:t>..27-30</w:t>
      </w:r>
    </w:p>
    <w:p w14:paraId="7B83C50A" w14:textId="50625EDE" w:rsidR="00682A65" w:rsidRDefault="00903747" w:rsidP="007D4256">
      <w:pPr>
        <w:spacing w:line="240" w:lineRule="auto"/>
        <w:ind w:firstLine="720"/>
        <w:rPr>
          <w:sz w:val="24"/>
          <w:szCs w:val="24"/>
        </w:rPr>
        <w:sectPr w:rsidR="00682A65" w:rsidSect="00682A65">
          <w:headerReference w:type="default" r:id="rId11"/>
          <w:pgSz w:w="11906" w:h="16838"/>
          <w:pgMar w:top="1440" w:right="1440" w:bottom="1440" w:left="1440" w:header="680" w:footer="680" w:gutter="0"/>
          <w:pgNumType w:fmt="upperRoman" w:start="0"/>
          <w:cols w:space="708"/>
          <w:titlePg/>
          <w:docGrid w:linePitch="360"/>
        </w:sectPr>
      </w:pPr>
      <w:r w:rsidRPr="00F25394">
        <w:rPr>
          <w:sz w:val="24"/>
          <w:szCs w:val="24"/>
        </w:rPr>
        <w:t>4.4.4 Anti-social Behaviour</w:t>
      </w:r>
      <w:r w:rsidR="00976D37">
        <w:rPr>
          <w:sz w:val="24"/>
          <w:szCs w:val="24"/>
        </w:rPr>
        <w:t>………………………………………………………………………………</w:t>
      </w:r>
      <w:r w:rsidR="00223F03">
        <w:rPr>
          <w:sz w:val="24"/>
          <w:szCs w:val="24"/>
        </w:rPr>
        <w:t>…</w:t>
      </w:r>
      <w:r w:rsidR="007D4256">
        <w:rPr>
          <w:sz w:val="24"/>
          <w:szCs w:val="24"/>
        </w:rPr>
        <w:t>30-32</w:t>
      </w:r>
    </w:p>
    <w:p w14:paraId="71BB1C78" w14:textId="5D1104E0" w:rsidR="00903747" w:rsidRPr="00F25394" w:rsidRDefault="00903747" w:rsidP="0006442A">
      <w:pPr>
        <w:spacing w:line="240" w:lineRule="auto"/>
        <w:ind w:firstLine="720"/>
        <w:rPr>
          <w:sz w:val="24"/>
          <w:szCs w:val="24"/>
        </w:rPr>
      </w:pPr>
      <w:r w:rsidRPr="00F25394">
        <w:rPr>
          <w:sz w:val="24"/>
          <w:szCs w:val="24"/>
        </w:rPr>
        <w:t>4.4.5 Other Authorities in relation to ASB</w:t>
      </w:r>
      <w:r w:rsidR="00976D37">
        <w:rPr>
          <w:sz w:val="24"/>
          <w:szCs w:val="24"/>
        </w:rPr>
        <w:t>……………………………………</w:t>
      </w:r>
      <w:r w:rsidR="0006442A">
        <w:rPr>
          <w:sz w:val="24"/>
          <w:szCs w:val="24"/>
        </w:rPr>
        <w:t>….</w:t>
      </w:r>
      <w:r w:rsidR="00976D37">
        <w:rPr>
          <w:sz w:val="24"/>
          <w:szCs w:val="24"/>
        </w:rPr>
        <w:t>……</w:t>
      </w:r>
      <w:r w:rsidR="0006442A">
        <w:rPr>
          <w:sz w:val="24"/>
          <w:szCs w:val="24"/>
        </w:rPr>
        <w:t>…</w:t>
      </w:r>
      <w:r w:rsidR="00976D37">
        <w:rPr>
          <w:sz w:val="24"/>
          <w:szCs w:val="24"/>
        </w:rPr>
        <w:t>…………</w:t>
      </w:r>
      <w:r w:rsidR="0006442A">
        <w:rPr>
          <w:sz w:val="24"/>
          <w:szCs w:val="24"/>
        </w:rPr>
        <w:t>32-33</w:t>
      </w:r>
    </w:p>
    <w:p w14:paraId="3240252D" w14:textId="193D75B4" w:rsidR="00903747" w:rsidRPr="00F25394" w:rsidRDefault="00903747" w:rsidP="00340F41">
      <w:pPr>
        <w:spacing w:line="240" w:lineRule="auto"/>
        <w:rPr>
          <w:sz w:val="24"/>
          <w:szCs w:val="24"/>
        </w:rPr>
      </w:pPr>
      <w:r w:rsidRPr="00F25394">
        <w:rPr>
          <w:sz w:val="24"/>
          <w:szCs w:val="24"/>
        </w:rPr>
        <w:t>4.</w:t>
      </w:r>
      <w:r w:rsidR="00340F41">
        <w:rPr>
          <w:sz w:val="24"/>
          <w:szCs w:val="24"/>
        </w:rPr>
        <w:t xml:space="preserve">5 </w:t>
      </w:r>
      <w:r w:rsidRPr="00F25394">
        <w:rPr>
          <w:sz w:val="24"/>
          <w:szCs w:val="24"/>
        </w:rPr>
        <w:t>Conclusion</w:t>
      </w:r>
      <w:r w:rsidR="00976D37">
        <w:rPr>
          <w:sz w:val="24"/>
          <w:szCs w:val="24"/>
        </w:rPr>
        <w:t>………………………………………………………………………………………………………</w:t>
      </w:r>
      <w:r w:rsidR="00223F03">
        <w:rPr>
          <w:sz w:val="24"/>
          <w:szCs w:val="24"/>
        </w:rPr>
        <w:t>…………….</w:t>
      </w:r>
      <w:r w:rsidR="0006442A">
        <w:rPr>
          <w:sz w:val="24"/>
          <w:szCs w:val="24"/>
        </w:rPr>
        <w:t>33</w:t>
      </w:r>
    </w:p>
    <w:p w14:paraId="0AF8AB42" w14:textId="4835ACF3" w:rsidR="00903747" w:rsidRPr="00223F03" w:rsidRDefault="00903747" w:rsidP="00685CBE">
      <w:pPr>
        <w:spacing w:line="240" w:lineRule="auto"/>
        <w:rPr>
          <w:color w:val="0070C0"/>
          <w:sz w:val="24"/>
          <w:szCs w:val="24"/>
        </w:rPr>
      </w:pPr>
      <w:r w:rsidRPr="009C7C8B">
        <w:rPr>
          <w:b/>
          <w:bCs/>
          <w:color w:val="0070C0"/>
          <w:sz w:val="24"/>
          <w:szCs w:val="24"/>
        </w:rPr>
        <w:t>Chapter Five: Conclusion</w:t>
      </w:r>
      <w:r w:rsidR="00223F03" w:rsidRPr="00223F03">
        <w:rPr>
          <w:color w:val="0070C0"/>
          <w:sz w:val="24"/>
          <w:szCs w:val="24"/>
        </w:rPr>
        <w:t>……………………………………………………………………………………………</w:t>
      </w:r>
      <w:r w:rsidR="009C7C8B">
        <w:rPr>
          <w:color w:val="0070C0"/>
          <w:sz w:val="24"/>
          <w:szCs w:val="24"/>
        </w:rPr>
        <w:t>..</w:t>
      </w:r>
      <w:r w:rsidR="00223F03" w:rsidRPr="00223F03">
        <w:rPr>
          <w:color w:val="0070C0"/>
          <w:sz w:val="24"/>
          <w:szCs w:val="24"/>
        </w:rPr>
        <w:t>……</w:t>
      </w:r>
      <w:r w:rsidR="00497DC7">
        <w:rPr>
          <w:color w:val="0070C0"/>
          <w:sz w:val="24"/>
          <w:szCs w:val="24"/>
        </w:rPr>
        <w:t>.</w:t>
      </w:r>
      <w:r w:rsidR="00497DC7" w:rsidRPr="009C7C8B">
        <w:rPr>
          <w:b/>
          <w:bCs/>
          <w:color w:val="0070C0"/>
          <w:sz w:val="24"/>
          <w:szCs w:val="24"/>
        </w:rPr>
        <w:t>34</w:t>
      </w:r>
    </w:p>
    <w:p w14:paraId="00CEC90A" w14:textId="7B3EA372" w:rsidR="00903747" w:rsidRPr="00F25394" w:rsidRDefault="00903747" w:rsidP="00685CBE">
      <w:pPr>
        <w:spacing w:line="240" w:lineRule="auto"/>
        <w:rPr>
          <w:sz w:val="24"/>
          <w:szCs w:val="24"/>
        </w:rPr>
      </w:pPr>
      <w:r w:rsidRPr="00F25394">
        <w:rPr>
          <w:rFonts w:cstheme="minorHAnsi"/>
          <w:sz w:val="24"/>
          <w:szCs w:val="24"/>
          <w:shd w:val="clear" w:color="auto" w:fill="FFFFFF"/>
        </w:rPr>
        <w:t>5.1</w:t>
      </w:r>
      <w:r w:rsidRPr="00F25394">
        <w:rPr>
          <w:sz w:val="24"/>
          <w:szCs w:val="24"/>
        </w:rPr>
        <w:t xml:space="preserve"> Main Findings</w:t>
      </w:r>
      <w:r w:rsidR="00223F03">
        <w:rPr>
          <w:sz w:val="24"/>
          <w:szCs w:val="24"/>
        </w:rPr>
        <w:t>…………………………………………………………………………………………………………</w:t>
      </w:r>
      <w:r w:rsidR="00497DC7">
        <w:rPr>
          <w:sz w:val="24"/>
          <w:szCs w:val="24"/>
        </w:rPr>
        <w:t>.34-35</w:t>
      </w:r>
    </w:p>
    <w:p w14:paraId="180331BE" w14:textId="126D875E" w:rsidR="00903747" w:rsidRPr="00F25394" w:rsidRDefault="00903747" w:rsidP="00685CBE">
      <w:pPr>
        <w:spacing w:line="240" w:lineRule="auto"/>
        <w:rPr>
          <w:sz w:val="24"/>
          <w:szCs w:val="24"/>
        </w:rPr>
      </w:pPr>
      <w:r w:rsidRPr="00F25394">
        <w:rPr>
          <w:sz w:val="24"/>
          <w:szCs w:val="24"/>
        </w:rPr>
        <w:t>5.2 Implication</w:t>
      </w:r>
      <w:bookmarkStart w:id="2" w:name="_Hlk99320280"/>
      <w:r w:rsidRPr="00F25394">
        <w:rPr>
          <w:sz w:val="24"/>
          <w:szCs w:val="24"/>
        </w:rPr>
        <w:t xml:space="preserve">s and </w:t>
      </w:r>
      <w:r w:rsidRPr="00F25394">
        <w:rPr>
          <w:rFonts w:cstheme="minorHAnsi"/>
          <w:sz w:val="24"/>
          <w:szCs w:val="24"/>
          <w:shd w:val="clear" w:color="auto" w:fill="FFFFFF"/>
        </w:rPr>
        <w:t>Recommendations to the Police</w:t>
      </w:r>
      <w:r w:rsidR="00223F03">
        <w:rPr>
          <w:sz w:val="24"/>
          <w:szCs w:val="24"/>
        </w:rPr>
        <w:t>………………………………………………</w:t>
      </w:r>
      <w:r w:rsidR="00497DC7">
        <w:rPr>
          <w:sz w:val="24"/>
          <w:szCs w:val="24"/>
        </w:rPr>
        <w:t>…</w:t>
      </w:r>
      <w:r w:rsidR="00223F03">
        <w:rPr>
          <w:sz w:val="24"/>
          <w:szCs w:val="24"/>
        </w:rPr>
        <w:t>…</w:t>
      </w:r>
      <w:r w:rsidR="00497DC7">
        <w:rPr>
          <w:sz w:val="24"/>
          <w:szCs w:val="24"/>
        </w:rPr>
        <w:t>35-36</w:t>
      </w:r>
    </w:p>
    <w:bookmarkEnd w:id="2"/>
    <w:p w14:paraId="5C4B29A7" w14:textId="5BE1AAF2" w:rsidR="00903747" w:rsidRPr="00223F03" w:rsidRDefault="00903747" w:rsidP="00685CBE">
      <w:pPr>
        <w:spacing w:line="240" w:lineRule="auto"/>
        <w:rPr>
          <w:sz w:val="24"/>
          <w:szCs w:val="24"/>
        </w:rPr>
      </w:pPr>
      <w:r w:rsidRPr="00F25394">
        <w:rPr>
          <w:rFonts w:cstheme="minorHAnsi"/>
          <w:sz w:val="24"/>
          <w:szCs w:val="24"/>
          <w:shd w:val="clear" w:color="auto" w:fill="FFFFFF"/>
        </w:rPr>
        <w:t>5.3 Limitations</w:t>
      </w:r>
      <w:r w:rsidR="00223F03">
        <w:rPr>
          <w:sz w:val="24"/>
          <w:szCs w:val="24"/>
        </w:rPr>
        <w:t>……………………………………………………………………………………………………………….</w:t>
      </w:r>
      <w:r w:rsidR="00497DC7">
        <w:rPr>
          <w:sz w:val="24"/>
          <w:szCs w:val="24"/>
        </w:rPr>
        <w:t>36-37</w:t>
      </w:r>
    </w:p>
    <w:p w14:paraId="07B2C410" w14:textId="145B63FC" w:rsidR="00223F03" w:rsidRPr="00F25394" w:rsidRDefault="00903747" w:rsidP="00223F03">
      <w:pPr>
        <w:spacing w:line="240" w:lineRule="auto"/>
        <w:rPr>
          <w:sz w:val="24"/>
          <w:szCs w:val="24"/>
        </w:rPr>
      </w:pPr>
      <w:r w:rsidRPr="00F25394">
        <w:rPr>
          <w:rFonts w:cstheme="minorHAnsi"/>
          <w:sz w:val="24"/>
          <w:szCs w:val="24"/>
          <w:shd w:val="clear" w:color="auto" w:fill="FFFFFF"/>
        </w:rPr>
        <w:t>5.</w:t>
      </w:r>
      <w:r w:rsidR="001B1913">
        <w:rPr>
          <w:rFonts w:cstheme="minorHAnsi"/>
          <w:sz w:val="24"/>
          <w:szCs w:val="24"/>
          <w:shd w:val="clear" w:color="auto" w:fill="FFFFFF"/>
        </w:rPr>
        <w:t>4</w:t>
      </w:r>
      <w:r w:rsidRPr="00F25394">
        <w:rPr>
          <w:rFonts w:cstheme="minorHAnsi"/>
          <w:sz w:val="24"/>
          <w:szCs w:val="24"/>
          <w:shd w:val="clear" w:color="auto" w:fill="FFFFFF"/>
        </w:rPr>
        <w:t xml:space="preserve"> Conclusion</w:t>
      </w:r>
      <w:r w:rsidR="00223F03">
        <w:rPr>
          <w:sz w:val="24"/>
          <w:szCs w:val="24"/>
        </w:rPr>
        <w:t>………………………………………………………………………………………………………………</w:t>
      </w:r>
      <w:r w:rsidR="00497DC7">
        <w:rPr>
          <w:sz w:val="24"/>
          <w:szCs w:val="24"/>
        </w:rPr>
        <w:t>….</w:t>
      </w:r>
      <w:r w:rsidR="00223F03">
        <w:rPr>
          <w:sz w:val="24"/>
          <w:szCs w:val="24"/>
        </w:rPr>
        <w:t>..</w:t>
      </w:r>
      <w:r w:rsidR="00497DC7">
        <w:rPr>
          <w:sz w:val="24"/>
          <w:szCs w:val="24"/>
        </w:rPr>
        <w:t>37</w:t>
      </w:r>
    </w:p>
    <w:p w14:paraId="6A61C4F6" w14:textId="1707733B" w:rsidR="00AB0960" w:rsidRPr="00223F03" w:rsidRDefault="00AB0960" w:rsidP="00685CBE">
      <w:pPr>
        <w:spacing w:line="240" w:lineRule="auto"/>
        <w:rPr>
          <w:color w:val="0070C0"/>
          <w:sz w:val="24"/>
          <w:szCs w:val="24"/>
        </w:rPr>
      </w:pPr>
      <w:r w:rsidRPr="009C7C8B">
        <w:rPr>
          <w:b/>
          <w:bCs/>
          <w:color w:val="0070C0"/>
          <w:sz w:val="24"/>
          <w:szCs w:val="24"/>
        </w:rPr>
        <w:t>Chapter Six: Reference List</w:t>
      </w:r>
      <w:r w:rsidR="00223F03" w:rsidRPr="00223F03">
        <w:rPr>
          <w:color w:val="0070C0"/>
          <w:sz w:val="24"/>
          <w:szCs w:val="24"/>
        </w:rPr>
        <w:t>………………………………………………………………………………</w:t>
      </w:r>
      <w:r w:rsidR="00497DC7">
        <w:rPr>
          <w:color w:val="0070C0"/>
          <w:sz w:val="24"/>
          <w:szCs w:val="24"/>
        </w:rPr>
        <w:t>…</w:t>
      </w:r>
      <w:r w:rsidR="00223F03" w:rsidRPr="00223F03">
        <w:rPr>
          <w:color w:val="0070C0"/>
          <w:sz w:val="24"/>
          <w:szCs w:val="24"/>
        </w:rPr>
        <w:t>…………</w:t>
      </w:r>
      <w:r w:rsidR="00497DC7" w:rsidRPr="009C7C8B">
        <w:rPr>
          <w:b/>
          <w:bCs/>
          <w:color w:val="0070C0"/>
          <w:sz w:val="24"/>
          <w:szCs w:val="24"/>
        </w:rPr>
        <w:t>38-49</w:t>
      </w:r>
    </w:p>
    <w:p w14:paraId="3CA4199D" w14:textId="07B1F8A3" w:rsidR="00AB0960" w:rsidRPr="00223F03" w:rsidRDefault="00AB0960" w:rsidP="00685CBE">
      <w:pPr>
        <w:spacing w:line="240" w:lineRule="auto"/>
        <w:rPr>
          <w:color w:val="0070C0"/>
          <w:sz w:val="24"/>
          <w:szCs w:val="24"/>
        </w:rPr>
      </w:pPr>
      <w:r w:rsidRPr="009C7C8B">
        <w:rPr>
          <w:b/>
          <w:bCs/>
          <w:color w:val="0070C0"/>
          <w:sz w:val="24"/>
          <w:szCs w:val="24"/>
        </w:rPr>
        <w:t>Chapter Seven: Appendices</w:t>
      </w:r>
      <w:r w:rsidR="00223F03" w:rsidRPr="00223F03">
        <w:rPr>
          <w:color w:val="0070C0"/>
          <w:sz w:val="24"/>
          <w:szCs w:val="24"/>
        </w:rPr>
        <w:t>…………………………………………………………………………………………</w:t>
      </w:r>
      <w:r w:rsidR="00497DC7">
        <w:rPr>
          <w:color w:val="0070C0"/>
          <w:sz w:val="24"/>
          <w:szCs w:val="24"/>
        </w:rPr>
        <w:t>.</w:t>
      </w:r>
      <w:r w:rsidR="00497DC7" w:rsidRPr="009C7C8B">
        <w:rPr>
          <w:b/>
          <w:bCs/>
          <w:color w:val="0070C0"/>
          <w:sz w:val="24"/>
          <w:szCs w:val="24"/>
        </w:rPr>
        <w:t>50-59</w:t>
      </w:r>
    </w:p>
    <w:p w14:paraId="7DAA47A7" w14:textId="77777777" w:rsidR="00903747" w:rsidRPr="00F25394" w:rsidRDefault="00903747" w:rsidP="00903747">
      <w:pPr>
        <w:rPr>
          <w:sz w:val="24"/>
          <w:szCs w:val="24"/>
        </w:rPr>
      </w:pPr>
    </w:p>
    <w:p w14:paraId="0C5837DD" w14:textId="77777777" w:rsidR="00903747" w:rsidRPr="00F25394" w:rsidRDefault="00903747" w:rsidP="00E12169">
      <w:pPr>
        <w:rPr>
          <w:sz w:val="28"/>
          <w:szCs w:val="28"/>
        </w:rPr>
      </w:pPr>
    </w:p>
    <w:p w14:paraId="2598C526" w14:textId="77777777" w:rsidR="00903747" w:rsidRPr="00F25394" w:rsidRDefault="00903747" w:rsidP="00E12169">
      <w:pPr>
        <w:rPr>
          <w:sz w:val="28"/>
          <w:szCs w:val="28"/>
        </w:rPr>
      </w:pPr>
    </w:p>
    <w:p w14:paraId="6829FC3F" w14:textId="77777777" w:rsidR="00903747" w:rsidRPr="00F25394" w:rsidRDefault="00903747" w:rsidP="00E12169">
      <w:pPr>
        <w:rPr>
          <w:color w:val="0070C0"/>
        </w:rPr>
      </w:pPr>
    </w:p>
    <w:p w14:paraId="0FB8D2CB" w14:textId="77777777" w:rsidR="00903747" w:rsidRPr="00F25394" w:rsidRDefault="00903747" w:rsidP="00E12169">
      <w:pPr>
        <w:rPr>
          <w:color w:val="0070C0"/>
        </w:rPr>
      </w:pPr>
    </w:p>
    <w:p w14:paraId="6A459FCD" w14:textId="77777777" w:rsidR="00FC4D35" w:rsidRPr="00F25394" w:rsidRDefault="00FC4D35" w:rsidP="00E12169">
      <w:pPr>
        <w:rPr>
          <w:color w:val="0070C0"/>
        </w:rPr>
      </w:pPr>
    </w:p>
    <w:p w14:paraId="6ABF7A10" w14:textId="77777777" w:rsidR="00FC4D35" w:rsidRPr="00F25394" w:rsidRDefault="00FC4D35" w:rsidP="00E12169">
      <w:pPr>
        <w:rPr>
          <w:color w:val="0070C0"/>
        </w:rPr>
      </w:pPr>
    </w:p>
    <w:p w14:paraId="67BD1677" w14:textId="77777777" w:rsidR="00FC4D35" w:rsidRPr="00F25394" w:rsidRDefault="00FC4D35" w:rsidP="00E12169">
      <w:pPr>
        <w:rPr>
          <w:color w:val="0070C0"/>
        </w:rPr>
      </w:pPr>
    </w:p>
    <w:p w14:paraId="7D89932D" w14:textId="77777777" w:rsidR="00FC4D35" w:rsidRDefault="00FC4D35" w:rsidP="00E12169">
      <w:pPr>
        <w:rPr>
          <w:b/>
          <w:bCs/>
          <w:color w:val="0070C0"/>
        </w:rPr>
      </w:pPr>
    </w:p>
    <w:p w14:paraId="2F7D7F01" w14:textId="77777777" w:rsidR="00FC4D35" w:rsidRDefault="00FC4D35" w:rsidP="00E12169">
      <w:pPr>
        <w:rPr>
          <w:b/>
          <w:bCs/>
          <w:color w:val="0070C0"/>
        </w:rPr>
      </w:pPr>
    </w:p>
    <w:p w14:paraId="09482B0C" w14:textId="77777777" w:rsidR="00FC4D35" w:rsidRDefault="00FC4D35" w:rsidP="00E12169">
      <w:pPr>
        <w:rPr>
          <w:b/>
          <w:bCs/>
          <w:color w:val="0070C0"/>
        </w:rPr>
      </w:pPr>
    </w:p>
    <w:p w14:paraId="3D210480" w14:textId="77777777" w:rsidR="00FC4D35" w:rsidRDefault="00FC4D35" w:rsidP="00E12169">
      <w:pPr>
        <w:rPr>
          <w:b/>
          <w:bCs/>
          <w:color w:val="0070C0"/>
        </w:rPr>
      </w:pPr>
    </w:p>
    <w:p w14:paraId="1142ED7D" w14:textId="77777777" w:rsidR="00FC4D35" w:rsidRDefault="00FC4D35" w:rsidP="00E12169">
      <w:pPr>
        <w:rPr>
          <w:b/>
          <w:bCs/>
          <w:color w:val="0070C0"/>
        </w:rPr>
      </w:pPr>
    </w:p>
    <w:p w14:paraId="6A479790" w14:textId="77777777" w:rsidR="00FC4D35" w:rsidRDefault="00FC4D35" w:rsidP="00E12169">
      <w:pPr>
        <w:rPr>
          <w:b/>
          <w:bCs/>
          <w:color w:val="0070C0"/>
        </w:rPr>
      </w:pPr>
    </w:p>
    <w:p w14:paraId="0E926A0B" w14:textId="77777777" w:rsidR="00FC4D35" w:rsidRDefault="00FC4D35" w:rsidP="00E12169">
      <w:pPr>
        <w:rPr>
          <w:b/>
          <w:bCs/>
          <w:color w:val="0070C0"/>
        </w:rPr>
      </w:pPr>
    </w:p>
    <w:p w14:paraId="2ED6CD3C" w14:textId="77777777" w:rsidR="00FC4D35" w:rsidRDefault="00FC4D35" w:rsidP="00E12169">
      <w:pPr>
        <w:rPr>
          <w:b/>
          <w:bCs/>
          <w:color w:val="0070C0"/>
        </w:rPr>
      </w:pPr>
    </w:p>
    <w:p w14:paraId="7DD35C55" w14:textId="77777777" w:rsidR="00FC4D35" w:rsidRDefault="00FC4D35" w:rsidP="00E12169">
      <w:pPr>
        <w:rPr>
          <w:b/>
          <w:bCs/>
          <w:color w:val="0070C0"/>
        </w:rPr>
      </w:pPr>
    </w:p>
    <w:p w14:paraId="5C95311A" w14:textId="77777777" w:rsidR="00AB0960" w:rsidRDefault="00AB0960" w:rsidP="00E12169">
      <w:pPr>
        <w:rPr>
          <w:b/>
          <w:bCs/>
          <w:color w:val="0070C0"/>
        </w:rPr>
      </w:pPr>
    </w:p>
    <w:p w14:paraId="2DF64DC1" w14:textId="77777777" w:rsidR="00685CBE" w:rsidRDefault="00685CBE" w:rsidP="00E12169">
      <w:pPr>
        <w:rPr>
          <w:b/>
          <w:bCs/>
          <w:color w:val="0070C0"/>
        </w:rPr>
      </w:pPr>
    </w:p>
    <w:p w14:paraId="326073D1" w14:textId="772866DB" w:rsidR="00912EE2" w:rsidRPr="003879E4" w:rsidRDefault="00E12169" w:rsidP="00DB3C2F">
      <w:pPr>
        <w:spacing w:line="480" w:lineRule="auto"/>
        <w:rPr>
          <w:rFonts w:cstheme="minorHAnsi"/>
          <w:b/>
          <w:bCs/>
          <w:color w:val="0070C0"/>
          <w:sz w:val="24"/>
          <w:szCs w:val="24"/>
        </w:rPr>
      </w:pPr>
      <w:r w:rsidRPr="003879E4">
        <w:rPr>
          <w:rFonts w:cstheme="minorHAnsi"/>
          <w:b/>
          <w:bCs/>
          <w:color w:val="0070C0"/>
          <w:sz w:val="24"/>
          <w:szCs w:val="24"/>
        </w:rPr>
        <w:lastRenderedPageBreak/>
        <w:t xml:space="preserve">Chapter One: </w:t>
      </w:r>
      <w:r w:rsidR="004254FD">
        <w:rPr>
          <w:rFonts w:cstheme="minorHAnsi"/>
          <w:b/>
          <w:bCs/>
          <w:color w:val="0070C0"/>
          <w:sz w:val="24"/>
          <w:szCs w:val="24"/>
        </w:rPr>
        <w:t xml:space="preserve">Introduction </w:t>
      </w:r>
    </w:p>
    <w:p w14:paraId="18F93B1E" w14:textId="2EE5E09C" w:rsidR="00E12169" w:rsidRPr="003879E4" w:rsidRDefault="00F725EE" w:rsidP="00DB3C2F">
      <w:pPr>
        <w:spacing w:line="480" w:lineRule="auto"/>
        <w:rPr>
          <w:rFonts w:cstheme="minorHAnsi"/>
          <w:sz w:val="24"/>
          <w:szCs w:val="24"/>
        </w:rPr>
      </w:pPr>
      <w:r w:rsidRPr="003879E4">
        <w:rPr>
          <w:rFonts w:cstheme="minorHAnsi"/>
          <w:sz w:val="24"/>
          <w:szCs w:val="24"/>
        </w:rPr>
        <w:t>1.1</w:t>
      </w:r>
      <w:r w:rsidRPr="003879E4">
        <w:rPr>
          <w:rFonts w:cstheme="minorHAnsi"/>
          <w:b/>
          <w:bCs/>
          <w:sz w:val="24"/>
          <w:szCs w:val="24"/>
        </w:rPr>
        <w:t xml:space="preserve"> </w:t>
      </w:r>
      <w:r w:rsidR="00E12169" w:rsidRPr="003879E4">
        <w:rPr>
          <w:rFonts w:cstheme="minorHAnsi"/>
          <w:b/>
          <w:bCs/>
          <w:sz w:val="24"/>
          <w:szCs w:val="24"/>
        </w:rPr>
        <w:t>Introduction</w:t>
      </w:r>
    </w:p>
    <w:p w14:paraId="0F16EFA0" w14:textId="77777777" w:rsidR="00CF01E3" w:rsidRPr="003879E4" w:rsidRDefault="00CF01E3" w:rsidP="00DB3C2F">
      <w:pPr>
        <w:spacing w:line="480" w:lineRule="auto"/>
        <w:rPr>
          <w:rFonts w:cstheme="minorHAnsi"/>
          <w:sz w:val="24"/>
          <w:szCs w:val="24"/>
        </w:rPr>
      </w:pPr>
      <w:r w:rsidRPr="003879E4">
        <w:rPr>
          <w:rFonts w:cstheme="minorHAnsi"/>
          <w:sz w:val="24"/>
          <w:szCs w:val="24"/>
        </w:rPr>
        <w:t>This dissertation aims to discover the relationship between the characteristics of criminals and the anti-social behaviour (ASB) being committed in Dyfed Powys. Dyfed Powys Police's number one priority is to prevent crime and safeguard vulnerable persons (Dyfed Powys Police, 2021a). Furthermore, Dyfed Powys Police have stated that Antisocial behaviour is a term that refers to a variety of seemingly insignificant concerns that can have many further consequences for societies (Dyfed Powys Police, 2021b).</w:t>
      </w:r>
    </w:p>
    <w:p w14:paraId="411E24C2" w14:textId="25CC172D" w:rsidR="00CF01E3" w:rsidRPr="003879E4" w:rsidRDefault="00CF01E3" w:rsidP="00DB3C2F">
      <w:pPr>
        <w:spacing w:line="480" w:lineRule="auto"/>
        <w:ind w:firstLine="720"/>
        <w:rPr>
          <w:rFonts w:cstheme="minorHAnsi"/>
          <w:sz w:val="24"/>
          <w:szCs w:val="24"/>
        </w:rPr>
      </w:pPr>
      <w:r w:rsidRPr="003879E4">
        <w:rPr>
          <w:rFonts w:cstheme="minorHAnsi"/>
          <w:sz w:val="24"/>
          <w:szCs w:val="24"/>
        </w:rPr>
        <w:t>It is argued that to accomplish this priority, it is vital to do criminology research on crime prevention by predicting the future criminals using prior data collected and searching for patterns of individuals who have committed ASB in the past (Hutton, Gold &amp; Conor, 2021). Criminality has been studied for decades to identify why crime occurs and potentially make some predictions to be able to act upon the findings to prevent vulnerable people or groups, who are susceptible to ASB and further crime (Gottfredson &amp; Hirschi, 1990).</w:t>
      </w:r>
    </w:p>
    <w:p w14:paraId="3741EFCD" w14:textId="04DD8403" w:rsidR="009C6F03" w:rsidRPr="003879E4" w:rsidRDefault="009C6F03" w:rsidP="00DB3C2F">
      <w:pPr>
        <w:spacing w:line="480" w:lineRule="auto"/>
        <w:rPr>
          <w:rFonts w:cstheme="minorHAnsi"/>
          <w:sz w:val="24"/>
          <w:szCs w:val="24"/>
        </w:rPr>
      </w:pPr>
      <w:r w:rsidRPr="003879E4">
        <w:rPr>
          <w:rFonts w:cstheme="minorHAnsi"/>
          <w:sz w:val="24"/>
          <w:szCs w:val="24"/>
        </w:rPr>
        <w:t xml:space="preserve">1.2 </w:t>
      </w:r>
      <w:r w:rsidRPr="003879E4">
        <w:rPr>
          <w:rFonts w:cstheme="minorHAnsi"/>
          <w:b/>
          <w:bCs/>
          <w:sz w:val="24"/>
          <w:szCs w:val="24"/>
        </w:rPr>
        <w:t xml:space="preserve">Background </w:t>
      </w:r>
    </w:p>
    <w:p w14:paraId="6BD1AA40" w14:textId="254D0D3A" w:rsidR="00CF01E3" w:rsidRPr="003879E4" w:rsidRDefault="00AB0FEE" w:rsidP="00DB3C2F">
      <w:pPr>
        <w:spacing w:line="480" w:lineRule="auto"/>
        <w:rPr>
          <w:rFonts w:cstheme="minorHAnsi"/>
          <w:sz w:val="24"/>
          <w:szCs w:val="24"/>
        </w:rPr>
      </w:pPr>
      <w:r w:rsidRPr="00AB0FEE">
        <w:rPr>
          <w:rFonts w:cstheme="minorHAnsi"/>
          <w:sz w:val="24"/>
          <w:szCs w:val="24"/>
        </w:rPr>
        <w:t xml:space="preserve">There are two research areas, sociological, crime is associated with social pressure and society, whereas biological, crime is associated with biological heredity and genes (Gray, Lilley, </w:t>
      </w:r>
      <w:proofErr w:type="spellStart"/>
      <w:r w:rsidRPr="00AB0FEE">
        <w:rPr>
          <w:rFonts w:cstheme="minorHAnsi"/>
          <w:sz w:val="24"/>
          <w:szCs w:val="24"/>
        </w:rPr>
        <w:t>Vause</w:t>
      </w:r>
      <w:proofErr w:type="spellEnd"/>
      <w:r w:rsidRPr="00AB0FEE">
        <w:rPr>
          <w:rFonts w:cstheme="minorHAnsi"/>
          <w:sz w:val="24"/>
          <w:szCs w:val="24"/>
        </w:rPr>
        <w:t>, 2010)</w:t>
      </w:r>
      <w:r>
        <w:rPr>
          <w:rFonts w:cstheme="minorHAnsi"/>
          <w:sz w:val="24"/>
          <w:szCs w:val="24"/>
        </w:rPr>
        <w:t xml:space="preserve">. </w:t>
      </w:r>
      <w:r w:rsidR="00CF01E3" w:rsidRPr="003879E4">
        <w:rPr>
          <w:rFonts w:cstheme="minorHAnsi"/>
          <w:sz w:val="24"/>
          <w:szCs w:val="24"/>
        </w:rPr>
        <w:t xml:space="preserve">There is evidence to prove that criminals are influenced by both </w:t>
      </w:r>
      <w:r>
        <w:rPr>
          <w:rFonts w:cstheme="minorHAnsi"/>
          <w:sz w:val="24"/>
          <w:szCs w:val="24"/>
        </w:rPr>
        <w:t>of these</w:t>
      </w:r>
      <w:r w:rsidR="00CF01E3" w:rsidRPr="003879E4">
        <w:rPr>
          <w:rFonts w:cstheme="minorHAnsi"/>
          <w:sz w:val="24"/>
          <w:szCs w:val="24"/>
        </w:rPr>
        <w:t xml:space="preserve"> factors. As a result, to lower crime rates, research into common patterns can provide effective prevention approaches which can assist the targeted persons, preventing them from resorting to a life of crime (Dyfed Powys Police, 2021a; Bryant &amp; Bryant, 2017).</w:t>
      </w:r>
    </w:p>
    <w:p w14:paraId="657D399B" w14:textId="100E4972" w:rsidR="00CF01E3" w:rsidRPr="003879E4" w:rsidRDefault="00CF01E3" w:rsidP="00DB3C2F">
      <w:pPr>
        <w:spacing w:line="480" w:lineRule="auto"/>
        <w:ind w:firstLine="720"/>
        <w:rPr>
          <w:rFonts w:cstheme="minorHAnsi"/>
          <w:sz w:val="24"/>
          <w:szCs w:val="24"/>
        </w:rPr>
      </w:pPr>
      <w:r w:rsidRPr="003879E4">
        <w:rPr>
          <w:rFonts w:cstheme="minorHAnsi"/>
          <w:sz w:val="24"/>
          <w:szCs w:val="24"/>
        </w:rPr>
        <w:lastRenderedPageBreak/>
        <w:t xml:space="preserve">According to </w:t>
      </w:r>
      <w:r w:rsidR="002E543A" w:rsidRPr="003879E4">
        <w:rPr>
          <w:rFonts w:cstheme="minorHAnsi"/>
          <w:sz w:val="24"/>
          <w:szCs w:val="24"/>
        </w:rPr>
        <w:t>Home Office</w:t>
      </w:r>
      <w:r w:rsidRPr="003879E4">
        <w:rPr>
          <w:rFonts w:cstheme="minorHAnsi"/>
          <w:sz w:val="24"/>
          <w:szCs w:val="24"/>
        </w:rPr>
        <w:t xml:space="preserve"> (2021), ASB accounts for 20% of all offences in Dyfed Powys, which is the second most common crime committed each year. According to an analysis of official records, the cost of crime has risen sharply, with an increase in almost every type of crime driving the projected total financial expenses each year in England and Wales to £100 billion (Home Office, 2020b; Ambulance and Welfare Unit UK, 2020).</w:t>
      </w:r>
    </w:p>
    <w:p w14:paraId="476C2F0C" w14:textId="7EF66128" w:rsidR="00F725EE" w:rsidRPr="003879E4" w:rsidRDefault="00F725EE" w:rsidP="00DB3C2F">
      <w:pPr>
        <w:spacing w:line="480" w:lineRule="auto"/>
        <w:rPr>
          <w:rFonts w:cstheme="minorHAnsi"/>
          <w:b/>
          <w:bCs/>
          <w:sz w:val="24"/>
          <w:szCs w:val="24"/>
        </w:rPr>
      </w:pPr>
      <w:r w:rsidRPr="003879E4">
        <w:rPr>
          <w:rFonts w:cstheme="minorHAnsi"/>
          <w:sz w:val="24"/>
          <w:szCs w:val="24"/>
        </w:rPr>
        <w:t>1.</w:t>
      </w:r>
      <w:r w:rsidR="009C6F03" w:rsidRPr="003879E4">
        <w:rPr>
          <w:rFonts w:cstheme="minorHAnsi"/>
          <w:sz w:val="24"/>
          <w:szCs w:val="24"/>
        </w:rPr>
        <w:t>3</w:t>
      </w:r>
      <w:r w:rsidRPr="003879E4">
        <w:rPr>
          <w:rFonts w:cstheme="minorHAnsi"/>
          <w:sz w:val="24"/>
          <w:szCs w:val="24"/>
        </w:rPr>
        <w:t xml:space="preserve"> </w:t>
      </w:r>
      <w:r w:rsidR="009C6F03" w:rsidRPr="003879E4">
        <w:rPr>
          <w:rFonts w:cstheme="minorHAnsi"/>
          <w:b/>
          <w:bCs/>
          <w:sz w:val="24"/>
          <w:szCs w:val="24"/>
        </w:rPr>
        <w:t xml:space="preserve">Rationale </w:t>
      </w:r>
    </w:p>
    <w:p w14:paraId="23532CA6" w14:textId="3126DB39" w:rsidR="00CF01E3" w:rsidRPr="003879E4" w:rsidRDefault="00364AB3" w:rsidP="00DB3C2F">
      <w:pPr>
        <w:spacing w:line="480" w:lineRule="auto"/>
        <w:rPr>
          <w:rFonts w:cstheme="minorHAnsi"/>
          <w:sz w:val="24"/>
          <w:szCs w:val="24"/>
          <w:highlight w:val="cyan"/>
        </w:rPr>
      </w:pPr>
      <w:r w:rsidRPr="00364AB3">
        <w:rPr>
          <w:rFonts w:cstheme="minorHAnsi"/>
          <w:sz w:val="24"/>
          <w:szCs w:val="24"/>
        </w:rPr>
        <w:t>The purpose of this research is to summarise current research because there are too many different points of view to generate a definitive conclusion. Furthermore, there appears to be a significant imbalance in the overall investigation of ASB (Hunter, May &amp; Hough, 2018). Not only are there few studies on the crime, but many victims, particularly vulnerable individuals, believe the police do not take ASB seriously (</w:t>
      </w:r>
      <w:proofErr w:type="spellStart"/>
      <w:r w:rsidRPr="00364AB3">
        <w:rPr>
          <w:rFonts w:cstheme="minorHAnsi"/>
          <w:sz w:val="24"/>
          <w:szCs w:val="24"/>
        </w:rPr>
        <w:t>Reinbergs</w:t>
      </w:r>
      <w:proofErr w:type="spellEnd"/>
      <w:r w:rsidRPr="00364AB3">
        <w:rPr>
          <w:rFonts w:cstheme="minorHAnsi"/>
          <w:sz w:val="24"/>
          <w:szCs w:val="24"/>
        </w:rPr>
        <w:t xml:space="preserve"> &amp; </w:t>
      </w:r>
      <w:proofErr w:type="spellStart"/>
      <w:r w:rsidRPr="00364AB3">
        <w:rPr>
          <w:rFonts w:cstheme="minorHAnsi"/>
          <w:sz w:val="24"/>
          <w:szCs w:val="24"/>
        </w:rPr>
        <w:t>Fefer</w:t>
      </w:r>
      <w:proofErr w:type="spellEnd"/>
      <w:r w:rsidRPr="00364AB3">
        <w:rPr>
          <w:rFonts w:cstheme="minorHAnsi"/>
          <w:sz w:val="24"/>
          <w:szCs w:val="24"/>
        </w:rPr>
        <w:t>, 2018). According to Heap (2020), ASB has become a major concern in the last five years due to a lack of studies on victimisation.</w:t>
      </w:r>
      <w:r>
        <w:rPr>
          <w:rFonts w:cstheme="minorHAnsi"/>
          <w:sz w:val="24"/>
          <w:szCs w:val="24"/>
        </w:rPr>
        <w:t xml:space="preserve"> </w:t>
      </w:r>
      <w:r w:rsidR="00CF01E3" w:rsidRPr="003879E4">
        <w:rPr>
          <w:rFonts w:cstheme="minorHAnsi"/>
          <w:sz w:val="24"/>
          <w:szCs w:val="24"/>
        </w:rPr>
        <w:t xml:space="preserve">Furthermore, according to Young &amp; Stein (2019), victimisation has become more visible to the general public since the 1970s, yet victims are now being overlooked, which connects with </w:t>
      </w:r>
      <w:r w:rsidR="00C4425D" w:rsidRPr="003879E4">
        <w:rPr>
          <w:rFonts w:cstheme="minorHAnsi"/>
          <w:sz w:val="24"/>
          <w:szCs w:val="24"/>
        </w:rPr>
        <w:t>the increasing</w:t>
      </w:r>
      <w:r w:rsidR="00CF01E3" w:rsidRPr="003879E4">
        <w:rPr>
          <w:rFonts w:cstheme="minorHAnsi"/>
          <w:sz w:val="24"/>
          <w:szCs w:val="24"/>
        </w:rPr>
        <w:t xml:space="preserve"> crime rates which are prompting concerns.</w:t>
      </w:r>
    </w:p>
    <w:p w14:paraId="15C25A40" w14:textId="77777777" w:rsidR="00086BC4" w:rsidRDefault="00086BC4" w:rsidP="00086BC4">
      <w:pPr>
        <w:spacing w:line="480" w:lineRule="auto"/>
        <w:ind w:firstLine="720"/>
        <w:rPr>
          <w:rFonts w:cstheme="minorHAnsi"/>
          <w:sz w:val="24"/>
          <w:szCs w:val="24"/>
        </w:rPr>
      </w:pPr>
      <w:r w:rsidRPr="00086BC4">
        <w:rPr>
          <w:rFonts w:cstheme="minorHAnsi"/>
          <w:sz w:val="24"/>
          <w:szCs w:val="24"/>
        </w:rPr>
        <w:t>Regardless of whether the police service's response to ASB has improved since 2010 (Office for National Statistics, 2019), victim satisfaction varies widely (HMICFRS, 2018a). Furthermore, Victim Support (2021) disagrees, stating that far more research is needed to address the issue and identify those most vulnerable to crime. As a result, the researchers' goal is to assist Dyfed Powys Police in reaching a solid conclusion about whether a criminal is born or made, as well as to fill the gap exposed by the lack of ASB research.</w:t>
      </w:r>
    </w:p>
    <w:p w14:paraId="7399D054" w14:textId="77777777" w:rsidR="00DE2E5C" w:rsidRDefault="00DE2E5C" w:rsidP="00DB3C2F">
      <w:pPr>
        <w:spacing w:line="480" w:lineRule="auto"/>
        <w:rPr>
          <w:rFonts w:cstheme="minorHAnsi"/>
          <w:sz w:val="24"/>
          <w:szCs w:val="24"/>
        </w:rPr>
      </w:pPr>
    </w:p>
    <w:p w14:paraId="50305542" w14:textId="2DA02435" w:rsidR="00997D31" w:rsidRPr="003879E4" w:rsidRDefault="00997D31" w:rsidP="00DB3C2F">
      <w:pPr>
        <w:spacing w:line="480" w:lineRule="auto"/>
        <w:rPr>
          <w:rFonts w:cstheme="minorHAnsi"/>
          <w:sz w:val="24"/>
          <w:szCs w:val="24"/>
        </w:rPr>
      </w:pPr>
      <w:r w:rsidRPr="003879E4">
        <w:rPr>
          <w:rFonts w:cstheme="minorHAnsi"/>
          <w:sz w:val="24"/>
          <w:szCs w:val="24"/>
        </w:rPr>
        <w:lastRenderedPageBreak/>
        <w:t>1.</w:t>
      </w:r>
      <w:r w:rsidR="008C347C" w:rsidRPr="003879E4">
        <w:rPr>
          <w:rFonts w:cstheme="minorHAnsi"/>
          <w:sz w:val="24"/>
          <w:szCs w:val="24"/>
        </w:rPr>
        <w:t xml:space="preserve">4 </w:t>
      </w:r>
      <w:r w:rsidRPr="003879E4">
        <w:rPr>
          <w:rFonts w:cstheme="minorHAnsi"/>
          <w:b/>
          <w:bCs/>
          <w:sz w:val="24"/>
          <w:szCs w:val="24"/>
        </w:rPr>
        <w:t xml:space="preserve">Objectives </w:t>
      </w:r>
    </w:p>
    <w:p w14:paraId="4FB69614" w14:textId="77777777" w:rsidR="002A029A" w:rsidRDefault="008C5790" w:rsidP="008C5790">
      <w:pPr>
        <w:tabs>
          <w:tab w:val="left" w:pos="5805"/>
        </w:tabs>
        <w:spacing w:line="480" w:lineRule="auto"/>
        <w:rPr>
          <w:rFonts w:cstheme="minorHAnsi"/>
          <w:sz w:val="24"/>
          <w:szCs w:val="24"/>
        </w:rPr>
      </w:pPr>
      <w:r w:rsidRPr="008C5790">
        <w:rPr>
          <w:rFonts w:cstheme="minorHAnsi"/>
          <w:sz w:val="24"/>
          <w:szCs w:val="24"/>
        </w:rPr>
        <w:t>In this regard, the overall aim of this research is to offer value to Dyfed Powys Police by raising awareness of the importance of crime prediction by critically evaluating the summaries in this field to provide knowledge within the workforce area.</w:t>
      </w:r>
    </w:p>
    <w:p w14:paraId="02F9434D" w14:textId="6553958F" w:rsidR="002A029A" w:rsidRDefault="002A029A" w:rsidP="008C5790">
      <w:pPr>
        <w:tabs>
          <w:tab w:val="left" w:pos="5805"/>
        </w:tabs>
        <w:spacing w:line="480" w:lineRule="auto"/>
        <w:rPr>
          <w:rFonts w:cstheme="minorHAnsi"/>
          <w:sz w:val="24"/>
          <w:szCs w:val="24"/>
        </w:rPr>
      </w:pPr>
      <w:r>
        <w:rPr>
          <w:rFonts w:cstheme="minorHAnsi"/>
          <w:sz w:val="24"/>
          <w:szCs w:val="24"/>
        </w:rPr>
        <w:t xml:space="preserve">             </w:t>
      </w:r>
      <w:r w:rsidRPr="002A029A">
        <w:rPr>
          <w:rFonts w:cstheme="minorHAnsi"/>
          <w:sz w:val="24"/>
          <w:szCs w:val="24"/>
        </w:rPr>
        <w:t>The purpose of this research, within the context of ASB and both sociology and biological influences, is to critically analyse the statistics of ASB crime and the criminals who commit the offence. Furthermore, to recognise and apply current criminology theories in order to investigate the nature of both hereditary and environmental variables, as well as how they may interact to contribute to criminal behaviour involving ASB. Third, the dissertation will assess the effectiveness of current legislation and prevention schemes relating to ASB offending within Dyfed Powys Police, as well as examine any common traits and repetition in patterns of offenders in order to establish a correlation to ASB crime.</w:t>
      </w:r>
    </w:p>
    <w:p w14:paraId="15C5283A" w14:textId="3074915C" w:rsidR="00F13F17" w:rsidRPr="003879E4" w:rsidRDefault="00F13F17" w:rsidP="008C5790">
      <w:pPr>
        <w:tabs>
          <w:tab w:val="left" w:pos="5805"/>
        </w:tabs>
        <w:spacing w:line="480" w:lineRule="auto"/>
        <w:rPr>
          <w:rFonts w:cstheme="minorHAnsi"/>
          <w:sz w:val="24"/>
          <w:szCs w:val="24"/>
        </w:rPr>
      </w:pPr>
      <w:r w:rsidRPr="003879E4">
        <w:rPr>
          <w:rFonts w:cstheme="minorHAnsi"/>
          <w:sz w:val="24"/>
          <w:szCs w:val="24"/>
        </w:rPr>
        <w:t>1.</w:t>
      </w:r>
      <w:r w:rsidR="008C347C" w:rsidRPr="003879E4">
        <w:rPr>
          <w:rFonts w:cstheme="minorHAnsi"/>
          <w:sz w:val="24"/>
          <w:szCs w:val="24"/>
        </w:rPr>
        <w:t>5</w:t>
      </w:r>
      <w:r w:rsidRPr="003879E4">
        <w:rPr>
          <w:rFonts w:cstheme="minorHAnsi"/>
          <w:sz w:val="24"/>
          <w:szCs w:val="24"/>
        </w:rPr>
        <w:t xml:space="preserve"> </w:t>
      </w:r>
      <w:r w:rsidRPr="003879E4">
        <w:rPr>
          <w:rFonts w:cstheme="minorHAnsi"/>
          <w:b/>
          <w:bCs/>
          <w:sz w:val="24"/>
          <w:szCs w:val="24"/>
        </w:rPr>
        <w:t>Research Techniques</w:t>
      </w:r>
      <w:r w:rsidRPr="003879E4">
        <w:rPr>
          <w:rFonts w:cstheme="minorHAnsi"/>
          <w:sz w:val="24"/>
          <w:szCs w:val="24"/>
        </w:rPr>
        <w:tab/>
      </w:r>
    </w:p>
    <w:p w14:paraId="1968A43E" w14:textId="77777777" w:rsidR="008C5790" w:rsidRPr="008C5790" w:rsidRDefault="008C5790" w:rsidP="008C5790">
      <w:pPr>
        <w:spacing w:line="480" w:lineRule="auto"/>
        <w:rPr>
          <w:rFonts w:cstheme="minorHAnsi"/>
          <w:sz w:val="24"/>
          <w:szCs w:val="24"/>
        </w:rPr>
      </w:pPr>
      <w:r w:rsidRPr="008C5790">
        <w:rPr>
          <w:rFonts w:cstheme="minorHAnsi"/>
          <w:sz w:val="24"/>
          <w:szCs w:val="24"/>
        </w:rPr>
        <w:t xml:space="preserve">This dissertation aims to use qualitative and quantitative research to study police officers’ experiences to comprehend their opinions on the chosen subject. This will comprise a survey, with confidentiality applied; to allow the participants to go into depth whilst remaining anonymous for this research. The survey will be composed of closed questions to increase answer consistency and also to make the survey more comparable with other participants or subsequent surveys, to allow exploratory research in-depth. PCs and PCSOs from Dyfed Powys Police will be the target sample for the study area, and questions will be asked in the form of a survey. </w:t>
      </w:r>
    </w:p>
    <w:p w14:paraId="5E718EDA" w14:textId="77777777" w:rsidR="008C5790" w:rsidRPr="008C5790" w:rsidRDefault="008C5790" w:rsidP="008C5790">
      <w:pPr>
        <w:spacing w:line="480" w:lineRule="auto"/>
        <w:ind w:firstLine="720"/>
        <w:rPr>
          <w:rFonts w:cstheme="minorHAnsi"/>
          <w:sz w:val="24"/>
          <w:szCs w:val="24"/>
        </w:rPr>
      </w:pPr>
      <w:r w:rsidRPr="008C5790">
        <w:rPr>
          <w:rFonts w:cstheme="minorHAnsi"/>
          <w:sz w:val="24"/>
          <w:szCs w:val="24"/>
        </w:rPr>
        <w:lastRenderedPageBreak/>
        <w:t xml:space="preserve">The majority of the secondary data will originate via journals, published surveys, and reports. The academic library database, in addition, could be used to gather support for the qualitative data whilst the data analysis develops throughout the research. According to </w:t>
      </w:r>
      <w:proofErr w:type="spellStart"/>
      <w:r w:rsidRPr="008C5790">
        <w:rPr>
          <w:rFonts w:cstheme="minorHAnsi"/>
          <w:sz w:val="24"/>
          <w:szCs w:val="24"/>
        </w:rPr>
        <w:t>Biggam</w:t>
      </w:r>
      <w:proofErr w:type="spellEnd"/>
      <w:r w:rsidRPr="008C5790">
        <w:rPr>
          <w:rFonts w:cstheme="minorHAnsi"/>
          <w:sz w:val="24"/>
          <w:szCs w:val="24"/>
        </w:rPr>
        <w:t xml:space="preserve"> (2015), solid research practices include material obtained from both commonly used Google Scholar and the writers' University's online library.</w:t>
      </w:r>
    </w:p>
    <w:p w14:paraId="7C710120" w14:textId="20464496" w:rsidR="00C040CF" w:rsidRDefault="008C5790" w:rsidP="008C5790">
      <w:pPr>
        <w:spacing w:line="480" w:lineRule="auto"/>
        <w:ind w:firstLine="720"/>
        <w:rPr>
          <w:rFonts w:cstheme="minorHAnsi"/>
          <w:b/>
          <w:bCs/>
          <w:color w:val="0070C0"/>
          <w:sz w:val="24"/>
          <w:szCs w:val="24"/>
          <w:shd w:val="clear" w:color="auto" w:fill="FFFFFF"/>
        </w:rPr>
      </w:pPr>
      <w:r w:rsidRPr="008C5790">
        <w:rPr>
          <w:rFonts w:cstheme="minorHAnsi"/>
          <w:sz w:val="24"/>
          <w:szCs w:val="24"/>
        </w:rPr>
        <w:t>Both of these research methods will enable the researcher to collect a wide variety of data, such as statistics and supported theories, that will facilitate an understanding to conclude (</w:t>
      </w:r>
      <w:r w:rsidR="003B3048">
        <w:rPr>
          <w:rFonts w:cstheme="minorHAnsi"/>
          <w:sz w:val="24"/>
          <w:szCs w:val="24"/>
        </w:rPr>
        <w:t>s</w:t>
      </w:r>
      <w:r w:rsidRPr="008C5790">
        <w:rPr>
          <w:rFonts w:cstheme="minorHAnsi"/>
          <w:sz w:val="24"/>
          <w:szCs w:val="24"/>
        </w:rPr>
        <w:t>ee Appendix A for time-scale table). Therefore, the study will encompass a wide range of potential outcomes that will assist Dyfed Powys Police to reduce the serious crime figures and implement a preventative strategy for the targeted audience. Overall achieving Dyfed Powys's number 1 priority of preventing crime and safeguarding vulnerable persons (Dyfed Powys Police, 2021a).</w:t>
      </w:r>
    </w:p>
    <w:p w14:paraId="744AD535" w14:textId="77777777" w:rsidR="00C040CF" w:rsidRDefault="00C040CF" w:rsidP="00DB3C2F">
      <w:pPr>
        <w:spacing w:line="480" w:lineRule="auto"/>
        <w:rPr>
          <w:rFonts w:cstheme="minorHAnsi"/>
          <w:b/>
          <w:bCs/>
          <w:color w:val="0070C0"/>
          <w:sz w:val="24"/>
          <w:szCs w:val="24"/>
          <w:shd w:val="clear" w:color="auto" w:fill="FFFFFF"/>
        </w:rPr>
      </w:pPr>
    </w:p>
    <w:p w14:paraId="06234899" w14:textId="77777777" w:rsidR="00C040CF" w:rsidRDefault="00C040CF" w:rsidP="00DB3C2F">
      <w:pPr>
        <w:spacing w:line="480" w:lineRule="auto"/>
        <w:rPr>
          <w:rFonts w:cstheme="minorHAnsi"/>
          <w:b/>
          <w:bCs/>
          <w:color w:val="0070C0"/>
          <w:sz w:val="24"/>
          <w:szCs w:val="24"/>
          <w:shd w:val="clear" w:color="auto" w:fill="FFFFFF"/>
        </w:rPr>
      </w:pPr>
    </w:p>
    <w:p w14:paraId="562C9CD8" w14:textId="77777777" w:rsidR="00C040CF" w:rsidRDefault="00C040CF" w:rsidP="00DB3C2F">
      <w:pPr>
        <w:spacing w:line="480" w:lineRule="auto"/>
        <w:rPr>
          <w:rFonts w:cstheme="minorHAnsi"/>
          <w:b/>
          <w:bCs/>
          <w:color w:val="0070C0"/>
          <w:sz w:val="24"/>
          <w:szCs w:val="24"/>
          <w:shd w:val="clear" w:color="auto" w:fill="FFFFFF"/>
        </w:rPr>
      </w:pPr>
    </w:p>
    <w:p w14:paraId="3055965A" w14:textId="77777777" w:rsidR="00C040CF" w:rsidRDefault="00C040CF" w:rsidP="00DB3C2F">
      <w:pPr>
        <w:spacing w:line="480" w:lineRule="auto"/>
        <w:rPr>
          <w:rFonts w:cstheme="minorHAnsi"/>
          <w:b/>
          <w:bCs/>
          <w:color w:val="0070C0"/>
          <w:sz w:val="24"/>
          <w:szCs w:val="24"/>
          <w:shd w:val="clear" w:color="auto" w:fill="FFFFFF"/>
        </w:rPr>
      </w:pPr>
    </w:p>
    <w:p w14:paraId="65FD84C1" w14:textId="77777777" w:rsidR="00C040CF" w:rsidRDefault="00C040CF" w:rsidP="00DB3C2F">
      <w:pPr>
        <w:spacing w:line="480" w:lineRule="auto"/>
        <w:rPr>
          <w:rFonts w:cstheme="minorHAnsi"/>
          <w:b/>
          <w:bCs/>
          <w:color w:val="0070C0"/>
          <w:sz w:val="24"/>
          <w:szCs w:val="24"/>
          <w:shd w:val="clear" w:color="auto" w:fill="FFFFFF"/>
        </w:rPr>
      </w:pPr>
    </w:p>
    <w:p w14:paraId="6AD12CA2" w14:textId="77777777" w:rsidR="00C040CF" w:rsidRDefault="00C040CF" w:rsidP="00DB3C2F">
      <w:pPr>
        <w:spacing w:line="480" w:lineRule="auto"/>
        <w:rPr>
          <w:rFonts w:cstheme="minorHAnsi"/>
          <w:b/>
          <w:bCs/>
          <w:color w:val="0070C0"/>
          <w:sz w:val="24"/>
          <w:szCs w:val="24"/>
          <w:shd w:val="clear" w:color="auto" w:fill="FFFFFF"/>
        </w:rPr>
      </w:pPr>
    </w:p>
    <w:p w14:paraId="1D34E05B" w14:textId="77777777" w:rsidR="00C040CF" w:rsidRDefault="00C040CF" w:rsidP="00DB3C2F">
      <w:pPr>
        <w:spacing w:line="480" w:lineRule="auto"/>
        <w:rPr>
          <w:rFonts w:cstheme="minorHAnsi"/>
          <w:b/>
          <w:bCs/>
          <w:color w:val="0070C0"/>
          <w:sz w:val="24"/>
          <w:szCs w:val="24"/>
          <w:shd w:val="clear" w:color="auto" w:fill="FFFFFF"/>
        </w:rPr>
      </w:pPr>
    </w:p>
    <w:p w14:paraId="33EFED16" w14:textId="77777777" w:rsidR="008C5790" w:rsidRDefault="008C5790" w:rsidP="00DB3C2F">
      <w:pPr>
        <w:spacing w:line="480" w:lineRule="auto"/>
        <w:rPr>
          <w:rFonts w:cstheme="minorHAnsi"/>
          <w:b/>
          <w:bCs/>
          <w:color w:val="0070C0"/>
          <w:sz w:val="24"/>
          <w:szCs w:val="24"/>
          <w:shd w:val="clear" w:color="auto" w:fill="FFFFFF"/>
        </w:rPr>
      </w:pPr>
    </w:p>
    <w:p w14:paraId="0EF124F0" w14:textId="77777777" w:rsidR="008C5790" w:rsidRDefault="008C5790" w:rsidP="00DB3C2F">
      <w:pPr>
        <w:spacing w:line="480" w:lineRule="auto"/>
        <w:rPr>
          <w:rFonts w:cstheme="minorHAnsi"/>
          <w:b/>
          <w:bCs/>
          <w:color w:val="0070C0"/>
          <w:sz w:val="24"/>
          <w:szCs w:val="24"/>
          <w:shd w:val="clear" w:color="auto" w:fill="FFFFFF"/>
        </w:rPr>
      </w:pPr>
    </w:p>
    <w:p w14:paraId="712DF9A8" w14:textId="16672B34" w:rsidR="00903747" w:rsidRPr="003879E4" w:rsidRDefault="00903747" w:rsidP="00DB3C2F">
      <w:pPr>
        <w:spacing w:line="480" w:lineRule="auto"/>
        <w:rPr>
          <w:rFonts w:cstheme="minorHAnsi"/>
          <w:b/>
          <w:bCs/>
          <w:color w:val="0070C0"/>
          <w:sz w:val="24"/>
          <w:szCs w:val="24"/>
          <w:shd w:val="clear" w:color="auto" w:fill="FFFFFF"/>
        </w:rPr>
      </w:pPr>
      <w:r w:rsidRPr="003879E4">
        <w:rPr>
          <w:rFonts w:cstheme="minorHAnsi"/>
          <w:b/>
          <w:bCs/>
          <w:color w:val="0070C0"/>
          <w:sz w:val="24"/>
          <w:szCs w:val="24"/>
          <w:shd w:val="clear" w:color="auto" w:fill="FFFFFF"/>
        </w:rPr>
        <w:lastRenderedPageBreak/>
        <w:t xml:space="preserve">Chapter Two: </w:t>
      </w:r>
      <w:r w:rsidR="00C040CF">
        <w:rPr>
          <w:rFonts w:cstheme="minorHAnsi"/>
          <w:b/>
          <w:bCs/>
          <w:color w:val="0070C0"/>
          <w:sz w:val="24"/>
          <w:szCs w:val="24"/>
          <w:shd w:val="clear" w:color="auto" w:fill="FFFFFF"/>
        </w:rPr>
        <w:t>Literature Review</w:t>
      </w:r>
    </w:p>
    <w:p w14:paraId="0BCF93A0" w14:textId="77777777" w:rsidR="00903747" w:rsidRPr="003879E4" w:rsidRDefault="00903747" w:rsidP="00DB3C2F">
      <w:pPr>
        <w:spacing w:line="480" w:lineRule="auto"/>
        <w:rPr>
          <w:rFonts w:cstheme="minorHAnsi"/>
          <w:b/>
          <w:bCs/>
          <w:sz w:val="24"/>
          <w:szCs w:val="24"/>
          <w:shd w:val="clear" w:color="auto" w:fill="FFFFFF"/>
        </w:rPr>
      </w:pPr>
      <w:r w:rsidRPr="003879E4">
        <w:rPr>
          <w:rFonts w:cstheme="minorHAnsi"/>
          <w:sz w:val="24"/>
          <w:szCs w:val="24"/>
          <w:shd w:val="clear" w:color="auto" w:fill="FFFFFF"/>
        </w:rPr>
        <w:t xml:space="preserve">2.1 </w:t>
      </w:r>
      <w:r w:rsidRPr="003879E4">
        <w:rPr>
          <w:rFonts w:cstheme="minorHAnsi"/>
          <w:b/>
          <w:bCs/>
          <w:sz w:val="24"/>
          <w:szCs w:val="24"/>
          <w:shd w:val="clear" w:color="auto" w:fill="FFFFFF"/>
        </w:rPr>
        <w:t>Introduction</w:t>
      </w:r>
    </w:p>
    <w:p w14:paraId="355F22B0" w14:textId="77777777" w:rsidR="00903747" w:rsidRPr="003879E4" w:rsidRDefault="00903747" w:rsidP="00DB3C2F">
      <w:pPr>
        <w:spacing w:line="480" w:lineRule="auto"/>
        <w:rPr>
          <w:rFonts w:cstheme="minorHAnsi"/>
          <w:sz w:val="24"/>
          <w:szCs w:val="24"/>
          <w:shd w:val="clear" w:color="auto" w:fill="FFFFFF"/>
        </w:rPr>
      </w:pPr>
      <w:r w:rsidRPr="003879E4">
        <w:rPr>
          <w:rFonts w:cstheme="minorHAnsi"/>
          <w:sz w:val="24"/>
          <w:szCs w:val="24"/>
          <w:shd w:val="clear" w:color="auto" w:fill="FFFFFF"/>
        </w:rPr>
        <w:t xml:space="preserve">According to Haywood &amp; Wragg (1982), the fundamental objective of a literature review is to study academic sources to establish that the literature considered has been read extensively throughout the topic area to obtain a well-balanced discussion of pre-existing work in the field. Therefore, this chapter aims to examine scholarly research on whether a criminal is ‘born or made’ based on the three essential factors. According to criminology studies, these include psychological, which connects crime to personality, biological, which also links crime to heredity and genes, and sociological, which correlates crime to social pressure and society, additionally applying them to ASB </w:t>
      </w:r>
      <w:bookmarkStart w:id="3" w:name="_Hlk96521427"/>
      <w:r w:rsidRPr="003879E4">
        <w:rPr>
          <w:rFonts w:cstheme="minorHAnsi"/>
          <w:sz w:val="24"/>
          <w:szCs w:val="24"/>
          <w:shd w:val="clear" w:color="auto" w:fill="FFFFFF"/>
        </w:rPr>
        <w:t xml:space="preserve">(Gray, Lilley &amp; </w:t>
      </w:r>
      <w:proofErr w:type="spellStart"/>
      <w:r w:rsidRPr="003879E4">
        <w:rPr>
          <w:rFonts w:cstheme="minorHAnsi"/>
          <w:sz w:val="24"/>
          <w:szCs w:val="24"/>
          <w:shd w:val="clear" w:color="auto" w:fill="FFFFFF"/>
        </w:rPr>
        <w:t>Vause</w:t>
      </w:r>
      <w:proofErr w:type="spellEnd"/>
      <w:r w:rsidRPr="003879E4">
        <w:rPr>
          <w:rFonts w:cstheme="minorHAnsi"/>
          <w:sz w:val="24"/>
          <w:szCs w:val="24"/>
          <w:shd w:val="clear" w:color="auto" w:fill="FFFFFF"/>
        </w:rPr>
        <w:t xml:space="preserve">, 2010). </w:t>
      </w:r>
    </w:p>
    <w:bookmarkEnd w:id="3"/>
    <w:p w14:paraId="1DC2914E" w14:textId="77777777" w:rsidR="00903747" w:rsidRPr="003879E4" w:rsidRDefault="00903747" w:rsidP="00DB3C2F">
      <w:pPr>
        <w:spacing w:line="480" w:lineRule="auto"/>
        <w:rPr>
          <w:rFonts w:cstheme="minorHAnsi"/>
          <w:b/>
          <w:bCs/>
          <w:sz w:val="24"/>
          <w:szCs w:val="24"/>
          <w:shd w:val="clear" w:color="auto" w:fill="FFFFFF"/>
        </w:rPr>
      </w:pPr>
      <w:r w:rsidRPr="003879E4">
        <w:rPr>
          <w:rFonts w:cstheme="minorHAnsi"/>
          <w:sz w:val="24"/>
          <w:szCs w:val="24"/>
          <w:shd w:val="clear" w:color="auto" w:fill="FFFFFF"/>
        </w:rPr>
        <w:t xml:space="preserve">2.2 </w:t>
      </w:r>
      <w:r w:rsidRPr="003879E4">
        <w:rPr>
          <w:rFonts w:cstheme="minorHAnsi"/>
          <w:b/>
          <w:bCs/>
          <w:sz w:val="24"/>
          <w:szCs w:val="24"/>
          <w:shd w:val="clear" w:color="auto" w:fill="FFFFFF"/>
        </w:rPr>
        <w:t>Genetics and Crime Theories</w:t>
      </w:r>
    </w:p>
    <w:p w14:paraId="0006C17D" w14:textId="77777777" w:rsidR="008C5790" w:rsidRPr="008C5790" w:rsidRDefault="008C5790" w:rsidP="008C5790">
      <w:pPr>
        <w:spacing w:line="480" w:lineRule="auto"/>
        <w:rPr>
          <w:rFonts w:cstheme="minorHAnsi"/>
          <w:sz w:val="24"/>
          <w:szCs w:val="24"/>
          <w:shd w:val="clear" w:color="auto" w:fill="FFFFFF"/>
        </w:rPr>
      </w:pPr>
      <w:r w:rsidRPr="008C5790">
        <w:rPr>
          <w:rFonts w:cstheme="minorHAnsi"/>
          <w:sz w:val="24"/>
          <w:szCs w:val="24"/>
          <w:shd w:val="clear" w:color="auto" w:fill="FFFFFF"/>
        </w:rPr>
        <w:t xml:space="preserve">While attempting to identify crime patterns, criminology would be the topic of research; this idea of preventing crime by predictions has been investigated for decades to try to identify why crime happens and make reasonable conclusions (Little, 2019). Furthermore, as highlighted by </w:t>
      </w:r>
      <w:proofErr w:type="spellStart"/>
      <w:r w:rsidRPr="008C5790">
        <w:rPr>
          <w:rFonts w:cstheme="minorHAnsi"/>
          <w:sz w:val="24"/>
          <w:szCs w:val="24"/>
          <w:shd w:val="clear" w:color="auto" w:fill="FFFFFF"/>
        </w:rPr>
        <w:t>Buil</w:t>
      </w:r>
      <w:proofErr w:type="spellEnd"/>
      <w:r w:rsidRPr="008C5790">
        <w:rPr>
          <w:rFonts w:cstheme="minorHAnsi"/>
          <w:sz w:val="24"/>
          <w:szCs w:val="24"/>
          <w:shd w:val="clear" w:color="auto" w:fill="FFFFFF"/>
        </w:rPr>
        <w:t>-Gil, Moretti &amp; Langton (2021), many generations of experts have advanced hypotheses suggesting that humans are born criminals. Several sociologists and psychologists have researched the subject, although, in recent years, some have attempted to dispute these beliefs.</w:t>
      </w:r>
    </w:p>
    <w:p w14:paraId="1E39909C" w14:textId="77777777" w:rsidR="008C5790" w:rsidRPr="008C5790" w:rsidRDefault="008C5790" w:rsidP="008C5790">
      <w:pPr>
        <w:spacing w:line="480" w:lineRule="auto"/>
        <w:ind w:firstLine="720"/>
        <w:rPr>
          <w:rFonts w:cstheme="minorHAnsi"/>
          <w:sz w:val="24"/>
          <w:szCs w:val="24"/>
          <w:shd w:val="clear" w:color="auto" w:fill="FFFFFF"/>
        </w:rPr>
      </w:pPr>
      <w:r w:rsidRPr="008C5790">
        <w:rPr>
          <w:rFonts w:cstheme="minorHAnsi"/>
          <w:sz w:val="24"/>
          <w:szCs w:val="24"/>
          <w:shd w:val="clear" w:color="auto" w:fill="FFFFFF"/>
        </w:rPr>
        <w:t xml:space="preserve">According to the Law Enforcement Action Partnership (2017), the concept of crime prevention originated with Sir Robert Peel's Policing Principles in 1829, in which he established a simplified structure of the policing roles and responsibilities. Furthermore, it is argued that Cesare Lombroso, regarded as the "Parent of Criminology," endorsed Peel's </w:t>
      </w:r>
      <w:r w:rsidRPr="008C5790">
        <w:rPr>
          <w:rFonts w:cstheme="minorHAnsi"/>
          <w:sz w:val="24"/>
          <w:szCs w:val="24"/>
          <w:shd w:val="clear" w:color="auto" w:fill="FFFFFF"/>
        </w:rPr>
        <w:lastRenderedPageBreak/>
        <w:t xml:space="preserve">nine principles in 1870 by conducting studies on successful preventative strategies to develop a more effective policing approach (Emsley, 2014). </w:t>
      </w:r>
    </w:p>
    <w:p w14:paraId="2155CFEF" w14:textId="77777777" w:rsidR="0094461B" w:rsidRDefault="0094461B" w:rsidP="008C5790">
      <w:pPr>
        <w:spacing w:line="480" w:lineRule="auto"/>
        <w:ind w:firstLine="720"/>
        <w:rPr>
          <w:rFonts w:cstheme="minorHAnsi"/>
          <w:sz w:val="24"/>
          <w:szCs w:val="24"/>
          <w:shd w:val="clear" w:color="auto" w:fill="FFFFFF"/>
        </w:rPr>
      </w:pPr>
      <w:r w:rsidRPr="0094461B">
        <w:rPr>
          <w:rFonts w:cstheme="minorHAnsi"/>
          <w:sz w:val="24"/>
          <w:szCs w:val="24"/>
          <w:shd w:val="clear" w:color="auto" w:fill="FFFFFF"/>
        </w:rPr>
        <w:t xml:space="preserve">According to Lombroso (1876), criminality is passed down through the generations, and a "born criminal" can be identified by their facial appearance (Rafter, </w:t>
      </w:r>
      <w:proofErr w:type="spellStart"/>
      <w:r w:rsidRPr="0094461B">
        <w:rPr>
          <w:rFonts w:cstheme="minorHAnsi"/>
          <w:sz w:val="24"/>
          <w:szCs w:val="24"/>
          <w:shd w:val="clear" w:color="auto" w:fill="FFFFFF"/>
        </w:rPr>
        <w:t>Posick</w:t>
      </w:r>
      <w:proofErr w:type="spellEnd"/>
      <w:r w:rsidRPr="0094461B">
        <w:rPr>
          <w:rFonts w:cstheme="minorHAnsi"/>
          <w:sz w:val="24"/>
          <w:szCs w:val="24"/>
          <w:shd w:val="clear" w:color="auto" w:fill="FFFFFF"/>
        </w:rPr>
        <w:t xml:space="preserve"> &amp; </w:t>
      </w:r>
      <w:proofErr w:type="spellStart"/>
      <w:r w:rsidRPr="0094461B">
        <w:rPr>
          <w:rFonts w:cstheme="minorHAnsi"/>
          <w:sz w:val="24"/>
          <w:szCs w:val="24"/>
          <w:shd w:val="clear" w:color="auto" w:fill="FFFFFF"/>
        </w:rPr>
        <w:t>Rocque</w:t>
      </w:r>
      <w:proofErr w:type="spellEnd"/>
      <w:r w:rsidRPr="0094461B">
        <w:rPr>
          <w:rFonts w:cstheme="minorHAnsi"/>
          <w:sz w:val="24"/>
          <w:szCs w:val="24"/>
          <w:shd w:val="clear" w:color="auto" w:fill="FFFFFF"/>
        </w:rPr>
        <w:t>, 2016; Henry and Lanier, 2019). Lombroso's theory was tested on Italian prisoners and non-criminal military personnel to determine whether the morphological anatomy of a person's face and head influences whether or not they are born a delinquent (</w:t>
      </w:r>
      <w:proofErr w:type="spellStart"/>
      <w:r w:rsidRPr="0094461B">
        <w:rPr>
          <w:rFonts w:cstheme="minorHAnsi"/>
          <w:sz w:val="24"/>
          <w:szCs w:val="24"/>
          <w:shd w:val="clear" w:color="auto" w:fill="FFFFFF"/>
        </w:rPr>
        <w:t>Koufioti</w:t>
      </w:r>
      <w:proofErr w:type="spellEnd"/>
      <w:r w:rsidRPr="0094461B">
        <w:rPr>
          <w:rFonts w:cstheme="minorHAnsi"/>
          <w:sz w:val="24"/>
          <w:szCs w:val="24"/>
          <w:shd w:val="clear" w:color="auto" w:fill="FFFFFF"/>
        </w:rPr>
        <w:t>, 2021). According to Garofalo (1914), the theory supported and expanded on Lombroso's hypothesis, indicating that frequent offenders had smaller head forms, a more distinct jawline, and prominent cheekbones.</w:t>
      </w:r>
    </w:p>
    <w:p w14:paraId="7DFB15D9" w14:textId="3C3A3D7E" w:rsidR="008C5790" w:rsidRPr="008C5790" w:rsidRDefault="008C5790" w:rsidP="008C5790">
      <w:pPr>
        <w:spacing w:line="480" w:lineRule="auto"/>
        <w:ind w:firstLine="720"/>
        <w:rPr>
          <w:rFonts w:cstheme="minorHAnsi"/>
          <w:sz w:val="24"/>
          <w:szCs w:val="24"/>
          <w:shd w:val="clear" w:color="auto" w:fill="FFFFFF"/>
        </w:rPr>
      </w:pPr>
      <w:r w:rsidRPr="008C5790">
        <w:rPr>
          <w:rFonts w:cstheme="minorHAnsi"/>
          <w:sz w:val="24"/>
          <w:szCs w:val="24"/>
          <w:shd w:val="clear" w:color="auto" w:fill="FFFFFF"/>
        </w:rPr>
        <w:t xml:space="preserve">William Sheldon, according to numerous sources, is a believer in Lombroso's thesis. Sheldon's thesis is comparable to Lombroso's, except it argues that a person's bodily composition was also relevant (Gray, Lilley, </w:t>
      </w:r>
      <w:proofErr w:type="spellStart"/>
      <w:r w:rsidRPr="008C5790">
        <w:rPr>
          <w:rFonts w:cstheme="minorHAnsi"/>
          <w:sz w:val="24"/>
          <w:szCs w:val="24"/>
          <w:shd w:val="clear" w:color="auto" w:fill="FFFFFF"/>
        </w:rPr>
        <w:t>Vause</w:t>
      </w:r>
      <w:proofErr w:type="spellEnd"/>
      <w:r w:rsidRPr="008C5790">
        <w:rPr>
          <w:rFonts w:cstheme="minorHAnsi"/>
          <w:sz w:val="24"/>
          <w:szCs w:val="24"/>
          <w:shd w:val="clear" w:color="auto" w:fill="FFFFFF"/>
        </w:rPr>
        <w:t>, 2010). Sheldon (1940) contributed significantly to the classification and development of the relationships connecting human physiology and personality by formulating a somatotype algorithm for each person (Bernard, 2018). Everybody is predominantly an endomorph, mesomorph, or ectomorph, according to Sheldon (1940). Sheldon (1942) added to this by conducting more studies on the personality traits associated with a somatotype. It was discovered that each level on the scale has distinct characteristics. Overall, Sheldon suggests that the ectomorph, who has a high risk of committing a low-level crime, is a skinny, shy individual with weak social skills</w:t>
      </w:r>
    </w:p>
    <w:p w14:paraId="60F44E0F" w14:textId="6711EED4" w:rsidR="0094461B" w:rsidRDefault="0094461B" w:rsidP="008C5790">
      <w:pPr>
        <w:spacing w:line="480" w:lineRule="auto"/>
        <w:ind w:firstLine="720"/>
        <w:rPr>
          <w:rFonts w:cstheme="minorHAnsi"/>
          <w:sz w:val="24"/>
          <w:szCs w:val="24"/>
          <w:shd w:val="clear" w:color="auto" w:fill="FFFFFF"/>
        </w:rPr>
      </w:pPr>
      <w:r w:rsidRPr="0094461B">
        <w:rPr>
          <w:rFonts w:cstheme="minorHAnsi"/>
          <w:sz w:val="24"/>
          <w:szCs w:val="24"/>
          <w:shd w:val="clear" w:color="auto" w:fill="FFFFFF"/>
        </w:rPr>
        <w:t xml:space="preserve">West and Farrington's (1973) famous research, on the other hand, argues against Sheldon and Lombroso by scientifically proving that there is no correlation between a person's body shape and crime. According to </w:t>
      </w:r>
      <w:proofErr w:type="spellStart"/>
      <w:r w:rsidRPr="0094461B">
        <w:rPr>
          <w:rFonts w:cstheme="minorHAnsi"/>
          <w:sz w:val="24"/>
          <w:szCs w:val="24"/>
          <w:shd w:val="clear" w:color="auto" w:fill="FFFFFF"/>
        </w:rPr>
        <w:t>Maddan</w:t>
      </w:r>
      <w:proofErr w:type="spellEnd"/>
      <w:r w:rsidRPr="0094461B">
        <w:rPr>
          <w:rFonts w:cstheme="minorHAnsi"/>
          <w:sz w:val="24"/>
          <w:szCs w:val="24"/>
          <w:shd w:val="clear" w:color="auto" w:fill="FFFFFF"/>
        </w:rPr>
        <w:t xml:space="preserve"> (2021), Sheldon's hypothesis has lost </w:t>
      </w:r>
      <w:r w:rsidRPr="0094461B">
        <w:rPr>
          <w:rFonts w:cstheme="minorHAnsi"/>
          <w:sz w:val="24"/>
          <w:szCs w:val="24"/>
          <w:shd w:val="clear" w:color="auto" w:fill="FFFFFF"/>
        </w:rPr>
        <w:lastRenderedPageBreak/>
        <w:t>its current validity due to the theory's inability to be applied to women. Bernard (2020) agrees, arguing that a person's physical type can change throughout adulthood. Bernard goes on to say that a person's body image does not remain constant throughout their life</w:t>
      </w:r>
      <w:r w:rsidR="004E341D">
        <w:rPr>
          <w:rFonts w:cstheme="minorHAnsi"/>
          <w:sz w:val="24"/>
          <w:szCs w:val="24"/>
          <w:shd w:val="clear" w:color="auto" w:fill="FFFFFF"/>
        </w:rPr>
        <w:t xml:space="preserve">, instead a person’s body </w:t>
      </w:r>
      <w:r w:rsidRPr="0094461B">
        <w:rPr>
          <w:rFonts w:cstheme="minorHAnsi"/>
          <w:sz w:val="24"/>
          <w:szCs w:val="24"/>
          <w:shd w:val="clear" w:color="auto" w:fill="FFFFFF"/>
        </w:rPr>
        <w:t>can shift dramatically from one end of the spectrum to the other simply by changing their eating and exercise habits.</w:t>
      </w:r>
    </w:p>
    <w:p w14:paraId="321C2072" w14:textId="5FCD459C" w:rsidR="008C5790" w:rsidRPr="008C5790" w:rsidRDefault="008C5790" w:rsidP="008C5790">
      <w:pPr>
        <w:spacing w:line="480" w:lineRule="auto"/>
        <w:ind w:firstLine="720"/>
        <w:rPr>
          <w:rFonts w:cstheme="minorHAnsi"/>
          <w:sz w:val="24"/>
          <w:szCs w:val="24"/>
          <w:shd w:val="clear" w:color="auto" w:fill="FFFFFF"/>
        </w:rPr>
      </w:pPr>
      <w:r w:rsidRPr="008C5790">
        <w:rPr>
          <w:rFonts w:cstheme="minorHAnsi"/>
          <w:sz w:val="24"/>
          <w:szCs w:val="24"/>
          <w:shd w:val="clear" w:color="auto" w:fill="FFFFFF"/>
        </w:rPr>
        <w:t xml:space="preserve">More recent studies have found that crime philosophies have now been solidified by a scientific investigation into molecular genomic information attempting to determine genetic characteristics which increase the likelihood of criminal behaviour and the connection with human activity including such impulsive, judgment procedures, aggressive behaviour since these are variables that are emphasised in biopsychosocial study results that correlate with criminal activity (Torgersen, 1993). However, as argued by Kaplan &amp; Winter (2013), although several studies have duplicated the biological effect on crime across many countries, the inherited genetic qualities remain largely unidentified, with no explanation of how many criminal genes exists. Additionally, </w:t>
      </w:r>
      <w:proofErr w:type="spellStart"/>
      <w:r w:rsidRPr="008C5790">
        <w:rPr>
          <w:rFonts w:cstheme="minorHAnsi"/>
          <w:sz w:val="24"/>
          <w:szCs w:val="24"/>
          <w:shd w:val="clear" w:color="auto" w:fill="FFFFFF"/>
        </w:rPr>
        <w:t>Desalle</w:t>
      </w:r>
      <w:proofErr w:type="spellEnd"/>
      <w:r w:rsidRPr="008C5790">
        <w:rPr>
          <w:rFonts w:cstheme="minorHAnsi"/>
          <w:sz w:val="24"/>
          <w:szCs w:val="24"/>
          <w:shd w:val="clear" w:color="auto" w:fill="FFFFFF"/>
        </w:rPr>
        <w:t xml:space="preserve"> &amp; Goldstein (2019) claim that even scientific research appears to show little knowledge of where the located genetic sequences exist or if they can worsen over time to correlate to the worsened crime statistics in recent years. </w:t>
      </w:r>
    </w:p>
    <w:p w14:paraId="582F236E" w14:textId="77777777" w:rsidR="008C5790" w:rsidRDefault="008C5790" w:rsidP="008C5790">
      <w:pPr>
        <w:spacing w:line="480" w:lineRule="auto"/>
        <w:ind w:firstLine="720"/>
        <w:rPr>
          <w:rFonts w:cstheme="minorHAnsi"/>
          <w:sz w:val="24"/>
          <w:szCs w:val="24"/>
          <w:shd w:val="clear" w:color="auto" w:fill="FFFFFF"/>
        </w:rPr>
      </w:pPr>
      <w:r w:rsidRPr="008C5790">
        <w:rPr>
          <w:rFonts w:cstheme="minorHAnsi"/>
          <w:sz w:val="24"/>
          <w:szCs w:val="24"/>
          <w:shd w:val="clear" w:color="auto" w:fill="FFFFFF"/>
        </w:rPr>
        <w:t xml:space="preserve">Nevertheless, numerous historical hypotheses could be used to predict and prevent crime based on an individual's appearance. It is believed that these hypotheses should be made more widely known to public services to improve awareness, hence lowering crime and enhancing community living conditions (Gray, Lilley &amp; </w:t>
      </w:r>
      <w:proofErr w:type="spellStart"/>
      <w:r w:rsidRPr="008C5790">
        <w:rPr>
          <w:rFonts w:cstheme="minorHAnsi"/>
          <w:sz w:val="24"/>
          <w:szCs w:val="24"/>
          <w:shd w:val="clear" w:color="auto" w:fill="FFFFFF"/>
        </w:rPr>
        <w:t>Vause</w:t>
      </w:r>
      <w:proofErr w:type="spellEnd"/>
      <w:r w:rsidRPr="008C5790">
        <w:rPr>
          <w:rFonts w:cstheme="minorHAnsi"/>
          <w:sz w:val="24"/>
          <w:szCs w:val="24"/>
          <w:shd w:val="clear" w:color="auto" w:fill="FFFFFF"/>
        </w:rPr>
        <w:t>, 2010).</w:t>
      </w:r>
    </w:p>
    <w:p w14:paraId="4211F255" w14:textId="77777777" w:rsidR="00DE2E5C" w:rsidRDefault="00DE2E5C" w:rsidP="008C5790">
      <w:pPr>
        <w:spacing w:line="480" w:lineRule="auto"/>
        <w:rPr>
          <w:rFonts w:cstheme="minorHAnsi"/>
          <w:sz w:val="24"/>
          <w:szCs w:val="24"/>
        </w:rPr>
      </w:pPr>
    </w:p>
    <w:p w14:paraId="6D39A75C" w14:textId="77777777" w:rsidR="00DE2E5C" w:rsidRDefault="00DE2E5C" w:rsidP="008C5790">
      <w:pPr>
        <w:spacing w:line="480" w:lineRule="auto"/>
        <w:rPr>
          <w:rFonts w:cstheme="minorHAnsi"/>
          <w:sz w:val="24"/>
          <w:szCs w:val="24"/>
        </w:rPr>
      </w:pPr>
    </w:p>
    <w:p w14:paraId="274EFD40" w14:textId="458A7F12" w:rsidR="00903747" w:rsidRPr="003879E4" w:rsidRDefault="00903747" w:rsidP="008C5790">
      <w:pPr>
        <w:spacing w:line="480" w:lineRule="auto"/>
        <w:rPr>
          <w:rFonts w:cstheme="minorHAnsi"/>
          <w:b/>
          <w:bCs/>
          <w:sz w:val="24"/>
          <w:szCs w:val="24"/>
          <w:shd w:val="clear" w:color="auto" w:fill="FFFFFF"/>
        </w:rPr>
      </w:pPr>
      <w:r w:rsidRPr="003879E4">
        <w:rPr>
          <w:rFonts w:cstheme="minorHAnsi"/>
          <w:sz w:val="24"/>
          <w:szCs w:val="24"/>
        </w:rPr>
        <w:lastRenderedPageBreak/>
        <w:t xml:space="preserve">2.3 </w:t>
      </w:r>
      <w:r w:rsidRPr="003879E4">
        <w:rPr>
          <w:rFonts w:cstheme="minorHAnsi"/>
          <w:b/>
          <w:bCs/>
          <w:sz w:val="24"/>
          <w:szCs w:val="24"/>
          <w:shd w:val="clear" w:color="auto" w:fill="FFFFFF"/>
        </w:rPr>
        <w:t xml:space="preserve">Social Reaction and Social Constructionism Theories </w:t>
      </w:r>
    </w:p>
    <w:p w14:paraId="33E7198C" w14:textId="79E32DD9" w:rsidR="008C5790" w:rsidRPr="008C5790" w:rsidRDefault="008C5790" w:rsidP="008C5790">
      <w:pPr>
        <w:spacing w:line="480" w:lineRule="auto"/>
        <w:rPr>
          <w:rFonts w:cstheme="minorHAnsi"/>
          <w:sz w:val="24"/>
          <w:szCs w:val="24"/>
        </w:rPr>
      </w:pPr>
      <w:r w:rsidRPr="008C5790">
        <w:rPr>
          <w:rFonts w:cstheme="minorHAnsi"/>
          <w:sz w:val="24"/>
          <w:szCs w:val="24"/>
        </w:rPr>
        <w:t xml:space="preserve">It is argued that the earliest theory relating to the social reaction and social constructionism on a criminal’s mind is the ‘Tabula Rasa’ Theory produced by Locke (1689) which translates into the ‘Blank Slate’ Theory. Locke (1689) implies that individuals are born without built-in mental content, and therefore all knowledge comes from experience or perception. Consequently, as highlighted by Jarret (2021), when thinking of people’s character qualities, sociability, or intellectual functioning, believers of the tabula rasa hypothesis embrace the nurture perspective of the nature versus nurture argument. Gorman (2021) further supports this argument by stating that a </w:t>
      </w:r>
      <w:r w:rsidR="006856F5" w:rsidRPr="008C5790">
        <w:rPr>
          <w:rFonts w:cstheme="minorHAnsi"/>
          <w:sz w:val="24"/>
          <w:szCs w:val="24"/>
        </w:rPr>
        <w:t>new-born</w:t>
      </w:r>
      <w:r w:rsidRPr="008C5790">
        <w:rPr>
          <w:rFonts w:cstheme="minorHAnsi"/>
          <w:sz w:val="24"/>
          <w:szCs w:val="24"/>
        </w:rPr>
        <w:t xml:space="preserve"> is conceived before any concepts are engraved on its thinking by the sensations' inputs from the outside environment.  </w:t>
      </w:r>
      <w:r>
        <w:rPr>
          <w:rFonts w:cstheme="minorHAnsi"/>
          <w:sz w:val="24"/>
          <w:szCs w:val="24"/>
        </w:rPr>
        <w:t xml:space="preserve"> </w:t>
      </w:r>
    </w:p>
    <w:p w14:paraId="43CBD0D3" w14:textId="77777777" w:rsidR="008C5790" w:rsidRPr="008C5790" w:rsidRDefault="008C5790" w:rsidP="008C5790">
      <w:pPr>
        <w:spacing w:line="480" w:lineRule="auto"/>
        <w:ind w:firstLine="720"/>
        <w:rPr>
          <w:rFonts w:cstheme="minorHAnsi"/>
          <w:sz w:val="24"/>
          <w:szCs w:val="24"/>
        </w:rPr>
      </w:pPr>
      <w:r w:rsidRPr="008C5790">
        <w:rPr>
          <w:rFonts w:cstheme="minorHAnsi"/>
          <w:sz w:val="24"/>
          <w:szCs w:val="24"/>
        </w:rPr>
        <w:t xml:space="preserve">To elaborate on psychological positivism, Freud (1989) strengthens the nurture thesis. Numerous sources claim that Freud's theory of personal attributes was based on natural urges which arise at three phases of the mind (Richards, 2018). Freud (1989) highlights that the three aspects of the mind are developed at different times in life, these are called the id, ego, and superego. According to Gregory (2018), unpleasant memories from early experiences can increasingly important role in offending concerning the development of three. The theory is based on moral conscience, and that each part of the mind has power over human behaviours (Hayes &amp; Corrie, 2020). The link between them is crucial, and it was equally necessary as a youth to socially interact effectively with the correct environment so that each vital mentality could flourish (Ray, 2021). It is argued that this is related to Freud's theory of the development of the mind, one of the crucial elements is linked to the lack of self-control which in due course exposes the use of drinking or </w:t>
      </w:r>
      <w:r w:rsidRPr="008C5790">
        <w:rPr>
          <w:rFonts w:cstheme="minorHAnsi"/>
          <w:sz w:val="24"/>
          <w:szCs w:val="24"/>
        </w:rPr>
        <w:lastRenderedPageBreak/>
        <w:t>smoking to the parents and eventually the children in the society (Rowe &amp; Farrington, 2006).</w:t>
      </w:r>
    </w:p>
    <w:p w14:paraId="7D16F4A2" w14:textId="77777777" w:rsidR="008C5790" w:rsidRPr="008C5790" w:rsidRDefault="008C5790" w:rsidP="008C5790">
      <w:pPr>
        <w:spacing w:line="480" w:lineRule="auto"/>
        <w:ind w:firstLine="720"/>
        <w:rPr>
          <w:rFonts w:cstheme="minorHAnsi"/>
          <w:sz w:val="24"/>
          <w:szCs w:val="24"/>
        </w:rPr>
      </w:pPr>
      <w:r w:rsidRPr="008C5790">
        <w:rPr>
          <w:rFonts w:cstheme="minorHAnsi"/>
          <w:sz w:val="24"/>
          <w:szCs w:val="24"/>
        </w:rPr>
        <w:t xml:space="preserve">According to </w:t>
      </w:r>
      <w:proofErr w:type="spellStart"/>
      <w:r w:rsidRPr="008C5790">
        <w:rPr>
          <w:rFonts w:cstheme="minorHAnsi"/>
          <w:sz w:val="24"/>
          <w:szCs w:val="24"/>
        </w:rPr>
        <w:t>Manen</w:t>
      </w:r>
      <w:proofErr w:type="spellEnd"/>
      <w:r w:rsidRPr="008C5790">
        <w:rPr>
          <w:rFonts w:cstheme="minorHAnsi"/>
          <w:sz w:val="24"/>
          <w:szCs w:val="24"/>
        </w:rPr>
        <w:t xml:space="preserve"> (2016), if a child is raised in a criminal atmosphere, they would inevitably resort to a criminal lifestyle since bad behaviour seems 'natural' to them because they witness everyone else doing just that. Additionally, </w:t>
      </w:r>
      <w:proofErr w:type="spellStart"/>
      <w:r w:rsidRPr="008C5790">
        <w:rPr>
          <w:rFonts w:cstheme="minorHAnsi"/>
          <w:sz w:val="24"/>
          <w:szCs w:val="24"/>
        </w:rPr>
        <w:t>Manen</w:t>
      </w:r>
      <w:proofErr w:type="spellEnd"/>
      <w:r w:rsidRPr="008C5790">
        <w:rPr>
          <w:rFonts w:cstheme="minorHAnsi"/>
          <w:sz w:val="24"/>
          <w:szCs w:val="24"/>
        </w:rPr>
        <w:t xml:space="preserve"> (2016) argues the significance of responsible parents throughout all phases of a child's development. It emphasises that when there is a lack of nurture, discipline, or education; traits associated with poor self-control emerge therefore resulting in criminal behaviour. To support this, Gottfredson &amp; Hirschi (1990) claims that troublemakers' households lack guidance and empathy and that their parents' conduct is frequently inadequate. Ray (2021) furthered this argument by applying the hypothesis to an example such as binge drinking, according to theories those children who are troubled in school have parents that are more than likely to have a criminal history themselves or have had a poor reputation of trouble in the past.</w:t>
      </w:r>
    </w:p>
    <w:p w14:paraId="74B3DDB7" w14:textId="77777777" w:rsidR="008C5790" w:rsidRPr="008C5790" w:rsidRDefault="008C5790" w:rsidP="008C5790">
      <w:pPr>
        <w:spacing w:line="480" w:lineRule="auto"/>
        <w:ind w:firstLine="720"/>
        <w:rPr>
          <w:rFonts w:cstheme="minorHAnsi"/>
          <w:sz w:val="24"/>
          <w:szCs w:val="24"/>
        </w:rPr>
      </w:pPr>
      <w:r w:rsidRPr="008C5790">
        <w:rPr>
          <w:rFonts w:cstheme="minorHAnsi"/>
          <w:sz w:val="24"/>
          <w:szCs w:val="24"/>
        </w:rPr>
        <w:t>The introduction of Adverse Childhood Experiences (ACEs) has majorly contributed to predicting criminal behaviour, it shows the likelihood that a child will commit a crime later in life based on the environment that a person encounters throughout childhood (</w:t>
      </w:r>
      <w:proofErr w:type="spellStart"/>
      <w:r w:rsidRPr="008C5790">
        <w:rPr>
          <w:rFonts w:cstheme="minorHAnsi"/>
          <w:sz w:val="24"/>
          <w:szCs w:val="24"/>
        </w:rPr>
        <w:t>Nurius</w:t>
      </w:r>
      <w:proofErr w:type="spellEnd"/>
      <w:r w:rsidRPr="008C5790">
        <w:rPr>
          <w:rFonts w:cstheme="minorHAnsi"/>
          <w:sz w:val="24"/>
          <w:szCs w:val="24"/>
        </w:rPr>
        <w:t xml:space="preserve"> et al, 2016). According to Dyfed Powys Police (2021c), it has been suggested that a critical aspect of addressing and preventing crime involves analysing the characteristics of individuals who are already displaying behavioural issues or several of the risk factors associated with criminal activity. On the other hand, the problem is further exacerbated by </w:t>
      </w:r>
      <w:proofErr w:type="spellStart"/>
      <w:r w:rsidRPr="008C5790">
        <w:rPr>
          <w:rFonts w:cstheme="minorHAnsi"/>
          <w:sz w:val="24"/>
          <w:szCs w:val="24"/>
        </w:rPr>
        <w:t>Dehaghani</w:t>
      </w:r>
      <w:proofErr w:type="spellEnd"/>
      <w:r w:rsidRPr="008C5790">
        <w:rPr>
          <w:rFonts w:cstheme="minorHAnsi"/>
          <w:sz w:val="24"/>
          <w:szCs w:val="24"/>
        </w:rPr>
        <w:t xml:space="preserve"> &amp; Newman (2017), who contend that emergency response officers are failing to understand and consider their training on the ACEs when dealing with vulnerable citizens in need of assistance. Nevertheless, there is still a case to be made for distrust of ACE testing; </w:t>
      </w:r>
      <w:r w:rsidRPr="008C5790">
        <w:rPr>
          <w:rFonts w:cstheme="minorHAnsi"/>
          <w:sz w:val="24"/>
          <w:szCs w:val="24"/>
        </w:rPr>
        <w:lastRenderedPageBreak/>
        <w:t xml:space="preserve">persons with high ACE ratings can accomplish positive results. ACE ratings do not include pleasant early developmental experiences that may help a person build strength and resilience to protect them from the effects of trauma (Schindler, Fisher &amp; Shonkoff, 2017). </w:t>
      </w:r>
    </w:p>
    <w:p w14:paraId="3517488B" w14:textId="77777777" w:rsidR="008C5790" w:rsidRDefault="008C5790" w:rsidP="008C5790">
      <w:pPr>
        <w:spacing w:line="480" w:lineRule="auto"/>
        <w:ind w:firstLine="720"/>
        <w:rPr>
          <w:rFonts w:cstheme="minorHAnsi"/>
          <w:sz w:val="24"/>
          <w:szCs w:val="24"/>
        </w:rPr>
      </w:pPr>
      <w:r w:rsidRPr="008C5790">
        <w:rPr>
          <w:rFonts w:cstheme="minorHAnsi"/>
          <w:sz w:val="24"/>
          <w:szCs w:val="24"/>
        </w:rPr>
        <w:t xml:space="preserve">Approximately two-thirds of individuals suffering from one ACE in 2016, and more than one-fifth experienced two or more. The Centre for Child Counselling (2020) reports that children who have six of the ten ACEs will highly likely need early intervention services. To further put this into perspective, in Wales, 50% of children suffered from 1 ACE, additionally, only 8% of those living in England experienced 4 or more in 2020 (NHS Health Scotland, 2020; ACE-Aware Wales, 2021). This data reveals that the chance of a child in the UK suffering from a significant number of ACEs is extremely low. </w:t>
      </w:r>
    </w:p>
    <w:p w14:paraId="3C9DCC42" w14:textId="4420B046" w:rsidR="00903747" w:rsidRPr="003879E4" w:rsidRDefault="00903747" w:rsidP="008C5790">
      <w:pPr>
        <w:spacing w:line="480" w:lineRule="auto"/>
        <w:rPr>
          <w:rFonts w:cstheme="minorHAnsi"/>
          <w:b/>
          <w:bCs/>
          <w:sz w:val="24"/>
          <w:szCs w:val="24"/>
          <w:shd w:val="clear" w:color="auto" w:fill="FFFFFF"/>
        </w:rPr>
      </w:pPr>
      <w:r w:rsidRPr="003879E4">
        <w:rPr>
          <w:rFonts w:cstheme="minorHAnsi"/>
          <w:sz w:val="24"/>
          <w:szCs w:val="24"/>
          <w:shd w:val="clear" w:color="auto" w:fill="FFFFFF"/>
        </w:rPr>
        <w:t xml:space="preserve">2.4 </w:t>
      </w:r>
      <w:r w:rsidRPr="003879E4">
        <w:rPr>
          <w:rFonts w:cstheme="minorHAnsi"/>
          <w:b/>
          <w:bCs/>
          <w:sz w:val="24"/>
          <w:szCs w:val="24"/>
          <w:shd w:val="clear" w:color="auto" w:fill="FFFFFF"/>
        </w:rPr>
        <w:t xml:space="preserve">Anti-Social Behaviour Statistics and the Offenders  </w:t>
      </w:r>
    </w:p>
    <w:p w14:paraId="0CB1DA32" w14:textId="6B54FFE5" w:rsidR="00903747" w:rsidRPr="003879E4" w:rsidRDefault="00903747" w:rsidP="00DB3C2F">
      <w:pPr>
        <w:spacing w:line="480" w:lineRule="auto"/>
        <w:rPr>
          <w:rFonts w:cstheme="minorHAnsi"/>
          <w:sz w:val="24"/>
          <w:szCs w:val="24"/>
        </w:rPr>
      </w:pPr>
      <w:r w:rsidRPr="003879E4">
        <w:rPr>
          <w:rFonts w:cstheme="minorHAnsi"/>
          <w:sz w:val="24"/>
          <w:szCs w:val="24"/>
        </w:rPr>
        <w:t>As defined by the Crime and Disorder Act (1998) anti-social behaviour (ASB) is acting 'in a manner that caused or was likely to cause harassment, alarm or distress’ (Home Office, 2019). As highlighted by the Home Office (2011), vast numbers of people in this nation experience ASB, which has a significant influence on their standard of living. On the other hand, some argue that ASB is pre-criminal behaviour therefore it is not significant enough for a policing response and deeper research into prediction theories (Crossley, 2018).</w:t>
      </w:r>
    </w:p>
    <w:p w14:paraId="1E0C57F4" w14:textId="77777777" w:rsidR="00903747" w:rsidRPr="003879E4" w:rsidRDefault="00903747" w:rsidP="00DB3C2F">
      <w:pPr>
        <w:spacing w:line="480" w:lineRule="auto"/>
        <w:ind w:firstLine="720"/>
        <w:rPr>
          <w:rFonts w:cstheme="minorHAnsi"/>
          <w:sz w:val="24"/>
          <w:szCs w:val="24"/>
        </w:rPr>
      </w:pPr>
      <w:r w:rsidRPr="003879E4">
        <w:rPr>
          <w:rFonts w:cstheme="minorHAnsi"/>
          <w:sz w:val="24"/>
          <w:szCs w:val="24"/>
        </w:rPr>
        <w:t xml:space="preserve">According to the official data collected by the Office of National Statistics (2022), during the COVID-19 Pandemic, one out of three people in England and Wales was a victim of ASB. Unfortunately, just 7% of these respondents reported the crime, with the main explanation being that it was not worth reporting because the police would take no action. In 2021, the majority of ASB reports were submitted to 101, with only 7% of individuals </w:t>
      </w:r>
      <w:proofErr w:type="spellStart"/>
      <w:r w:rsidRPr="003879E4">
        <w:rPr>
          <w:rFonts w:cstheme="minorHAnsi"/>
          <w:sz w:val="24"/>
          <w:szCs w:val="24"/>
        </w:rPr>
        <w:t>dialing</w:t>
      </w:r>
      <w:proofErr w:type="spellEnd"/>
      <w:r w:rsidRPr="003879E4">
        <w:rPr>
          <w:rFonts w:cstheme="minorHAnsi"/>
          <w:sz w:val="24"/>
          <w:szCs w:val="24"/>
        </w:rPr>
        <w:t xml:space="preserve"> 999. When compared to before COVID-19, the number of persons who suffered or </w:t>
      </w:r>
      <w:r w:rsidRPr="003879E4">
        <w:rPr>
          <w:rFonts w:cstheme="minorHAnsi"/>
          <w:sz w:val="24"/>
          <w:szCs w:val="24"/>
        </w:rPr>
        <w:lastRenderedPageBreak/>
        <w:t>witnessed any type of ASB in 2015 was again, 30 % (Office of National Statistics, 2018). As a result, according to the data, ASB has not been effectively prevented or reduced.</w:t>
      </w:r>
    </w:p>
    <w:p w14:paraId="5A96F06C" w14:textId="478C666F" w:rsidR="00903747" w:rsidRPr="003879E4" w:rsidRDefault="00903747" w:rsidP="00DB3C2F">
      <w:pPr>
        <w:spacing w:line="480" w:lineRule="auto"/>
        <w:ind w:firstLine="720"/>
        <w:rPr>
          <w:rFonts w:cstheme="minorHAnsi"/>
          <w:sz w:val="24"/>
          <w:szCs w:val="24"/>
        </w:rPr>
      </w:pPr>
      <w:r w:rsidRPr="003879E4">
        <w:rPr>
          <w:rFonts w:cstheme="minorHAnsi"/>
          <w:sz w:val="24"/>
          <w:szCs w:val="24"/>
        </w:rPr>
        <w:t xml:space="preserve">To emphasise the need for greater prevention, only 23% of people in the UK have access to victim support regarding ASB offences </w:t>
      </w:r>
      <w:r w:rsidR="00A30D1C">
        <w:rPr>
          <w:rFonts w:cstheme="minorHAnsi"/>
          <w:sz w:val="24"/>
          <w:szCs w:val="24"/>
        </w:rPr>
        <w:t>(</w:t>
      </w:r>
      <w:r w:rsidRPr="003879E4">
        <w:rPr>
          <w:rFonts w:cstheme="minorHAnsi"/>
          <w:sz w:val="24"/>
          <w:szCs w:val="24"/>
        </w:rPr>
        <w:t>Victim Support, 2021). Furthermore, even modest research has revealed that suffering from long-term ASB has had the same negative impacts on behaviour compared to victims of violent crimes, implying that the psychological positivism of the nurture argument has sociological significance (Anti-social behaviour Help, 2014).</w:t>
      </w:r>
    </w:p>
    <w:p w14:paraId="6B9255B2" w14:textId="77777777" w:rsidR="00903747" w:rsidRPr="003879E4" w:rsidRDefault="00903747" w:rsidP="00DB3C2F">
      <w:pPr>
        <w:spacing w:line="480" w:lineRule="auto"/>
        <w:ind w:firstLine="720"/>
        <w:rPr>
          <w:rFonts w:cstheme="minorHAnsi"/>
          <w:sz w:val="24"/>
          <w:szCs w:val="24"/>
        </w:rPr>
      </w:pPr>
      <w:r w:rsidRPr="003879E4">
        <w:rPr>
          <w:rFonts w:cstheme="minorHAnsi"/>
          <w:sz w:val="24"/>
          <w:szCs w:val="24"/>
        </w:rPr>
        <w:t>According to Rutter (2003), a person who engages in ASB is likely to be dishonest, deceptive, and arrogant, with little regard for the emotions of others. Furthermore, NHS (2021) suggests that a person's personality is heavily influenced by their upbringing environment and when children and their parents come into touch with society daily, it is easy to notice the similar connections between both generations. This indicates that the negative characteristics of ASB are easily identified in both the parents and the offspring. Furthermore, according to Gottfredson &amp; Payne (2005), by having frequent interaction with children, education sectors should be able to detect early indicators of delinquency.</w:t>
      </w:r>
    </w:p>
    <w:p w14:paraId="67EE6E2B" w14:textId="77777777" w:rsidR="00903747" w:rsidRPr="003879E4" w:rsidRDefault="00903747" w:rsidP="00DB3C2F">
      <w:pPr>
        <w:spacing w:line="480" w:lineRule="auto"/>
        <w:ind w:firstLine="720"/>
        <w:rPr>
          <w:rFonts w:cstheme="minorHAnsi"/>
          <w:sz w:val="24"/>
          <w:szCs w:val="24"/>
        </w:rPr>
      </w:pPr>
      <w:r w:rsidRPr="003879E4">
        <w:rPr>
          <w:rFonts w:cstheme="minorHAnsi"/>
          <w:sz w:val="24"/>
          <w:szCs w:val="24"/>
        </w:rPr>
        <w:t xml:space="preserve">Nevertheless, the Early Years Workforce Study Team (2020) argues that not only the police but also the NHS and education should do more to identify potential roots of disorder to reduce youth ASB by recognising the traits. To support this, according to </w:t>
      </w:r>
      <w:proofErr w:type="spellStart"/>
      <w:r w:rsidRPr="003879E4">
        <w:rPr>
          <w:rFonts w:cstheme="minorHAnsi"/>
          <w:sz w:val="24"/>
          <w:szCs w:val="24"/>
        </w:rPr>
        <w:t>Timimi</w:t>
      </w:r>
      <w:proofErr w:type="spellEnd"/>
      <w:r w:rsidRPr="003879E4">
        <w:rPr>
          <w:rFonts w:cstheme="minorHAnsi"/>
          <w:sz w:val="24"/>
          <w:szCs w:val="24"/>
        </w:rPr>
        <w:t xml:space="preserve"> (2015), educational services have recognised that the naughtier children are frequently the more muscular boys with a more pronounced jaw chin, and nose placement, however, this idea lacks proof concerning ASB later down the line. This view, however, can be linked to Sheldon's thesis on body composition and Lombroso's hypothesis on facial features as </w:t>
      </w:r>
      <w:r w:rsidRPr="003879E4">
        <w:rPr>
          <w:rFonts w:cstheme="minorHAnsi"/>
          <w:sz w:val="24"/>
          <w:szCs w:val="24"/>
        </w:rPr>
        <w:lastRenderedPageBreak/>
        <w:t>implied by Thomas (2018), who argues that the description as described by (</w:t>
      </w:r>
      <w:proofErr w:type="spellStart"/>
      <w:r w:rsidRPr="003879E4">
        <w:rPr>
          <w:rFonts w:cstheme="minorHAnsi"/>
          <w:sz w:val="24"/>
          <w:szCs w:val="24"/>
        </w:rPr>
        <w:t>Timimi</w:t>
      </w:r>
      <w:proofErr w:type="spellEnd"/>
      <w:r w:rsidRPr="003879E4">
        <w:rPr>
          <w:rFonts w:cstheme="minorHAnsi"/>
          <w:sz w:val="24"/>
          <w:szCs w:val="24"/>
        </w:rPr>
        <w:t>, 2015) is usually persons who perpetrate the more serious crimes as they age.</w:t>
      </w:r>
    </w:p>
    <w:p w14:paraId="41056606" w14:textId="77777777" w:rsidR="00903747" w:rsidRPr="003879E4" w:rsidRDefault="00903747" w:rsidP="00DB3C2F">
      <w:pPr>
        <w:spacing w:line="480" w:lineRule="auto"/>
        <w:ind w:firstLine="720"/>
        <w:rPr>
          <w:rFonts w:cstheme="minorHAnsi"/>
          <w:sz w:val="24"/>
          <w:szCs w:val="24"/>
        </w:rPr>
      </w:pPr>
      <w:r w:rsidRPr="003879E4">
        <w:rPr>
          <w:rFonts w:cstheme="minorHAnsi"/>
          <w:sz w:val="24"/>
          <w:szCs w:val="24"/>
        </w:rPr>
        <w:t>On the other hand, when considering a child’s environment, according to Thomas (2018), irrespectively as to whether adults drink or smoke, a child who rates 7 upon the ACEs test is quadruple likelier to commit ASB than youth who has had no ACEs throughout their childhood. Additionally, when a person does not receive the necessary socialisation, he or she develops an ego that lacks influence over the id. According to Compton (2017), this leads to the ASB because the environment for the child is not suitable.</w:t>
      </w:r>
    </w:p>
    <w:p w14:paraId="0727DE6F" w14:textId="77777777" w:rsidR="00903747" w:rsidRPr="003879E4" w:rsidRDefault="00903747" w:rsidP="00DB3C2F">
      <w:pPr>
        <w:spacing w:line="480" w:lineRule="auto"/>
        <w:rPr>
          <w:rFonts w:cstheme="minorHAnsi"/>
          <w:b/>
          <w:bCs/>
          <w:sz w:val="24"/>
          <w:szCs w:val="24"/>
        </w:rPr>
      </w:pPr>
      <w:r w:rsidRPr="003879E4">
        <w:rPr>
          <w:rFonts w:cstheme="minorHAnsi"/>
          <w:sz w:val="24"/>
          <w:szCs w:val="24"/>
        </w:rPr>
        <w:t xml:space="preserve">2.5 </w:t>
      </w:r>
      <w:r w:rsidRPr="003879E4">
        <w:rPr>
          <w:rFonts w:cstheme="minorHAnsi"/>
          <w:b/>
          <w:bCs/>
          <w:sz w:val="24"/>
          <w:szCs w:val="24"/>
        </w:rPr>
        <w:t>The Effectiveness of Anti-social Behaviour Legislation and Prevention Efforts</w:t>
      </w:r>
    </w:p>
    <w:p w14:paraId="1F8CEB2B" w14:textId="77777777" w:rsidR="00903747" w:rsidRPr="003879E4" w:rsidRDefault="00903747" w:rsidP="00DB3C2F">
      <w:pPr>
        <w:spacing w:line="480" w:lineRule="auto"/>
        <w:rPr>
          <w:rFonts w:cstheme="minorHAnsi"/>
          <w:sz w:val="24"/>
          <w:szCs w:val="24"/>
        </w:rPr>
      </w:pPr>
      <w:r w:rsidRPr="003879E4">
        <w:rPr>
          <w:rFonts w:cstheme="minorHAnsi"/>
          <w:sz w:val="24"/>
          <w:szCs w:val="24"/>
        </w:rPr>
        <w:t>The Anti-social Behaviour Order (ASBO), which places limits on those who engage in ASB, is one of the new measures imposed. Although the restrictions were not meant to be used against youths (Burney, 2002), a government evaluation of ASBOs in 2002 found that three-quarters of all ASBOs applied between 1999 and 2002 were against persons under the age of 21 (Campbell, 2002). The Anti-social Behaviour Act of 2003, particularly strengthened existing regulations, indicated that young adults were the primary target of ASB in communities (Home Office, 2020a). As a result, this argument emphasises the need for early intervention in children's early experiences.</w:t>
      </w:r>
    </w:p>
    <w:p w14:paraId="7C2695DA" w14:textId="77777777" w:rsidR="00903747" w:rsidRPr="003879E4" w:rsidRDefault="00903747" w:rsidP="00DB3C2F">
      <w:pPr>
        <w:spacing w:line="480" w:lineRule="auto"/>
        <w:ind w:firstLine="720"/>
        <w:rPr>
          <w:rFonts w:cstheme="minorHAnsi"/>
          <w:sz w:val="24"/>
          <w:szCs w:val="24"/>
        </w:rPr>
      </w:pPr>
      <w:r w:rsidRPr="003879E4">
        <w:rPr>
          <w:rFonts w:cstheme="minorHAnsi"/>
          <w:sz w:val="24"/>
          <w:szCs w:val="24"/>
        </w:rPr>
        <w:t xml:space="preserve">Nevertheless, it can be argued that ASB could be classified as not a criminal offence, Green &amp; Pemberton (2018) argues that the government is not required to provide any follow-up. Conversely, legislation like the Crime and Disorder Act (1998) gives police officers the ability to bypass the loosely defined terminology by allowing them the authority to prosecute the perpetrators (Home Office, 2010). For instance, ASB is categorized as minimal severity, which often causes police personnel to get confounded while responding. In </w:t>
      </w:r>
      <w:r w:rsidRPr="003879E4">
        <w:rPr>
          <w:rFonts w:cstheme="minorHAnsi"/>
          <w:sz w:val="24"/>
          <w:szCs w:val="24"/>
        </w:rPr>
        <w:lastRenderedPageBreak/>
        <w:t>addition, the Metropolitan Police (2019) recently stated that perhaps the distinction between ASB and a crime seems blurry and misleading due to the minor seriousness of the act. Nonetheless, the Home Office (2011) endeavoured to resolve the issue by recognizing that the terminology is not clearly defined in some elements of the legislation.</w:t>
      </w:r>
    </w:p>
    <w:p w14:paraId="6F4FC61A" w14:textId="77777777" w:rsidR="00903747" w:rsidRPr="003879E4" w:rsidRDefault="00903747" w:rsidP="00DB3C2F">
      <w:pPr>
        <w:spacing w:line="480" w:lineRule="auto"/>
        <w:ind w:firstLine="720"/>
        <w:rPr>
          <w:rFonts w:cstheme="minorHAnsi"/>
          <w:sz w:val="24"/>
          <w:szCs w:val="24"/>
        </w:rPr>
      </w:pPr>
      <w:r w:rsidRPr="003879E4">
        <w:rPr>
          <w:rFonts w:cstheme="minorHAnsi"/>
          <w:sz w:val="24"/>
          <w:szCs w:val="24"/>
        </w:rPr>
        <w:t xml:space="preserve">The Antisocial Behaviour, Crime, and Policing Act (2014) creates several measures to combat ASB (Home Office, 2014). The legislation is portrayed as being open, therefore the extent of exploitation increases leaving the victims unclear of the crime they are being exploited for (Heap, 2016). Furthermore, according to </w:t>
      </w:r>
      <w:proofErr w:type="spellStart"/>
      <w:r w:rsidRPr="003879E4">
        <w:rPr>
          <w:rFonts w:cstheme="minorHAnsi"/>
          <w:sz w:val="24"/>
          <w:szCs w:val="24"/>
        </w:rPr>
        <w:t>Shapland</w:t>
      </w:r>
      <w:proofErr w:type="spellEnd"/>
      <w:r w:rsidRPr="003879E4">
        <w:rPr>
          <w:rFonts w:cstheme="minorHAnsi"/>
          <w:sz w:val="24"/>
          <w:szCs w:val="24"/>
        </w:rPr>
        <w:t xml:space="preserve"> and Hall (2007), victims also suffer as a result of the study being more directly focused on more serious offences.</w:t>
      </w:r>
    </w:p>
    <w:p w14:paraId="626FC1AA" w14:textId="77777777" w:rsidR="00903747" w:rsidRPr="003879E4" w:rsidRDefault="00903747" w:rsidP="00DB3C2F">
      <w:pPr>
        <w:spacing w:line="480" w:lineRule="auto"/>
        <w:ind w:firstLine="720"/>
        <w:rPr>
          <w:rFonts w:cstheme="minorHAnsi"/>
          <w:sz w:val="24"/>
          <w:szCs w:val="24"/>
        </w:rPr>
      </w:pPr>
      <w:r w:rsidRPr="003879E4">
        <w:rPr>
          <w:rFonts w:cstheme="minorHAnsi"/>
          <w:sz w:val="24"/>
          <w:szCs w:val="24"/>
        </w:rPr>
        <w:t xml:space="preserve">To make matters worse, as recent unfortunate incidents have demonstrated, it is frequently directed against those in our community who seem to be least capable of defending themselves (Home Office, 2011). For example, according to analysts, the unfortunate deaths like those of Fiona Pilkington and David Askew (College of Policing, 2017), might be replicated if police departments are too humiliated to question the victims about their physical or mental disabilities (Salerno-Ferraro and Schuller, 2020). To support this, Nathan (2020, p.21) implies that police officers have grown "extremely cautious regarding upsetting people when talking about victim support after ASB". Officials from the National Probation Service and the Crown Prosecution Service have also admitted that they are uncomfortable inquiring about their requirements for aftercare, especially for those who require that extra support for their disability (Lumsden and Black, 2020). According to Mallick (2017), the chief operating officer of Disability Rights UK, the authorities need a basic definition of disability for usage across the Criminal Justice System to overcome the problem. "We engage closely with other agencies, including such social housing and welfare </w:t>
      </w:r>
      <w:r w:rsidRPr="003879E4">
        <w:rPr>
          <w:rFonts w:cstheme="minorHAnsi"/>
          <w:sz w:val="24"/>
          <w:szCs w:val="24"/>
        </w:rPr>
        <w:lastRenderedPageBreak/>
        <w:t>services, to resolve circumstances that do not get to the level of a serious crime for ASB" Goddard (2021, p.7), Assistant Crime Recorder at Leicester Police.</w:t>
      </w:r>
    </w:p>
    <w:p w14:paraId="74657816" w14:textId="618496F9" w:rsidR="00903747" w:rsidRPr="003879E4" w:rsidRDefault="00903747" w:rsidP="00DB3C2F">
      <w:pPr>
        <w:spacing w:line="480" w:lineRule="auto"/>
        <w:ind w:firstLine="720"/>
        <w:rPr>
          <w:rFonts w:cstheme="minorHAnsi"/>
          <w:sz w:val="24"/>
          <w:szCs w:val="24"/>
        </w:rPr>
      </w:pPr>
      <w:r w:rsidRPr="003879E4">
        <w:rPr>
          <w:rFonts w:cstheme="minorHAnsi"/>
          <w:sz w:val="24"/>
          <w:szCs w:val="24"/>
        </w:rPr>
        <w:t xml:space="preserve">Fiona Pilkington's trial was a historic moment for handicapped persons, and many have subsequently argued that not enough has been implemented to resolve ASB harassment. People with disabilities, according to Nathan (2020), have grown to accept frequent ASB as the norm. Those who have been labelled as vulnerable are now legally recognised, and police forces are compelled to give further necessary care and support (Home Office, 2012). However, the Home Office (2018) documented 3,629 </w:t>
      </w:r>
      <w:r w:rsidR="00F00D48" w:rsidRPr="003879E4">
        <w:rPr>
          <w:rFonts w:cstheme="minorHAnsi"/>
          <w:sz w:val="24"/>
          <w:szCs w:val="24"/>
        </w:rPr>
        <w:t>disability</w:t>
      </w:r>
      <w:r w:rsidR="00F00D48">
        <w:rPr>
          <w:rFonts w:cstheme="minorHAnsi"/>
          <w:sz w:val="24"/>
          <w:szCs w:val="24"/>
        </w:rPr>
        <w:t xml:space="preserve"> related</w:t>
      </w:r>
      <w:r w:rsidRPr="003879E4">
        <w:rPr>
          <w:rFonts w:cstheme="minorHAnsi"/>
          <w:sz w:val="24"/>
          <w:szCs w:val="24"/>
        </w:rPr>
        <w:t xml:space="preserve"> ASB crimes in 2017, accounting for 8% of all offences. According to Visconti (2019), the criminal justice system has failed to deliver an efficient service to all victims of crime, not just the disabled, what has to happen is that all authorities must collaborate to detect problems and give aftercare help even after the police contact stage.</w:t>
      </w:r>
    </w:p>
    <w:p w14:paraId="73BCE252" w14:textId="77777777" w:rsidR="00903747" w:rsidRPr="003879E4" w:rsidRDefault="00903747" w:rsidP="00DB3C2F">
      <w:pPr>
        <w:spacing w:line="480" w:lineRule="auto"/>
        <w:rPr>
          <w:rFonts w:cstheme="minorHAnsi"/>
          <w:b/>
          <w:bCs/>
          <w:sz w:val="24"/>
          <w:szCs w:val="24"/>
        </w:rPr>
      </w:pPr>
      <w:r w:rsidRPr="003879E4">
        <w:rPr>
          <w:rFonts w:cstheme="minorHAnsi"/>
          <w:sz w:val="24"/>
          <w:szCs w:val="24"/>
        </w:rPr>
        <w:t xml:space="preserve">2.6 </w:t>
      </w:r>
      <w:r w:rsidRPr="003879E4">
        <w:rPr>
          <w:rFonts w:cstheme="minorHAnsi"/>
          <w:b/>
          <w:bCs/>
          <w:sz w:val="24"/>
          <w:szCs w:val="24"/>
        </w:rPr>
        <w:t>Conclusion</w:t>
      </w:r>
    </w:p>
    <w:p w14:paraId="30434738" w14:textId="77777777" w:rsidR="00903747" w:rsidRPr="003879E4" w:rsidRDefault="00903747" w:rsidP="00DB3C2F">
      <w:pPr>
        <w:spacing w:line="480" w:lineRule="auto"/>
        <w:ind w:firstLine="720"/>
        <w:rPr>
          <w:rFonts w:cstheme="minorHAnsi"/>
          <w:sz w:val="24"/>
          <w:szCs w:val="24"/>
          <w:shd w:val="clear" w:color="auto" w:fill="FFFFFF"/>
        </w:rPr>
      </w:pPr>
      <w:r w:rsidRPr="003879E4">
        <w:rPr>
          <w:rFonts w:cstheme="minorHAnsi"/>
          <w:sz w:val="24"/>
          <w:szCs w:val="24"/>
          <w:shd w:val="clear" w:color="auto" w:fill="FFFFFF"/>
        </w:rPr>
        <w:t xml:space="preserve">To conclude, this chapter draws together the themes of the nature-nurture controversy about how both genetics and environment affect human behaviour, including character, cognition qualities, and a person’s demeanour (Haworth, Davis, &amp; Plomin, 2013). </w:t>
      </w:r>
    </w:p>
    <w:p w14:paraId="26838639" w14:textId="57506108" w:rsidR="00903747" w:rsidRPr="003879E4" w:rsidRDefault="00903747" w:rsidP="00DB3C2F">
      <w:pPr>
        <w:spacing w:line="480" w:lineRule="auto"/>
        <w:ind w:firstLine="720"/>
        <w:rPr>
          <w:rFonts w:cstheme="minorHAnsi"/>
          <w:sz w:val="24"/>
          <w:szCs w:val="24"/>
          <w:shd w:val="clear" w:color="auto" w:fill="FFFFFF"/>
        </w:rPr>
      </w:pPr>
      <w:r w:rsidRPr="003879E4">
        <w:rPr>
          <w:rFonts w:cstheme="minorHAnsi"/>
          <w:sz w:val="24"/>
          <w:szCs w:val="24"/>
          <w:shd w:val="clear" w:color="auto" w:fill="FFFFFF"/>
        </w:rPr>
        <w:t xml:space="preserve">Practical research will be conducted to </w:t>
      </w:r>
      <w:r w:rsidR="00F151C0">
        <w:rPr>
          <w:rFonts w:cstheme="minorHAnsi"/>
          <w:sz w:val="24"/>
          <w:szCs w:val="24"/>
          <w:shd w:val="clear" w:color="auto" w:fill="FFFFFF"/>
        </w:rPr>
        <w:t xml:space="preserve">gain </w:t>
      </w:r>
      <w:r w:rsidRPr="003879E4">
        <w:rPr>
          <w:rFonts w:cstheme="minorHAnsi"/>
          <w:sz w:val="24"/>
          <w:szCs w:val="24"/>
          <w:shd w:val="clear" w:color="auto" w:fill="FFFFFF"/>
        </w:rPr>
        <w:t>a deeper understanding</w:t>
      </w:r>
      <w:r w:rsidR="00F151C0">
        <w:rPr>
          <w:rFonts w:cstheme="minorHAnsi"/>
          <w:sz w:val="24"/>
          <w:szCs w:val="24"/>
          <w:shd w:val="clear" w:color="auto" w:fill="FFFFFF"/>
        </w:rPr>
        <w:t xml:space="preserve">. </w:t>
      </w:r>
      <w:r w:rsidRPr="003879E4">
        <w:rPr>
          <w:rFonts w:cstheme="minorHAnsi"/>
          <w:sz w:val="24"/>
          <w:szCs w:val="24"/>
          <w:shd w:val="clear" w:color="auto" w:fill="FFFFFF"/>
        </w:rPr>
        <w:t>The research will aim to ascertain police viewpoints on the subject</w:t>
      </w:r>
      <w:r w:rsidR="00F151C0">
        <w:rPr>
          <w:rFonts w:cstheme="minorHAnsi"/>
          <w:sz w:val="24"/>
          <w:szCs w:val="24"/>
          <w:shd w:val="clear" w:color="auto" w:fill="FFFFFF"/>
        </w:rPr>
        <w:t xml:space="preserve"> and to</w:t>
      </w:r>
      <w:r w:rsidRPr="003879E4">
        <w:rPr>
          <w:rFonts w:cstheme="minorHAnsi"/>
          <w:sz w:val="24"/>
          <w:szCs w:val="24"/>
          <w:shd w:val="clear" w:color="auto" w:fill="FFFFFF"/>
        </w:rPr>
        <w:t xml:space="preserve"> compare the</w:t>
      </w:r>
      <w:r w:rsidR="00F151C0">
        <w:rPr>
          <w:rFonts w:cstheme="minorHAnsi"/>
          <w:sz w:val="24"/>
          <w:szCs w:val="24"/>
          <w:shd w:val="clear" w:color="auto" w:fill="FFFFFF"/>
        </w:rPr>
        <w:t xml:space="preserve">se </w:t>
      </w:r>
      <w:r w:rsidRPr="003879E4">
        <w:rPr>
          <w:rFonts w:cstheme="minorHAnsi"/>
          <w:sz w:val="24"/>
          <w:szCs w:val="24"/>
          <w:shd w:val="clear" w:color="auto" w:fill="FFFFFF"/>
        </w:rPr>
        <w:t xml:space="preserve">to historical theories. Considering the ASB component of policing first and foremost, the subsequent chapter will use methodological approaches to collect statistical results through primary research. </w:t>
      </w:r>
    </w:p>
    <w:p w14:paraId="558A9ACF" w14:textId="77777777" w:rsidR="00DE2E5C" w:rsidRDefault="00DE2E5C" w:rsidP="00DB3C2F">
      <w:pPr>
        <w:spacing w:line="480" w:lineRule="auto"/>
        <w:rPr>
          <w:rFonts w:cstheme="minorHAnsi"/>
          <w:b/>
          <w:bCs/>
          <w:color w:val="0070C0"/>
          <w:sz w:val="24"/>
          <w:szCs w:val="24"/>
        </w:rPr>
      </w:pPr>
    </w:p>
    <w:p w14:paraId="66D8A665" w14:textId="57D65BBF" w:rsidR="00903747" w:rsidRPr="003879E4" w:rsidRDefault="00903747" w:rsidP="00DB3C2F">
      <w:pPr>
        <w:spacing w:line="480" w:lineRule="auto"/>
        <w:rPr>
          <w:rFonts w:cstheme="minorHAnsi"/>
          <w:b/>
          <w:bCs/>
          <w:color w:val="0070C0"/>
          <w:sz w:val="24"/>
          <w:szCs w:val="24"/>
        </w:rPr>
      </w:pPr>
      <w:r w:rsidRPr="003879E4">
        <w:rPr>
          <w:rFonts w:cstheme="minorHAnsi"/>
          <w:b/>
          <w:bCs/>
          <w:color w:val="0070C0"/>
          <w:sz w:val="24"/>
          <w:szCs w:val="24"/>
        </w:rPr>
        <w:lastRenderedPageBreak/>
        <w:t xml:space="preserve">Chapter Three: </w:t>
      </w:r>
      <w:r w:rsidR="00392A18">
        <w:rPr>
          <w:rFonts w:cstheme="minorHAnsi"/>
          <w:b/>
          <w:bCs/>
          <w:color w:val="0070C0"/>
          <w:sz w:val="24"/>
          <w:szCs w:val="24"/>
        </w:rPr>
        <w:t xml:space="preserve">Methodology </w:t>
      </w:r>
    </w:p>
    <w:p w14:paraId="20746FC6" w14:textId="77777777" w:rsidR="00903747" w:rsidRPr="003879E4" w:rsidRDefault="00903747" w:rsidP="00DB3C2F">
      <w:pPr>
        <w:spacing w:line="480" w:lineRule="auto"/>
        <w:rPr>
          <w:rFonts w:cstheme="minorHAnsi"/>
          <w:b/>
          <w:bCs/>
          <w:color w:val="0070C0"/>
          <w:sz w:val="24"/>
          <w:szCs w:val="24"/>
        </w:rPr>
      </w:pPr>
      <w:r w:rsidRPr="003879E4">
        <w:rPr>
          <w:rFonts w:cstheme="minorHAnsi"/>
          <w:sz w:val="24"/>
          <w:szCs w:val="24"/>
        </w:rPr>
        <w:t>1.1</w:t>
      </w:r>
      <w:r w:rsidRPr="003879E4">
        <w:rPr>
          <w:rFonts w:cstheme="minorHAnsi"/>
          <w:b/>
          <w:bCs/>
          <w:sz w:val="24"/>
          <w:szCs w:val="24"/>
        </w:rPr>
        <w:t xml:space="preserve"> Introduction</w:t>
      </w:r>
    </w:p>
    <w:p w14:paraId="2DF0B4CE" w14:textId="77777777" w:rsidR="00903747" w:rsidRPr="003879E4" w:rsidRDefault="00903747" w:rsidP="00DB3C2F">
      <w:pPr>
        <w:spacing w:line="480" w:lineRule="auto"/>
        <w:rPr>
          <w:rFonts w:cstheme="minorHAnsi"/>
          <w:sz w:val="24"/>
          <w:szCs w:val="24"/>
        </w:rPr>
      </w:pPr>
      <w:r w:rsidRPr="003879E4">
        <w:rPr>
          <w:rFonts w:cstheme="minorHAnsi"/>
          <w:sz w:val="24"/>
          <w:szCs w:val="24"/>
        </w:rPr>
        <w:t xml:space="preserve">A definition of a methodology is "the structure of a specific research study: a set of processes according to which it is conducted, comprising techniques of data collecting and data processing; this may entail quantitative research and/or qualitative research" (Oxford University, 2022, p.56). Additionally, according to Gallagher (2008), a methodology should evaluate the reliability and validity of the research that is conducted.  </w:t>
      </w:r>
    </w:p>
    <w:p w14:paraId="07ECA509" w14:textId="77777777" w:rsidR="00903747" w:rsidRPr="003879E4" w:rsidRDefault="00903747" w:rsidP="00DB3C2F">
      <w:pPr>
        <w:spacing w:line="480" w:lineRule="auto"/>
        <w:rPr>
          <w:rFonts w:cstheme="minorHAnsi"/>
          <w:sz w:val="24"/>
          <w:szCs w:val="24"/>
        </w:rPr>
      </w:pPr>
      <w:r w:rsidRPr="003879E4">
        <w:rPr>
          <w:rFonts w:cstheme="minorHAnsi"/>
          <w:sz w:val="24"/>
          <w:szCs w:val="24"/>
        </w:rPr>
        <w:t>3.2.1</w:t>
      </w:r>
      <w:r w:rsidRPr="003879E4">
        <w:rPr>
          <w:rFonts w:cstheme="minorHAnsi"/>
          <w:b/>
          <w:bCs/>
          <w:sz w:val="24"/>
          <w:szCs w:val="24"/>
        </w:rPr>
        <w:t xml:space="preserve"> Research Onion</w:t>
      </w:r>
    </w:p>
    <w:p w14:paraId="2C1B1987" w14:textId="2833DD26" w:rsidR="00E74E1E" w:rsidRDefault="00903747" w:rsidP="00E74E1E">
      <w:pPr>
        <w:spacing w:line="480" w:lineRule="auto"/>
        <w:rPr>
          <w:rFonts w:cstheme="minorHAnsi"/>
          <w:sz w:val="24"/>
          <w:szCs w:val="24"/>
        </w:rPr>
      </w:pPr>
      <w:r w:rsidRPr="003879E4">
        <w:rPr>
          <w:rFonts w:cstheme="minorHAnsi"/>
          <w:sz w:val="24"/>
          <w:szCs w:val="24"/>
        </w:rPr>
        <w:t xml:space="preserve">The ‘Research Onion’, as stated by Saunders et al (2007), highlights the several considerations that must be made while designing a research </w:t>
      </w:r>
      <w:r w:rsidRPr="001354A6">
        <w:rPr>
          <w:rFonts w:cstheme="minorHAnsi"/>
          <w:sz w:val="24"/>
          <w:szCs w:val="24"/>
        </w:rPr>
        <w:t>methodology</w:t>
      </w:r>
      <w:r w:rsidR="00474A3D" w:rsidRPr="001354A6">
        <w:rPr>
          <w:rFonts w:cstheme="minorHAnsi"/>
          <w:sz w:val="24"/>
          <w:szCs w:val="24"/>
        </w:rPr>
        <w:t xml:space="preserve"> </w:t>
      </w:r>
      <w:r w:rsidR="00474A3D" w:rsidRPr="001354A6">
        <w:rPr>
          <w:rFonts w:cstheme="minorHAnsi"/>
          <w:i/>
          <w:iCs/>
          <w:sz w:val="24"/>
          <w:szCs w:val="24"/>
        </w:rPr>
        <w:t>(</w:t>
      </w:r>
      <w:r w:rsidR="003B3048">
        <w:rPr>
          <w:rFonts w:cstheme="minorHAnsi"/>
          <w:i/>
          <w:iCs/>
          <w:sz w:val="24"/>
          <w:szCs w:val="24"/>
        </w:rPr>
        <w:t>s</w:t>
      </w:r>
      <w:r w:rsidR="00474A3D" w:rsidRPr="001354A6">
        <w:rPr>
          <w:rFonts w:cstheme="minorHAnsi"/>
          <w:i/>
          <w:iCs/>
          <w:sz w:val="24"/>
          <w:szCs w:val="24"/>
        </w:rPr>
        <w:t>ee Diagram 1)</w:t>
      </w:r>
      <w:r w:rsidR="006A6B0E" w:rsidRPr="001354A6">
        <w:rPr>
          <w:rFonts w:cstheme="minorHAnsi"/>
          <w:sz w:val="24"/>
          <w:szCs w:val="24"/>
        </w:rPr>
        <w:t>.</w:t>
      </w:r>
      <w:r w:rsidRPr="003879E4">
        <w:rPr>
          <w:rFonts w:cstheme="minorHAnsi"/>
          <w:sz w:val="24"/>
          <w:szCs w:val="24"/>
        </w:rPr>
        <w:t xml:space="preserve"> The research onion establishes a distinct discipline under which the study must be conducted, and as such, it will be employed throughout the chapter (Saunders et al, 2016). Additionally, to support the model, according to </w:t>
      </w:r>
      <w:proofErr w:type="spellStart"/>
      <w:r w:rsidRPr="003879E4">
        <w:rPr>
          <w:rFonts w:cstheme="minorHAnsi"/>
          <w:sz w:val="24"/>
          <w:szCs w:val="24"/>
        </w:rPr>
        <w:t>Biggam</w:t>
      </w:r>
      <w:proofErr w:type="spellEnd"/>
      <w:r w:rsidRPr="003879E4">
        <w:rPr>
          <w:rFonts w:cstheme="minorHAnsi"/>
          <w:sz w:val="24"/>
          <w:szCs w:val="24"/>
        </w:rPr>
        <w:t xml:space="preserve"> (2015), usage of a proven effective method from procedures inside the research onion increases academic legitimacy and credibility.</w:t>
      </w:r>
    </w:p>
    <w:p w14:paraId="0EB8B96A" w14:textId="2F6DE128" w:rsidR="00903747" w:rsidRPr="003879E4" w:rsidRDefault="00903747" w:rsidP="00E74E1E">
      <w:pPr>
        <w:spacing w:line="480" w:lineRule="auto"/>
        <w:ind w:firstLine="720"/>
        <w:rPr>
          <w:rFonts w:cstheme="minorHAnsi"/>
          <w:sz w:val="24"/>
          <w:szCs w:val="24"/>
        </w:rPr>
      </w:pPr>
      <w:r w:rsidRPr="003879E4">
        <w:rPr>
          <w:rFonts w:cstheme="minorHAnsi"/>
          <w:sz w:val="24"/>
          <w:szCs w:val="24"/>
        </w:rPr>
        <w:t>This model will support the researchers' approach which will determine which technique is appropriate for acquiring optimum primary data, and therefore this chapter will address the accuracy, authenticity, limitations, and ethical implications of the research methods (Saunders, 2019). As the chapter is processed, according to Sahay (2016) the researcher must begin peeling the onion's six layers to establish an effective methodology; research philosophy, approach, strategy, options, time frame, techniques, and processes.</w:t>
      </w:r>
      <w:r w:rsidRPr="003879E4">
        <w:rPr>
          <w:rFonts w:cstheme="minorHAnsi"/>
          <w:i/>
          <w:iCs/>
          <w:sz w:val="24"/>
          <w:szCs w:val="24"/>
        </w:rPr>
        <w:t xml:space="preserve"> </w:t>
      </w:r>
    </w:p>
    <w:p w14:paraId="711EBF72" w14:textId="77777777" w:rsidR="00E74E1E" w:rsidRDefault="00903747" w:rsidP="00DB3C2F">
      <w:pPr>
        <w:spacing w:line="480" w:lineRule="auto"/>
        <w:ind w:firstLine="720"/>
        <w:rPr>
          <w:rFonts w:cstheme="minorHAnsi"/>
          <w:i/>
          <w:sz w:val="24"/>
          <w:szCs w:val="24"/>
        </w:rPr>
      </w:pPr>
      <w:r w:rsidRPr="003879E4">
        <w:rPr>
          <w:rFonts w:cstheme="minorHAnsi"/>
          <w:i/>
          <w:sz w:val="24"/>
          <w:szCs w:val="24"/>
        </w:rPr>
        <w:t xml:space="preserve">                         </w:t>
      </w:r>
    </w:p>
    <w:p w14:paraId="71B5F2CD" w14:textId="686E36CD" w:rsidR="00E74E1E" w:rsidRDefault="00E74E1E" w:rsidP="00DB3C2F">
      <w:pPr>
        <w:spacing w:line="480" w:lineRule="auto"/>
        <w:ind w:firstLine="720"/>
        <w:rPr>
          <w:rFonts w:cstheme="minorHAnsi"/>
          <w:i/>
          <w:sz w:val="24"/>
          <w:szCs w:val="24"/>
        </w:rPr>
      </w:pPr>
      <w:r w:rsidRPr="003879E4">
        <w:rPr>
          <w:rFonts w:cstheme="minorHAnsi"/>
          <w:noProof/>
          <w:sz w:val="24"/>
          <w:szCs w:val="24"/>
        </w:rPr>
        <w:lastRenderedPageBreak/>
        <w:drawing>
          <wp:anchor distT="0" distB="0" distL="114300" distR="114300" simplePos="0" relativeHeight="251659264" behindDoc="0" locked="0" layoutInCell="1" allowOverlap="1" wp14:anchorId="40E13E57" wp14:editId="39DFC152">
            <wp:simplePos x="0" y="0"/>
            <wp:positionH relativeFrom="margin">
              <wp:align>center</wp:align>
            </wp:positionH>
            <wp:positionV relativeFrom="paragraph">
              <wp:posOffset>-3397</wp:posOffset>
            </wp:positionV>
            <wp:extent cx="3747135" cy="2402205"/>
            <wp:effectExtent l="0" t="0" r="5715" b="0"/>
            <wp:wrapNone/>
            <wp:docPr id="1" name="Picture 1" descr="understanding the research on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rstanding the research oni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47135" cy="24022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AA5D88" w14:textId="77777777" w:rsidR="00E74E1E" w:rsidRDefault="00E74E1E" w:rsidP="00DB3C2F">
      <w:pPr>
        <w:spacing w:line="480" w:lineRule="auto"/>
        <w:ind w:firstLine="720"/>
        <w:rPr>
          <w:rFonts w:cstheme="minorHAnsi"/>
          <w:i/>
          <w:sz w:val="24"/>
          <w:szCs w:val="24"/>
        </w:rPr>
      </w:pPr>
    </w:p>
    <w:p w14:paraId="5368FAD7" w14:textId="338FB6D0" w:rsidR="00E74E1E" w:rsidRDefault="00E74E1E" w:rsidP="00DB3C2F">
      <w:pPr>
        <w:spacing w:line="480" w:lineRule="auto"/>
        <w:ind w:firstLine="720"/>
        <w:rPr>
          <w:rFonts w:cstheme="minorHAnsi"/>
          <w:i/>
          <w:sz w:val="24"/>
          <w:szCs w:val="24"/>
        </w:rPr>
      </w:pPr>
    </w:p>
    <w:p w14:paraId="1A74C26A" w14:textId="77777777" w:rsidR="00E74E1E" w:rsidRDefault="00E74E1E" w:rsidP="00DB3C2F">
      <w:pPr>
        <w:spacing w:line="480" w:lineRule="auto"/>
        <w:ind w:firstLine="720"/>
        <w:rPr>
          <w:rFonts w:cstheme="minorHAnsi"/>
          <w:i/>
          <w:sz w:val="24"/>
          <w:szCs w:val="24"/>
        </w:rPr>
      </w:pPr>
    </w:p>
    <w:p w14:paraId="7524B45A" w14:textId="77777777" w:rsidR="00E74E1E" w:rsidRDefault="00E74E1E" w:rsidP="00E74E1E">
      <w:pPr>
        <w:spacing w:line="480" w:lineRule="auto"/>
        <w:rPr>
          <w:rFonts w:cstheme="minorHAnsi"/>
          <w:i/>
          <w:sz w:val="24"/>
          <w:szCs w:val="24"/>
        </w:rPr>
      </w:pPr>
    </w:p>
    <w:p w14:paraId="3E73C322" w14:textId="77777777" w:rsidR="00E74E1E" w:rsidRDefault="00474A3D" w:rsidP="00E74E1E">
      <w:pPr>
        <w:spacing w:line="480" w:lineRule="auto"/>
        <w:ind w:firstLine="720"/>
        <w:jc w:val="center"/>
        <w:rPr>
          <w:rFonts w:cstheme="minorHAnsi"/>
          <w:sz w:val="24"/>
          <w:szCs w:val="24"/>
        </w:rPr>
      </w:pPr>
      <w:r>
        <w:rPr>
          <w:rFonts w:cstheme="minorHAnsi"/>
          <w:i/>
          <w:sz w:val="24"/>
          <w:szCs w:val="24"/>
        </w:rPr>
        <w:t>Diagram</w:t>
      </w:r>
      <w:r w:rsidR="00903747" w:rsidRPr="003879E4">
        <w:rPr>
          <w:rFonts w:cstheme="minorHAnsi"/>
          <w:i/>
          <w:sz w:val="24"/>
          <w:szCs w:val="24"/>
        </w:rPr>
        <w:t xml:space="preserve"> 1.  Research Onion (Saunders, 2019)</w:t>
      </w:r>
    </w:p>
    <w:p w14:paraId="2BE8F959" w14:textId="4BDB7DBE" w:rsidR="00903747" w:rsidRPr="003879E4" w:rsidRDefault="00903747" w:rsidP="00E74E1E">
      <w:pPr>
        <w:spacing w:line="480" w:lineRule="auto"/>
        <w:rPr>
          <w:rFonts w:cstheme="minorHAnsi"/>
          <w:sz w:val="24"/>
          <w:szCs w:val="24"/>
        </w:rPr>
      </w:pPr>
      <w:r w:rsidRPr="003879E4">
        <w:rPr>
          <w:rFonts w:cstheme="minorHAnsi"/>
          <w:sz w:val="24"/>
          <w:szCs w:val="24"/>
        </w:rPr>
        <w:t xml:space="preserve">3.2.1 </w:t>
      </w:r>
      <w:r w:rsidRPr="003879E4">
        <w:rPr>
          <w:rFonts w:cstheme="minorHAnsi"/>
          <w:b/>
          <w:bCs/>
          <w:sz w:val="24"/>
          <w:szCs w:val="24"/>
        </w:rPr>
        <w:t>Research Philosophy</w:t>
      </w:r>
    </w:p>
    <w:p w14:paraId="2AE95156" w14:textId="77777777" w:rsidR="00E74E1E" w:rsidRPr="00E74E1E" w:rsidRDefault="00E74E1E" w:rsidP="00E74E1E">
      <w:pPr>
        <w:spacing w:line="480" w:lineRule="auto"/>
        <w:rPr>
          <w:rFonts w:cstheme="minorHAnsi"/>
          <w:sz w:val="24"/>
          <w:szCs w:val="24"/>
        </w:rPr>
      </w:pPr>
      <w:r w:rsidRPr="00E74E1E">
        <w:rPr>
          <w:rFonts w:cstheme="minorHAnsi"/>
          <w:sz w:val="24"/>
          <w:szCs w:val="24"/>
        </w:rPr>
        <w:t xml:space="preserve">According to </w:t>
      </w:r>
      <w:proofErr w:type="spellStart"/>
      <w:r w:rsidRPr="00E74E1E">
        <w:rPr>
          <w:rFonts w:cstheme="minorHAnsi"/>
          <w:sz w:val="24"/>
          <w:szCs w:val="24"/>
        </w:rPr>
        <w:t>Gialdino</w:t>
      </w:r>
      <w:proofErr w:type="spellEnd"/>
      <w:r w:rsidRPr="00E74E1E">
        <w:rPr>
          <w:rFonts w:cstheme="minorHAnsi"/>
          <w:sz w:val="24"/>
          <w:szCs w:val="24"/>
        </w:rPr>
        <w:t xml:space="preserve"> (2009), the underpinning for a study project is the research philosophy, it is further argued by Giddings and Grant (2006) that mixed methods research is a perspective that can be taken for a methodology depending on the desired outcome of the data. Therefore, for the research philosophy, this study will employ both interpretivism and a positivism approach to take advantage of both methods.</w:t>
      </w:r>
    </w:p>
    <w:p w14:paraId="53E20EE2" w14:textId="77777777" w:rsidR="00E74E1E" w:rsidRPr="00E74E1E" w:rsidRDefault="00E74E1E" w:rsidP="00E74E1E">
      <w:pPr>
        <w:spacing w:line="480" w:lineRule="auto"/>
        <w:ind w:firstLine="720"/>
        <w:rPr>
          <w:rFonts w:cstheme="minorHAnsi"/>
          <w:sz w:val="24"/>
          <w:szCs w:val="24"/>
        </w:rPr>
      </w:pPr>
      <w:r w:rsidRPr="00E74E1E">
        <w:rPr>
          <w:rFonts w:cstheme="minorHAnsi"/>
          <w:sz w:val="24"/>
          <w:szCs w:val="24"/>
        </w:rPr>
        <w:t xml:space="preserve">For the research, both an explanation (positivism) and an understanding (interpretivism) of the subject of study will be gained by using the two research philosophies (Dudovskiy, 2009). Information gathered from the positivist component will quantitatively assess how many individuals think or support an argument, allowing for a more comprehensive summary of data presented in a graph or chart (Ramanathan, 2008). Additionally, it is implied by John and Foss (2009) that the interpretive research is strongly influenced by personal viewpoints and beliefs, therefore the information gathered will be qualitative which will allow for any anomalies to arise or any common themes to be highlighted when analysing the data.  </w:t>
      </w:r>
    </w:p>
    <w:p w14:paraId="2261C840" w14:textId="77777777" w:rsidR="00E74E1E" w:rsidRPr="00E74E1E" w:rsidRDefault="00E74E1E" w:rsidP="00E74E1E">
      <w:pPr>
        <w:spacing w:line="480" w:lineRule="auto"/>
        <w:ind w:firstLine="720"/>
        <w:rPr>
          <w:rFonts w:cstheme="minorHAnsi"/>
          <w:sz w:val="24"/>
          <w:szCs w:val="24"/>
        </w:rPr>
      </w:pPr>
      <w:r w:rsidRPr="00E74E1E">
        <w:rPr>
          <w:rFonts w:cstheme="minorHAnsi"/>
          <w:sz w:val="24"/>
          <w:szCs w:val="24"/>
        </w:rPr>
        <w:lastRenderedPageBreak/>
        <w:t xml:space="preserve">It is argued that primary data collected through interpretive research has a high level of validity because the data in such studies often come from trustworthy and honest participants in the field of study (Wilson, 2010). Interpretivist research is primarily oriented toward participants who have an interest in the subject area; in this study, the participants will be police officers which makes them a suitable target audience for the questionnaire. According to Ryan (2018), this approach will provide support to the participants as it is vital to represent their behaviours, views, and significance in their area of profession.  </w:t>
      </w:r>
    </w:p>
    <w:p w14:paraId="79F5B9E5" w14:textId="77777777" w:rsidR="00E74E1E" w:rsidRDefault="00E74E1E" w:rsidP="00E74E1E">
      <w:pPr>
        <w:spacing w:line="480" w:lineRule="auto"/>
        <w:ind w:firstLine="720"/>
        <w:rPr>
          <w:rFonts w:cstheme="minorHAnsi"/>
          <w:sz w:val="24"/>
          <w:szCs w:val="24"/>
        </w:rPr>
      </w:pPr>
      <w:r w:rsidRPr="00E74E1E">
        <w:rPr>
          <w:rFonts w:cstheme="minorHAnsi"/>
          <w:sz w:val="24"/>
          <w:szCs w:val="24"/>
        </w:rPr>
        <w:t xml:space="preserve">On the other hand, the survey will be carried out using a positivistic approach because it makes the data independent to add reliability and credibility (Business Research Methodology, 2022). As argued by Vetter and Silverman (1978), positivism is based on a scientific equation of ‘X causes Y’. This, however, is related to this field of research, in the context of, criminal traits and/or environmental factors that causes criminals to commit a crime. </w:t>
      </w:r>
    </w:p>
    <w:p w14:paraId="69FAA150" w14:textId="2891BC68" w:rsidR="00903747" w:rsidRPr="003879E4" w:rsidRDefault="00903747" w:rsidP="00E74E1E">
      <w:pPr>
        <w:spacing w:line="480" w:lineRule="auto"/>
        <w:rPr>
          <w:rFonts w:cstheme="minorHAnsi"/>
          <w:sz w:val="24"/>
          <w:szCs w:val="24"/>
        </w:rPr>
      </w:pPr>
      <w:r w:rsidRPr="003879E4">
        <w:rPr>
          <w:rFonts w:cstheme="minorHAnsi"/>
          <w:sz w:val="24"/>
          <w:szCs w:val="24"/>
        </w:rPr>
        <w:t xml:space="preserve">3.2.3 </w:t>
      </w:r>
      <w:r w:rsidRPr="003879E4">
        <w:rPr>
          <w:rFonts w:cstheme="minorHAnsi"/>
          <w:b/>
          <w:bCs/>
          <w:sz w:val="24"/>
          <w:szCs w:val="24"/>
        </w:rPr>
        <w:t>Research Approach</w:t>
      </w:r>
    </w:p>
    <w:p w14:paraId="4F0B6835" w14:textId="77777777" w:rsidR="00903747" w:rsidRPr="003879E4" w:rsidRDefault="00903747" w:rsidP="00DB3C2F">
      <w:pPr>
        <w:spacing w:line="480" w:lineRule="auto"/>
        <w:rPr>
          <w:rFonts w:cstheme="minorHAnsi"/>
          <w:sz w:val="24"/>
          <w:szCs w:val="24"/>
        </w:rPr>
      </w:pPr>
      <w:r w:rsidRPr="003879E4">
        <w:rPr>
          <w:rFonts w:cstheme="minorHAnsi"/>
          <w:sz w:val="24"/>
          <w:szCs w:val="24"/>
        </w:rPr>
        <w:t>In this study field, the most effective research method will be inductive. There have been previous studies that investigated criminology or ASB (Newburn, 2017). As a result, the findings of this study may be compared to the existing literature on ideas and laws to identify similar trends. However, neither criminology nor ASB is often merged in a single study, highlighting the necessity for this new perspective in research.</w:t>
      </w:r>
    </w:p>
    <w:p w14:paraId="03A9938C" w14:textId="77777777" w:rsidR="00903747" w:rsidRPr="003879E4" w:rsidRDefault="00903747" w:rsidP="00DB3C2F">
      <w:pPr>
        <w:spacing w:line="480" w:lineRule="auto"/>
        <w:ind w:firstLine="720"/>
        <w:rPr>
          <w:rFonts w:cstheme="minorHAnsi"/>
          <w:sz w:val="24"/>
          <w:szCs w:val="24"/>
        </w:rPr>
      </w:pPr>
      <w:r w:rsidRPr="003879E4">
        <w:rPr>
          <w:rFonts w:cstheme="minorHAnsi"/>
          <w:sz w:val="24"/>
          <w:szCs w:val="24"/>
        </w:rPr>
        <w:t xml:space="preserve">The inductive method is a systematic technique for analysing qualitative data that is guided by objectives (Thomas, 2006). According to Gabriel (2013), quantitative research represents a logical methodology, generally guided by positivist philosophy, which supports the study's approach. Carlo (2018) supports this approach by claiming that deductive </w:t>
      </w:r>
      <w:r w:rsidRPr="003879E4">
        <w:rPr>
          <w:rFonts w:cstheme="minorHAnsi"/>
          <w:sz w:val="24"/>
          <w:szCs w:val="24"/>
        </w:rPr>
        <w:lastRenderedPageBreak/>
        <w:t>research is ideal for arguments based on laws and theories; both of which are key literature of this study</w:t>
      </w:r>
    </w:p>
    <w:p w14:paraId="1B8E109E" w14:textId="77777777" w:rsidR="00903747" w:rsidRPr="003879E4" w:rsidRDefault="00903747" w:rsidP="00DB3C2F">
      <w:pPr>
        <w:spacing w:line="480" w:lineRule="auto"/>
        <w:rPr>
          <w:rFonts w:cstheme="minorHAnsi"/>
          <w:sz w:val="24"/>
          <w:szCs w:val="24"/>
        </w:rPr>
      </w:pPr>
      <w:r w:rsidRPr="003879E4">
        <w:rPr>
          <w:rFonts w:cstheme="minorHAnsi"/>
          <w:sz w:val="24"/>
          <w:szCs w:val="24"/>
        </w:rPr>
        <w:t xml:space="preserve">3.2.4 </w:t>
      </w:r>
      <w:bookmarkStart w:id="4" w:name="_Hlk97492097"/>
      <w:r w:rsidRPr="003879E4">
        <w:rPr>
          <w:rFonts w:cstheme="minorHAnsi"/>
          <w:b/>
          <w:bCs/>
          <w:sz w:val="24"/>
          <w:szCs w:val="24"/>
        </w:rPr>
        <w:t xml:space="preserve">Strategies, Techniques and Procedures of the Research </w:t>
      </w:r>
      <w:bookmarkEnd w:id="4"/>
    </w:p>
    <w:p w14:paraId="6698607D" w14:textId="77777777" w:rsidR="00F57B05" w:rsidRPr="00F57B05" w:rsidRDefault="00F57B05" w:rsidP="00F57B05">
      <w:pPr>
        <w:spacing w:line="480" w:lineRule="auto"/>
        <w:rPr>
          <w:rFonts w:cstheme="minorHAnsi"/>
          <w:sz w:val="24"/>
          <w:szCs w:val="24"/>
        </w:rPr>
      </w:pPr>
      <w:r w:rsidRPr="00F57B05">
        <w:rPr>
          <w:rFonts w:cstheme="minorHAnsi"/>
          <w:sz w:val="24"/>
          <w:szCs w:val="24"/>
        </w:rPr>
        <w:t>The research strategy highlights the data collecting strategies (</w:t>
      </w:r>
      <w:proofErr w:type="spellStart"/>
      <w:r w:rsidRPr="00F57B05">
        <w:rPr>
          <w:rFonts w:cstheme="minorHAnsi"/>
          <w:sz w:val="24"/>
          <w:szCs w:val="24"/>
        </w:rPr>
        <w:t>Biggam</w:t>
      </w:r>
      <w:proofErr w:type="spellEnd"/>
      <w:r w:rsidRPr="00F57B05">
        <w:rPr>
          <w:rFonts w:cstheme="minorHAnsi"/>
          <w:sz w:val="24"/>
          <w:szCs w:val="24"/>
        </w:rPr>
        <w:t xml:space="preserve">, 2015). According to </w:t>
      </w:r>
      <w:proofErr w:type="spellStart"/>
      <w:r w:rsidRPr="00F57B05">
        <w:rPr>
          <w:rFonts w:cstheme="minorHAnsi"/>
          <w:sz w:val="24"/>
          <w:szCs w:val="24"/>
        </w:rPr>
        <w:t>Marrais</w:t>
      </w:r>
      <w:proofErr w:type="spellEnd"/>
      <w:r w:rsidRPr="00F57B05">
        <w:rPr>
          <w:rFonts w:cstheme="minorHAnsi"/>
          <w:sz w:val="24"/>
          <w:szCs w:val="24"/>
        </w:rPr>
        <w:t xml:space="preserve"> &amp; </w:t>
      </w:r>
      <w:proofErr w:type="spellStart"/>
      <w:r w:rsidRPr="00F57B05">
        <w:rPr>
          <w:rFonts w:cstheme="minorHAnsi"/>
          <w:sz w:val="24"/>
          <w:szCs w:val="24"/>
        </w:rPr>
        <w:t>Lapan</w:t>
      </w:r>
      <w:proofErr w:type="spellEnd"/>
      <w:r w:rsidRPr="00F57B05">
        <w:rPr>
          <w:rFonts w:cstheme="minorHAnsi"/>
          <w:sz w:val="24"/>
          <w:szCs w:val="24"/>
        </w:rPr>
        <w:t xml:space="preserve"> (2003), the optimal approach to studying a person’s experience is to survey both open and closed questions. Therefore, a survey will be chosen in the design of this study to obtain data swiftly and to compare empirical quantitative data efficiently; it will feature a combination of open and closed questions to evaluate the participants' opinions and experiences. However, the questions will consist of mainly closed questions to improve accuracy and to prevent disturbance for the police officers whilst on shift. To support this Burton and Blair (1991) closed questions allow for greater accuracy and quick response for a study.</w:t>
      </w:r>
    </w:p>
    <w:p w14:paraId="7EBA868E" w14:textId="77777777" w:rsidR="00F57B05" w:rsidRPr="00F57B05" w:rsidRDefault="00F57B05" w:rsidP="00F57B05">
      <w:pPr>
        <w:spacing w:line="480" w:lineRule="auto"/>
        <w:ind w:firstLine="720"/>
        <w:rPr>
          <w:rFonts w:cstheme="minorHAnsi"/>
          <w:sz w:val="24"/>
          <w:szCs w:val="24"/>
        </w:rPr>
      </w:pPr>
      <w:r w:rsidRPr="00F57B05">
        <w:rPr>
          <w:rFonts w:cstheme="minorHAnsi"/>
          <w:sz w:val="24"/>
          <w:szCs w:val="24"/>
        </w:rPr>
        <w:t xml:space="preserve">Several views argue that no other research approach (surveys) can give such a broad capability, resulting in a considerably more accurate sample from which to conclude (Ammerman, 1981; Bulmer &amp; Warwick, 1983; Fogelman &amp; Comber, 2002). Furthermore, Jones (2013) compares surveys to interviews, claiming that surveys give a high degree of capacity in reflecting a large population while eliminating the researcher's personal biases; in addition, it is also mentioned by Jones (2013) that the use of surveys can decrease the risk of social desirability bias. Furthermore, </w:t>
      </w:r>
      <w:proofErr w:type="spellStart"/>
      <w:r w:rsidRPr="00F57B05">
        <w:rPr>
          <w:rFonts w:cstheme="minorHAnsi"/>
          <w:sz w:val="24"/>
          <w:szCs w:val="24"/>
        </w:rPr>
        <w:t>Sincero</w:t>
      </w:r>
      <w:proofErr w:type="spellEnd"/>
      <w:r w:rsidRPr="00F57B05">
        <w:rPr>
          <w:rFonts w:cstheme="minorHAnsi"/>
          <w:sz w:val="24"/>
          <w:szCs w:val="24"/>
        </w:rPr>
        <w:t xml:space="preserve"> (2019) suggests that surveys are precise to the study purpose, which reduces errors and the possibility of collecting unnecessary data.</w:t>
      </w:r>
    </w:p>
    <w:p w14:paraId="54C8EC0C" w14:textId="77777777" w:rsidR="00F57B05" w:rsidRPr="00F57B05" w:rsidRDefault="00F57B05" w:rsidP="00F57B05">
      <w:pPr>
        <w:spacing w:line="480" w:lineRule="auto"/>
        <w:ind w:firstLine="720"/>
        <w:rPr>
          <w:rFonts w:cstheme="minorHAnsi"/>
          <w:sz w:val="24"/>
          <w:szCs w:val="24"/>
        </w:rPr>
      </w:pPr>
      <w:proofErr w:type="spellStart"/>
      <w:r w:rsidRPr="00F57B05">
        <w:rPr>
          <w:rFonts w:cstheme="minorHAnsi"/>
          <w:sz w:val="24"/>
          <w:szCs w:val="24"/>
        </w:rPr>
        <w:t>Harpe</w:t>
      </w:r>
      <w:proofErr w:type="spellEnd"/>
      <w:r w:rsidRPr="00F57B05">
        <w:rPr>
          <w:rFonts w:cstheme="minorHAnsi"/>
          <w:sz w:val="24"/>
          <w:szCs w:val="24"/>
        </w:rPr>
        <w:t xml:space="preserve"> (2015) claims that the Likert scale is among the most common measures used in survey design because it provides for precise data analysis and categorisation. The Likert scale is a five-point scale that allows people to indicate their level of agreement or </w:t>
      </w:r>
      <w:r w:rsidRPr="00F57B05">
        <w:rPr>
          <w:rFonts w:cstheme="minorHAnsi"/>
          <w:sz w:val="24"/>
          <w:szCs w:val="24"/>
        </w:rPr>
        <w:lastRenderedPageBreak/>
        <w:t xml:space="preserve">disagreement with a topic (Likert, 2017). In addition, the survey will use a literature review matrix approach, which will incorporate an additional column to enable a more thorough comparison of findings from the literature review of secondary research from chapter two with the primary research. This column will then be removed before the distribution to avoid biases among the participants. A matrix technique, according to Walden University (2021), can easily compare and contrast research to find patterns between literature and primary research. </w:t>
      </w:r>
    </w:p>
    <w:p w14:paraId="4D238813" w14:textId="77777777" w:rsidR="00F57B05" w:rsidRDefault="00F57B05" w:rsidP="00F57B05">
      <w:pPr>
        <w:spacing w:line="480" w:lineRule="auto"/>
        <w:ind w:firstLine="720"/>
        <w:rPr>
          <w:rFonts w:cstheme="minorHAnsi"/>
          <w:sz w:val="24"/>
          <w:szCs w:val="24"/>
        </w:rPr>
      </w:pPr>
      <w:r w:rsidRPr="00F57B05">
        <w:rPr>
          <w:rFonts w:cstheme="minorHAnsi"/>
          <w:sz w:val="24"/>
          <w:szCs w:val="24"/>
        </w:rPr>
        <w:t xml:space="preserve">The research will be conducted first-hand as a Special Constable, to gather an understanding of both sociological and biological concepts. To support the primary research, the quantitative study will be numerical, measurable, and will incorporate theoretical and statistical data concerning secondary data from various theories, previous research of common patterns, and a breakdown of both sides of the sociological and biological formula. According to Driscoll (2011), it is critical to collect numerical data to make the study quantifiable for summary purposes. Invitations will be distributed via email to a sample of Dyfed Powys police officers known to the researcher, further invitations will be made to PCSOs to allow the research to gather more perspectives on ASB; which overall will add to the effectiveness of the conclusion.  </w:t>
      </w:r>
    </w:p>
    <w:p w14:paraId="219BB3EA" w14:textId="190AC490" w:rsidR="00903747" w:rsidRPr="003879E4" w:rsidRDefault="00903747" w:rsidP="00F57B05">
      <w:pPr>
        <w:spacing w:line="480" w:lineRule="auto"/>
        <w:rPr>
          <w:rFonts w:cstheme="minorHAnsi"/>
          <w:sz w:val="24"/>
          <w:szCs w:val="24"/>
        </w:rPr>
      </w:pPr>
      <w:r w:rsidRPr="003879E4">
        <w:rPr>
          <w:rFonts w:cstheme="minorHAnsi"/>
          <w:sz w:val="24"/>
          <w:szCs w:val="24"/>
        </w:rPr>
        <w:t xml:space="preserve">3.2.5 </w:t>
      </w:r>
      <w:r w:rsidRPr="003879E4">
        <w:rPr>
          <w:rFonts w:cstheme="minorHAnsi"/>
          <w:b/>
          <w:bCs/>
          <w:sz w:val="24"/>
          <w:szCs w:val="24"/>
        </w:rPr>
        <w:t>Choices</w:t>
      </w:r>
    </w:p>
    <w:p w14:paraId="6D51E94D" w14:textId="77777777" w:rsidR="00903747" w:rsidRPr="003879E4" w:rsidRDefault="00903747" w:rsidP="00DB3C2F">
      <w:pPr>
        <w:spacing w:line="480" w:lineRule="auto"/>
        <w:rPr>
          <w:rFonts w:cstheme="minorHAnsi"/>
          <w:sz w:val="24"/>
          <w:szCs w:val="24"/>
        </w:rPr>
      </w:pPr>
      <w:r w:rsidRPr="003879E4">
        <w:rPr>
          <w:rFonts w:cstheme="minorHAnsi"/>
          <w:sz w:val="24"/>
          <w:szCs w:val="24"/>
        </w:rPr>
        <w:t>A mixed-method approach will be used in this research project, using both qualitative and quantitative data collection. Quantitative data collection gathers numerical data that may be utilised for statistical analysis and shown using graphs and charts that provide a precise visual representation of the data (</w:t>
      </w:r>
      <w:proofErr w:type="spellStart"/>
      <w:r w:rsidRPr="003879E4">
        <w:rPr>
          <w:rFonts w:cstheme="minorHAnsi"/>
          <w:sz w:val="24"/>
          <w:szCs w:val="24"/>
        </w:rPr>
        <w:t>Jobson</w:t>
      </w:r>
      <w:proofErr w:type="spellEnd"/>
      <w:r w:rsidRPr="003879E4">
        <w:rPr>
          <w:rFonts w:cstheme="minorHAnsi"/>
          <w:sz w:val="24"/>
          <w:szCs w:val="24"/>
        </w:rPr>
        <w:t xml:space="preserve">, Rahman &amp; </w:t>
      </w:r>
      <w:proofErr w:type="spellStart"/>
      <w:r w:rsidRPr="003879E4">
        <w:rPr>
          <w:rFonts w:cstheme="minorHAnsi"/>
          <w:sz w:val="24"/>
          <w:szCs w:val="24"/>
        </w:rPr>
        <w:t>Woodell</w:t>
      </w:r>
      <w:proofErr w:type="spellEnd"/>
      <w:r w:rsidRPr="003879E4">
        <w:rPr>
          <w:rFonts w:cstheme="minorHAnsi"/>
          <w:sz w:val="24"/>
          <w:szCs w:val="24"/>
        </w:rPr>
        <w:t xml:space="preserve">, 2002). This information will be gathered through the survey's closed questions. According to Coles (1997), graphs and </w:t>
      </w:r>
      <w:r w:rsidRPr="003879E4">
        <w:rPr>
          <w:rFonts w:cstheme="minorHAnsi"/>
          <w:sz w:val="24"/>
          <w:szCs w:val="24"/>
        </w:rPr>
        <w:lastRenderedPageBreak/>
        <w:t>charts are the optimum methods for analysing data since they can present a great deal of information in an easy-to-understand format.</w:t>
      </w:r>
    </w:p>
    <w:p w14:paraId="7A70323E" w14:textId="77777777" w:rsidR="00903747" w:rsidRPr="003879E4" w:rsidRDefault="00903747" w:rsidP="00DB3C2F">
      <w:pPr>
        <w:spacing w:line="480" w:lineRule="auto"/>
        <w:ind w:firstLine="720"/>
        <w:rPr>
          <w:rFonts w:cstheme="minorHAnsi"/>
          <w:sz w:val="24"/>
          <w:szCs w:val="24"/>
        </w:rPr>
      </w:pPr>
      <w:r w:rsidRPr="003879E4">
        <w:rPr>
          <w:rFonts w:cstheme="minorHAnsi"/>
          <w:sz w:val="24"/>
          <w:szCs w:val="24"/>
        </w:rPr>
        <w:t xml:space="preserve">In addition, the qualitative data will be thoroughly evaluated to identify any anomalies that stand out and to see if any common themes can be added to a larger conclusion of the results. As highlighted by </w:t>
      </w:r>
      <w:proofErr w:type="spellStart"/>
      <w:r w:rsidRPr="003879E4">
        <w:rPr>
          <w:rFonts w:cstheme="minorHAnsi"/>
          <w:sz w:val="24"/>
          <w:szCs w:val="24"/>
        </w:rPr>
        <w:t>Aberbach</w:t>
      </w:r>
      <w:proofErr w:type="spellEnd"/>
      <w:r w:rsidRPr="003879E4">
        <w:rPr>
          <w:rFonts w:cstheme="minorHAnsi"/>
          <w:sz w:val="24"/>
          <w:szCs w:val="24"/>
        </w:rPr>
        <w:t xml:space="preserve"> and Rockman (2002) the quantitative data should be gathered through the use of open-ended questions; this data will be more personal and allows for greater latitude in the responses to gain a greater understanding of their knowledge and experiences. The 'Padlet Software' will be used to present the qualitative data and summarise the results. This programme uses spider diagrams to display information; the study is then summarised by establishing sub-categories beneath the general ones to offer even more depth, and then re-categorised into numerical data. To support this idea, according to Sarah (2022) mind maps are the most efficient way to illustrate open questions and summarise crucial results for a research project.</w:t>
      </w:r>
    </w:p>
    <w:p w14:paraId="3D447DB8" w14:textId="77777777" w:rsidR="00903747" w:rsidRPr="003879E4" w:rsidRDefault="00903747" w:rsidP="00DB3C2F">
      <w:pPr>
        <w:spacing w:line="480" w:lineRule="auto"/>
        <w:rPr>
          <w:rFonts w:cstheme="minorHAnsi"/>
          <w:sz w:val="24"/>
          <w:szCs w:val="24"/>
        </w:rPr>
      </w:pPr>
      <w:r w:rsidRPr="003879E4">
        <w:rPr>
          <w:rFonts w:cstheme="minorHAnsi"/>
          <w:sz w:val="24"/>
          <w:szCs w:val="24"/>
        </w:rPr>
        <w:t xml:space="preserve">3.2.6 </w:t>
      </w:r>
      <w:r w:rsidRPr="003879E4">
        <w:rPr>
          <w:rFonts w:cstheme="minorHAnsi"/>
          <w:b/>
          <w:bCs/>
          <w:sz w:val="24"/>
          <w:szCs w:val="24"/>
        </w:rPr>
        <w:t>Time Horizons</w:t>
      </w:r>
      <w:r w:rsidRPr="003879E4">
        <w:rPr>
          <w:rFonts w:cstheme="minorHAnsi"/>
          <w:sz w:val="24"/>
          <w:szCs w:val="24"/>
        </w:rPr>
        <w:t xml:space="preserve"> </w:t>
      </w:r>
    </w:p>
    <w:p w14:paraId="0797C5CD" w14:textId="77777777" w:rsidR="00903747" w:rsidRPr="003879E4" w:rsidRDefault="00903747" w:rsidP="00DB3C2F">
      <w:pPr>
        <w:spacing w:line="480" w:lineRule="auto"/>
        <w:rPr>
          <w:rFonts w:cstheme="minorHAnsi"/>
          <w:sz w:val="24"/>
          <w:szCs w:val="24"/>
        </w:rPr>
      </w:pPr>
      <w:r w:rsidRPr="003879E4">
        <w:rPr>
          <w:rFonts w:cstheme="minorHAnsi"/>
          <w:sz w:val="24"/>
          <w:szCs w:val="24"/>
        </w:rPr>
        <w:t>Academic research is time-limited, which necessitates the use of a time-horizon (Barnett, Thorpe, and Young, 2018). A cross-sectional time frame will be chosen for this study since it will be judged most acceptable owing to the shorter time frame available for this research, as opposed to the longitudinal approach, which consists of repetition over a longer length of time (Saunders et al, 2007).</w:t>
      </w:r>
    </w:p>
    <w:p w14:paraId="648C07A9" w14:textId="77777777" w:rsidR="00903747" w:rsidRPr="003879E4" w:rsidRDefault="00903747" w:rsidP="00DB3C2F">
      <w:pPr>
        <w:spacing w:line="480" w:lineRule="auto"/>
        <w:rPr>
          <w:rFonts w:cstheme="minorHAnsi"/>
          <w:sz w:val="24"/>
          <w:szCs w:val="24"/>
        </w:rPr>
      </w:pPr>
      <w:r w:rsidRPr="003879E4">
        <w:rPr>
          <w:rFonts w:cstheme="minorHAnsi"/>
          <w:sz w:val="24"/>
          <w:szCs w:val="24"/>
        </w:rPr>
        <w:t>3.3</w:t>
      </w:r>
      <w:r w:rsidRPr="003879E4">
        <w:rPr>
          <w:rFonts w:cstheme="minorHAnsi"/>
          <w:b/>
          <w:bCs/>
          <w:sz w:val="24"/>
          <w:szCs w:val="24"/>
        </w:rPr>
        <w:t xml:space="preserve"> Ethical Considerations</w:t>
      </w:r>
    </w:p>
    <w:p w14:paraId="6B0ED574" w14:textId="6C54D2EB" w:rsidR="00903747" w:rsidRPr="003879E4" w:rsidRDefault="00903747" w:rsidP="00DB3C2F">
      <w:pPr>
        <w:spacing w:line="480" w:lineRule="auto"/>
        <w:ind w:firstLine="720"/>
        <w:rPr>
          <w:rFonts w:cstheme="minorHAnsi"/>
          <w:sz w:val="24"/>
          <w:szCs w:val="24"/>
        </w:rPr>
      </w:pPr>
      <w:r w:rsidRPr="003879E4">
        <w:rPr>
          <w:rFonts w:cstheme="minorHAnsi"/>
          <w:sz w:val="24"/>
          <w:szCs w:val="24"/>
        </w:rPr>
        <w:t>Before the research, an</w:t>
      </w:r>
      <w:r w:rsidR="00F57B05">
        <w:rPr>
          <w:rFonts w:cstheme="minorHAnsi"/>
          <w:sz w:val="24"/>
          <w:szCs w:val="24"/>
        </w:rPr>
        <w:t>d</w:t>
      </w:r>
      <w:r w:rsidRPr="003879E4">
        <w:rPr>
          <w:rFonts w:cstheme="minorHAnsi"/>
          <w:sz w:val="24"/>
          <w:szCs w:val="24"/>
        </w:rPr>
        <w:t xml:space="preserve"> ethics form was completed and filed to ensure that any potential difficulties or risks were reduced for those taking part</w:t>
      </w:r>
      <w:r w:rsidR="00273791">
        <w:rPr>
          <w:rFonts w:cstheme="minorHAnsi"/>
          <w:sz w:val="24"/>
          <w:szCs w:val="24"/>
        </w:rPr>
        <w:t xml:space="preserve">. </w:t>
      </w:r>
      <w:r w:rsidRPr="003879E4">
        <w:rPr>
          <w:rFonts w:cstheme="minorHAnsi"/>
          <w:sz w:val="24"/>
          <w:szCs w:val="24"/>
        </w:rPr>
        <w:t xml:space="preserve">According to Wolf (2021), </w:t>
      </w:r>
      <w:r w:rsidRPr="003879E4">
        <w:rPr>
          <w:rFonts w:cstheme="minorHAnsi"/>
          <w:sz w:val="24"/>
          <w:szCs w:val="24"/>
        </w:rPr>
        <w:lastRenderedPageBreak/>
        <w:t xml:space="preserve">all survey participants should be given an explanation of the survey and their rights as respondents. Therefore, before the survey, all participants will receive a supplementary information </w:t>
      </w:r>
      <w:r w:rsidRPr="001354A6">
        <w:rPr>
          <w:rFonts w:cstheme="minorHAnsi"/>
          <w:sz w:val="24"/>
          <w:szCs w:val="24"/>
        </w:rPr>
        <w:t xml:space="preserve">sheet </w:t>
      </w:r>
      <w:r w:rsidRPr="001354A6">
        <w:rPr>
          <w:rFonts w:cstheme="minorHAnsi"/>
          <w:i/>
          <w:iCs/>
          <w:sz w:val="24"/>
          <w:szCs w:val="24"/>
        </w:rPr>
        <w:t>(</w:t>
      </w:r>
      <w:r w:rsidR="003B3048">
        <w:rPr>
          <w:rFonts w:cstheme="minorHAnsi"/>
          <w:i/>
          <w:iCs/>
          <w:sz w:val="24"/>
          <w:szCs w:val="24"/>
        </w:rPr>
        <w:t>s</w:t>
      </w:r>
      <w:r w:rsidR="00AF41F2" w:rsidRPr="001354A6">
        <w:rPr>
          <w:rFonts w:cstheme="minorHAnsi"/>
          <w:i/>
          <w:iCs/>
          <w:sz w:val="24"/>
          <w:szCs w:val="24"/>
        </w:rPr>
        <w:t>ee</w:t>
      </w:r>
      <w:r w:rsidRPr="001354A6">
        <w:rPr>
          <w:rFonts w:cstheme="minorHAnsi"/>
          <w:i/>
          <w:iCs/>
          <w:sz w:val="24"/>
          <w:szCs w:val="24"/>
        </w:rPr>
        <w:t xml:space="preserve"> </w:t>
      </w:r>
      <w:bookmarkStart w:id="5" w:name="_Hlk100336621"/>
      <w:r w:rsidR="00AF41F2" w:rsidRPr="001354A6">
        <w:rPr>
          <w:rFonts w:cstheme="minorHAnsi"/>
          <w:i/>
          <w:iCs/>
          <w:sz w:val="24"/>
          <w:szCs w:val="24"/>
        </w:rPr>
        <w:t>A</w:t>
      </w:r>
      <w:r w:rsidRPr="001354A6">
        <w:rPr>
          <w:rFonts w:cstheme="minorHAnsi"/>
          <w:i/>
          <w:iCs/>
          <w:sz w:val="24"/>
          <w:szCs w:val="24"/>
        </w:rPr>
        <w:t>ppendix</w:t>
      </w:r>
      <w:r w:rsidR="00AF41F2" w:rsidRPr="001354A6">
        <w:rPr>
          <w:rFonts w:cstheme="minorHAnsi"/>
          <w:i/>
          <w:iCs/>
          <w:sz w:val="24"/>
          <w:szCs w:val="24"/>
        </w:rPr>
        <w:t xml:space="preserve"> </w:t>
      </w:r>
      <w:bookmarkEnd w:id="5"/>
      <w:r w:rsidR="00273791" w:rsidRPr="001354A6">
        <w:rPr>
          <w:rFonts w:cstheme="minorHAnsi"/>
          <w:i/>
          <w:iCs/>
          <w:sz w:val="24"/>
          <w:szCs w:val="24"/>
        </w:rPr>
        <w:t>B</w:t>
      </w:r>
      <w:r w:rsidRPr="001354A6">
        <w:rPr>
          <w:rFonts w:cstheme="minorHAnsi"/>
          <w:i/>
          <w:iCs/>
          <w:sz w:val="24"/>
          <w:szCs w:val="24"/>
        </w:rPr>
        <w:t>)</w:t>
      </w:r>
      <w:r w:rsidRPr="001354A6">
        <w:rPr>
          <w:rFonts w:cstheme="minorHAnsi"/>
          <w:sz w:val="24"/>
          <w:szCs w:val="24"/>
        </w:rPr>
        <w:t xml:space="preserve"> supplied</w:t>
      </w:r>
      <w:r w:rsidRPr="003879E4">
        <w:rPr>
          <w:rFonts w:cstheme="minorHAnsi"/>
          <w:sz w:val="24"/>
          <w:szCs w:val="24"/>
        </w:rPr>
        <w:t xml:space="preserve"> to inform the participants of what the survey will entail, and to offer information to address any potential queries in connection to important topics outlining the logic behind the questions, the objective of the study, and the anonymity and confidentiality that the survey follows. Secondly, Bristol University (2019) implies that the best practice for sensitive data is to provide participant confidentiality and to allow respondents to withdraw from the survey. </w:t>
      </w:r>
    </w:p>
    <w:p w14:paraId="331FB508" w14:textId="77777777" w:rsidR="00903747" w:rsidRPr="003879E4" w:rsidRDefault="00903747" w:rsidP="00DB3C2F">
      <w:pPr>
        <w:spacing w:line="480" w:lineRule="auto"/>
        <w:ind w:firstLine="720"/>
        <w:rPr>
          <w:rFonts w:cstheme="minorHAnsi"/>
          <w:sz w:val="24"/>
          <w:szCs w:val="24"/>
        </w:rPr>
      </w:pPr>
      <w:r w:rsidRPr="003879E4">
        <w:rPr>
          <w:rFonts w:cstheme="minorHAnsi"/>
          <w:sz w:val="24"/>
          <w:szCs w:val="24"/>
        </w:rPr>
        <w:t>Therefore, the essential component of the survey will ensure that all the data will be handled with consideration and the survey will be optional, with the option to withdraw at any moment. Due to the sensitivity of the subject, helplines will also be provided.</w:t>
      </w:r>
    </w:p>
    <w:p w14:paraId="6270D157" w14:textId="77777777" w:rsidR="00903747" w:rsidRPr="003879E4" w:rsidRDefault="00903747" w:rsidP="00DB3C2F">
      <w:pPr>
        <w:spacing w:line="480" w:lineRule="auto"/>
        <w:rPr>
          <w:rFonts w:cstheme="minorHAnsi"/>
          <w:b/>
          <w:bCs/>
          <w:sz w:val="24"/>
          <w:szCs w:val="24"/>
        </w:rPr>
      </w:pPr>
      <w:r w:rsidRPr="003879E4">
        <w:rPr>
          <w:rFonts w:cstheme="minorHAnsi"/>
          <w:sz w:val="24"/>
          <w:szCs w:val="24"/>
        </w:rPr>
        <w:t>3.4</w:t>
      </w:r>
      <w:r w:rsidRPr="003879E4">
        <w:rPr>
          <w:rFonts w:cstheme="minorHAnsi"/>
          <w:b/>
          <w:bCs/>
          <w:sz w:val="24"/>
          <w:szCs w:val="24"/>
        </w:rPr>
        <w:t xml:space="preserve"> Limitations</w:t>
      </w:r>
    </w:p>
    <w:p w14:paraId="3B071457" w14:textId="77777777" w:rsidR="00F57B05" w:rsidRPr="00F57B05" w:rsidRDefault="00F57B05" w:rsidP="00F57B05">
      <w:pPr>
        <w:spacing w:line="480" w:lineRule="auto"/>
        <w:rPr>
          <w:rFonts w:cstheme="minorHAnsi"/>
          <w:sz w:val="24"/>
          <w:szCs w:val="24"/>
        </w:rPr>
      </w:pPr>
      <w:r w:rsidRPr="00F57B05">
        <w:rPr>
          <w:rFonts w:cstheme="minorHAnsi"/>
          <w:sz w:val="24"/>
          <w:szCs w:val="24"/>
        </w:rPr>
        <w:t xml:space="preserve">Due to the participants being self-selected within Dyfed Powys Police, limitations may include that some participants may have a biased viewpoint on the sensitive subject due to a negative experience and may select themselves into the sample; additionally, not everyone who receives the survey will answer it or answer it honestly; which further supports Jones (2013) argument of social desirability bias’s; for example, respondents may not feel comfortable providing answers that unfavourably present themselves, therefore the reliability and validity of the survey could be argued to be at risk (Fink &amp; Litwin, 1995). Another limitation is that the intended professional participants may be too busy to reply to the survey, or they may respond in a manner that they believe they should rather than what they genuinely believe. Due to the general nature of policing, participants may hurry or become bored while completing the survey, therefore the answers provided may be </w:t>
      </w:r>
      <w:r w:rsidRPr="00F57B05">
        <w:rPr>
          <w:rFonts w:cstheme="minorHAnsi"/>
          <w:sz w:val="24"/>
          <w:szCs w:val="24"/>
        </w:rPr>
        <w:lastRenderedPageBreak/>
        <w:t xml:space="preserve">inaccurate according to Godfrey (1992) several bored participants will put the accuracy of the data at risk of efficiently representing the population. </w:t>
      </w:r>
    </w:p>
    <w:p w14:paraId="1866995B" w14:textId="77777777" w:rsidR="00F57B05" w:rsidRDefault="00F57B05" w:rsidP="00F57B05">
      <w:pPr>
        <w:spacing w:line="480" w:lineRule="auto"/>
        <w:rPr>
          <w:rFonts w:cstheme="minorHAnsi"/>
          <w:sz w:val="24"/>
          <w:szCs w:val="24"/>
        </w:rPr>
      </w:pPr>
      <w:r w:rsidRPr="00F57B05">
        <w:rPr>
          <w:rFonts w:cstheme="minorHAnsi"/>
          <w:sz w:val="24"/>
          <w:szCs w:val="24"/>
        </w:rPr>
        <w:t xml:space="preserve">           Face-to-face structured interviews were further restricted by the inability to conduct them owing to COVID-19, therefore having to result in emailing the surveys. Will, Becker, and Weigand (2020) suggest that COVID-19 has had a significant influence on the ability to use the approach of interviewing individuals for the goal of collecting primary data.</w:t>
      </w:r>
    </w:p>
    <w:p w14:paraId="09DA8211" w14:textId="45D85CA2" w:rsidR="00903747" w:rsidRPr="003879E4" w:rsidRDefault="00903747" w:rsidP="00F57B05">
      <w:pPr>
        <w:spacing w:line="480" w:lineRule="auto"/>
        <w:rPr>
          <w:rFonts w:cstheme="minorHAnsi"/>
          <w:b/>
          <w:bCs/>
          <w:sz w:val="24"/>
          <w:szCs w:val="24"/>
        </w:rPr>
      </w:pPr>
      <w:r w:rsidRPr="003879E4">
        <w:rPr>
          <w:rFonts w:cstheme="minorHAnsi"/>
          <w:sz w:val="24"/>
          <w:szCs w:val="24"/>
        </w:rPr>
        <w:t xml:space="preserve">3.5 </w:t>
      </w:r>
      <w:r w:rsidRPr="003879E4">
        <w:rPr>
          <w:rFonts w:cstheme="minorHAnsi"/>
          <w:b/>
          <w:bCs/>
          <w:sz w:val="24"/>
          <w:szCs w:val="24"/>
        </w:rPr>
        <w:t>Summary</w:t>
      </w:r>
    </w:p>
    <w:p w14:paraId="1EBC8258" w14:textId="77777777" w:rsidR="00903747" w:rsidRPr="003879E4" w:rsidRDefault="00903747" w:rsidP="00DB3C2F">
      <w:pPr>
        <w:spacing w:line="480" w:lineRule="auto"/>
        <w:rPr>
          <w:rFonts w:cstheme="minorHAnsi"/>
          <w:sz w:val="24"/>
          <w:szCs w:val="24"/>
        </w:rPr>
      </w:pPr>
      <w:r w:rsidRPr="003879E4">
        <w:rPr>
          <w:rFonts w:cstheme="minorHAnsi"/>
          <w:sz w:val="24"/>
          <w:szCs w:val="24"/>
        </w:rPr>
        <w:t xml:space="preserve">To maximise the amount of data available for the study, both an interpretivism and a positivist approach will be applied. The study's objective is to close a research gap in the correlation between offender characteristics and ASB. To do this, an email survey will be issued to Dyfed Powys Police officers to collect both quantitative and qualitative data using open and closed questions. Graphs and charts will next be used to summarise the data collected to produce a conclusion of results that compares the data to the findings of the literature review. </w:t>
      </w:r>
    </w:p>
    <w:p w14:paraId="395BFB3A" w14:textId="77777777" w:rsidR="001354A6" w:rsidRDefault="001354A6" w:rsidP="00DB3C2F">
      <w:pPr>
        <w:spacing w:line="480" w:lineRule="auto"/>
        <w:rPr>
          <w:rFonts w:cstheme="minorHAnsi"/>
          <w:b/>
          <w:bCs/>
          <w:color w:val="0070C0"/>
          <w:sz w:val="24"/>
          <w:szCs w:val="24"/>
        </w:rPr>
      </w:pPr>
    </w:p>
    <w:p w14:paraId="5B594D91" w14:textId="77777777" w:rsidR="001354A6" w:rsidRDefault="001354A6" w:rsidP="00DB3C2F">
      <w:pPr>
        <w:spacing w:line="480" w:lineRule="auto"/>
        <w:rPr>
          <w:rFonts w:cstheme="minorHAnsi"/>
          <w:b/>
          <w:bCs/>
          <w:color w:val="0070C0"/>
          <w:sz w:val="24"/>
          <w:szCs w:val="24"/>
        </w:rPr>
      </w:pPr>
    </w:p>
    <w:p w14:paraId="20713BEE" w14:textId="77777777" w:rsidR="00F57B05" w:rsidRDefault="00F57B05" w:rsidP="00DB3C2F">
      <w:pPr>
        <w:spacing w:line="480" w:lineRule="auto"/>
        <w:rPr>
          <w:rFonts w:cstheme="minorHAnsi"/>
          <w:b/>
          <w:bCs/>
          <w:color w:val="0070C0"/>
          <w:sz w:val="24"/>
          <w:szCs w:val="24"/>
        </w:rPr>
      </w:pPr>
    </w:p>
    <w:p w14:paraId="41E9CF22" w14:textId="77777777" w:rsidR="00F57B05" w:rsidRDefault="00F57B05" w:rsidP="00DB3C2F">
      <w:pPr>
        <w:spacing w:line="480" w:lineRule="auto"/>
        <w:rPr>
          <w:rFonts w:cstheme="minorHAnsi"/>
          <w:b/>
          <w:bCs/>
          <w:color w:val="0070C0"/>
          <w:sz w:val="24"/>
          <w:szCs w:val="24"/>
        </w:rPr>
      </w:pPr>
    </w:p>
    <w:p w14:paraId="69955E5A" w14:textId="77777777" w:rsidR="00F57B05" w:rsidRDefault="00F57B05" w:rsidP="00DB3C2F">
      <w:pPr>
        <w:spacing w:line="480" w:lineRule="auto"/>
        <w:rPr>
          <w:rFonts w:cstheme="minorHAnsi"/>
          <w:b/>
          <w:bCs/>
          <w:color w:val="0070C0"/>
          <w:sz w:val="24"/>
          <w:szCs w:val="24"/>
        </w:rPr>
      </w:pPr>
    </w:p>
    <w:p w14:paraId="2C59D77A" w14:textId="77777777" w:rsidR="00F57B05" w:rsidRDefault="00F57B05" w:rsidP="00DB3C2F">
      <w:pPr>
        <w:spacing w:line="480" w:lineRule="auto"/>
        <w:rPr>
          <w:rFonts w:cstheme="minorHAnsi"/>
          <w:b/>
          <w:bCs/>
          <w:color w:val="0070C0"/>
          <w:sz w:val="24"/>
          <w:szCs w:val="24"/>
        </w:rPr>
      </w:pPr>
    </w:p>
    <w:p w14:paraId="202C882D" w14:textId="77777777" w:rsidR="00F57B05" w:rsidRDefault="00F57B05" w:rsidP="00DB3C2F">
      <w:pPr>
        <w:spacing w:line="480" w:lineRule="auto"/>
        <w:rPr>
          <w:rFonts w:cstheme="minorHAnsi"/>
          <w:b/>
          <w:bCs/>
          <w:color w:val="0070C0"/>
          <w:sz w:val="24"/>
          <w:szCs w:val="24"/>
        </w:rPr>
      </w:pPr>
    </w:p>
    <w:p w14:paraId="2D3FC0F4" w14:textId="394FB11A" w:rsidR="00903747" w:rsidRPr="003879E4" w:rsidRDefault="00903747" w:rsidP="00DB3C2F">
      <w:pPr>
        <w:spacing w:line="480" w:lineRule="auto"/>
        <w:rPr>
          <w:rFonts w:cstheme="minorHAnsi"/>
          <w:b/>
          <w:bCs/>
          <w:color w:val="0070C0"/>
          <w:sz w:val="24"/>
          <w:szCs w:val="24"/>
        </w:rPr>
      </w:pPr>
      <w:r w:rsidRPr="003879E4">
        <w:rPr>
          <w:rFonts w:cstheme="minorHAnsi"/>
          <w:b/>
          <w:bCs/>
          <w:color w:val="0070C0"/>
          <w:sz w:val="24"/>
          <w:szCs w:val="24"/>
        </w:rPr>
        <w:lastRenderedPageBreak/>
        <w:t xml:space="preserve">Chapter Four: </w:t>
      </w:r>
      <w:r w:rsidR="00392A18">
        <w:rPr>
          <w:rFonts w:cstheme="minorHAnsi"/>
          <w:b/>
          <w:bCs/>
          <w:color w:val="0070C0"/>
          <w:sz w:val="24"/>
          <w:szCs w:val="24"/>
        </w:rPr>
        <w:t>Findings</w:t>
      </w:r>
      <w:r w:rsidR="00B5601A">
        <w:rPr>
          <w:rFonts w:cstheme="minorHAnsi"/>
          <w:b/>
          <w:bCs/>
          <w:color w:val="0070C0"/>
          <w:sz w:val="24"/>
          <w:szCs w:val="24"/>
        </w:rPr>
        <w:t xml:space="preserve"> </w:t>
      </w:r>
      <w:r w:rsidR="00B5601A" w:rsidRPr="00B5601A">
        <w:rPr>
          <w:rFonts w:cstheme="minorHAnsi"/>
          <w:b/>
          <w:bCs/>
          <w:color w:val="0070C0"/>
          <w:sz w:val="24"/>
          <w:szCs w:val="24"/>
        </w:rPr>
        <w:t>&amp; Data Analysis</w:t>
      </w:r>
      <w:r w:rsidR="00B5601A">
        <w:rPr>
          <w:rFonts w:cstheme="minorHAnsi"/>
          <w:b/>
          <w:bCs/>
          <w:color w:val="0070C0"/>
          <w:sz w:val="24"/>
          <w:szCs w:val="24"/>
        </w:rPr>
        <w:t xml:space="preserve"> </w:t>
      </w:r>
    </w:p>
    <w:p w14:paraId="01DA23E4" w14:textId="77777777" w:rsidR="00903747" w:rsidRPr="003879E4" w:rsidRDefault="00903747" w:rsidP="00DB3C2F">
      <w:pPr>
        <w:spacing w:line="480" w:lineRule="auto"/>
        <w:rPr>
          <w:rFonts w:cstheme="minorHAnsi"/>
          <w:sz w:val="24"/>
          <w:szCs w:val="24"/>
        </w:rPr>
      </w:pPr>
      <w:r w:rsidRPr="003879E4">
        <w:rPr>
          <w:rFonts w:cstheme="minorHAnsi"/>
          <w:sz w:val="24"/>
          <w:szCs w:val="24"/>
        </w:rPr>
        <w:t xml:space="preserve">4.1 </w:t>
      </w:r>
      <w:r w:rsidRPr="003879E4">
        <w:rPr>
          <w:rFonts w:cstheme="minorHAnsi"/>
          <w:b/>
          <w:bCs/>
          <w:sz w:val="24"/>
          <w:szCs w:val="24"/>
        </w:rPr>
        <w:t xml:space="preserve">Introduction </w:t>
      </w:r>
    </w:p>
    <w:p w14:paraId="7AEDA578" w14:textId="77777777" w:rsidR="00F57B05" w:rsidRPr="00F57B05" w:rsidRDefault="00F57B05" w:rsidP="00F57B05">
      <w:pPr>
        <w:spacing w:line="480" w:lineRule="auto"/>
        <w:rPr>
          <w:rFonts w:cstheme="minorHAnsi"/>
          <w:sz w:val="24"/>
          <w:szCs w:val="24"/>
        </w:rPr>
      </w:pPr>
      <w:r w:rsidRPr="00F57B05">
        <w:rPr>
          <w:rFonts w:cstheme="minorHAnsi"/>
          <w:sz w:val="24"/>
          <w:szCs w:val="24"/>
        </w:rPr>
        <w:t xml:space="preserve">The fourth chapter is to analyse all of the predetermined objectives by comparing primary data to secondary research. As stated in the previous chapter comparing both research methods will improve the accuracy of the outcome as stated by Murray (2019) because the primary source provides direct access to additional data while the secondary sources provide second-hand information from other researchers to provide a broader understanding. </w:t>
      </w:r>
    </w:p>
    <w:p w14:paraId="09F1E455" w14:textId="7B82C377" w:rsidR="00F57B05" w:rsidRPr="00F57B05" w:rsidRDefault="00F57B05" w:rsidP="00F57B05">
      <w:pPr>
        <w:spacing w:line="480" w:lineRule="auto"/>
        <w:ind w:firstLine="720"/>
        <w:rPr>
          <w:rFonts w:cstheme="minorHAnsi"/>
          <w:sz w:val="24"/>
          <w:szCs w:val="24"/>
        </w:rPr>
      </w:pPr>
      <w:r w:rsidRPr="00F57B05">
        <w:rPr>
          <w:rFonts w:cstheme="minorHAnsi"/>
          <w:sz w:val="24"/>
          <w:szCs w:val="24"/>
        </w:rPr>
        <w:t>The data will be presented and analysed in this chapter. The format of the survey consisted of both open and closed questions (</w:t>
      </w:r>
      <w:r w:rsidR="003B3048">
        <w:rPr>
          <w:rFonts w:cstheme="minorHAnsi"/>
          <w:sz w:val="24"/>
          <w:szCs w:val="24"/>
        </w:rPr>
        <w:t>s</w:t>
      </w:r>
      <w:r w:rsidRPr="00F57B05">
        <w:rPr>
          <w:rFonts w:cstheme="minorHAnsi"/>
          <w:sz w:val="24"/>
          <w:szCs w:val="24"/>
        </w:rPr>
        <w:t xml:space="preserve">ee Appendix C). According to Cleave (2017), open-ended questions elicit feelings, whereas closed-ended questions generate the precise data that the researcher has set out to achieve. </w:t>
      </w:r>
    </w:p>
    <w:p w14:paraId="2CE7A874" w14:textId="77777777" w:rsidR="00F57B05" w:rsidRDefault="00F57B05" w:rsidP="00F57B05">
      <w:pPr>
        <w:spacing w:line="480" w:lineRule="auto"/>
        <w:ind w:firstLine="720"/>
        <w:rPr>
          <w:rFonts w:cstheme="minorHAnsi"/>
          <w:sz w:val="24"/>
          <w:szCs w:val="24"/>
        </w:rPr>
      </w:pPr>
      <w:r w:rsidRPr="00F57B05">
        <w:rPr>
          <w:rFonts w:cstheme="minorHAnsi"/>
          <w:sz w:val="24"/>
          <w:szCs w:val="24"/>
        </w:rPr>
        <w:t>There were two open questions and twelve closed questions. The survey was structured systematically, beginning with questions regarding individuals being made into criminals, which follows into questions regarding people being born criminals, and ultimately the major body of the survey includes ASB questions. It is argued by Wood (2018) that a survey with a systematic structure will allow for an easier and more in-depth analysis of the results.</w:t>
      </w:r>
    </w:p>
    <w:p w14:paraId="3B90E9F1" w14:textId="3BBF1725" w:rsidR="00903747" w:rsidRPr="003879E4" w:rsidRDefault="00903747" w:rsidP="00F57B05">
      <w:pPr>
        <w:spacing w:line="480" w:lineRule="auto"/>
        <w:rPr>
          <w:rFonts w:cstheme="minorHAnsi"/>
          <w:sz w:val="24"/>
          <w:szCs w:val="24"/>
        </w:rPr>
      </w:pPr>
      <w:r w:rsidRPr="003879E4">
        <w:rPr>
          <w:rFonts w:cstheme="minorHAnsi"/>
          <w:sz w:val="24"/>
          <w:szCs w:val="24"/>
        </w:rPr>
        <w:t xml:space="preserve">4.2 </w:t>
      </w:r>
      <w:r w:rsidRPr="003879E4">
        <w:rPr>
          <w:rFonts w:cstheme="minorHAnsi"/>
          <w:b/>
          <w:bCs/>
          <w:sz w:val="24"/>
          <w:szCs w:val="24"/>
        </w:rPr>
        <w:t>Data Analysis</w:t>
      </w:r>
    </w:p>
    <w:p w14:paraId="416B99B1" w14:textId="07789C88" w:rsidR="00903747" w:rsidRPr="003879E4" w:rsidRDefault="00903747" w:rsidP="00DB3C2F">
      <w:pPr>
        <w:spacing w:line="480" w:lineRule="auto"/>
        <w:rPr>
          <w:rFonts w:cstheme="minorHAnsi"/>
          <w:i/>
          <w:iCs/>
          <w:sz w:val="24"/>
          <w:szCs w:val="24"/>
          <w:highlight w:val="magenta"/>
        </w:rPr>
      </w:pPr>
      <w:r w:rsidRPr="003879E4">
        <w:rPr>
          <w:rFonts w:cstheme="minorHAnsi"/>
          <w:sz w:val="24"/>
          <w:szCs w:val="24"/>
        </w:rPr>
        <w:t xml:space="preserve">Leech (2007) argues that to achieve a legitimate conclusion, statistics must be analysed utilising appropriate tools. Therefore, to organise the range of responses collected, the open questions were analysed and laid out through a spider-diagram approach in a methodical </w:t>
      </w:r>
      <w:r w:rsidRPr="003879E4">
        <w:rPr>
          <w:rFonts w:cstheme="minorHAnsi"/>
          <w:sz w:val="24"/>
          <w:szCs w:val="24"/>
        </w:rPr>
        <w:lastRenderedPageBreak/>
        <w:t>manner using the ‘Padlet Software’. The closed questions were collected and organised into a spreadsheet table in Microsoft Excel to enable data comparisons between all of the responses</w:t>
      </w:r>
      <w:r w:rsidR="004A0CDB">
        <w:rPr>
          <w:rFonts w:cstheme="minorHAnsi"/>
          <w:sz w:val="24"/>
          <w:szCs w:val="24"/>
        </w:rPr>
        <w:t xml:space="preserve"> </w:t>
      </w:r>
      <w:r w:rsidR="004A0CDB" w:rsidRPr="001354A6">
        <w:rPr>
          <w:rFonts w:cstheme="minorHAnsi"/>
          <w:i/>
          <w:iCs/>
          <w:sz w:val="24"/>
          <w:szCs w:val="24"/>
        </w:rPr>
        <w:t>(</w:t>
      </w:r>
      <w:r w:rsidR="00F57B05">
        <w:rPr>
          <w:rFonts w:cstheme="minorHAnsi"/>
          <w:i/>
          <w:iCs/>
          <w:sz w:val="24"/>
          <w:szCs w:val="24"/>
        </w:rPr>
        <w:t>s</w:t>
      </w:r>
      <w:r w:rsidR="004A0CDB" w:rsidRPr="001354A6">
        <w:rPr>
          <w:rFonts w:cstheme="minorHAnsi"/>
          <w:i/>
          <w:iCs/>
          <w:sz w:val="24"/>
          <w:szCs w:val="24"/>
        </w:rPr>
        <w:t xml:space="preserve">ee Appendix </w:t>
      </w:r>
      <w:r w:rsidR="00273791" w:rsidRPr="001354A6">
        <w:rPr>
          <w:rFonts w:cstheme="minorHAnsi"/>
          <w:i/>
          <w:iCs/>
          <w:sz w:val="24"/>
          <w:szCs w:val="24"/>
        </w:rPr>
        <w:t>D</w:t>
      </w:r>
      <w:r w:rsidR="004A0CDB" w:rsidRPr="001354A6">
        <w:rPr>
          <w:rFonts w:cstheme="minorHAnsi"/>
          <w:i/>
          <w:iCs/>
          <w:sz w:val="24"/>
          <w:szCs w:val="24"/>
        </w:rPr>
        <w:t>)</w:t>
      </w:r>
      <w:r w:rsidRPr="001354A6">
        <w:rPr>
          <w:rFonts w:cstheme="minorHAnsi"/>
          <w:sz w:val="24"/>
          <w:szCs w:val="24"/>
        </w:rPr>
        <w:t>.</w:t>
      </w:r>
      <w:r w:rsidRPr="003879E4">
        <w:rPr>
          <w:rFonts w:cstheme="minorHAnsi"/>
          <w:sz w:val="24"/>
          <w:szCs w:val="24"/>
        </w:rPr>
        <w:t xml:space="preserve"> For efficient interpretation, the results were shown using data bars, which were then displayed in a variety of relevant graphs and charts. To make the data more visually appealing, responses that received no votes throughout the survey were highlighted in red writing. To explain the spreadsheet further, a key was constructed. According to Microsoft Excel (2022), a key displayed to users is necessary to explain and aid their understanding and interpretation of the data.</w:t>
      </w:r>
      <w:r w:rsidRPr="003879E4">
        <w:rPr>
          <w:rFonts w:cstheme="minorHAnsi"/>
          <w:i/>
          <w:iCs/>
          <w:sz w:val="24"/>
          <w:szCs w:val="24"/>
          <w:highlight w:val="magenta"/>
        </w:rPr>
        <w:t xml:space="preserve"> </w:t>
      </w:r>
    </w:p>
    <w:p w14:paraId="467D4753" w14:textId="77777777" w:rsidR="00903747" w:rsidRPr="003879E4" w:rsidRDefault="00903747" w:rsidP="00DB3C2F">
      <w:pPr>
        <w:spacing w:line="480" w:lineRule="auto"/>
        <w:rPr>
          <w:rFonts w:cstheme="minorHAnsi"/>
          <w:sz w:val="24"/>
          <w:szCs w:val="24"/>
        </w:rPr>
      </w:pPr>
      <w:r w:rsidRPr="003879E4">
        <w:rPr>
          <w:rFonts w:cstheme="minorHAnsi"/>
          <w:sz w:val="24"/>
          <w:szCs w:val="24"/>
        </w:rPr>
        <w:t xml:space="preserve">4.3 </w:t>
      </w:r>
      <w:r w:rsidRPr="003879E4">
        <w:rPr>
          <w:rFonts w:cstheme="minorHAnsi"/>
          <w:b/>
          <w:bCs/>
          <w:sz w:val="24"/>
          <w:szCs w:val="24"/>
        </w:rPr>
        <w:t xml:space="preserve">Descriptive Statistics </w:t>
      </w:r>
    </w:p>
    <w:p w14:paraId="4F262241" w14:textId="77777777" w:rsidR="00903747" w:rsidRPr="003879E4" w:rsidRDefault="00903747" w:rsidP="00DB3C2F">
      <w:pPr>
        <w:spacing w:line="480" w:lineRule="auto"/>
        <w:rPr>
          <w:rFonts w:cstheme="minorHAnsi"/>
          <w:sz w:val="24"/>
          <w:szCs w:val="24"/>
        </w:rPr>
      </w:pPr>
      <w:r w:rsidRPr="003879E4">
        <w:rPr>
          <w:rFonts w:cstheme="minorHAnsi"/>
          <w:sz w:val="24"/>
          <w:szCs w:val="24"/>
        </w:rPr>
        <w:t>Participants were contacted through email and responded voluntarily, with no external biases. 20 participants were chosen, who then circulated the emailed survey and information sheet to more officers to get a broader variety of data. Overall, there were 100 replies, half of which were response officers, and the other half were PCSOs. All of which work within Dyfed Powys Police. Due to the sensitivity of their profession, no extra information about the officers was gathered.</w:t>
      </w:r>
    </w:p>
    <w:p w14:paraId="04FCEF0F" w14:textId="77777777" w:rsidR="00903747" w:rsidRPr="003879E4" w:rsidRDefault="00903747" w:rsidP="00DB3C2F">
      <w:pPr>
        <w:spacing w:line="480" w:lineRule="auto"/>
        <w:rPr>
          <w:rFonts w:cstheme="minorHAnsi"/>
          <w:sz w:val="24"/>
          <w:szCs w:val="24"/>
        </w:rPr>
      </w:pPr>
      <w:r w:rsidRPr="003879E4">
        <w:rPr>
          <w:rFonts w:cstheme="minorHAnsi"/>
          <w:sz w:val="24"/>
          <w:szCs w:val="24"/>
        </w:rPr>
        <w:t xml:space="preserve">4.4.1 </w:t>
      </w:r>
      <w:r w:rsidRPr="003879E4">
        <w:rPr>
          <w:rFonts w:cstheme="minorHAnsi"/>
          <w:b/>
          <w:bCs/>
          <w:sz w:val="24"/>
          <w:szCs w:val="24"/>
        </w:rPr>
        <w:t xml:space="preserve">Analysis </w:t>
      </w:r>
    </w:p>
    <w:p w14:paraId="766BC4F3" w14:textId="77777777" w:rsidR="00903747" w:rsidRPr="003879E4" w:rsidRDefault="00903747" w:rsidP="00DB3C2F">
      <w:pPr>
        <w:spacing w:line="480" w:lineRule="auto"/>
        <w:rPr>
          <w:rFonts w:cstheme="minorHAnsi"/>
          <w:sz w:val="24"/>
          <w:szCs w:val="24"/>
        </w:rPr>
      </w:pPr>
      <w:r w:rsidRPr="003879E4">
        <w:rPr>
          <w:rFonts w:cstheme="minorHAnsi"/>
          <w:sz w:val="24"/>
          <w:szCs w:val="24"/>
        </w:rPr>
        <w:t>A variety of graphs and charts were chosen that were best suited to the magnitude of the data, and percentages were used as the display unit whenever feasible to simplify the data outputs.</w:t>
      </w:r>
    </w:p>
    <w:p w14:paraId="1F6F8874" w14:textId="77777777" w:rsidR="00903747" w:rsidRPr="003879E4" w:rsidRDefault="00903747" w:rsidP="00DB3C2F">
      <w:pPr>
        <w:spacing w:line="480" w:lineRule="auto"/>
        <w:rPr>
          <w:rFonts w:cstheme="minorHAnsi"/>
          <w:sz w:val="24"/>
          <w:szCs w:val="24"/>
        </w:rPr>
      </w:pPr>
      <w:r w:rsidRPr="003879E4">
        <w:rPr>
          <w:rFonts w:cstheme="minorHAnsi"/>
          <w:sz w:val="24"/>
          <w:szCs w:val="24"/>
        </w:rPr>
        <w:t xml:space="preserve">4.4.2 </w:t>
      </w:r>
      <w:r w:rsidRPr="003879E4">
        <w:rPr>
          <w:rFonts w:cstheme="minorHAnsi"/>
          <w:b/>
          <w:bCs/>
          <w:sz w:val="24"/>
          <w:szCs w:val="24"/>
        </w:rPr>
        <w:t>Environment and Parenting</w:t>
      </w:r>
      <w:r w:rsidRPr="003879E4">
        <w:rPr>
          <w:rFonts w:cstheme="minorHAnsi"/>
          <w:sz w:val="24"/>
          <w:szCs w:val="24"/>
        </w:rPr>
        <w:t xml:space="preserve"> </w:t>
      </w:r>
    </w:p>
    <w:p w14:paraId="1BCE6DD2" w14:textId="77777777" w:rsidR="00D20BCC" w:rsidRPr="00D20BCC" w:rsidRDefault="00D20BCC" w:rsidP="00D20BCC">
      <w:pPr>
        <w:spacing w:line="480" w:lineRule="auto"/>
        <w:rPr>
          <w:rFonts w:cstheme="minorHAnsi"/>
          <w:sz w:val="24"/>
          <w:szCs w:val="24"/>
        </w:rPr>
      </w:pPr>
      <w:r w:rsidRPr="00D20BCC">
        <w:rPr>
          <w:rFonts w:cstheme="minorHAnsi"/>
          <w:sz w:val="24"/>
          <w:szCs w:val="24"/>
        </w:rPr>
        <w:t xml:space="preserve">The struggling divide between capitalists and the working class was driving criminality during the French Revolution, people born into the lower class and labelled with that status </w:t>
      </w:r>
      <w:r w:rsidRPr="00D20BCC">
        <w:rPr>
          <w:rFonts w:cstheme="minorHAnsi"/>
          <w:sz w:val="24"/>
          <w:szCs w:val="24"/>
        </w:rPr>
        <w:lastRenderedPageBreak/>
        <w:t xml:space="preserve">were forced to live the lifestyle associated with it; as a result, the wealthy became increasingly wealthier, and the class divide became even more difficult to bridge (Marx, 1848). Furthermore, Aaron et al (2018) support this by stating that as a result of the blank slate theory children born into the environment of lower-class, to survive, the society around them fell into a criminal lifestyle, primarily stealing or pickpocketing from the rich. To further support this idea, a person's genetic tendency for criminal activity may be amplified by environmental implications such as living in a low socioeconomic society as argued by Van </w:t>
      </w:r>
      <w:proofErr w:type="spellStart"/>
      <w:r w:rsidRPr="00D20BCC">
        <w:rPr>
          <w:rFonts w:cstheme="minorHAnsi"/>
          <w:sz w:val="24"/>
          <w:szCs w:val="24"/>
        </w:rPr>
        <w:t>Dusen</w:t>
      </w:r>
      <w:proofErr w:type="spellEnd"/>
      <w:r w:rsidRPr="00D20BCC">
        <w:rPr>
          <w:rFonts w:cstheme="minorHAnsi"/>
          <w:sz w:val="24"/>
          <w:szCs w:val="24"/>
        </w:rPr>
        <w:t xml:space="preserve"> (1983).</w:t>
      </w:r>
    </w:p>
    <w:p w14:paraId="6DB4797A" w14:textId="5BE9EFFA" w:rsidR="00D20BCC" w:rsidRDefault="00D20BCC" w:rsidP="00D20BCC">
      <w:pPr>
        <w:spacing w:line="480" w:lineRule="auto"/>
        <w:ind w:firstLine="720"/>
        <w:rPr>
          <w:rFonts w:cstheme="minorHAnsi"/>
          <w:sz w:val="24"/>
          <w:szCs w:val="24"/>
        </w:rPr>
      </w:pPr>
      <w:r w:rsidRPr="00D20BCC">
        <w:rPr>
          <w:rFonts w:cstheme="minorHAnsi"/>
          <w:sz w:val="24"/>
          <w:szCs w:val="24"/>
        </w:rPr>
        <w:t xml:space="preserve">In comparison to the primary research </w:t>
      </w:r>
      <w:r w:rsidRPr="003B3048">
        <w:rPr>
          <w:rFonts w:cstheme="minorHAnsi"/>
          <w:i/>
          <w:iCs/>
          <w:sz w:val="24"/>
          <w:szCs w:val="24"/>
        </w:rPr>
        <w:t>(see Diagram 2)</w:t>
      </w:r>
      <w:r w:rsidRPr="00D20BCC">
        <w:rPr>
          <w:rFonts w:cstheme="minorHAnsi"/>
          <w:sz w:val="24"/>
          <w:szCs w:val="24"/>
        </w:rPr>
        <w:t xml:space="preserve">, 20% of the officers believed that from childhood, a person's criminal personality is not influenced by their environment. However, 44% of PCSOs believed that a person's surroundings could influence their behaviour, compared to a lower mean score of response officers (36%). The disparities in beliefs might be related to the duties of both types of police in comparison (Wells &amp; Walsh, 2019). To support this, it is argued that a person’s environment which includes their home, education, circle of friends, and employment; all of which a PCSO would be more involved in compared to the response officers (Turner, 2005). The overall level of understanding shows that 80% of Dyfed Powys Police agree that a criminal would be moulded in a deprived environment. This primary data supports Durkheim's (1893) which is ideology of ‘Psychological Positivism Theory’ which is a hypothesis that society can exert a powerful force on individuals.  </w:t>
      </w:r>
    </w:p>
    <w:p w14:paraId="35C81845" w14:textId="77777777" w:rsidR="00D20BCC" w:rsidRDefault="00D20BCC" w:rsidP="00D20BCC">
      <w:pPr>
        <w:spacing w:line="480" w:lineRule="auto"/>
        <w:rPr>
          <w:rFonts w:cstheme="minorHAnsi"/>
          <w:i/>
          <w:iCs/>
          <w:sz w:val="24"/>
          <w:szCs w:val="24"/>
        </w:rPr>
      </w:pPr>
    </w:p>
    <w:p w14:paraId="40A5B169" w14:textId="77777777" w:rsidR="00D20BCC" w:rsidRDefault="00D20BCC" w:rsidP="00D20BCC">
      <w:pPr>
        <w:spacing w:line="480" w:lineRule="auto"/>
        <w:rPr>
          <w:rFonts w:cstheme="minorHAnsi"/>
          <w:i/>
          <w:iCs/>
          <w:sz w:val="24"/>
          <w:szCs w:val="24"/>
        </w:rPr>
      </w:pPr>
    </w:p>
    <w:p w14:paraId="54FC6BCC" w14:textId="77777777" w:rsidR="00D20BCC" w:rsidRDefault="00D20BCC" w:rsidP="00D20BCC">
      <w:pPr>
        <w:spacing w:line="480" w:lineRule="auto"/>
        <w:rPr>
          <w:rFonts w:cstheme="minorHAnsi"/>
          <w:i/>
          <w:iCs/>
          <w:sz w:val="24"/>
          <w:szCs w:val="24"/>
        </w:rPr>
      </w:pPr>
    </w:p>
    <w:p w14:paraId="5A384DB6" w14:textId="38A84381" w:rsidR="00D20BCC" w:rsidRDefault="00D20BCC" w:rsidP="00D20BCC">
      <w:pPr>
        <w:spacing w:line="480" w:lineRule="auto"/>
        <w:rPr>
          <w:rFonts w:cstheme="minorHAnsi"/>
          <w:i/>
          <w:iCs/>
          <w:sz w:val="24"/>
          <w:szCs w:val="24"/>
        </w:rPr>
      </w:pPr>
      <w:r w:rsidRPr="00BE5C9D">
        <w:rPr>
          <w:i/>
          <w:iCs/>
          <w:noProof/>
        </w:rPr>
        <w:lastRenderedPageBreak/>
        <w:drawing>
          <wp:anchor distT="0" distB="0" distL="114300" distR="114300" simplePos="0" relativeHeight="251671552" behindDoc="0" locked="0" layoutInCell="1" allowOverlap="1" wp14:anchorId="520DD310" wp14:editId="1E659927">
            <wp:simplePos x="0" y="0"/>
            <wp:positionH relativeFrom="margin">
              <wp:align>center</wp:align>
            </wp:positionH>
            <wp:positionV relativeFrom="paragraph">
              <wp:posOffset>5199</wp:posOffset>
            </wp:positionV>
            <wp:extent cx="5113655" cy="2743200"/>
            <wp:effectExtent l="0" t="0" r="10795" b="0"/>
            <wp:wrapNone/>
            <wp:docPr id="10" name="Chart 10">
              <a:extLst xmlns:a="http://schemas.openxmlformats.org/drawingml/2006/main">
                <a:ext uri="{FF2B5EF4-FFF2-40B4-BE49-F238E27FC236}">
                  <a16:creationId xmlns:a16="http://schemas.microsoft.com/office/drawing/2014/main" id="{535D6A57-EE96-46A2-813E-7A7908AD487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anchor>
        </w:drawing>
      </w:r>
    </w:p>
    <w:p w14:paraId="46F945D9" w14:textId="77777777" w:rsidR="00D20BCC" w:rsidRDefault="00D20BCC" w:rsidP="00D20BCC">
      <w:pPr>
        <w:spacing w:line="480" w:lineRule="auto"/>
        <w:rPr>
          <w:rFonts w:cstheme="minorHAnsi"/>
          <w:i/>
          <w:iCs/>
          <w:sz w:val="24"/>
          <w:szCs w:val="24"/>
        </w:rPr>
      </w:pPr>
    </w:p>
    <w:p w14:paraId="74E19846" w14:textId="77777777" w:rsidR="00D20BCC" w:rsidRDefault="00D20BCC" w:rsidP="00D20BCC">
      <w:pPr>
        <w:spacing w:line="480" w:lineRule="auto"/>
        <w:rPr>
          <w:rFonts w:cstheme="minorHAnsi"/>
          <w:i/>
          <w:iCs/>
          <w:sz w:val="24"/>
          <w:szCs w:val="24"/>
        </w:rPr>
      </w:pPr>
    </w:p>
    <w:p w14:paraId="259487A4" w14:textId="77777777" w:rsidR="00D20BCC" w:rsidRDefault="00D20BCC" w:rsidP="00D20BCC">
      <w:pPr>
        <w:spacing w:line="480" w:lineRule="auto"/>
        <w:rPr>
          <w:rFonts w:cstheme="minorHAnsi"/>
          <w:i/>
          <w:iCs/>
          <w:sz w:val="24"/>
          <w:szCs w:val="24"/>
        </w:rPr>
      </w:pPr>
    </w:p>
    <w:p w14:paraId="1914E2D7" w14:textId="77777777" w:rsidR="00D20BCC" w:rsidRDefault="00D20BCC" w:rsidP="00D20BCC">
      <w:pPr>
        <w:spacing w:line="480" w:lineRule="auto"/>
        <w:jc w:val="center"/>
        <w:rPr>
          <w:rFonts w:cstheme="minorHAnsi"/>
          <w:i/>
          <w:iCs/>
          <w:sz w:val="24"/>
          <w:szCs w:val="24"/>
        </w:rPr>
      </w:pPr>
    </w:p>
    <w:p w14:paraId="24881CFF" w14:textId="77777777" w:rsidR="00D20BCC" w:rsidRDefault="00D20BCC" w:rsidP="00D20BCC">
      <w:pPr>
        <w:spacing w:line="480" w:lineRule="auto"/>
        <w:rPr>
          <w:rFonts w:cstheme="minorHAnsi"/>
          <w:i/>
          <w:iCs/>
          <w:sz w:val="24"/>
          <w:szCs w:val="24"/>
        </w:rPr>
      </w:pPr>
    </w:p>
    <w:p w14:paraId="45EA3C96" w14:textId="310EEC33" w:rsidR="00BE5C9D" w:rsidRPr="00BE5C9D" w:rsidRDefault="00BE5C9D" w:rsidP="00D20BCC">
      <w:pPr>
        <w:spacing w:line="480" w:lineRule="auto"/>
        <w:jc w:val="center"/>
        <w:rPr>
          <w:rFonts w:cstheme="minorHAnsi"/>
          <w:i/>
          <w:iCs/>
          <w:sz w:val="24"/>
          <w:szCs w:val="24"/>
        </w:rPr>
      </w:pPr>
      <w:r w:rsidRPr="00BE5C9D">
        <w:rPr>
          <w:rFonts w:cstheme="minorHAnsi"/>
          <w:i/>
          <w:iCs/>
          <w:sz w:val="24"/>
          <w:szCs w:val="24"/>
        </w:rPr>
        <w:t>Diagram 2</w:t>
      </w:r>
    </w:p>
    <w:p w14:paraId="71C564A0" w14:textId="78541C6E" w:rsidR="00615478" w:rsidRPr="00615478" w:rsidRDefault="00615478" w:rsidP="00DB3C2F">
      <w:pPr>
        <w:spacing w:line="480" w:lineRule="auto"/>
        <w:ind w:firstLine="720"/>
        <w:rPr>
          <w:rFonts w:cstheme="minorHAnsi"/>
          <w:sz w:val="24"/>
          <w:szCs w:val="24"/>
        </w:rPr>
      </w:pPr>
      <w:r w:rsidRPr="00615478">
        <w:rPr>
          <w:rFonts w:cstheme="minorHAnsi"/>
          <w:sz w:val="24"/>
          <w:szCs w:val="24"/>
        </w:rPr>
        <w:t xml:space="preserve">In contrast to this, 72% of police frequently interact with both the parent and their child's behaviour on different occasions showing that there is a positive correlation between parent and child criminality. This supports </w:t>
      </w:r>
      <w:proofErr w:type="spellStart"/>
      <w:r w:rsidRPr="00615478">
        <w:rPr>
          <w:rFonts w:cstheme="minorHAnsi"/>
          <w:sz w:val="24"/>
          <w:szCs w:val="24"/>
        </w:rPr>
        <w:t>Glueck</w:t>
      </w:r>
      <w:proofErr w:type="spellEnd"/>
      <w:r w:rsidRPr="00615478">
        <w:rPr>
          <w:rFonts w:cstheme="minorHAnsi"/>
          <w:sz w:val="24"/>
          <w:szCs w:val="24"/>
        </w:rPr>
        <w:t xml:space="preserve"> and </w:t>
      </w:r>
      <w:proofErr w:type="spellStart"/>
      <w:r w:rsidRPr="00615478">
        <w:rPr>
          <w:rFonts w:cstheme="minorHAnsi"/>
          <w:sz w:val="24"/>
          <w:szCs w:val="24"/>
        </w:rPr>
        <w:t>Glueck</w:t>
      </w:r>
      <w:proofErr w:type="spellEnd"/>
      <w:r w:rsidRPr="00615478">
        <w:rPr>
          <w:rFonts w:cstheme="minorHAnsi"/>
          <w:sz w:val="24"/>
          <w:szCs w:val="24"/>
        </w:rPr>
        <w:t xml:space="preserve"> (1950) who argue that a criminal's offspring have a 75% risk of reoffending in the future if nurtured in the same community and environment in which the parent lived and socialised. Furthermore, research from Rhee and Waldman (2002) implies that if a child has one parent who has committed a crime, the child has a 41% probability of acquiring the criminal genes. When both parents have a criminal record, the genetic code is passed on to the offspring, with a 67% likelihood that the child will inherit the genetic code. </w:t>
      </w:r>
    </w:p>
    <w:p w14:paraId="1956057B" w14:textId="07CDA474" w:rsidR="00615478" w:rsidRDefault="00615478" w:rsidP="00DB3C2F">
      <w:pPr>
        <w:spacing w:line="480" w:lineRule="auto"/>
        <w:ind w:firstLine="720"/>
        <w:rPr>
          <w:rFonts w:cstheme="minorHAnsi"/>
          <w:sz w:val="24"/>
          <w:szCs w:val="24"/>
        </w:rPr>
      </w:pPr>
      <w:r w:rsidRPr="00615478">
        <w:rPr>
          <w:rFonts w:cstheme="minorHAnsi"/>
          <w:sz w:val="24"/>
          <w:szCs w:val="24"/>
        </w:rPr>
        <w:t xml:space="preserve">Finally, question two inquiries concerning ACEs; the funnel </w:t>
      </w:r>
      <w:r w:rsidRPr="001354A6">
        <w:rPr>
          <w:rFonts w:cstheme="minorHAnsi"/>
          <w:sz w:val="24"/>
          <w:szCs w:val="24"/>
        </w:rPr>
        <w:t xml:space="preserve">chart </w:t>
      </w:r>
      <w:r w:rsidRPr="001354A6">
        <w:rPr>
          <w:rFonts w:cstheme="minorHAnsi"/>
          <w:i/>
          <w:iCs/>
          <w:sz w:val="24"/>
          <w:szCs w:val="24"/>
        </w:rPr>
        <w:t>(</w:t>
      </w:r>
      <w:r w:rsidR="003B3048">
        <w:rPr>
          <w:rFonts w:cstheme="minorHAnsi"/>
          <w:i/>
          <w:iCs/>
          <w:sz w:val="24"/>
          <w:szCs w:val="24"/>
        </w:rPr>
        <w:t>s</w:t>
      </w:r>
      <w:r w:rsidRPr="001354A6">
        <w:rPr>
          <w:rFonts w:cstheme="minorHAnsi"/>
          <w:i/>
          <w:iCs/>
          <w:sz w:val="24"/>
          <w:szCs w:val="24"/>
        </w:rPr>
        <w:t xml:space="preserve">ee Diagram </w:t>
      </w:r>
      <w:r w:rsidR="00682896" w:rsidRPr="001354A6">
        <w:rPr>
          <w:rFonts w:cstheme="minorHAnsi"/>
          <w:i/>
          <w:iCs/>
          <w:sz w:val="24"/>
          <w:szCs w:val="24"/>
        </w:rPr>
        <w:t>3</w:t>
      </w:r>
      <w:r w:rsidRPr="001354A6">
        <w:rPr>
          <w:rFonts w:cstheme="minorHAnsi"/>
          <w:i/>
          <w:iCs/>
          <w:sz w:val="24"/>
          <w:szCs w:val="24"/>
        </w:rPr>
        <w:t>)</w:t>
      </w:r>
      <w:r w:rsidRPr="00615478">
        <w:rPr>
          <w:rFonts w:cstheme="minorHAnsi"/>
          <w:sz w:val="24"/>
          <w:szCs w:val="24"/>
        </w:rPr>
        <w:t xml:space="preserve"> shows that 72% believe that the police are implementing adequate aftercare or procedures for those who are suspected of having experienced ACEs. This data, however, does not agree with the secondary research. According to Smith et al (2020), present police personnel is not advancing towards trauma-informed policing, which would help to prevent </w:t>
      </w:r>
      <w:r w:rsidRPr="00615478">
        <w:rPr>
          <w:rFonts w:cstheme="minorHAnsi"/>
          <w:sz w:val="24"/>
          <w:szCs w:val="24"/>
        </w:rPr>
        <w:lastRenderedPageBreak/>
        <w:t>crime overall. Furthermore, Wade, Merritt, and Davies (2015) claim that when ACEs are found, 67% of the UK public expects more from the policing force.</w:t>
      </w:r>
      <w:r>
        <w:rPr>
          <w:rFonts w:cstheme="minorHAnsi"/>
          <w:sz w:val="24"/>
          <w:szCs w:val="24"/>
        </w:rPr>
        <w:t xml:space="preserve"> </w:t>
      </w:r>
    </w:p>
    <w:p w14:paraId="655FA029" w14:textId="15DF207E" w:rsidR="00894BF2" w:rsidRPr="00452E09" w:rsidRDefault="00894BF2" w:rsidP="00452E09">
      <w:pPr>
        <w:spacing w:line="480" w:lineRule="auto"/>
        <w:jc w:val="center"/>
        <w:rPr>
          <w:rFonts w:cstheme="minorHAnsi"/>
          <w:sz w:val="24"/>
          <w:szCs w:val="24"/>
        </w:rPr>
      </w:pPr>
      <w:r>
        <w:rPr>
          <w:noProof/>
        </w:rPr>
        <mc:AlternateContent>
          <mc:Choice Requires="cx2">
            <w:drawing>
              <wp:anchor distT="0" distB="0" distL="114300" distR="114300" simplePos="0" relativeHeight="251665408" behindDoc="0" locked="0" layoutInCell="1" allowOverlap="1" wp14:anchorId="6DAD3073" wp14:editId="37D596C0">
                <wp:simplePos x="0" y="0"/>
                <wp:positionH relativeFrom="column">
                  <wp:posOffset>457200</wp:posOffset>
                </wp:positionH>
                <wp:positionV relativeFrom="paragraph">
                  <wp:posOffset>0</wp:posOffset>
                </wp:positionV>
                <wp:extent cx="4665739" cy="2743200"/>
                <wp:effectExtent l="0" t="0" r="1905" b="0"/>
                <wp:wrapTopAndBottom/>
                <wp:docPr id="2" name="Chart 2">
                  <a:extLst xmlns:a="http://schemas.openxmlformats.org/drawingml/2006/main">
                    <a:ext uri="{FF2B5EF4-FFF2-40B4-BE49-F238E27FC236}">
                      <a16:creationId xmlns:a16="http://schemas.microsoft.com/office/drawing/2014/main" id="{55BE9077-8CCF-4B47-8A1B-C09EC075396B}"/>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4"/>
                  </a:graphicData>
                </a:graphic>
              </wp:anchor>
            </w:drawing>
          </mc:Choice>
          <mc:Fallback>
            <w:drawing>
              <wp:anchor distT="0" distB="0" distL="114300" distR="114300" simplePos="0" relativeHeight="251665408" behindDoc="0" locked="0" layoutInCell="1" allowOverlap="1" wp14:anchorId="6DAD3073" wp14:editId="37D596C0">
                <wp:simplePos x="0" y="0"/>
                <wp:positionH relativeFrom="column">
                  <wp:posOffset>457200</wp:posOffset>
                </wp:positionH>
                <wp:positionV relativeFrom="paragraph">
                  <wp:posOffset>0</wp:posOffset>
                </wp:positionV>
                <wp:extent cx="4665739" cy="2743200"/>
                <wp:effectExtent l="0" t="0" r="1905" b="0"/>
                <wp:wrapTopAndBottom/>
                <wp:docPr id="2" name="Chart 2">
                  <a:extLst xmlns:a="http://schemas.openxmlformats.org/drawingml/2006/main">
                    <a:ext uri="{FF2B5EF4-FFF2-40B4-BE49-F238E27FC236}">
                      <a16:creationId xmlns:a16="http://schemas.microsoft.com/office/drawing/2014/main" id="{55BE9077-8CCF-4B47-8A1B-C09EC075396B}"/>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2" name="Chart 2">
                          <a:extLst>
                            <a:ext uri="{FF2B5EF4-FFF2-40B4-BE49-F238E27FC236}">
                              <a16:creationId xmlns:a16="http://schemas.microsoft.com/office/drawing/2014/main" id="{55BE9077-8CCF-4B47-8A1B-C09EC075396B}"/>
                            </a:ext>
                          </a:extLst>
                        </pic:cNvPr>
                        <pic:cNvPicPr>
                          <a:picLocks noGrp="1" noRot="1" noChangeAspect="1" noMove="1" noResize="1" noEditPoints="1" noAdjustHandles="1" noChangeArrowheads="1" noChangeShapeType="1"/>
                        </pic:cNvPicPr>
                      </pic:nvPicPr>
                      <pic:blipFill>
                        <a:blip r:embed="rId15"/>
                        <a:stretch>
                          <a:fillRect/>
                        </a:stretch>
                      </pic:blipFill>
                      <pic:spPr>
                        <a:xfrm>
                          <a:off x="0" y="0"/>
                          <a:ext cx="4665345" cy="2743200"/>
                        </a:xfrm>
                        <a:prstGeom prst="rect">
                          <a:avLst/>
                        </a:prstGeom>
                      </pic:spPr>
                    </pic:pic>
                  </a:graphicData>
                </a:graphic>
              </wp:anchor>
            </w:drawing>
          </mc:Fallback>
        </mc:AlternateContent>
      </w:r>
      <w:r w:rsidRPr="00894BF2">
        <w:rPr>
          <w:rFonts w:cstheme="minorHAnsi"/>
          <w:i/>
          <w:iCs/>
          <w:sz w:val="24"/>
          <w:szCs w:val="24"/>
        </w:rPr>
        <w:t xml:space="preserve">Diagram </w:t>
      </w:r>
      <w:r w:rsidR="00682896">
        <w:rPr>
          <w:rFonts w:cstheme="minorHAnsi"/>
          <w:i/>
          <w:iCs/>
          <w:sz w:val="24"/>
          <w:szCs w:val="24"/>
        </w:rPr>
        <w:t>3</w:t>
      </w:r>
    </w:p>
    <w:p w14:paraId="35B8D383" w14:textId="7924F19D" w:rsidR="00903747" w:rsidRPr="003879E4" w:rsidRDefault="00903747" w:rsidP="00DB3C2F">
      <w:pPr>
        <w:spacing w:line="480" w:lineRule="auto"/>
        <w:rPr>
          <w:rFonts w:cstheme="minorHAnsi"/>
          <w:sz w:val="24"/>
          <w:szCs w:val="24"/>
        </w:rPr>
      </w:pPr>
      <w:r w:rsidRPr="003879E4">
        <w:rPr>
          <w:rFonts w:cstheme="minorHAnsi"/>
          <w:sz w:val="24"/>
          <w:szCs w:val="24"/>
        </w:rPr>
        <w:t xml:space="preserve">4.4.3 </w:t>
      </w:r>
      <w:r w:rsidRPr="003879E4">
        <w:rPr>
          <w:rFonts w:cstheme="minorHAnsi"/>
          <w:b/>
          <w:bCs/>
          <w:sz w:val="24"/>
          <w:szCs w:val="24"/>
        </w:rPr>
        <w:t xml:space="preserve">Biological influences on Crime </w:t>
      </w:r>
    </w:p>
    <w:p w14:paraId="0E9713AC" w14:textId="3BF8F5B7" w:rsidR="00903747" w:rsidRDefault="00903747" w:rsidP="00DB3C2F">
      <w:pPr>
        <w:spacing w:line="480" w:lineRule="auto"/>
        <w:rPr>
          <w:rFonts w:cstheme="minorHAnsi"/>
          <w:sz w:val="24"/>
          <w:szCs w:val="24"/>
        </w:rPr>
      </w:pPr>
      <w:bookmarkStart w:id="6" w:name="_Hlk99134084"/>
      <w:r w:rsidRPr="003879E4">
        <w:rPr>
          <w:rFonts w:cstheme="minorHAnsi"/>
          <w:sz w:val="24"/>
          <w:szCs w:val="24"/>
        </w:rPr>
        <w:t xml:space="preserve">In connection to secondary research, questions 4 and 5 sought to establish a police officer's position on whether a person may be born a criminal. As displayed in </w:t>
      </w:r>
      <w:r w:rsidRPr="001354A6">
        <w:rPr>
          <w:rFonts w:cstheme="minorHAnsi"/>
          <w:sz w:val="24"/>
          <w:szCs w:val="24"/>
        </w:rPr>
        <w:t xml:space="preserve">the pie chart </w:t>
      </w:r>
      <w:r w:rsidRPr="001354A6">
        <w:rPr>
          <w:rFonts w:cstheme="minorHAnsi"/>
          <w:i/>
          <w:iCs/>
          <w:sz w:val="24"/>
          <w:szCs w:val="24"/>
        </w:rPr>
        <w:t>(</w:t>
      </w:r>
      <w:r w:rsidR="003B3048">
        <w:rPr>
          <w:rFonts w:cstheme="minorHAnsi"/>
          <w:i/>
          <w:iCs/>
          <w:sz w:val="24"/>
          <w:szCs w:val="24"/>
        </w:rPr>
        <w:t>s</w:t>
      </w:r>
      <w:r w:rsidRPr="001354A6">
        <w:rPr>
          <w:rFonts w:cstheme="minorHAnsi"/>
          <w:i/>
          <w:iCs/>
          <w:sz w:val="24"/>
          <w:szCs w:val="24"/>
        </w:rPr>
        <w:t xml:space="preserve">ee Diagram </w:t>
      </w:r>
      <w:r w:rsidR="00682896" w:rsidRPr="001354A6">
        <w:rPr>
          <w:rFonts w:cstheme="minorHAnsi"/>
          <w:i/>
          <w:iCs/>
          <w:sz w:val="24"/>
          <w:szCs w:val="24"/>
        </w:rPr>
        <w:t>4</w:t>
      </w:r>
      <w:r w:rsidRPr="001354A6">
        <w:rPr>
          <w:rFonts w:cstheme="minorHAnsi"/>
          <w:i/>
          <w:iCs/>
          <w:sz w:val="24"/>
          <w:szCs w:val="24"/>
        </w:rPr>
        <w:t xml:space="preserve">) </w:t>
      </w:r>
      <w:r w:rsidRPr="001354A6">
        <w:rPr>
          <w:rFonts w:cstheme="minorHAnsi"/>
          <w:sz w:val="24"/>
          <w:szCs w:val="24"/>
        </w:rPr>
        <w:t>62% of the participants believed that a criminal is more likely to be</w:t>
      </w:r>
      <w:r w:rsidRPr="003879E4">
        <w:rPr>
          <w:rFonts w:cstheme="minorHAnsi"/>
          <w:sz w:val="24"/>
          <w:szCs w:val="24"/>
        </w:rPr>
        <w:t xml:space="preserve"> Mesomorphic</w:t>
      </w:r>
      <w:r w:rsidR="009D2777">
        <w:rPr>
          <w:rFonts w:cstheme="minorHAnsi"/>
          <w:sz w:val="24"/>
          <w:szCs w:val="24"/>
        </w:rPr>
        <w:t xml:space="preserve">, </w:t>
      </w:r>
      <w:r w:rsidRPr="003879E4">
        <w:rPr>
          <w:rFonts w:cstheme="minorHAnsi"/>
          <w:sz w:val="24"/>
          <w:szCs w:val="24"/>
        </w:rPr>
        <w:t xml:space="preserve">with </w:t>
      </w:r>
      <w:r w:rsidR="009D2777">
        <w:rPr>
          <w:rFonts w:cstheme="minorHAnsi"/>
          <w:sz w:val="24"/>
          <w:szCs w:val="24"/>
        </w:rPr>
        <w:t xml:space="preserve">a further </w:t>
      </w:r>
      <w:r w:rsidRPr="003879E4">
        <w:rPr>
          <w:rFonts w:cstheme="minorHAnsi"/>
          <w:sz w:val="24"/>
          <w:szCs w:val="24"/>
        </w:rPr>
        <w:t>10% of the officers believing that a person’s body type does</w:t>
      </w:r>
      <w:r w:rsidR="006A6B0E">
        <w:rPr>
          <w:rFonts w:cstheme="minorHAnsi"/>
          <w:sz w:val="24"/>
          <w:szCs w:val="24"/>
        </w:rPr>
        <w:t xml:space="preserve"> </w:t>
      </w:r>
      <w:r w:rsidRPr="003879E4">
        <w:rPr>
          <w:rFonts w:cstheme="minorHAnsi"/>
          <w:sz w:val="24"/>
          <w:szCs w:val="24"/>
        </w:rPr>
        <w:t xml:space="preserve">not affect crime. To support this, according to </w:t>
      </w:r>
      <w:proofErr w:type="spellStart"/>
      <w:r w:rsidRPr="003879E4">
        <w:rPr>
          <w:rFonts w:cstheme="minorHAnsi"/>
          <w:sz w:val="24"/>
          <w:szCs w:val="24"/>
        </w:rPr>
        <w:t>Maddan</w:t>
      </w:r>
      <w:proofErr w:type="spellEnd"/>
      <w:r w:rsidRPr="003879E4">
        <w:rPr>
          <w:rFonts w:cstheme="minorHAnsi"/>
          <w:sz w:val="24"/>
          <w:szCs w:val="24"/>
        </w:rPr>
        <w:t>, Walker, and Miller (2008) the mesomorph body type appears to be more inclined to commit violent crimes.</w:t>
      </w:r>
    </w:p>
    <w:p w14:paraId="040BA3E4" w14:textId="77777777" w:rsidR="006A6B0E" w:rsidRDefault="006A6B0E" w:rsidP="00452E09">
      <w:pPr>
        <w:spacing w:line="480" w:lineRule="auto"/>
        <w:jc w:val="center"/>
        <w:rPr>
          <w:rFonts w:cstheme="minorHAnsi"/>
          <w:i/>
          <w:iCs/>
          <w:sz w:val="24"/>
          <w:szCs w:val="24"/>
        </w:rPr>
      </w:pPr>
    </w:p>
    <w:p w14:paraId="50CC8BAC" w14:textId="77777777" w:rsidR="006A6B0E" w:rsidRDefault="006A6B0E" w:rsidP="00452E09">
      <w:pPr>
        <w:spacing w:line="480" w:lineRule="auto"/>
        <w:jc w:val="center"/>
        <w:rPr>
          <w:rFonts w:cstheme="minorHAnsi"/>
          <w:i/>
          <w:iCs/>
          <w:sz w:val="24"/>
          <w:szCs w:val="24"/>
        </w:rPr>
      </w:pPr>
    </w:p>
    <w:p w14:paraId="5D2A9889" w14:textId="77777777" w:rsidR="006A6B0E" w:rsidRDefault="006A6B0E" w:rsidP="00452E09">
      <w:pPr>
        <w:spacing w:line="480" w:lineRule="auto"/>
        <w:jc w:val="center"/>
        <w:rPr>
          <w:rFonts w:cstheme="minorHAnsi"/>
          <w:i/>
          <w:iCs/>
          <w:sz w:val="24"/>
          <w:szCs w:val="24"/>
        </w:rPr>
      </w:pPr>
    </w:p>
    <w:p w14:paraId="6FD4737B" w14:textId="77777777" w:rsidR="006A6B0E" w:rsidRDefault="006A6B0E" w:rsidP="00452E09">
      <w:pPr>
        <w:spacing w:line="480" w:lineRule="auto"/>
        <w:jc w:val="center"/>
        <w:rPr>
          <w:rFonts w:cstheme="minorHAnsi"/>
          <w:i/>
          <w:iCs/>
          <w:sz w:val="24"/>
          <w:szCs w:val="24"/>
        </w:rPr>
      </w:pPr>
    </w:p>
    <w:p w14:paraId="1321BD1C" w14:textId="5321324A" w:rsidR="006A6B0E" w:rsidRDefault="006A6B0E" w:rsidP="00452E09">
      <w:pPr>
        <w:spacing w:line="480" w:lineRule="auto"/>
        <w:jc w:val="center"/>
        <w:rPr>
          <w:rFonts w:cstheme="minorHAnsi"/>
          <w:i/>
          <w:iCs/>
          <w:sz w:val="24"/>
          <w:szCs w:val="24"/>
        </w:rPr>
      </w:pPr>
      <w:r>
        <w:rPr>
          <w:noProof/>
        </w:rPr>
        <w:lastRenderedPageBreak/>
        <w:drawing>
          <wp:anchor distT="0" distB="0" distL="114300" distR="114300" simplePos="0" relativeHeight="251664384" behindDoc="0" locked="0" layoutInCell="1" allowOverlap="1" wp14:anchorId="1F509A5E" wp14:editId="3B9310E8">
            <wp:simplePos x="0" y="0"/>
            <wp:positionH relativeFrom="margin">
              <wp:align>center</wp:align>
            </wp:positionH>
            <wp:positionV relativeFrom="paragraph">
              <wp:posOffset>357386</wp:posOffset>
            </wp:positionV>
            <wp:extent cx="4956025" cy="3022600"/>
            <wp:effectExtent l="0" t="0" r="16510" b="6350"/>
            <wp:wrapTopAndBottom/>
            <wp:docPr id="4" name="Chart 4">
              <a:extLst xmlns:a="http://schemas.openxmlformats.org/drawingml/2006/main">
                <a:ext uri="{FF2B5EF4-FFF2-40B4-BE49-F238E27FC236}">
                  <a16:creationId xmlns:a16="http://schemas.microsoft.com/office/drawing/2014/main" id="{4D668FB5-DE12-4C23-9FE7-0E5DE89F2D2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p>
    <w:p w14:paraId="069CEA1B" w14:textId="3C4C3886" w:rsidR="00452E09" w:rsidRPr="00452E09" w:rsidRDefault="00452E09" w:rsidP="00452E09">
      <w:pPr>
        <w:spacing w:line="480" w:lineRule="auto"/>
        <w:jc w:val="center"/>
        <w:rPr>
          <w:rFonts w:cstheme="minorHAnsi"/>
          <w:i/>
          <w:iCs/>
          <w:sz w:val="24"/>
          <w:szCs w:val="24"/>
        </w:rPr>
      </w:pPr>
      <w:r w:rsidRPr="00452E09">
        <w:rPr>
          <w:rFonts w:cstheme="minorHAnsi"/>
          <w:i/>
          <w:iCs/>
          <w:sz w:val="24"/>
          <w:szCs w:val="24"/>
        </w:rPr>
        <w:t xml:space="preserve">Diagram </w:t>
      </w:r>
      <w:r w:rsidR="00682896">
        <w:rPr>
          <w:rFonts w:cstheme="minorHAnsi"/>
          <w:i/>
          <w:iCs/>
          <w:sz w:val="24"/>
          <w:szCs w:val="24"/>
        </w:rPr>
        <w:t>4</w:t>
      </w:r>
    </w:p>
    <w:p w14:paraId="54DA611C" w14:textId="77777777" w:rsidR="00903747" w:rsidRPr="003879E4" w:rsidRDefault="00903747" w:rsidP="00DB3C2F">
      <w:pPr>
        <w:spacing w:line="480" w:lineRule="auto"/>
        <w:ind w:firstLine="720"/>
        <w:rPr>
          <w:rFonts w:cstheme="minorHAnsi"/>
          <w:sz w:val="24"/>
          <w:szCs w:val="24"/>
        </w:rPr>
      </w:pPr>
      <w:r w:rsidRPr="003879E4">
        <w:rPr>
          <w:rFonts w:cstheme="minorHAnsi"/>
          <w:sz w:val="24"/>
          <w:szCs w:val="24"/>
        </w:rPr>
        <w:t>When compared to PCSOs, response officers are more likely to believe that ASB offenders are Mesomorphic (35%) compared to the PCSOs (27%). As highlighted by O'Neill (2019), response officers are more likely to encounter serious ASB than PCSOs; moreover, according to Shoemaker (2018), mesomorphic ASB offenders cause the most issues since they are the people who are more likely to have possession of drink or drugs.</w:t>
      </w:r>
    </w:p>
    <w:p w14:paraId="58CC4EC7" w14:textId="21D9A211" w:rsidR="00903747" w:rsidRDefault="00903747" w:rsidP="00DB3C2F">
      <w:pPr>
        <w:spacing w:line="480" w:lineRule="auto"/>
        <w:ind w:firstLine="720"/>
        <w:rPr>
          <w:rFonts w:cstheme="minorHAnsi"/>
          <w:sz w:val="24"/>
          <w:szCs w:val="24"/>
        </w:rPr>
      </w:pPr>
      <w:r w:rsidRPr="003879E4">
        <w:rPr>
          <w:rFonts w:cstheme="minorHAnsi"/>
          <w:sz w:val="24"/>
          <w:szCs w:val="24"/>
        </w:rPr>
        <w:t xml:space="preserve">Question five was to inquire about any correspondence with the famous Lombroso (1876) and </w:t>
      </w:r>
      <w:r w:rsidRPr="001354A6">
        <w:rPr>
          <w:rFonts w:cstheme="minorHAnsi"/>
          <w:sz w:val="24"/>
          <w:szCs w:val="24"/>
        </w:rPr>
        <w:t xml:space="preserve">Sheldon's (1940) hypothesis of human characteristics and crime. However, the </w:t>
      </w:r>
      <w:proofErr w:type="spellStart"/>
      <w:r w:rsidRPr="001354A6">
        <w:rPr>
          <w:rFonts w:cstheme="minorHAnsi"/>
          <w:sz w:val="24"/>
          <w:szCs w:val="24"/>
        </w:rPr>
        <w:t>treemap</w:t>
      </w:r>
      <w:proofErr w:type="spellEnd"/>
      <w:r w:rsidRPr="001354A6">
        <w:rPr>
          <w:rFonts w:cstheme="minorHAnsi"/>
          <w:sz w:val="24"/>
          <w:szCs w:val="24"/>
        </w:rPr>
        <w:t xml:space="preserve"> chart </w:t>
      </w:r>
      <w:r w:rsidRPr="001354A6">
        <w:rPr>
          <w:rFonts w:cstheme="minorHAnsi"/>
          <w:i/>
          <w:iCs/>
          <w:sz w:val="24"/>
          <w:szCs w:val="24"/>
        </w:rPr>
        <w:t>(</w:t>
      </w:r>
      <w:r w:rsidR="003B3048">
        <w:rPr>
          <w:rFonts w:cstheme="minorHAnsi"/>
          <w:i/>
          <w:iCs/>
          <w:sz w:val="24"/>
          <w:szCs w:val="24"/>
        </w:rPr>
        <w:t>s</w:t>
      </w:r>
      <w:r w:rsidRPr="001354A6">
        <w:rPr>
          <w:rFonts w:cstheme="minorHAnsi"/>
          <w:i/>
          <w:iCs/>
          <w:sz w:val="24"/>
          <w:szCs w:val="24"/>
        </w:rPr>
        <w:t xml:space="preserve">ee Diagram </w:t>
      </w:r>
      <w:r w:rsidR="00682896" w:rsidRPr="001354A6">
        <w:rPr>
          <w:rFonts w:cstheme="minorHAnsi"/>
          <w:i/>
          <w:iCs/>
          <w:sz w:val="24"/>
          <w:szCs w:val="24"/>
        </w:rPr>
        <w:t>5</w:t>
      </w:r>
      <w:r w:rsidRPr="001354A6">
        <w:rPr>
          <w:rFonts w:cstheme="minorHAnsi"/>
          <w:i/>
          <w:iCs/>
          <w:sz w:val="24"/>
          <w:szCs w:val="24"/>
        </w:rPr>
        <w:t>)</w:t>
      </w:r>
      <w:r w:rsidRPr="001354A6">
        <w:rPr>
          <w:rFonts w:cstheme="minorHAnsi"/>
          <w:sz w:val="24"/>
          <w:szCs w:val="24"/>
        </w:rPr>
        <w:t xml:space="preserve"> shows</w:t>
      </w:r>
      <w:r w:rsidRPr="003879E4">
        <w:rPr>
          <w:rFonts w:cstheme="minorHAnsi"/>
          <w:sz w:val="24"/>
          <w:szCs w:val="24"/>
        </w:rPr>
        <w:t xml:space="preserve"> that a larger proportion of 67% of officers say that there is no correlation between a person’s facial characteristics and ASB which goes against most criminology biological hypotheses, nevertheless, the primary data support Bernard (2020), that argues that a body image does not remain constant throughout their lifetime; it </w:t>
      </w:r>
      <w:r w:rsidRPr="003879E4">
        <w:rPr>
          <w:rFonts w:cstheme="minorHAnsi"/>
          <w:sz w:val="24"/>
          <w:szCs w:val="24"/>
        </w:rPr>
        <w:lastRenderedPageBreak/>
        <w:t xml:space="preserve">may shift substantially from one end of the range to the other simply by modifying their </w:t>
      </w:r>
      <w:r w:rsidR="00682896">
        <w:rPr>
          <w:noProof/>
        </w:rPr>
        <mc:AlternateContent>
          <mc:Choice Requires="cx1">
            <w:drawing>
              <wp:anchor distT="0" distB="0" distL="114300" distR="114300" simplePos="0" relativeHeight="251666432" behindDoc="0" locked="0" layoutInCell="1" allowOverlap="1" wp14:anchorId="0468C252" wp14:editId="33746951">
                <wp:simplePos x="0" y="0"/>
                <wp:positionH relativeFrom="margin">
                  <wp:align>center</wp:align>
                </wp:positionH>
                <wp:positionV relativeFrom="paragraph">
                  <wp:posOffset>961804</wp:posOffset>
                </wp:positionV>
                <wp:extent cx="4572001" cy="2756808"/>
                <wp:effectExtent l="0" t="0" r="0" b="5715"/>
                <wp:wrapTopAndBottom/>
                <wp:docPr id="5" name="Chart 5">
                  <a:extLst xmlns:a="http://schemas.openxmlformats.org/drawingml/2006/main">
                    <a:ext uri="{FF2B5EF4-FFF2-40B4-BE49-F238E27FC236}">
                      <a16:creationId xmlns:a16="http://schemas.microsoft.com/office/drawing/2014/main" id="{105ECA57-3FFA-44CA-8B6F-8C310E837E98}"/>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7"/>
                  </a:graphicData>
                </a:graphic>
              </wp:anchor>
            </w:drawing>
          </mc:Choice>
          <mc:Fallback>
            <w:drawing>
              <wp:anchor distT="0" distB="0" distL="114300" distR="114300" simplePos="0" relativeHeight="251666432" behindDoc="0" locked="0" layoutInCell="1" allowOverlap="1" wp14:anchorId="0468C252" wp14:editId="33746951">
                <wp:simplePos x="0" y="0"/>
                <wp:positionH relativeFrom="margin">
                  <wp:align>center</wp:align>
                </wp:positionH>
                <wp:positionV relativeFrom="paragraph">
                  <wp:posOffset>961804</wp:posOffset>
                </wp:positionV>
                <wp:extent cx="4572001" cy="2756808"/>
                <wp:effectExtent l="0" t="0" r="0" b="5715"/>
                <wp:wrapTopAndBottom/>
                <wp:docPr id="5" name="Chart 5">
                  <a:extLst xmlns:a="http://schemas.openxmlformats.org/drawingml/2006/main">
                    <a:ext uri="{FF2B5EF4-FFF2-40B4-BE49-F238E27FC236}">
                      <a16:creationId xmlns:a16="http://schemas.microsoft.com/office/drawing/2014/main" id="{105ECA57-3FFA-44CA-8B6F-8C310E837E98}"/>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5" name="Chart 5">
                          <a:extLst>
                            <a:ext uri="{FF2B5EF4-FFF2-40B4-BE49-F238E27FC236}">
                              <a16:creationId xmlns:a16="http://schemas.microsoft.com/office/drawing/2014/main" id="{105ECA57-3FFA-44CA-8B6F-8C310E837E98}"/>
                            </a:ext>
                          </a:extLst>
                        </pic:cNvPr>
                        <pic:cNvPicPr>
                          <a:picLocks noGrp="1" noRot="1" noChangeAspect="1" noMove="1" noResize="1" noEditPoints="1" noAdjustHandles="1" noChangeArrowheads="1" noChangeShapeType="1"/>
                        </pic:cNvPicPr>
                      </pic:nvPicPr>
                      <pic:blipFill>
                        <a:blip r:embed="rId18"/>
                        <a:stretch>
                          <a:fillRect/>
                        </a:stretch>
                      </pic:blipFill>
                      <pic:spPr>
                        <a:xfrm>
                          <a:off x="0" y="0"/>
                          <a:ext cx="4572000" cy="2756535"/>
                        </a:xfrm>
                        <a:prstGeom prst="rect">
                          <a:avLst/>
                        </a:prstGeom>
                      </pic:spPr>
                    </pic:pic>
                  </a:graphicData>
                </a:graphic>
              </wp:anchor>
            </w:drawing>
          </mc:Fallback>
        </mc:AlternateContent>
      </w:r>
      <w:r w:rsidRPr="003879E4">
        <w:rPr>
          <w:rFonts w:cstheme="minorHAnsi"/>
          <w:sz w:val="24"/>
          <w:szCs w:val="24"/>
        </w:rPr>
        <w:t>eating and exercise patterns.</w:t>
      </w:r>
    </w:p>
    <w:p w14:paraId="24EBF8D0" w14:textId="5839D5A6" w:rsidR="001A7C39" w:rsidRPr="001A7C39" w:rsidRDefault="001A7C39" w:rsidP="001A7C39">
      <w:pPr>
        <w:spacing w:line="480" w:lineRule="auto"/>
        <w:ind w:firstLine="720"/>
        <w:jc w:val="center"/>
        <w:rPr>
          <w:rFonts w:cstheme="minorHAnsi"/>
          <w:i/>
          <w:iCs/>
          <w:sz w:val="24"/>
          <w:szCs w:val="24"/>
        </w:rPr>
      </w:pPr>
      <w:r w:rsidRPr="001A7C39">
        <w:rPr>
          <w:rFonts w:cstheme="minorHAnsi"/>
          <w:i/>
          <w:iCs/>
          <w:sz w:val="24"/>
          <w:szCs w:val="24"/>
        </w:rPr>
        <w:t xml:space="preserve">Diagram </w:t>
      </w:r>
      <w:r w:rsidR="00682896">
        <w:rPr>
          <w:rFonts w:cstheme="minorHAnsi"/>
          <w:i/>
          <w:iCs/>
          <w:sz w:val="24"/>
          <w:szCs w:val="24"/>
        </w:rPr>
        <w:t>5</w:t>
      </w:r>
    </w:p>
    <w:p w14:paraId="30F71FCE" w14:textId="53725718" w:rsidR="00903747" w:rsidRDefault="00903747" w:rsidP="00DB3C2F">
      <w:pPr>
        <w:spacing w:line="480" w:lineRule="auto"/>
        <w:ind w:firstLine="720"/>
        <w:rPr>
          <w:rFonts w:cstheme="minorHAnsi"/>
          <w:sz w:val="24"/>
          <w:szCs w:val="24"/>
        </w:rPr>
      </w:pPr>
      <w:r w:rsidRPr="003879E4">
        <w:rPr>
          <w:rFonts w:cstheme="minorHAnsi"/>
          <w:sz w:val="24"/>
          <w:szCs w:val="24"/>
        </w:rPr>
        <w:t xml:space="preserve">On the other hand, one-third of the officers claimed to see a link that may aid in the prevention of ASB. As shown in the line </w:t>
      </w:r>
      <w:r w:rsidRPr="001354A6">
        <w:rPr>
          <w:rFonts w:cstheme="minorHAnsi"/>
          <w:sz w:val="24"/>
          <w:szCs w:val="24"/>
        </w:rPr>
        <w:t xml:space="preserve">graph </w:t>
      </w:r>
      <w:r w:rsidRPr="001354A6">
        <w:rPr>
          <w:rFonts w:cstheme="minorHAnsi"/>
          <w:i/>
          <w:iCs/>
          <w:sz w:val="24"/>
          <w:szCs w:val="24"/>
        </w:rPr>
        <w:t>(</w:t>
      </w:r>
      <w:r w:rsidR="003B3048">
        <w:rPr>
          <w:rFonts w:cstheme="minorHAnsi"/>
          <w:i/>
          <w:iCs/>
          <w:sz w:val="24"/>
          <w:szCs w:val="24"/>
        </w:rPr>
        <w:t>s</w:t>
      </w:r>
      <w:r w:rsidRPr="001354A6">
        <w:rPr>
          <w:rFonts w:cstheme="minorHAnsi"/>
          <w:i/>
          <w:iCs/>
          <w:sz w:val="24"/>
          <w:szCs w:val="24"/>
        </w:rPr>
        <w:t>ee Diagram</w:t>
      </w:r>
      <w:r w:rsidR="00682896" w:rsidRPr="001354A6">
        <w:rPr>
          <w:rFonts w:cstheme="minorHAnsi"/>
          <w:i/>
          <w:iCs/>
          <w:sz w:val="24"/>
          <w:szCs w:val="24"/>
        </w:rPr>
        <w:t xml:space="preserve"> 6</w:t>
      </w:r>
      <w:r w:rsidRPr="001354A6">
        <w:rPr>
          <w:rFonts w:cstheme="minorHAnsi"/>
          <w:i/>
          <w:iCs/>
          <w:sz w:val="24"/>
          <w:szCs w:val="24"/>
        </w:rPr>
        <w:t>)</w:t>
      </w:r>
      <w:r w:rsidRPr="001354A6">
        <w:rPr>
          <w:rFonts w:cstheme="minorHAnsi"/>
          <w:sz w:val="24"/>
          <w:szCs w:val="24"/>
        </w:rPr>
        <w:t>, there</w:t>
      </w:r>
      <w:r w:rsidRPr="003879E4">
        <w:rPr>
          <w:rFonts w:cstheme="minorHAnsi"/>
          <w:sz w:val="24"/>
          <w:szCs w:val="24"/>
        </w:rPr>
        <w:t xml:space="preserve"> is a trendline indicating that the upper part of a person's facial features corresponds with ASB more than the lower, with a person's hairstyle being the most influential variable with 13 votes, followed by the eyes and jawline with 8 votes, and finally the chin with 4 votes. Interestingly, the excel sheet reveals that PCSOs are more likely to recognise minor characteristics on an ASB offender's face with the smaller features gaining the most votes from those officers that work more closely with the community. To support this data, Cosgrove, and Ramshaw (2015) state that PCSOs operate on a more intimate level with society, offering a considerably more thorough approach to minor offences. Furthermore, Rowland and Coupe (2014) contend that response officers have a considerably busier schedule than other units, resulting in much poorer memory and detail recall.</w:t>
      </w:r>
    </w:p>
    <w:p w14:paraId="7A391B6D" w14:textId="1141D7FC" w:rsidR="00AF17A5" w:rsidRPr="00AF17A5" w:rsidRDefault="00AF17A5" w:rsidP="00AF17A5">
      <w:pPr>
        <w:spacing w:line="480" w:lineRule="auto"/>
        <w:ind w:firstLine="720"/>
        <w:jc w:val="center"/>
        <w:rPr>
          <w:rFonts w:cstheme="minorHAnsi"/>
          <w:i/>
          <w:iCs/>
          <w:sz w:val="24"/>
          <w:szCs w:val="24"/>
        </w:rPr>
      </w:pPr>
      <w:r w:rsidRPr="00AF17A5">
        <w:rPr>
          <w:i/>
          <w:iCs/>
          <w:noProof/>
        </w:rPr>
        <w:lastRenderedPageBreak/>
        <w:drawing>
          <wp:anchor distT="0" distB="0" distL="114300" distR="114300" simplePos="0" relativeHeight="251667456" behindDoc="0" locked="0" layoutInCell="1" allowOverlap="1" wp14:anchorId="3A83F560" wp14:editId="6C5A2643">
            <wp:simplePos x="0" y="0"/>
            <wp:positionH relativeFrom="margin">
              <wp:align>right</wp:align>
            </wp:positionH>
            <wp:positionV relativeFrom="paragraph">
              <wp:posOffset>0</wp:posOffset>
            </wp:positionV>
            <wp:extent cx="5734050" cy="2745740"/>
            <wp:effectExtent l="0" t="0" r="0" b="16510"/>
            <wp:wrapTopAndBottom/>
            <wp:docPr id="6" name="Chart 6">
              <a:extLst xmlns:a="http://schemas.openxmlformats.org/drawingml/2006/main">
                <a:ext uri="{FF2B5EF4-FFF2-40B4-BE49-F238E27FC236}">
                  <a16:creationId xmlns:a16="http://schemas.microsoft.com/office/drawing/2014/main" id="{C29B757A-7CAB-4E0C-B86B-FF1D8450FBC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anchor>
        </w:drawing>
      </w:r>
      <w:r w:rsidRPr="00AF17A5">
        <w:rPr>
          <w:rFonts w:cstheme="minorHAnsi"/>
          <w:i/>
          <w:iCs/>
          <w:sz w:val="24"/>
          <w:szCs w:val="24"/>
        </w:rPr>
        <w:t>Diagram</w:t>
      </w:r>
      <w:r w:rsidR="00682896">
        <w:rPr>
          <w:rFonts w:cstheme="minorHAnsi"/>
          <w:i/>
          <w:iCs/>
          <w:sz w:val="24"/>
          <w:szCs w:val="24"/>
        </w:rPr>
        <w:t xml:space="preserve"> 6</w:t>
      </w:r>
    </w:p>
    <w:p w14:paraId="138BF0D0" w14:textId="77777777" w:rsidR="00903747" w:rsidRPr="003879E4" w:rsidRDefault="00903747" w:rsidP="00DB3C2F">
      <w:pPr>
        <w:spacing w:line="480" w:lineRule="auto"/>
        <w:rPr>
          <w:rFonts w:cstheme="minorHAnsi"/>
          <w:sz w:val="24"/>
          <w:szCs w:val="24"/>
        </w:rPr>
      </w:pPr>
      <w:r w:rsidRPr="003879E4">
        <w:rPr>
          <w:rFonts w:cstheme="minorHAnsi"/>
          <w:sz w:val="24"/>
          <w:szCs w:val="24"/>
        </w:rPr>
        <w:t xml:space="preserve">4.4.4 </w:t>
      </w:r>
      <w:r w:rsidRPr="003879E4">
        <w:rPr>
          <w:rFonts w:cstheme="minorHAnsi"/>
          <w:b/>
          <w:bCs/>
          <w:sz w:val="24"/>
          <w:szCs w:val="24"/>
        </w:rPr>
        <w:t xml:space="preserve">Anti-social Behaviour </w:t>
      </w:r>
      <w:bookmarkEnd w:id="6"/>
    </w:p>
    <w:p w14:paraId="56C0FE15" w14:textId="77777777" w:rsidR="00F00D48" w:rsidRPr="00F00D48" w:rsidRDefault="00F00D48" w:rsidP="00F00D48">
      <w:pPr>
        <w:spacing w:line="480" w:lineRule="auto"/>
        <w:rPr>
          <w:rFonts w:cstheme="minorHAnsi"/>
          <w:sz w:val="24"/>
          <w:szCs w:val="24"/>
          <w:shd w:val="clear" w:color="auto" w:fill="FFFFFF"/>
        </w:rPr>
      </w:pPr>
      <w:r w:rsidRPr="00F00D48">
        <w:rPr>
          <w:rFonts w:cstheme="minorHAnsi"/>
          <w:sz w:val="24"/>
          <w:szCs w:val="24"/>
          <w:shd w:val="clear" w:color="auto" w:fill="FFFFFF"/>
        </w:rPr>
        <w:t xml:space="preserve">When primary data on ASB is analysed, it is confirmed that it happens daily, with 54% of officers indicating that 14–17-year-olds commit the most ASB out of the different age ranges. However, PCSOs (24%) have dealt with far more ASB calls involving the younger offenders than the responding officers (4%). According to Mearns &amp; Thorne (2012), youth ASB is becoming too much for police forces to control. The primary research is in close contrast with research from Crime Statistics UK (2022) which state that men account for 74% of all crime with concern over the age category of 14-17 growing in concern. Moreover, it is argued by Vici (2012) that ASB has been accepted as a natural feature of modern youths, although it is something that youths will inevitably outgrow. Nonetheless, Crossley (2018) argues that it is critical to ensure that the ASB does not escalate into more severe crimes and that the ASB is a passing phase for many people. </w:t>
      </w:r>
    </w:p>
    <w:p w14:paraId="6DA19E10" w14:textId="02A1F9C4" w:rsidR="00F00D48" w:rsidRPr="00F00D48" w:rsidRDefault="00F00D48" w:rsidP="00F00D48">
      <w:pPr>
        <w:spacing w:line="480" w:lineRule="auto"/>
        <w:ind w:firstLine="720"/>
        <w:rPr>
          <w:rFonts w:cstheme="minorHAnsi"/>
          <w:sz w:val="24"/>
          <w:szCs w:val="24"/>
          <w:shd w:val="clear" w:color="auto" w:fill="FFFFFF"/>
        </w:rPr>
      </w:pPr>
      <w:r w:rsidRPr="00F00D48">
        <w:rPr>
          <w:rFonts w:cstheme="minorHAnsi"/>
          <w:sz w:val="24"/>
          <w:szCs w:val="24"/>
          <w:shd w:val="clear" w:color="auto" w:fill="FFFFFF"/>
        </w:rPr>
        <w:t xml:space="preserve">According to additional research, 92% of ASB offenders in Dyfed Powys are male, with PCSOs interacting with more female offenders. It is argued that men are significantly </w:t>
      </w:r>
      <w:r w:rsidRPr="00F00D48">
        <w:rPr>
          <w:rFonts w:cstheme="minorHAnsi"/>
          <w:sz w:val="24"/>
          <w:szCs w:val="24"/>
          <w:shd w:val="clear" w:color="auto" w:fill="FFFFFF"/>
        </w:rPr>
        <w:lastRenderedPageBreak/>
        <w:t xml:space="preserve">more likely than women to engage in any criminal activity (Junger-Tas et al, 1994) and that the gender disparity is even more pronounced in cases of ASB (Smith &amp; </w:t>
      </w:r>
      <w:proofErr w:type="spellStart"/>
      <w:r w:rsidRPr="00F00D48">
        <w:rPr>
          <w:rFonts w:cstheme="minorHAnsi"/>
          <w:sz w:val="24"/>
          <w:szCs w:val="24"/>
          <w:shd w:val="clear" w:color="auto" w:fill="FFFFFF"/>
        </w:rPr>
        <w:t>Visher</w:t>
      </w:r>
      <w:proofErr w:type="spellEnd"/>
      <w:r w:rsidRPr="00F00D48">
        <w:rPr>
          <w:rFonts w:cstheme="minorHAnsi"/>
          <w:sz w:val="24"/>
          <w:szCs w:val="24"/>
          <w:shd w:val="clear" w:color="auto" w:fill="FFFFFF"/>
        </w:rPr>
        <w:t xml:space="preserve">, 1980). </w:t>
      </w:r>
    </w:p>
    <w:p w14:paraId="21D00A78" w14:textId="3BFA16BD" w:rsidR="00F00D48" w:rsidRDefault="00F00D48" w:rsidP="00F00D48">
      <w:pPr>
        <w:spacing w:line="480" w:lineRule="auto"/>
        <w:ind w:firstLine="720"/>
        <w:rPr>
          <w:rFonts w:cstheme="minorHAnsi"/>
          <w:sz w:val="24"/>
          <w:szCs w:val="24"/>
          <w:shd w:val="clear" w:color="auto" w:fill="FFFFFF"/>
        </w:rPr>
      </w:pPr>
      <w:r w:rsidRPr="00F00D48">
        <w:rPr>
          <w:rFonts w:cstheme="minorHAnsi"/>
          <w:sz w:val="24"/>
          <w:szCs w:val="24"/>
          <w:shd w:val="clear" w:color="auto" w:fill="FFFFFF"/>
        </w:rPr>
        <w:t xml:space="preserve"> A doughnut graph was used to represent the most vulnerable people from the Equality Act's protected characteristics to ASB (</w:t>
      </w:r>
      <w:r w:rsidR="003B3048">
        <w:rPr>
          <w:rFonts w:cstheme="minorHAnsi"/>
          <w:sz w:val="24"/>
          <w:szCs w:val="24"/>
          <w:shd w:val="clear" w:color="auto" w:fill="FFFFFF"/>
        </w:rPr>
        <w:t>s</w:t>
      </w:r>
      <w:r w:rsidRPr="00F00D48">
        <w:rPr>
          <w:rFonts w:cstheme="minorHAnsi"/>
          <w:sz w:val="24"/>
          <w:szCs w:val="24"/>
          <w:shd w:val="clear" w:color="auto" w:fill="FFFFFF"/>
        </w:rPr>
        <w:t xml:space="preserve">ee Diagram 7). According to Clarke et al. (1985), elderly people have a 51% increased chance of becoming a victim of ASB. To support this, as displayed in the primary research, age (42%) is the greatest category of persons who are repeated victims of ASB. It is stated that the effects of repetitive victimisation can create major mental and physical concerns for victims of ASB for example the cases of Fiona Pilkington and David Askew, both of which are monumental examples of persistent victimisation (Dryden, 2017). </w:t>
      </w:r>
    </w:p>
    <w:p w14:paraId="49DBD6A7" w14:textId="621575F6" w:rsidR="00F00D48" w:rsidRDefault="00F00D48" w:rsidP="00F00D48">
      <w:pPr>
        <w:spacing w:line="480" w:lineRule="auto"/>
        <w:rPr>
          <w:rFonts w:cstheme="minorHAnsi"/>
          <w:sz w:val="24"/>
          <w:szCs w:val="24"/>
          <w:shd w:val="clear" w:color="auto" w:fill="FFFFFF"/>
        </w:rPr>
      </w:pPr>
      <w:r>
        <w:rPr>
          <w:noProof/>
        </w:rPr>
        <mc:AlternateContent>
          <mc:Choice Requires="cx1">
            <w:drawing>
              <wp:anchor distT="0" distB="0" distL="114300" distR="114300" simplePos="0" relativeHeight="251668480" behindDoc="0" locked="0" layoutInCell="1" allowOverlap="1" wp14:anchorId="5880EA7C" wp14:editId="6C5B38E1">
                <wp:simplePos x="0" y="0"/>
                <wp:positionH relativeFrom="margin">
                  <wp:align>left</wp:align>
                </wp:positionH>
                <wp:positionV relativeFrom="paragraph">
                  <wp:posOffset>346016</wp:posOffset>
                </wp:positionV>
                <wp:extent cx="5753100" cy="2857500"/>
                <wp:effectExtent l="0" t="0" r="0" b="0"/>
                <wp:wrapTopAndBottom/>
                <wp:docPr id="7" name="Chart 7">
                  <a:extLst xmlns:a="http://schemas.openxmlformats.org/drawingml/2006/main">
                    <a:ext uri="{FF2B5EF4-FFF2-40B4-BE49-F238E27FC236}">
                      <a16:creationId xmlns:a16="http://schemas.microsoft.com/office/drawing/2014/main" id="{F7CB83E5-A3F8-49D7-BB1E-1BA95A6EC06F}"/>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20"/>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68480" behindDoc="0" locked="0" layoutInCell="1" allowOverlap="1" wp14:anchorId="5880EA7C" wp14:editId="6C5B38E1">
                <wp:simplePos x="0" y="0"/>
                <wp:positionH relativeFrom="margin">
                  <wp:align>left</wp:align>
                </wp:positionH>
                <wp:positionV relativeFrom="paragraph">
                  <wp:posOffset>346016</wp:posOffset>
                </wp:positionV>
                <wp:extent cx="5753100" cy="2857500"/>
                <wp:effectExtent l="0" t="0" r="0" b="0"/>
                <wp:wrapTopAndBottom/>
                <wp:docPr id="7" name="Chart 7">
                  <a:extLst xmlns:a="http://schemas.openxmlformats.org/drawingml/2006/main">
                    <a:ext uri="{FF2B5EF4-FFF2-40B4-BE49-F238E27FC236}">
                      <a16:creationId xmlns:a16="http://schemas.microsoft.com/office/drawing/2014/main" id="{F7CB83E5-A3F8-49D7-BB1E-1BA95A6EC06F}"/>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7" name="Chart 7">
                          <a:extLst>
                            <a:ext uri="{FF2B5EF4-FFF2-40B4-BE49-F238E27FC236}">
                              <a16:creationId xmlns:a16="http://schemas.microsoft.com/office/drawing/2014/main" id="{F7CB83E5-A3F8-49D7-BB1E-1BA95A6EC06F}"/>
                            </a:ext>
                          </a:extLst>
                        </pic:cNvPr>
                        <pic:cNvPicPr>
                          <a:picLocks noGrp="1" noRot="1" noChangeAspect="1" noMove="1" noResize="1" noEditPoints="1" noAdjustHandles="1" noChangeArrowheads="1" noChangeShapeType="1"/>
                        </pic:cNvPicPr>
                      </pic:nvPicPr>
                      <pic:blipFill>
                        <a:blip r:embed="rId21"/>
                        <a:stretch>
                          <a:fillRect/>
                        </a:stretch>
                      </pic:blipFill>
                      <pic:spPr>
                        <a:xfrm>
                          <a:off x="0" y="0"/>
                          <a:ext cx="5753100" cy="2857500"/>
                        </a:xfrm>
                        <a:prstGeom prst="rect">
                          <a:avLst/>
                        </a:prstGeom>
                      </pic:spPr>
                    </pic:pic>
                  </a:graphicData>
                </a:graphic>
                <wp14:sizeRelH relativeFrom="margin">
                  <wp14:pctWidth>0</wp14:pctWidth>
                </wp14:sizeRelH>
                <wp14:sizeRelV relativeFrom="margin">
                  <wp14:pctHeight>0</wp14:pctHeight>
                </wp14:sizeRelV>
              </wp:anchor>
            </w:drawing>
          </mc:Fallback>
        </mc:AlternateContent>
      </w:r>
    </w:p>
    <w:p w14:paraId="0BF1E9C1" w14:textId="25E685BD" w:rsidR="00AF17A5" w:rsidRPr="00AF17A5" w:rsidRDefault="00AF17A5" w:rsidP="00F00D48">
      <w:pPr>
        <w:spacing w:line="480" w:lineRule="auto"/>
        <w:jc w:val="center"/>
        <w:rPr>
          <w:rFonts w:cstheme="minorHAnsi"/>
          <w:i/>
          <w:iCs/>
          <w:sz w:val="24"/>
          <w:szCs w:val="24"/>
          <w:shd w:val="clear" w:color="auto" w:fill="FFFFFF"/>
        </w:rPr>
      </w:pPr>
      <w:r w:rsidRPr="00AF17A5">
        <w:rPr>
          <w:rFonts w:cstheme="minorHAnsi"/>
          <w:i/>
          <w:iCs/>
          <w:sz w:val="24"/>
          <w:szCs w:val="24"/>
          <w:shd w:val="clear" w:color="auto" w:fill="FFFFFF"/>
        </w:rPr>
        <w:t xml:space="preserve">Diagram </w:t>
      </w:r>
      <w:r w:rsidR="00682896">
        <w:rPr>
          <w:rFonts w:cstheme="minorHAnsi"/>
          <w:i/>
          <w:iCs/>
          <w:sz w:val="24"/>
          <w:szCs w:val="24"/>
          <w:shd w:val="clear" w:color="auto" w:fill="FFFFFF"/>
        </w:rPr>
        <w:t>7</w:t>
      </w:r>
    </w:p>
    <w:p w14:paraId="2AE5656F" w14:textId="497DF05F" w:rsidR="00903747" w:rsidRPr="003879E4" w:rsidRDefault="00903747" w:rsidP="00DB3C2F">
      <w:pPr>
        <w:spacing w:line="480" w:lineRule="auto"/>
        <w:ind w:firstLine="720"/>
        <w:rPr>
          <w:rFonts w:cstheme="minorHAnsi"/>
          <w:sz w:val="24"/>
          <w:szCs w:val="24"/>
          <w:shd w:val="clear" w:color="auto" w:fill="FFFFFF"/>
        </w:rPr>
      </w:pPr>
      <w:r w:rsidRPr="003879E4">
        <w:rPr>
          <w:rFonts w:cstheme="minorHAnsi"/>
          <w:sz w:val="24"/>
          <w:szCs w:val="24"/>
          <w:shd w:val="clear" w:color="auto" w:fill="FFFFFF"/>
        </w:rPr>
        <w:t xml:space="preserve">When evaluating the primary data 70% of the officers agreed that alcohol had the most prevalent external influence on ASB, followed by drugs at 30%. According to Newburn (2017), ASB has been affected substantially by the quantity of alcohol and drugs consumed, </w:t>
      </w:r>
      <w:r w:rsidRPr="003879E4">
        <w:rPr>
          <w:rFonts w:cstheme="minorHAnsi"/>
          <w:sz w:val="24"/>
          <w:szCs w:val="24"/>
          <w:shd w:val="clear" w:color="auto" w:fill="FFFFFF"/>
        </w:rPr>
        <w:lastRenderedPageBreak/>
        <w:t xml:space="preserve">which has reached an intolerable level, making the crime more difficult to combat for the police. Additionally, Gottfredson and Hirschi (1990) argue that criminality is strongly related to momentary reward, therefore persons who lack self-control would seek temporary satisfaction from non-criminal activities such as smoking, alcohol, substance misuse, or betting. </w:t>
      </w:r>
    </w:p>
    <w:p w14:paraId="3D711ABB" w14:textId="77777777" w:rsidR="00903747" w:rsidRPr="003879E4" w:rsidRDefault="00903747" w:rsidP="00DB3C2F">
      <w:pPr>
        <w:spacing w:line="480" w:lineRule="auto"/>
        <w:rPr>
          <w:rFonts w:cstheme="minorHAnsi"/>
          <w:sz w:val="24"/>
          <w:szCs w:val="24"/>
        </w:rPr>
      </w:pPr>
      <w:r w:rsidRPr="003879E4">
        <w:rPr>
          <w:rFonts w:cstheme="minorHAnsi"/>
          <w:sz w:val="24"/>
          <w:szCs w:val="24"/>
        </w:rPr>
        <w:t xml:space="preserve">4.4.5 </w:t>
      </w:r>
      <w:r w:rsidRPr="003879E4">
        <w:rPr>
          <w:rFonts w:cstheme="minorHAnsi"/>
          <w:b/>
          <w:bCs/>
          <w:sz w:val="24"/>
          <w:szCs w:val="24"/>
        </w:rPr>
        <w:t>Other Authorities in Relation to ASB</w:t>
      </w:r>
    </w:p>
    <w:p w14:paraId="371B55BF" w14:textId="36B68C32" w:rsidR="00903747" w:rsidRPr="003879E4" w:rsidRDefault="00903747" w:rsidP="00DB3C2F">
      <w:pPr>
        <w:spacing w:line="480" w:lineRule="auto"/>
        <w:rPr>
          <w:rFonts w:cstheme="minorHAnsi"/>
          <w:sz w:val="24"/>
          <w:szCs w:val="24"/>
          <w:shd w:val="clear" w:color="auto" w:fill="FFFFFF"/>
        </w:rPr>
      </w:pPr>
      <w:r w:rsidRPr="003879E4">
        <w:rPr>
          <w:rFonts w:cstheme="minorHAnsi"/>
          <w:sz w:val="24"/>
          <w:szCs w:val="24"/>
          <w:shd w:val="clear" w:color="auto" w:fill="FFFFFF"/>
        </w:rPr>
        <w:t>According to Harrogate Borough Council (2011), there is a link involving satisfaction with the council and ASB. According to the bar graph 62%</w:t>
      </w:r>
      <w:r w:rsidR="00F00D48">
        <w:rPr>
          <w:rFonts w:cstheme="minorHAnsi"/>
          <w:sz w:val="24"/>
          <w:szCs w:val="24"/>
          <w:shd w:val="clear" w:color="auto" w:fill="FFFFFF"/>
        </w:rPr>
        <w:t>,</w:t>
      </w:r>
      <w:r w:rsidRPr="003879E4">
        <w:rPr>
          <w:rFonts w:cstheme="minorHAnsi"/>
          <w:sz w:val="24"/>
          <w:szCs w:val="24"/>
          <w:shd w:val="clear" w:color="auto" w:fill="FFFFFF"/>
        </w:rPr>
        <w:t xml:space="preserve"> of the participants argue that other authorities are not doing enough to prevent youth crime in a criminal environment. </w:t>
      </w:r>
    </w:p>
    <w:p w14:paraId="0DC40CEA" w14:textId="4188C693" w:rsidR="00507E2C" w:rsidRDefault="00903747" w:rsidP="00507E2C">
      <w:pPr>
        <w:spacing w:line="480" w:lineRule="auto"/>
        <w:ind w:firstLine="720"/>
        <w:rPr>
          <w:rFonts w:cstheme="minorHAnsi"/>
          <w:sz w:val="24"/>
          <w:szCs w:val="24"/>
          <w:shd w:val="clear" w:color="auto" w:fill="FFFFFF"/>
        </w:rPr>
      </w:pPr>
      <w:r w:rsidRPr="003879E4">
        <w:rPr>
          <w:rFonts w:cstheme="minorHAnsi"/>
          <w:sz w:val="24"/>
          <w:szCs w:val="24"/>
          <w:shd w:val="clear" w:color="auto" w:fill="FFFFFF"/>
        </w:rPr>
        <w:t xml:space="preserve">Additionally, the more impoverished a neighbourhood, the more troublesome ASB is to be perceived by the public (Annan et al.,2021). According to the primary research gathered </w:t>
      </w:r>
      <w:r w:rsidRPr="001354A6">
        <w:rPr>
          <w:rFonts w:cstheme="minorHAnsi"/>
          <w:i/>
          <w:iCs/>
          <w:sz w:val="24"/>
          <w:szCs w:val="24"/>
          <w:shd w:val="clear" w:color="auto" w:fill="FFFFFF"/>
        </w:rPr>
        <w:t>(</w:t>
      </w:r>
      <w:r w:rsidR="00F45449">
        <w:rPr>
          <w:rFonts w:cstheme="minorHAnsi"/>
          <w:i/>
          <w:iCs/>
          <w:sz w:val="24"/>
          <w:szCs w:val="24"/>
          <w:shd w:val="clear" w:color="auto" w:fill="FFFFFF"/>
        </w:rPr>
        <w:t>s</w:t>
      </w:r>
      <w:r w:rsidRPr="001354A6">
        <w:rPr>
          <w:rFonts w:cstheme="minorHAnsi"/>
          <w:i/>
          <w:iCs/>
          <w:sz w:val="24"/>
          <w:szCs w:val="24"/>
          <w:shd w:val="clear" w:color="auto" w:fill="FFFFFF"/>
        </w:rPr>
        <w:t xml:space="preserve">ee Diagram </w:t>
      </w:r>
      <w:r w:rsidR="00682896" w:rsidRPr="001354A6">
        <w:rPr>
          <w:rFonts w:cstheme="minorHAnsi"/>
          <w:i/>
          <w:iCs/>
          <w:sz w:val="24"/>
          <w:szCs w:val="24"/>
          <w:shd w:val="clear" w:color="auto" w:fill="FFFFFF"/>
        </w:rPr>
        <w:t>8</w:t>
      </w:r>
      <w:r w:rsidRPr="001354A6">
        <w:rPr>
          <w:rFonts w:cstheme="minorHAnsi"/>
          <w:i/>
          <w:iCs/>
          <w:sz w:val="24"/>
          <w:szCs w:val="24"/>
          <w:shd w:val="clear" w:color="auto" w:fill="FFFFFF"/>
        </w:rPr>
        <w:t>)</w:t>
      </w:r>
      <w:r w:rsidRPr="001354A6">
        <w:rPr>
          <w:rFonts w:cstheme="minorHAnsi"/>
          <w:sz w:val="24"/>
          <w:szCs w:val="24"/>
          <w:shd w:val="clear" w:color="auto" w:fill="FFFFFF"/>
        </w:rPr>
        <w:t>, there</w:t>
      </w:r>
      <w:r w:rsidRPr="003879E4">
        <w:rPr>
          <w:rFonts w:cstheme="minorHAnsi"/>
          <w:sz w:val="24"/>
          <w:szCs w:val="24"/>
          <w:shd w:val="clear" w:color="auto" w:fill="FFFFFF"/>
        </w:rPr>
        <w:t xml:space="preserve"> are necessary measures that the police wish to carry out to decrease ASB and other crimes, including 42% of voters wanting more CCTV and a further 22% of officers wanting more street lighting. According to research both CCTV and street lighting can improve policing (Welsh &amp; Farrington, 2009). As stated by Kelly (2012) and the</w:t>
      </w:r>
      <w:r w:rsidR="00F00D48">
        <w:rPr>
          <w:rFonts w:cstheme="minorHAnsi"/>
          <w:sz w:val="24"/>
          <w:szCs w:val="24"/>
          <w:shd w:val="clear" w:color="auto" w:fill="FFFFFF"/>
        </w:rPr>
        <w:t xml:space="preserve"> </w:t>
      </w:r>
      <w:r w:rsidRPr="003879E4">
        <w:rPr>
          <w:rFonts w:cstheme="minorHAnsi"/>
          <w:sz w:val="24"/>
          <w:szCs w:val="24"/>
          <w:shd w:val="clear" w:color="auto" w:fill="FFFFFF"/>
        </w:rPr>
        <w:t>College of Policing (2019) the deployment of CCTV has been linked to a significant reduction in ASB by 13%.</w:t>
      </w:r>
    </w:p>
    <w:p w14:paraId="411FE08E" w14:textId="7EF67AAE" w:rsidR="00D618F8" w:rsidRDefault="00D618F8" w:rsidP="00507E2C">
      <w:pPr>
        <w:spacing w:line="480" w:lineRule="auto"/>
        <w:ind w:firstLine="720"/>
        <w:rPr>
          <w:rFonts w:cstheme="minorHAnsi"/>
          <w:sz w:val="24"/>
          <w:szCs w:val="24"/>
          <w:shd w:val="clear" w:color="auto" w:fill="FFFFFF"/>
        </w:rPr>
      </w:pPr>
    </w:p>
    <w:p w14:paraId="50CD4FE8" w14:textId="6F7F6A4B" w:rsidR="00D618F8" w:rsidRDefault="00D618F8" w:rsidP="00507E2C">
      <w:pPr>
        <w:spacing w:line="480" w:lineRule="auto"/>
        <w:ind w:firstLine="720"/>
        <w:rPr>
          <w:rFonts w:cstheme="minorHAnsi"/>
          <w:sz w:val="24"/>
          <w:szCs w:val="24"/>
          <w:shd w:val="clear" w:color="auto" w:fill="FFFFFF"/>
        </w:rPr>
      </w:pPr>
    </w:p>
    <w:p w14:paraId="061DB87C" w14:textId="3D3B1CA0" w:rsidR="00D618F8" w:rsidRDefault="00D618F8" w:rsidP="00507E2C">
      <w:pPr>
        <w:spacing w:line="480" w:lineRule="auto"/>
        <w:ind w:firstLine="720"/>
        <w:rPr>
          <w:rFonts w:cstheme="minorHAnsi"/>
          <w:sz w:val="24"/>
          <w:szCs w:val="24"/>
          <w:shd w:val="clear" w:color="auto" w:fill="FFFFFF"/>
        </w:rPr>
      </w:pPr>
    </w:p>
    <w:p w14:paraId="1FC60D14" w14:textId="0BF081C6" w:rsidR="00D618F8" w:rsidRDefault="00D618F8" w:rsidP="00507E2C">
      <w:pPr>
        <w:spacing w:line="480" w:lineRule="auto"/>
        <w:ind w:firstLine="720"/>
        <w:rPr>
          <w:rFonts w:cstheme="minorHAnsi"/>
          <w:sz w:val="24"/>
          <w:szCs w:val="24"/>
          <w:shd w:val="clear" w:color="auto" w:fill="FFFFFF"/>
        </w:rPr>
      </w:pPr>
    </w:p>
    <w:p w14:paraId="24AF43AD" w14:textId="72C406E8" w:rsidR="00D618F8" w:rsidRDefault="00D618F8" w:rsidP="00507E2C">
      <w:pPr>
        <w:spacing w:line="480" w:lineRule="auto"/>
        <w:ind w:firstLine="720"/>
        <w:rPr>
          <w:rFonts w:cstheme="minorHAnsi"/>
          <w:sz w:val="24"/>
          <w:szCs w:val="24"/>
          <w:shd w:val="clear" w:color="auto" w:fill="FFFFFF"/>
        </w:rPr>
      </w:pPr>
    </w:p>
    <w:p w14:paraId="6549E1EC" w14:textId="72680CAB" w:rsidR="00D618F8" w:rsidRDefault="00D618F8" w:rsidP="00507E2C">
      <w:pPr>
        <w:spacing w:line="480" w:lineRule="auto"/>
        <w:ind w:firstLine="720"/>
        <w:rPr>
          <w:rFonts w:cstheme="minorHAnsi"/>
          <w:sz w:val="24"/>
          <w:szCs w:val="24"/>
          <w:shd w:val="clear" w:color="auto" w:fill="FFFFFF"/>
        </w:rPr>
      </w:pPr>
      <w:r w:rsidRPr="00507E2C">
        <w:rPr>
          <w:i/>
          <w:iCs/>
          <w:noProof/>
        </w:rPr>
        <w:lastRenderedPageBreak/>
        <w:drawing>
          <wp:anchor distT="0" distB="0" distL="114300" distR="114300" simplePos="0" relativeHeight="251670528" behindDoc="0" locked="0" layoutInCell="1" allowOverlap="1" wp14:anchorId="69B75D92" wp14:editId="3899036D">
            <wp:simplePos x="0" y="0"/>
            <wp:positionH relativeFrom="margin">
              <wp:align>right</wp:align>
            </wp:positionH>
            <wp:positionV relativeFrom="paragraph">
              <wp:posOffset>10057</wp:posOffset>
            </wp:positionV>
            <wp:extent cx="5624623" cy="2062716"/>
            <wp:effectExtent l="0" t="0" r="14605" b="13970"/>
            <wp:wrapNone/>
            <wp:docPr id="9" name="Chart 9">
              <a:extLst xmlns:a="http://schemas.openxmlformats.org/drawingml/2006/main">
                <a:ext uri="{FF2B5EF4-FFF2-40B4-BE49-F238E27FC236}">
                  <a16:creationId xmlns:a16="http://schemas.microsoft.com/office/drawing/2014/main" id="{2F02561B-F27F-41E8-9DEC-6292EC46BED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margin">
              <wp14:pctWidth>0</wp14:pctWidth>
            </wp14:sizeRelH>
            <wp14:sizeRelV relativeFrom="margin">
              <wp14:pctHeight>0</wp14:pctHeight>
            </wp14:sizeRelV>
          </wp:anchor>
        </w:drawing>
      </w:r>
    </w:p>
    <w:p w14:paraId="42B0D985" w14:textId="1F614A31" w:rsidR="00F00D48" w:rsidRDefault="00F00D48" w:rsidP="00F00D48">
      <w:pPr>
        <w:spacing w:line="480" w:lineRule="auto"/>
        <w:jc w:val="center"/>
        <w:rPr>
          <w:rFonts w:cstheme="minorHAnsi"/>
          <w:i/>
          <w:iCs/>
          <w:sz w:val="24"/>
          <w:szCs w:val="24"/>
          <w:shd w:val="clear" w:color="auto" w:fill="FFFFFF"/>
        </w:rPr>
      </w:pPr>
    </w:p>
    <w:p w14:paraId="1E8A0193" w14:textId="77777777" w:rsidR="00D618F8" w:rsidRDefault="00D618F8" w:rsidP="00F00D48">
      <w:pPr>
        <w:spacing w:line="480" w:lineRule="auto"/>
        <w:jc w:val="center"/>
        <w:rPr>
          <w:rFonts w:cstheme="minorHAnsi"/>
          <w:i/>
          <w:iCs/>
          <w:sz w:val="24"/>
          <w:szCs w:val="24"/>
          <w:shd w:val="clear" w:color="auto" w:fill="FFFFFF"/>
        </w:rPr>
      </w:pPr>
    </w:p>
    <w:p w14:paraId="3DA7AE75" w14:textId="77777777" w:rsidR="00D618F8" w:rsidRDefault="00D618F8" w:rsidP="00F00D48">
      <w:pPr>
        <w:spacing w:line="480" w:lineRule="auto"/>
        <w:jc w:val="center"/>
        <w:rPr>
          <w:rFonts w:cstheme="minorHAnsi"/>
          <w:i/>
          <w:iCs/>
          <w:sz w:val="24"/>
          <w:szCs w:val="24"/>
          <w:shd w:val="clear" w:color="auto" w:fill="FFFFFF"/>
        </w:rPr>
      </w:pPr>
    </w:p>
    <w:p w14:paraId="6290DF0C" w14:textId="77777777" w:rsidR="00DE2E5C" w:rsidRDefault="00DE2E5C" w:rsidP="00F00D48">
      <w:pPr>
        <w:spacing w:line="480" w:lineRule="auto"/>
        <w:jc w:val="center"/>
        <w:rPr>
          <w:rFonts w:cstheme="minorHAnsi"/>
          <w:i/>
          <w:iCs/>
          <w:sz w:val="24"/>
          <w:szCs w:val="24"/>
          <w:shd w:val="clear" w:color="auto" w:fill="FFFFFF"/>
        </w:rPr>
      </w:pPr>
    </w:p>
    <w:p w14:paraId="70ABF470" w14:textId="4ACAD66D" w:rsidR="00507E2C" w:rsidRPr="00507E2C" w:rsidRDefault="00507E2C" w:rsidP="00F00D48">
      <w:pPr>
        <w:spacing w:line="480" w:lineRule="auto"/>
        <w:jc w:val="center"/>
        <w:rPr>
          <w:rFonts w:cstheme="minorHAnsi"/>
          <w:sz w:val="24"/>
          <w:szCs w:val="24"/>
          <w:shd w:val="clear" w:color="auto" w:fill="FFFFFF"/>
        </w:rPr>
      </w:pPr>
      <w:r w:rsidRPr="00507E2C">
        <w:rPr>
          <w:rFonts w:cstheme="minorHAnsi"/>
          <w:i/>
          <w:iCs/>
          <w:sz w:val="24"/>
          <w:szCs w:val="24"/>
          <w:shd w:val="clear" w:color="auto" w:fill="FFFFFF"/>
        </w:rPr>
        <w:t xml:space="preserve">Diagram </w:t>
      </w:r>
      <w:r w:rsidR="00682896">
        <w:rPr>
          <w:rFonts w:cstheme="minorHAnsi"/>
          <w:i/>
          <w:iCs/>
          <w:sz w:val="24"/>
          <w:szCs w:val="24"/>
          <w:shd w:val="clear" w:color="auto" w:fill="FFFFFF"/>
        </w:rPr>
        <w:t>8</w:t>
      </w:r>
    </w:p>
    <w:p w14:paraId="7AF4DB89" w14:textId="0183ED9E" w:rsidR="00903747" w:rsidRPr="003879E4" w:rsidRDefault="00903747" w:rsidP="00DB3C2F">
      <w:pPr>
        <w:spacing w:line="480" w:lineRule="auto"/>
        <w:rPr>
          <w:rFonts w:cstheme="minorHAnsi"/>
          <w:b/>
          <w:bCs/>
          <w:sz w:val="24"/>
          <w:szCs w:val="24"/>
          <w:shd w:val="clear" w:color="auto" w:fill="FFFFFF"/>
        </w:rPr>
      </w:pPr>
      <w:r w:rsidRPr="003879E4">
        <w:rPr>
          <w:rFonts w:cstheme="minorHAnsi"/>
          <w:sz w:val="24"/>
          <w:szCs w:val="24"/>
          <w:shd w:val="clear" w:color="auto" w:fill="FFFFFF"/>
        </w:rPr>
        <w:t xml:space="preserve">4.4.6 </w:t>
      </w:r>
      <w:r w:rsidRPr="003879E4">
        <w:rPr>
          <w:rFonts w:cstheme="minorHAnsi"/>
          <w:b/>
          <w:bCs/>
          <w:sz w:val="24"/>
          <w:szCs w:val="24"/>
          <w:shd w:val="clear" w:color="auto" w:fill="FFFFFF"/>
        </w:rPr>
        <w:t xml:space="preserve">Conclusion </w:t>
      </w:r>
    </w:p>
    <w:p w14:paraId="1E971F37" w14:textId="1C36BC65" w:rsidR="00903747" w:rsidRDefault="00DE2E5C" w:rsidP="00DB3C2F">
      <w:pPr>
        <w:spacing w:line="480" w:lineRule="auto"/>
        <w:rPr>
          <w:rFonts w:cstheme="minorHAnsi"/>
          <w:sz w:val="24"/>
          <w:szCs w:val="24"/>
        </w:rPr>
      </w:pPr>
      <w:r w:rsidRPr="00311BBA">
        <w:rPr>
          <w:i/>
          <w:iCs/>
          <w:noProof/>
        </w:rPr>
        <w:drawing>
          <wp:anchor distT="0" distB="0" distL="114300" distR="114300" simplePos="0" relativeHeight="251669504" behindDoc="0" locked="0" layoutInCell="1" allowOverlap="1" wp14:anchorId="4E5F3E95" wp14:editId="0E750647">
            <wp:simplePos x="0" y="0"/>
            <wp:positionH relativeFrom="margin">
              <wp:align>center</wp:align>
            </wp:positionH>
            <wp:positionV relativeFrom="paragraph">
              <wp:posOffset>1957705</wp:posOffset>
            </wp:positionV>
            <wp:extent cx="6634480" cy="2381250"/>
            <wp:effectExtent l="0" t="0" r="13970" b="0"/>
            <wp:wrapTopAndBottom/>
            <wp:docPr id="8" name="Chart 8">
              <a:extLst xmlns:a="http://schemas.openxmlformats.org/drawingml/2006/main">
                <a:ext uri="{FF2B5EF4-FFF2-40B4-BE49-F238E27FC236}">
                  <a16:creationId xmlns:a16="http://schemas.microsoft.com/office/drawing/2014/main" id="{6036A2FF-E08B-4A48-BFE3-31B94DBCBE2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margin">
              <wp14:pctWidth>0</wp14:pctWidth>
            </wp14:sizeRelH>
            <wp14:sizeRelV relativeFrom="margin">
              <wp14:pctHeight>0</wp14:pctHeight>
            </wp14:sizeRelV>
          </wp:anchor>
        </w:drawing>
      </w:r>
      <w:r w:rsidR="00EF475C">
        <w:rPr>
          <w:rFonts w:cstheme="minorHAnsi"/>
          <w:sz w:val="24"/>
          <w:szCs w:val="24"/>
        </w:rPr>
        <w:t xml:space="preserve">A </w:t>
      </w:r>
      <w:r w:rsidR="00903747" w:rsidRPr="003879E4">
        <w:rPr>
          <w:rFonts w:cstheme="minorHAnsi"/>
          <w:sz w:val="24"/>
          <w:szCs w:val="24"/>
        </w:rPr>
        <w:t xml:space="preserve">pie </w:t>
      </w:r>
      <w:r w:rsidR="00903747" w:rsidRPr="001354A6">
        <w:rPr>
          <w:rFonts w:cstheme="minorHAnsi"/>
          <w:sz w:val="24"/>
          <w:szCs w:val="24"/>
        </w:rPr>
        <w:t>chart </w:t>
      </w:r>
      <w:r w:rsidR="00903747" w:rsidRPr="001354A6">
        <w:rPr>
          <w:rStyle w:val="Emphasis"/>
          <w:rFonts w:cstheme="minorHAnsi"/>
          <w:color w:val="0E101A"/>
          <w:sz w:val="24"/>
          <w:szCs w:val="24"/>
        </w:rPr>
        <w:t>(</w:t>
      </w:r>
      <w:r w:rsidR="00D618F8">
        <w:rPr>
          <w:rStyle w:val="Emphasis"/>
          <w:rFonts w:cstheme="minorHAnsi"/>
          <w:color w:val="0E101A"/>
          <w:sz w:val="24"/>
          <w:szCs w:val="24"/>
        </w:rPr>
        <w:t>s</w:t>
      </w:r>
      <w:r w:rsidR="00903747" w:rsidRPr="001354A6">
        <w:rPr>
          <w:rStyle w:val="Emphasis"/>
          <w:rFonts w:cstheme="minorHAnsi"/>
          <w:color w:val="0E101A"/>
          <w:sz w:val="24"/>
          <w:szCs w:val="24"/>
        </w:rPr>
        <w:t xml:space="preserve">ee Diagram </w:t>
      </w:r>
      <w:r w:rsidR="00682896" w:rsidRPr="001354A6">
        <w:rPr>
          <w:rStyle w:val="Emphasis"/>
          <w:rFonts w:cstheme="minorHAnsi"/>
          <w:color w:val="0E101A"/>
          <w:sz w:val="24"/>
          <w:szCs w:val="24"/>
        </w:rPr>
        <w:t>9</w:t>
      </w:r>
      <w:r w:rsidR="00903747" w:rsidRPr="001354A6">
        <w:rPr>
          <w:rStyle w:val="Emphasis"/>
          <w:rFonts w:cstheme="minorHAnsi"/>
          <w:color w:val="0E101A"/>
          <w:sz w:val="24"/>
          <w:szCs w:val="24"/>
        </w:rPr>
        <w:t>) </w:t>
      </w:r>
      <w:r w:rsidR="00903747" w:rsidRPr="001354A6">
        <w:rPr>
          <w:rFonts w:cstheme="minorHAnsi"/>
          <w:sz w:val="24"/>
          <w:szCs w:val="24"/>
        </w:rPr>
        <w:t>attempted</w:t>
      </w:r>
      <w:r w:rsidR="00903747" w:rsidRPr="003879E4">
        <w:rPr>
          <w:rFonts w:cstheme="minorHAnsi"/>
          <w:sz w:val="24"/>
          <w:szCs w:val="24"/>
        </w:rPr>
        <w:t xml:space="preserve"> to bridge the research gap regarding ASB and </w:t>
      </w:r>
      <w:r w:rsidR="00EF475C">
        <w:rPr>
          <w:rFonts w:cstheme="minorHAnsi"/>
          <w:sz w:val="24"/>
          <w:szCs w:val="24"/>
        </w:rPr>
        <w:t xml:space="preserve">the </w:t>
      </w:r>
      <w:r w:rsidR="00903747" w:rsidRPr="003879E4">
        <w:rPr>
          <w:rFonts w:cstheme="minorHAnsi"/>
          <w:sz w:val="24"/>
          <w:szCs w:val="24"/>
        </w:rPr>
        <w:t>predictive studies</w:t>
      </w:r>
      <w:r w:rsidR="00EF475C">
        <w:rPr>
          <w:rFonts w:cstheme="minorHAnsi"/>
          <w:sz w:val="24"/>
          <w:szCs w:val="24"/>
        </w:rPr>
        <w:t xml:space="preserve">. </w:t>
      </w:r>
      <w:r w:rsidR="00903747" w:rsidRPr="003879E4">
        <w:rPr>
          <w:rFonts w:cstheme="minorHAnsi"/>
          <w:sz w:val="24"/>
          <w:szCs w:val="24"/>
        </w:rPr>
        <w:t>According to primary research, a person who commits ASB is more likely to</w:t>
      </w:r>
      <w:r w:rsidR="00D618F8">
        <w:rPr>
          <w:rFonts w:cstheme="minorHAnsi"/>
          <w:sz w:val="24"/>
          <w:szCs w:val="24"/>
        </w:rPr>
        <w:t xml:space="preserve"> be</w:t>
      </w:r>
      <w:r w:rsidR="00903747" w:rsidRPr="003879E4">
        <w:rPr>
          <w:rFonts w:cstheme="minorHAnsi"/>
          <w:sz w:val="24"/>
          <w:szCs w:val="24"/>
        </w:rPr>
        <w:t xml:space="preserve"> </w:t>
      </w:r>
      <w:r w:rsidR="00EF475C">
        <w:rPr>
          <w:rFonts w:cstheme="minorHAnsi"/>
          <w:sz w:val="24"/>
          <w:szCs w:val="24"/>
        </w:rPr>
        <w:t>‘made’</w:t>
      </w:r>
      <w:r w:rsidR="00903747" w:rsidRPr="003879E4">
        <w:rPr>
          <w:rFonts w:cstheme="minorHAnsi"/>
          <w:sz w:val="24"/>
          <w:szCs w:val="24"/>
        </w:rPr>
        <w:t xml:space="preserve"> a criminal, with 44% of the votes, compared to 12% of the participants believing that offenders of ASB are </w:t>
      </w:r>
      <w:r w:rsidR="00EF475C">
        <w:rPr>
          <w:rFonts w:cstheme="minorHAnsi"/>
          <w:sz w:val="24"/>
          <w:szCs w:val="24"/>
        </w:rPr>
        <w:t>‘</w:t>
      </w:r>
      <w:r w:rsidR="00903747" w:rsidRPr="003879E4">
        <w:rPr>
          <w:rFonts w:cstheme="minorHAnsi"/>
          <w:sz w:val="24"/>
          <w:szCs w:val="24"/>
        </w:rPr>
        <w:t>born</w:t>
      </w:r>
      <w:r w:rsidR="00EF475C">
        <w:rPr>
          <w:rFonts w:cstheme="minorHAnsi"/>
          <w:sz w:val="24"/>
          <w:szCs w:val="24"/>
        </w:rPr>
        <w:t xml:space="preserve">’, </w:t>
      </w:r>
      <w:r w:rsidR="00903747" w:rsidRPr="003879E4">
        <w:rPr>
          <w:rFonts w:cstheme="minorHAnsi"/>
          <w:sz w:val="24"/>
          <w:szCs w:val="24"/>
        </w:rPr>
        <w:t xml:space="preserve">while a further 20% claimed that both hypotheses could be used to predict the crime. </w:t>
      </w:r>
    </w:p>
    <w:p w14:paraId="0EA87200" w14:textId="7441D289" w:rsidR="00311BBA" w:rsidRDefault="00311BBA" w:rsidP="00311BBA">
      <w:pPr>
        <w:spacing w:line="480" w:lineRule="auto"/>
        <w:jc w:val="center"/>
        <w:rPr>
          <w:rFonts w:cstheme="minorHAnsi"/>
          <w:i/>
          <w:iCs/>
          <w:sz w:val="24"/>
          <w:szCs w:val="24"/>
        </w:rPr>
      </w:pPr>
      <w:r w:rsidRPr="00311BBA">
        <w:rPr>
          <w:rFonts w:cstheme="minorHAnsi"/>
          <w:i/>
          <w:iCs/>
          <w:sz w:val="24"/>
          <w:szCs w:val="24"/>
        </w:rPr>
        <w:t xml:space="preserve">Diagram </w:t>
      </w:r>
      <w:r w:rsidR="00682896">
        <w:rPr>
          <w:rFonts w:cstheme="minorHAnsi"/>
          <w:i/>
          <w:iCs/>
          <w:sz w:val="24"/>
          <w:szCs w:val="24"/>
        </w:rPr>
        <w:t>9</w:t>
      </w:r>
    </w:p>
    <w:p w14:paraId="5BD16ABB" w14:textId="541A33AB" w:rsidR="00DE2E5C" w:rsidRDefault="00830F55" w:rsidP="00965F1E">
      <w:pPr>
        <w:spacing w:line="480" w:lineRule="auto"/>
        <w:ind w:firstLine="720"/>
        <w:rPr>
          <w:rFonts w:cstheme="minorHAnsi"/>
          <w:sz w:val="24"/>
          <w:szCs w:val="24"/>
        </w:rPr>
      </w:pPr>
      <w:r>
        <w:rPr>
          <w:rFonts w:cstheme="minorHAnsi"/>
          <w:sz w:val="24"/>
          <w:szCs w:val="24"/>
        </w:rPr>
        <w:t xml:space="preserve">A further 5 graphs and 1 mind map has been created to display the remaining research from the primary </w:t>
      </w:r>
      <w:r w:rsidRPr="001354A6">
        <w:rPr>
          <w:rFonts w:cstheme="minorHAnsi"/>
          <w:sz w:val="24"/>
          <w:szCs w:val="24"/>
        </w:rPr>
        <w:t xml:space="preserve">survey </w:t>
      </w:r>
      <w:r w:rsidR="003C0D2D" w:rsidRPr="001354A6">
        <w:rPr>
          <w:rFonts w:cstheme="minorHAnsi"/>
          <w:i/>
          <w:iCs/>
          <w:sz w:val="24"/>
          <w:szCs w:val="24"/>
        </w:rPr>
        <w:t>(</w:t>
      </w:r>
      <w:r w:rsidR="003B3048">
        <w:rPr>
          <w:rFonts w:cstheme="minorHAnsi"/>
          <w:i/>
          <w:iCs/>
          <w:sz w:val="24"/>
          <w:szCs w:val="24"/>
        </w:rPr>
        <w:t>s</w:t>
      </w:r>
      <w:r w:rsidR="003C0D2D" w:rsidRPr="001354A6">
        <w:rPr>
          <w:rFonts w:cstheme="minorHAnsi"/>
          <w:i/>
          <w:iCs/>
          <w:sz w:val="24"/>
          <w:szCs w:val="24"/>
        </w:rPr>
        <w:t xml:space="preserve">ee Appendix </w:t>
      </w:r>
      <w:r w:rsidR="00273791" w:rsidRPr="001354A6">
        <w:rPr>
          <w:rFonts w:cstheme="minorHAnsi"/>
          <w:i/>
          <w:iCs/>
          <w:sz w:val="24"/>
          <w:szCs w:val="24"/>
        </w:rPr>
        <w:t>E</w:t>
      </w:r>
      <w:r w:rsidRPr="001354A6">
        <w:rPr>
          <w:rFonts w:cstheme="minorHAnsi"/>
          <w:i/>
          <w:iCs/>
          <w:sz w:val="24"/>
          <w:szCs w:val="24"/>
        </w:rPr>
        <w:t>)</w:t>
      </w:r>
      <w:r w:rsidR="00DE2E5C">
        <w:rPr>
          <w:rFonts w:cstheme="minorHAnsi"/>
          <w:i/>
          <w:iCs/>
          <w:sz w:val="24"/>
          <w:szCs w:val="24"/>
        </w:rPr>
        <w:t>.</w:t>
      </w:r>
    </w:p>
    <w:p w14:paraId="5C56C517" w14:textId="7F9A418B" w:rsidR="00FC4D35" w:rsidRPr="00DE2E5C" w:rsidRDefault="00FC4D35" w:rsidP="00DB3C2F">
      <w:pPr>
        <w:spacing w:line="480" w:lineRule="auto"/>
        <w:rPr>
          <w:rFonts w:cstheme="minorHAnsi"/>
          <w:sz w:val="24"/>
          <w:szCs w:val="24"/>
        </w:rPr>
      </w:pPr>
      <w:r w:rsidRPr="003879E4">
        <w:rPr>
          <w:rFonts w:cstheme="minorHAnsi"/>
          <w:b/>
          <w:bCs/>
          <w:color w:val="0070C0"/>
          <w:sz w:val="24"/>
          <w:szCs w:val="24"/>
        </w:rPr>
        <w:lastRenderedPageBreak/>
        <w:t xml:space="preserve">Chapter Five: </w:t>
      </w:r>
      <w:r w:rsidR="001354A6">
        <w:rPr>
          <w:rFonts w:cstheme="minorHAnsi"/>
          <w:b/>
          <w:bCs/>
          <w:color w:val="0070C0"/>
          <w:sz w:val="24"/>
          <w:szCs w:val="24"/>
        </w:rPr>
        <w:t xml:space="preserve">Conclusion </w:t>
      </w:r>
    </w:p>
    <w:p w14:paraId="07D3E3A4" w14:textId="77777777" w:rsidR="00FC4D35" w:rsidRPr="003879E4" w:rsidRDefault="00FC4D35" w:rsidP="00DB3C2F">
      <w:pPr>
        <w:spacing w:line="480" w:lineRule="auto"/>
        <w:rPr>
          <w:rFonts w:cstheme="minorHAnsi"/>
          <w:sz w:val="24"/>
          <w:szCs w:val="24"/>
        </w:rPr>
      </w:pPr>
      <w:r w:rsidRPr="003879E4">
        <w:rPr>
          <w:rFonts w:cstheme="minorHAnsi"/>
          <w:sz w:val="24"/>
          <w:szCs w:val="24"/>
        </w:rPr>
        <w:t xml:space="preserve">5.1 </w:t>
      </w:r>
      <w:r w:rsidRPr="003879E4">
        <w:rPr>
          <w:rFonts w:cstheme="minorHAnsi"/>
          <w:b/>
          <w:bCs/>
          <w:sz w:val="24"/>
          <w:szCs w:val="24"/>
        </w:rPr>
        <w:t>Main Findings</w:t>
      </w:r>
    </w:p>
    <w:p w14:paraId="43925A58" w14:textId="77777777" w:rsidR="000E6AA1" w:rsidRDefault="000E6AA1" w:rsidP="000E6AA1">
      <w:pPr>
        <w:spacing w:line="480" w:lineRule="auto"/>
        <w:ind w:firstLine="720"/>
        <w:rPr>
          <w:rFonts w:cstheme="minorHAnsi"/>
          <w:sz w:val="24"/>
          <w:szCs w:val="24"/>
          <w:shd w:val="clear" w:color="auto" w:fill="FFFFFF"/>
        </w:rPr>
      </w:pPr>
      <w:r w:rsidRPr="00E61D9B">
        <w:rPr>
          <w:rFonts w:cstheme="minorHAnsi"/>
          <w:sz w:val="24"/>
          <w:szCs w:val="24"/>
          <w:shd w:val="clear" w:color="auto" w:fill="FFFFFF"/>
        </w:rPr>
        <w:t>One of the most important current criminology debates is whether a criminal is "born or made." Nonetheless, there is growing concern about ASB due to a lack of correlation with research (</w:t>
      </w:r>
      <w:proofErr w:type="spellStart"/>
      <w:r w:rsidRPr="00E61D9B">
        <w:rPr>
          <w:rFonts w:cstheme="minorHAnsi"/>
          <w:sz w:val="24"/>
          <w:szCs w:val="24"/>
          <w:shd w:val="clear" w:color="auto" w:fill="FFFFFF"/>
        </w:rPr>
        <w:t>Reinbergs</w:t>
      </w:r>
      <w:proofErr w:type="spellEnd"/>
      <w:r w:rsidRPr="00E61D9B">
        <w:rPr>
          <w:rFonts w:cstheme="minorHAnsi"/>
          <w:sz w:val="24"/>
          <w:szCs w:val="24"/>
          <w:shd w:val="clear" w:color="auto" w:fill="FFFFFF"/>
        </w:rPr>
        <w:t xml:space="preserve"> &amp; </w:t>
      </w:r>
      <w:proofErr w:type="spellStart"/>
      <w:r w:rsidRPr="00E61D9B">
        <w:rPr>
          <w:rFonts w:cstheme="minorHAnsi"/>
          <w:sz w:val="24"/>
          <w:szCs w:val="24"/>
          <w:shd w:val="clear" w:color="auto" w:fill="FFFFFF"/>
        </w:rPr>
        <w:t>Fefer</w:t>
      </w:r>
      <w:proofErr w:type="spellEnd"/>
      <w:r w:rsidRPr="00E61D9B">
        <w:rPr>
          <w:rFonts w:cstheme="minorHAnsi"/>
          <w:sz w:val="24"/>
          <w:szCs w:val="24"/>
          <w:shd w:val="clear" w:color="auto" w:fill="FFFFFF"/>
        </w:rPr>
        <w:t>, 2018). According to research, published studies in the field of crime prediction have primarily focused on serious crime; consequently, there is insufficient knowledge about what motivates an individual to commit ASB (Newburn, 2017, Nathan, 2020).</w:t>
      </w:r>
    </w:p>
    <w:p w14:paraId="60A0B49D" w14:textId="77777777" w:rsidR="000E6AA1" w:rsidRPr="003879E4" w:rsidRDefault="000E6AA1" w:rsidP="000E6AA1">
      <w:pPr>
        <w:spacing w:line="480" w:lineRule="auto"/>
        <w:ind w:firstLine="720"/>
        <w:rPr>
          <w:rFonts w:cstheme="minorHAnsi"/>
          <w:sz w:val="24"/>
          <w:szCs w:val="24"/>
        </w:rPr>
      </w:pPr>
      <w:r w:rsidRPr="003879E4">
        <w:rPr>
          <w:rFonts w:cstheme="minorHAnsi"/>
          <w:sz w:val="24"/>
          <w:szCs w:val="24"/>
        </w:rPr>
        <w:t xml:space="preserve">Researchers have speculated that underlying biological characteristics may have a role in unlawful behaviour. Several replications of the 1970s and 1980s scientific studies provided substantial evidence that having a convicted parent enhanced one's odds of receiving a custodial sentence (Cloninger, 1982; Mednick et al, 1984; </w:t>
      </w:r>
      <w:proofErr w:type="spellStart"/>
      <w:r w:rsidRPr="003879E4">
        <w:rPr>
          <w:rFonts w:cstheme="minorHAnsi"/>
          <w:sz w:val="24"/>
          <w:szCs w:val="24"/>
        </w:rPr>
        <w:t>Cadoret</w:t>
      </w:r>
      <w:proofErr w:type="spellEnd"/>
      <w:r w:rsidRPr="003879E4">
        <w:rPr>
          <w:rFonts w:cstheme="minorHAnsi"/>
          <w:sz w:val="24"/>
          <w:szCs w:val="24"/>
        </w:rPr>
        <w:t xml:space="preserve"> et al, 1983). Scientific studies on genetic and biological hypotheses suggest that criminal behaviour may be detected in people who are born with a tendency to commit a crime (Lombroso, 1876; Sheldon, 1940; Mendel, 1993). A person's behaviour, on the other hand, is developed through both indirect and direct learning influences (Morgan &amp; Rose, 2019). The influence of external factors on either a human's exposure, personal experiences, or knowledge is frequently referred to as the presence of environmental forces following birth, all of these factors might influence a person's lifestyle decisions (Wells &amp; Walsh, 2019). </w:t>
      </w:r>
    </w:p>
    <w:p w14:paraId="103DD24A" w14:textId="77777777" w:rsidR="000E6AA1" w:rsidRDefault="000E6AA1" w:rsidP="000E6AA1">
      <w:pPr>
        <w:spacing w:line="480" w:lineRule="auto"/>
        <w:ind w:firstLine="720"/>
        <w:rPr>
          <w:rFonts w:cstheme="minorHAnsi"/>
          <w:sz w:val="24"/>
          <w:szCs w:val="24"/>
        </w:rPr>
      </w:pPr>
      <w:r w:rsidRPr="00E61D9B">
        <w:rPr>
          <w:rFonts w:cstheme="minorHAnsi"/>
          <w:sz w:val="24"/>
          <w:szCs w:val="24"/>
        </w:rPr>
        <w:t xml:space="preserve">Major concerns have been raised about the ASB legislation and the police's ability to deal with it (Evans, 2011); however, according to Faulkner (1998), the current government's response to ASB has demonstrated preventative and supportive intentions. Heap (2010) suggests that ASB victimisation is insignificant due to the general severity of the crime, and </w:t>
      </w:r>
      <w:r w:rsidRPr="00E61D9B">
        <w:rPr>
          <w:rFonts w:cstheme="minorHAnsi"/>
          <w:sz w:val="24"/>
          <w:szCs w:val="24"/>
        </w:rPr>
        <w:lastRenderedPageBreak/>
        <w:t>thus the research is overlooked. When it comes to ASB, however, academic research has primarily been government-led reports (Wood, 2004). It is argued that more needs to be done in general about ASB and its effects on society, as the number of ASB offences continues to rise (HMICFRS, 2018b).</w:t>
      </w:r>
    </w:p>
    <w:p w14:paraId="2EB91FE6" w14:textId="32C6768B" w:rsidR="000E6AA1" w:rsidRPr="003879E4" w:rsidRDefault="000E6AA1" w:rsidP="000E6AA1">
      <w:pPr>
        <w:spacing w:line="480" w:lineRule="auto"/>
        <w:ind w:firstLine="720"/>
        <w:rPr>
          <w:rFonts w:cstheme="minorHAnsi"/>
          <w:sz w:val="24"/>
          <w:szCs w:val="24"/>
          <w:shd w:val="clear" w:color="auto" w:fill="FFFFFF"/>
        </w:rPr>
      </w:pPr>
      <w:r w:rsidRPr="003879E4">
        <w:rPr>
          <w:rFonts w:cstheme="minorHAnsi"/>
          <w:sz w:val="24"/>
          <w:szCs w:val="24"/>
          <w:shd w:val="clear" w:color="auto" w:fill="FFFFFF"/>
        </w:rPr>
        <w:t>However, as argued by Gibson (2006), modern research regarding the biology of the mind versus the function of the environment adequately demonstrates that the nature-nurture divide has yet to be overcome. As a result of the consistent statistics of keeping the same, victim satisfaction in the UK varies significantly in connection with preventative measures, notably for ASB (Tilley, 2015). Concerns from the public who are crying out for greater predictions for ASB highlight that there is a lack of consistency for intervention from all authorities (Newburn, 2017).</w:t>
      </w:r>
      <w:r>
        <w:rPr>
          <w:rFonts w:cstheme="minorHAnsi"/>
          <w:sz w:val="24"/>
          <w:szCs w:val="24"/>
          <w:shd w:val="clear" w:color="auto" w:fill="FFFFFF"/>
        </w:rPr>
        <w:t xml:space="preserve"> </w:t>
      </w:r>
    </w:p>
    <w:p w14:paraId="0F4CADFE" w14:textId="77777777" w:rsidR="00FC4D35" w:rsidRPr="003879E4" w:rsidRDefault="00FC4D35" w:rsidP="00DB3C2F">
      <w:pPr>
        <w:spacing w:line="480" w:lineRule="auto"/>
        <w:rPr>
          <w:rFonts w:cstheme="minorHAnsi"/>
          <w:b/>
          <w:bCs/>
          <w:sz w:val="24"/>
          <w:szCs w:val="24"/>
          <w:shd w:val="clear" w:color="auto" w:fill="FFFFFF"/>
        </w:rPr>
      </w:pPr>
      <w:r w:rsidRPr="003879E4">
        <w:rPr>
          <w:rFonts w:cstheme="minorHAnsi"/>
          <w:sz w:val="24"/>
          <w:szCs w:val="24"/>
          <w:shd w:val="clear" w:color="auto" w:fill="FFFFFF"/>
        </w:rPr>
        <w:t xml:space="preserve">5.2 </w:t>
      </w:r>
      <w:r w:rsidRPr="003879E4">
        <w:rPr>
          <w:rFonts w:cstheme="minorHAnsi"/>
          <w:b/>
          <w:bCs/>
          <w:sz w:val="24"/>
          <w:szCs w:val="24"/>
          <w:shd w:val="clear" w:color="auto" w:fill="FFFFFF"/>
        </w:rPr>
        <w:t>Implications and Recommendations to the Police</w:t>
      </w:r>
    </w:p>
    <w:p w14:paraId="74FF5946" w14:textId="77777777" w:rsidR="00D618F8" w:rsidRPr="00D618F8" w:rsidRDefault="00D618F8" w:rsidP="00D618F8">
      <w:pPr>
        <w:spacing w:line="480" w:lineRule="auto"/>
        <w:rPr>
          <w:rFonts w:cstheme="minorHAnsi"/>
          <w:sz w:val="24"/>
          <w:szCs w:val="24"/>
          <w:shd w:val="clear" w:color="auto" w:fill="FFFFFF"/>
        </w:rPr>
      </w:pPr>
      <w:r w:rsidRPr="00D618F8">
        <w:rPr>
          <w:rFonts w:cstheme="minorHAnsi"/>
          <w:sz w:val="24"/>
          <w:szCs w:val="24"/>
          <w:shd w:val="clear" w:color="auto" w:fill="FFFFFF"/>
        </w:rPr>
        <w:t xml:space="preserve">The study revealed that ASB interventions are being restricted and that no previous hypotheses that have been clinically shown to lower other crimes are being utilised toward ASB (O'Neill, 2019). The primary research has also found that other agencies' support has been insufficient, therefore following these results; crime prediction and intervention need to be improved with assistance from all available agencies in contact with children with the mean score of officers wanting to deliver an overall joint improved service standing at 63%. </w:t>
      </w:r>
    </w:p>
    <w:p w14:paraId="0310D628" w14:textId="77777777" w:rsidR="00D618F8" w:rsidRPr="00D618F8" w:rsidRDefault="00D618F8" w:rsidP="00D618F8">
      <w:pPr>
        <w:spacing w:line="480" w:lineRule="auto"/>
        <w:ind w:firstLine="720"/>
        <w:rPr>
          <w:rFonts w:cstheme="minorHAnsi"/>
          <w:sz w:val="24"/>
          <w:szCs w:val="24"/>
          <w:shd w:val="clear" w:color="auto" w:fill="FFFFFF"/>
        </w:rPr>
      </w:pPr>
      <w:r w:rsidRPr="00D618F8">
        <w:rPr>
          <w:rFonts w:cstheme="minorHAnsi"/>
          <w:sz w:val="24"/>
          <w:szCs w:val="24"/>
          <w:shd w:val="clear" w:color="auto" w:fill="FFFFFF"/>
        </w:rPr>
        <w:t xml:space="preserve">As a result of the current study, several recommendations may be made. According to the findings of the primary research, it is possible to predict ASB, with 76% of officers agreeing that a person is either "born, made, or both" into a criminal. Taking this into account, a strong recommendation would be made to incorporate the importance of the </w:t>
      </w:r>
      <w:r w:rsidRPr="00D618F8">
        <w:rPr>
          <w:rFonts w:cstheme="minorHAnsi"/>
          <w:sz w:val="24"/>
          <w:szCs w:val="24"/>
          <w:shd w:val="clear" w:color="auto" w:fill="FFFFFF"/>
        </w:rPr>
        <w:lastRenderedPageBreak/>
        <w:t xml:space="preserve">‘positive environment theory’ (Harries, 1980) into police training to increase awareness, thereby preventing crime and ASB. </w:t>
      </w:r>
    </w:p>
    <w:p w14:paraId="37F47C99" w14:textId="77777777" w:rsidR="00D618F8" w:rsidRPr="00D618F8" w:rsidRDefault="00D618F8" w:rsidP="00D618F8">
      <w:pPr>
        <w:spacing w:line="480" w:lineRule="auto"/>
        <w:ind w:firstLine="720"/>
        <w:rPr>
          <w:rFonts w:cstheme="minorHAnsi"/>
          <w:sz w:val="24"/>
          <w:szCs w:val="24"/>
          <w:shd w:val="clear" w:color="auto" w:fill="FFFFFF"/>
        </w:rPr>
      </w:pPr>
      <w:r w:rsidRPr="00D618F8">
        <w:rPr>
          <w:rFonts w:cstheme="minorHAnsi"/>
          <w:sz w:val="24"/>
          <w:szCs w:val="24"/>
          <w:shd w:val="clear" w:color="auto" w:fill="FFFFFF"/>
        </w:rPr>
        <w:t>Furthermore, police should be ethically provided with training and advice on crime characteristics to reduce discrimination and stereotyping, and statistical data should be analysed and distributed on an annual basis to remain at the forefront of predicting biological influences on crime (Lynch &amp; Joyce, 2016). Furthermore, recommendations can be made to other authorities regarding the consideration and identification of vulnerability or weakness in a child's environment that may lead to a life of crime (Galbicsek, 2020).</w:t>
      </w:r>
    </w:p>
    <w:p w14:paraId="395CB8AD" w14:textId="77777777" w:rsidR="00D618F8" w:rsidRPr="00D618F8" w:rsidRDefault="00D618F8" w:rsidP="00D618F8">
      <w:pPr>
        <w:spacing w:line="480" w:lineRule="auto"/>
        <w:ind w:firstLine="720"/>
        <w:rPr>
          <w:rFonts w:cstheme="minorHAnsi"/>
          <w:sz w:val="24"/>
          <w:szCs w:val="24"/>
          <w:shd w:val="clear" w:color="auto" w:fill="FFFFFF"/>
        </w:rPr>
      </w:pPr>
      <w:r w:rsidRPr="00D618F8">
        <w:rPr>
          <w:rFonts w:cstheme="minorHAnsi"/>
          <w:sz w:val="24"/>
          <w:szCs w:val="24"/>
          <w:shd w:val="clear" w:color="auto" w:fill="FFFFFF"/>
        </w:rPr>
        <w:t xml:space="preserve">Moreover, the punishment for ASB should be revised to increase the likelihood of the offender being punished, which would lessen the occurrences of ASB. This proposal was made in support of the Home Office (2011), which states that there are simply too many tools since there is a distinct power for each unique problem, all of which perform the same, resulting in confusion and the powers being infrequently utilised.  </w:t>
      </w:r>
    </w:p>
    <w:p w14:paraId="6FDA8FEB" w14:textId="046BFFE2" w:rsidR="00FC4D35" w:rsidRPr="003879E4" w:rsidRDefault="00D618F8" w:rsidP="00D618F8">
      <w:pPr>
        <w:spacing w:line="480" w:lineRule="auto"/>
        <w:ind w:firstLine="720"/>
        <w:rPr>
          <w:rFonts w:cstheme="minorHAnsi"/>
          <w:b/>
          <w:bCs/>
          <w:sz w:val="24"/>
          <w:szCs w:val="24"/>
          <w:shd w:val="clear" w:color="auto" w:fill="FFFFFF"/>
        </w:rPr>
      </w:pPr>
      <w:r w:rsidRPr="00D618F8">
        <w:rPr>
          <w:rFonts w:cstheme="minorHAnsi"/>
          <w:sz w:val="24"/>
          <w:szCs w:val="24"/>
          <w:shd w:val="clear" w:color="auto" w:fill="FFFFFF"/>
        </w:rPr>
        <w:t xml:space="preserve">Finally, when summarising the primary study, it is obvious that the police have minimal support for the government's preventive powers to combat ASB </w:t>
      </w:r>
      <w:r w:rsidRPr="003B3048">
        <w:rPr>
          <w:rFonts w:cstheme="minorHAnsi"/>
          <w:i/>
          <w:iCs/>
          <w:sz w:val="24"/>
          <w:szCs w:val="24"/>
          <w:shd w:val="clear" w:color="auto" w:fill="FFFFFF"/>
        </w:rPr>
        <w:t>(</w:t>
      </w:r>
      <w:r w:rsidR="003B3048">
        <w:rPr>
          <w:rFonts w:cstheme="minorHAnsi"/>
          <w:i/>
          <w:iCs/>
          <w:sz w:val="24"/>
          <w:szCs w:val="24"/>
          <w:shd w:val="clear" w:color="auto" w:fill="FFFFFF"/>
        </w:rPr>
        <w:t>s</w:t>
      </w:r>
      <w:r w:rsidRPr="003B3048">
        <w:rPr>
          <w:rFonts w:cstheme="minorHAnsi"/>
          <w:i/>
          <w:iCs/>
          <w:sz w:val="24"/>
          <w:szCs w:val="24"/>
          <w:shd w:val="clear" w:color="auto" w:fill="FFFFFF"/>
        </w:rPr>
        <w:t>ee Appendix F)</w:t>
      </w:r>
      <w:r w:rsidRPr="00D618F8">
        <w:rPr>
          <w:rFonts w:cstheme="minorHAnsi"/>
          <w:sz w:val="24"/>
          <w:szCs w:val="24"/>
          <w:shd w:val="clear" w:color="auto" w:fill="FFFFFF"/>
        </w:rPr>
        <w:t xml:space="preserve">. As a result, powers and tools must be reassessed to increase the flexibility, therefore, reducing the misunderstanding which will enable more superior use of police powers as well as create a greater balance between policing and the public (Mills &amp; Ford, 2018). </w:t>
      </w:r>
      <w:r w:rsidR="00FC4D35" w:rsidRPr="003879E4">
        <w:rPr>
          <w:rFonts w:cstheme="minorHAnsi"/>
          <w:sz w:val="24"/>
          <w:szCs w:val="24"/>
          <w:shd w:val="clear" w:color="auto" w:fill="FFFFFF"/>
        </w:rPr>
        <w:t xml:space="preserve">5.3 </w:t>
      </w:r>
      <w:r w:rsidR="00FC4D35" w:rsidRPr="003879E4">
        <w:rPr>
          <w:rFonts w:cstheme="minorHAnsi"/>
          <w:b/>
          <w:bCs/>
          <w:sz w:val="24"/>
          <w:szCs w:val="24"/>
          <w:shd w:val="clear" w:color="auto" w:fill="FFFFFF"/>
        </w:rPr>
        <w:t>Limitations</w:t>
      </w:r>
    </w:p>
    <w:p w14:paraId="2ED01299" w14:textId="77777777" w:rsidR="00FC4D35" w:rsidRPr="003879E4" w:rsidRDefault="00FC4D35" w:rsidP="00DB3C2F">
      <w:pPr>
        <w:spacing w:line="480" w:lineRule="auto"/>
        <w:rPr>
          <w:rFonts w:cstheme="minorHAnsi"/>
          <w:sz w:val="24"/>
          <w:szCs w:val="24"/>
        </w:rPr>
      </w:pPr>
      <w:r w:rsidRPr="003879E4">
        <w:rPr>
          <w:rFonts w:cstheme="minorHAnsi"/>
          <w:sz w:val="24"/>
          <w:szCs w:val="24"/>
        </w:rPr>
        <w:t xml:space="preserve">Pickering (2017) argues that increased survey participation increases the validity and effectiveness of the data. However, as a result of the sensitive nature of the issue, the targeted audience was limited, and constraints were already in place because the general public would not affect the required research. Additionally, it is believed that being able to </w:t>
      </w:r>
      <w:r w:rsidRPr="003879E4">
        <w:rPr>
          <w:rFonts w:cstheme="minorHAnsi"/>
          <w:sz w:val="24"/>
          <w:szCs w:val="24"/>
        </w:rPr>
        <w:lastRenderedPageBreak/>
        <w:t>utilise software to share a survey with the public would have increased the sample size hugely (Wright, 2015). Furthermore, the sample size of the survey could have been increased by using paper questionnaires that could have targeted personnel who struggle with technology or whose emails are chaotic.</w:t>
      </w:r>
    </w:p>
    <w:p w14:paraId="2B8C11A1" w14:textId="3EFDD82F" w:rsidR="00FC4D35" w:rsidRPr="003879E4" w:rsidRDefault="00FC4D35" w:rsidP="00DB3C2F">
      <w:pPr>
        <w:spacing w:line="480" w:lineRule="auto"/>
        <w:rPr>
          <w:rFonts w:cstheme="minorHAnsi"/>
          <w:sz w:val="24"/>
          <w:szCs w:val="24"/>
          <w:shd w:val="clear" w:color="auto" w:fill="FFFFFF"/>
        </w:rPr>
      </w:pPr>
      <w:r w:rsidRPr="003879E4">
        <w:rPr>
          <w:rFonts w:cstheme="minorHAnsi"/>
          <w:sz w:val="24"/>
          <w:szCs w:val="24"/>
          <w:shd w:val="clear" w:color="auto" w:fill="FFFFFF"/>
        </w:rPr>
        <w:t>5.</w:t>
      </w:r>
      <w:r w:rsidR="001B1913" w:rsidRPr="003879E4">
        <w:rPr>
          <w:rFonts w:cstheme="minorHAnsi"/>
          <w:sz w:val="24"/>
          <w:szCs w:val="24"/>
          <w:shd w:val="clear" w:color="auto" w:fill="FFFFFF"/>
        </w:rPr>
        <w:t>4</w:t>
      </w:r>
      <w:r w:rsidRPr="003879E4">
        <w:rPr>
          <w:rFonts w:cstheme="minorHAnsi"/>
          <w:sz w:val="24"/>
          <w:szCs w:val="24"/>
          <w:shd w:val="clear" w:color="auto" w:fill="FFFFFF"/>
        </w:rPr>
        <w:t xml:space="preserve"> </w:t>
      </w:r>
      <w:r w:rsidRPr="003879E4">
        <w:rPr>
          <w:rFonts w:cstheme="minorHAnsi"/>
          <w:b/>
          <w:bCs/>
          <w:sz w:val="24"/>
          <w:szCs w:val="24"/>
          <w:shd w:val="clear" w:color="auto" w:fill="FFFFFF"/>
        </w:rPr>
        <w:t>Conclusion</w:t>
      </w:r>
    </w:p>
    <w:p w14:paraId="72E723E7" w14:textId="14E18B59" w:rsidR="00FC4D35" w:rsidRPr="003879E4" w:rsidRDefault="00FC4D35" w:rsidP="00DB3C2F">
      <w:pPr>
        <w:spacing w:line="480" w:lineRule="auto"/>
        <w:rPr>
          <w:rFonts w:cstheme="minorHAnsi"/>
          <w:sz w:val="24"/>
          <w:szCs w:val="24"/>
          <w:shd w:val="clear" w:color="auto" w:fill="FFFFFF"/>
        </w:rPr>
      </w:pPr>
      <w:r w:rsidRPr="003879E4">
        <w:rPr>
          <w:rFonts w:cstheme="minorHAnsi"/>
          <w:sz w:val="24"/>
          <w:szCs w:val="24"/>
          <w:shd w:val="clear" w:color="auto" w:fill="FFFFFF"/>
        </w:rPr>
        <w:t xml:space="preserve">The purpose of this study was to uncover the association between criminal characteristics and ASB being conducted in Dyfed Powys and to correlate this to any common traits and repetition in patterns of offenders to find a relationship to ASB crime. Secondary research and further primary research have offered a deeper understanding and a foundation for future studies to build a more efficient strategy for anticipating and preventing ASB.  </w:t>
      </w:r>
    </w:p>
    <w:p w14:paraId="008C7DB7" w14:textId="77777777" w:rsidR="001354A6" w:rsidRDefault="001354A6" w:rsidP="00903747">
      <w:pPr>
        <w:rPr>
          <w:rFonts w:cstheme="minorHAnsi"/>
          <w:b/>
          <w:bCs/>
          <w:color w:val="0070C0"/>
          <w:sz w:val="24"/>
          <w:szCs w:val="24"/>
          <w:shd w:val="clear" w:color="auto" w:fill="FFFFFF"/>
        </w:rPr>
      </w:pPr>
    </w:p>
    <w:p w14:paraId="560D2986" w14:textId="77777777" w:rsidR="001354A6" w:rsidRDefault="001354A6" w:rsidP="00903747">
      <w:pPr>
        <w:rPr>
          <w:rFonts w:cstheme="minorHAnsi"/>
          <w:b/>
          <w:bCs/>
          <w:color w:val="0070C0"/>
          <w:sz w:val="24"/>
          <w:szCs w:val="24"/>
          <w:shd w:val="clear" w:color="auto" w:fill="FFFFFF"/>
        </w:rPr>
      </w:pPr>
    </w:p>
    <w:p w14:paraId="398F3545" w14:textId="77777777" w:rsidR="001354A6" w:rsidRDefault="001354A6" w:rsidP="00903747">
      <w:pPr>
        <w:rPr>
          <w:rFonts w:cstheme="minorHAnsi"/>
          <w:b/>
          <w:bCs/>
          <w:color w:val="0070C0"/>
          <w:sz w:val="24"/>
          <w:szCs w:val="24"/>
          <w:shd w:val="clear" w:color="auto" w:fill="FFFFFF"/>
        </w:rPr>
      </w:pPr>
    </w:p>
    <w:p w14:paraId="5BDD30FA" w14:textId="77777777" w:rsidR="001354A6" w:rsidRDefault="001354A6" w:rsidP="00903747">
      <w:pPr>
        <w:rPr>
          <w:rFonts w:cstheme="minorHAnsi"/>
          <w:b/>
          <w:bCs/>
          <w:color w:val="0070C0"/>
          <w:sz w:val="24"/>
          <w:szCs w:val="24"/>
          <w:shd w:val="clear" w:color="auto" w:fill="FFFFFF"/>
        </w:rPr>
      </w:pPr>
    </w:p>
    <w:p w14:paraId="31BB4151" w14:textId="77777777" w:rsidR="001354A6" w:rsidRDefault="001354A6" w:rsidP="00903747">
      <w:pPr>
        <w:rPr>
          <w:rFonts w:cstheme="minorHAnsi"/>
          <w:b/>
          <w:bCs/>
          <w:color w:val="0070C0"/>
          <w:sz w:val="24"/>
          <w:szCs w:val="24"/>
          <w:shd w:val="clear" w:color="auto" w:fill="FFFFFF"/>
        </w:rPr>
      </w:pPr>
    </w:p>
    <w:p w14:paraId="72011CC7" w14:textId="77777777" w:rsidR="001354A6" w:rsidRDefault="001354A6" w:rsidP="00903747">
      <w:pPr>
        <w:rPr>
          <w:rFonts w:cstheme="minorHAnsi"/>
          <w:b/>
          <w:bCs/>
          <w:color w:val="0070C0"/>
          <w:sz w:val="24"/>
          <w:szCs w:val="24"/>
          <w:shd w:val="clear" w:color="auto" w:fill="FFFFFF"/>
        </w:rPr>
      </w:pPr>
    </w:p>
    <w:p w14:paraId="0D3CE1B3" w14:textId="77777777" w:rsidR="001354A6" w:rsidRDefault="001354A6" w:rsidP="00903747">
      <w:pPr>
        <w:rPr>
          <w:rFonts w:cstheme="minorHAnsi"/>
          <w:b/>
          <w:bCs/>
          <w:color w:val="0070C0"/>
          <w:sz w:val="24"/>
          <w:szCs w:val="24"/>
          <w:shd w:val="clear" w:color="auto" w:fill="FFFFFF"/>
        </w:rPr>
      </w:pPr>
    </w:p>
    <w:p w14:paraId="0A697323" w14:textId="77777777" w:rsidR="001354A6" w:rsidRDefault="001354A6" w:rsidP="00903747">
      <w:pPr>
        <w:rPr>
          <w:rFonts w:cstheme="minorHAnsi"/>
          <w:b/>
          <w:bCs/>
          <w:color w:val="0070C0"/>
          <w:sz w:val="24"/>
          <w:szCs w:val="24"/>
          <w:shd w:val="clear" w:color="auto" w:fill="FFFFFF"/>
        </w:rPr>
      </w:pPr>
    </w:p>
    <w:p w14:paraId="6DCFE320" w14:textId="77777777" w:rsidR="001354A6" w:rsidRDefault="001354A6" w:rsidP="00903747">
      <w:pPr>
        <w:rPr>
          <w:rFonts w:cstheme="minorHAnsi"/>
          <w:b/>
          <w:bCs/>
          <w:color w:val="0070C0"/>
          <w:sz w:val="24"/>
          <w:szCs w:val="24"/>
          <w:shd w:val="clear" w:color="auto" w:fill="FFFFFF"/>
        </w:rPr>
      </w:pPr>
    </w:p>
    <w:p w14:paraId="23C0DA56" w14:textId="77777777" w:rsidR="001354A6" w:rsidRDefault="001354A6" w:rsidP="00903747">
      <w:pPr>
        <w:rPr>
          <w:rFonts w:cstheme="minorHAnsi"/>
          <w:b/>
          <w:bCs/>
          <w:color w:val="0070C0"/>
          <w:sz w:val="24"/>
          <w:szCs w:val="24"/>
          <w:shd w:val="clear" w:color="auto" w:fill="FFFFFF"/>
        </w:rPr>
      </w:pPr>
    </w:p>
    <w:p w14:paraId="59C464A0" w14:textId="77777777" w:rsidR="001354A6" w:rsidRDefault="001354A6" w:rsidP="00903747">
      <w:pPr>
        <w:rPr>
          <w:rFonts w:cstheme="minorHAnsi"/>
          <w:b/>
          <w:bCs/>
          <w:color w:val="0070C0"/>
          <w:sz w:val="24"/>
          <w:szCs w:val="24"/>
          <w:shd w:val="clear" w:color="auto" w:fill="FFFFFF"/>
        </w:rPr>
      </w:pPr>
    </w:p>
    <w:p w14:paraId="7A1CB8BB" w14:textId="77777777" w:rsidR="00B5601A" w:rsidRDefault="00B5601A" w:rsidP="00903747">
      <w:pPr>
        <w:rPr>
          <w:rFonts w:cstheme="minorHAnsi"/>
          <w:b/>
          <w:bCs/>
          <w:color w:val="0070C0"/>
          <w:sz w:val="24"/>
          <w:szCs w:val="24"/>
          <w:shd w:val="clear" w:color="auto" w:fill="FFFFFF"/>
        </w:rPr>
      </w:pPr>
    </w:p>
    <w:p w14:paraId="6AD1C703" w14:textId="77777777" w:rsidR="00B5601A" w:rsidRDefault="00B5601A" w:rsidP="00903747">
      <w:pPr>
        <w:rPr>
          <w:rFonts w:cstheme="minorHAnsi"/>
          <w:b/>
          <w:bCs/>
          <w:color w:val="0070C0"/>
          <w:sz w:val="24"/>
          <w:szCs w:val="24"/>
          <w:shd w:val="clear" w:color="auto" w:fill="FFFFFF"/>
        </w:rPr>
      </w:pPr>
    </w:p>
    <w:p w14:paraId="25373A5F" w14:textId="77777777" w:rsidR="00B5601A" w:rsidRDefault="00B5601A" w:rsidP="00903747">
      <w:pPr>
        <w:rPr>
          <w:rFonts w:cstheme="minorHAnsi"/>
          <w:b/>
          <w:bCs/>
          <w:color w:val="0070C0"/>
          <w:sz w:val="24"/>
          <w:szCs w:val="24"/>
          <w:shd w:val="clear" w:color="auto" w:fill="FFFFFF"/>
        </w:rPr>
      </w:pPr>
    </w:p>
    <w:p w14:paraId="3BFC8689" w14:textId="77777777" w:rsidR="00B5601A" w:rsidRDefault="00B5601A" w:rsidP="00903747">
      <w:pPr>
        <w:rPr>
          <w:rFonts w:cstheme="minorHAnsi"/>
          <w:b/>
          <w:bCs/>
          <w:color w:val="0070C0"/>
          <w:sz w:val="24"/>
          <w:szCs w:val="24"/>
          <w:shd w:val="clear" w:color="auto" w:fill="FFFFFF"/>
        </w:rPr>
      </w:pPr>
    </w:p>
    <w:p w14:paraId="69822C03" w14:textId="77777777" w:rsidR="00B5601A" w:rsidRDefault="00B5601A" w:rsidP="00903747">
      <w:pPr>
        <w:rPr>
          <w:rFonts w:cstheme="minorHAnsi"/>
          <w:b/>
          <w:bCs/>
          <w:color w:val="0070C0"/>
          <w:sz w:val="24"/>
          <w:szCs w:val="24"/>
          <w:shd w:val="clear" w:color="auto" w:fill="FFFFFF"/>
        </w:rPr>
      </w:pPr>
    </w:p>
    <w:p w14:paraId="4A69AA2E" w14:textId="61C1F934" w:rsidR="00B7781D" w:rsidRPr="003879E4" w:rsidRDefault="00B7781D" w:rsidP="00903747">
      <w:pPr>
        <w:rPr>
          <w:rFonts w:cstheme="minorHAnsi"/>
          <w:b/>
          <w:bCs/>
          <w:color w:val="0070C0"/>
          <w:sz w:val="24"/>
          <w:szCs w:val="24"/>
          <w:shd w:val="clear" w:color="auto" w:fill="FFFFFF"/>
        </w:rPr>
      </w:pPr>
      <w:r w:rsidRPr="003879E4">
        <w:rPr>
          <w:rFonts w:cstheme="minorHAnsi"/>
          <w:b/>
          <w:bCs/>
          <w:color w:val="0070C0"/>
          <w:sz w:val="24"/>
          <w:szCs w:val="24"/>
          <w:shd w:val="clear" w:color="auto" w:fill="FFFFFF"/>
        </w:rPr>
        <w:lastRenderedPageBreak/>
        <w:t xml:space="preserve">Chapter Six: </w:t>
      </w:r>
      <w:r w:rsidR="001354A6">
        <w:rPr>
          <w:rFonts w:cstheme="minorHAnsi"/>
          <w:b/>
          <w:bCs/>
          <w:color w:val="0070C0"/>
          <w:sz w:val="24"/>
          <w:szCs w:val="24"/>
          <w:shd w:val="clear" w:color="auto" w:fill="FFFFFF"/>
        </w:rPr>
        <w:t>Reference</w:t>
      </w:r>
      <w:r w:rsidR="00B5601A">
        <w:rPr>
          <w:rFonts w:cstheme="minorHAnsi"/>
          <w:b/>
          <w:bCs/>
          <w:color w:val="0070C0"/>
          <w:sz w:val="24"/>
          <w:szCs w:val="24"/>
          <w:shd w:val="clear" w:color="auto" w:fill="FFFFFF"/>
        </w:rPr>
        <w:t xml:space="preserve"> List</w:t>
      </w:r>
      <w:r w:rsidR="001354A6">
        <w:rPr>
          <w:rFonts w:cstheme="minorHAnsi"/>
          <w:b/>
          <w:bCs/>
          <w:color w:val="0070C0"/>
          <w:sz w:val="24"/>
          <w:szCs w:val="24"/>
          <w:shd w:val="clear" w:color="auto" w:fill="FFFFFF"/>
        </w:rPr>
        <w:t xml:space="preserve"> </w:t>
      </w:r>
    </w:p>
    <w:p w14:paraId="00303CDF"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 xml:space="preserve">Aaron, R., </w:t>
      </w:r>
      <w:proofErr w:type="spellStart"/>
      <w:r w:rsidRPr="003879E4">
        <w:rPr>
          <w:rFonts w:asciiTheme="minorHAnsi" w:hAnsiTheme="minorHAnsi" w:cstheme="minorHAnsi"/>
          <w:color w:val="000000"/>
        </w:rPr>
        <w:t>Manent</w:t>
      </w:r>
      <w:proofErr w:type="spellEnd"/>
      <w:r w:rsidRPr="003879E4">
        <w:rPr>
          <w:rFonts w:asciiTheme="minorHAnsi" w:hAnsiTheme="minorHAnsi" w:cstheme="minorHAnsi"/>
          <w:color w:val="000000"/>
        </w:rPr>
        <w:t>, P., Mahoney, D. and Anderson, P. (2018). </w:t>
      </w:r>
      <w:r w:rsidRPr="003879E4">
        <w:rPr>
          <w:rFonts w:asciiTheme="minorHAnsi" w:hAnsiTheme="minorHAnsi" w:cstheme="minorHAnsi"/>
          <w:i/>
          <w:iCs/>
          <w:color w:val="000000"/>
        </w:rPr>
        <w:t>Main Currents in Sociological Thought</w:t>
      </w:r>
      <w:r w:rsidRPr="003879E4">
        <w:rPr>
          <w:rFonts w:asciiTheme="minorHAnsi" w:hAnsiTheme="minorHAnsi" w:cstheme="minorHAnsi"/>
          <w:color w:val="000000"/>
        </w:rPr>
        <w:t>. 1st ed. London: Routledge, p.314.</w:t>
      </w:r>
    </w:p>
    <w:p w14:paraId="559BE132"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proofErr w:type="spellStart"/>
      <w:r w:rsidRPr="003879E4">
        <w:rPr>
          <w:rFonts w:asciiTheme="minorHAnsi" w:hAnsiTheme="minorHAnsi" w:cstheme="minorHAnsi"/>
          <w:color w:val="000000"/>
        </w:rPr>
        <w:t>Aberbach</w:t>
      </w:r>
      <w:proofErr w:type="spellEnd"/>
      <w:r w:rsidRPr="003879E4">
        <w:rPr>
          <w:rFonts w:asciiTheme="minorHAnsi" w:hAnsiTheme="minorHAnsi" w:cstheme="minorHAnsi"/>
          <w:color w:val="000000"/>
        </w:rPr>
        <w:t>, J and Rockman, B (2002) Conducting and coding elite interviews. </w:t>
      </w:r>
      <w:r w:rsidRPr="003879E4">
        <w:rPr>
          <w:rFonts w:asciiTheme="minorHAnsi" w:hAnsiTheme="minorHAnsi" w:cstheme="minorHAnsi"/>
          <w:i/>
          <w:iCs/>
          <w:color w:val="000000"/>
        </w:rPr>
        <w:t>PS: Political Science &amp; Politics</w:t>
      </w:r>
      <w:r w:rsidRPr="003879E4">
        <w:rPr>
          <w:rFonts w:asciiTheme="minorHAnsi" w:hAnsiTheme="minorHAnsi" w:cstheme="minorHAnsi"/>
          <w:color w:val="000000"/>
        </w:rPr>
        <w:t>, </w:t>
      </w:r>
      <w:r w:rsidRPr="003879E4">
        <w:rPr>
          <w:rFonts w:asciiTheme="minorHAnsi" w:hAnsiTheme="minorHAnsi" w:cstheme="minorHAnsi"/>
          <w:i/>
          <w:iCs/>
          <w:color w:val="000000"/>
        </w:rPr>
        <w:t>35</w:t>
      </w:r>
      <w:r w:rsidRPr="003879E4">
        <w:rPr>
          <w:rFonts w:asciiTheme="minorHAnsi" w:hAnsiTheme="minorHAnsi" w:cstheme="minorHAnsi"/>
          <w:color w:val="000000"/>
        </w:rPr>
        <w:t>(4), pp.673-676.</w:t>
      </w:r>
    </w:p>
    <w:p w14:paraId="581B1F1E"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ACE Aware Wales (2021). Knowledge Base – Ace Aware Wales. [online] aceawarewales.com. Available at: </w:t>
      </w:r>
      <w:hyperlink r:id="rId24" w:history="1">
        <w:r w:rsidRPr="003879E4">
          <w:rPr>
            <w:rStyle w:val="Hyperlink"/>
            <w:rFonts w:asciiTheme="minorHAnsi" w:hAnsiTheme="minorHAnsi" w:cstheme="minorHAnsi"/>
            <w:i/>
            <w:iCs/>
          </w:rPr>
          <w:t>https://aceawarewales.com/knowledge-base-1/</w:t>
        </w:r>
      </w:hyperlink>
      <w:r w:rsidRPr="003879E4">
        <w:rPr>
          <w:rFonts w:asciiTheme="minorHAnsi" w:hAnsiTheme="minorHAnsi" w:cstheme="minorHAnsi"/>
          <w:i/>
          <w:iCs/>
          <w:color w:val="000000"/>
        </w:rPr>
        <w:t xml:space="preserve"> </w:t>
      </w:r>
      <w:r w:rsidRPr="003879E4">
        <w:rPr>
          <w:rFonts w:asciiTheme="minorHAnsi" w:hAnsiTheme="minorHAnsi" w:cstheme="minorHAnsi"/>
          <w:color w:val="000000"/>
        </w:rPr>
        <w:t>(Accessed 8 Dec. 2021).</w:t>
      </w:r>
    </w:p>
    <w:p w14:paraId="5BA28611"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 xml:space="preserve">Ambulance and Welfare Unit UK (2020). How much it costs the NHS when you call an ambulance or go to A&amp;E. [online] </w:t>
      </w:r>
      <w:proofErr w:type="spellStart"/>
      <w:r w:rsidRPr="003879E4">
        <w:rPr>
          <w:rFonts w:asciiTheme="minorHAnsi" w:hAnsiTheme="minorHAnsi" w:cstheme="minorHAnsi"/>
          <w:color w:val="000000"/>
        </w:rPr>
        <w:t>WalesOnline</w:t>
      </w:r>
      <w:proofErr w:type="spellEnd"/>
      <w:r w:rsidRPr="003879E4">
        <w:rPr>
          <w:rFonts w:asciiTheme="minorHAnsi" w:hAnsiTheme="minorHAnsi" w:cstheme="minorHAnsi"/>
          <w:color w:val="000000"/>
        </w:rPr>
        <w:t xml:space="preserve">. Available at: </w:t>
      </w:r>
      <w:hyperlink r:id="rId25" w:history="1">
        <w:r w:rsidRPr="003879E4">
          <w:rPr>
            <w:rStyle w:val="Hyperlink"/>
            <w:rFonts w:asciiTheme="minorHAnsi" w:hAnsiTheme="minorHAnsi" w:cstheme="minorHAnsi"/>
            <w:i/>
            <w:iCs/>
          </w:rPr>
          <w:t>https://www.walesonline.co.uk/news/uk-news/how-much-costs-nhs-you-17677461</w:t>
        </w:r>
      </w:hyperlink>
      <w:r w:rsidRPr="003879E4">
        <w:rPr>
          <w:rFonts w:asciiTheme="minorHAnsi" w:hAnsiTheme="minorHAnsi" w:cstheme="minorHAnsi"/>
          <w:i/>
          <w:iCs/>
          <w:color w:val="000000"/>
        </w:rPr>
        <w:t xml:space="preserve">  </w:t>
      </w:r>
      <w:r w:rsidRPr="003879E4">
        <w:rPr>
          <w:rFonts w:asciiTheme="minorHAnsi" w:hAnsiTheme="minorHAnsi" w:cstheme="minorHAnsi"/>
          <w:color w:val="000000"/>
        </w:rPr>
        <w:t>(Accessed 4 Nov. 2021).</w:t>
      </w:r>
    </w:p>
    <w:p w14:paraId="04FE2301"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Ammerman, A (1981) Surveys and archaeological research. </w:t>
      </w:r>
      <w:r w:rsidRPr="003879E4">
        <w:rPr>
          <w:rFonts w:asciiTheme="minorHAnsi" w:hAnsiTheme="minorHAnsi" w:cstheme="minorHAnsi"/>
          <w:i/>
          <w:iCs/>
          <w:color w:val="000000"/>
        </w:rPr>
        <w:t>Annual Review of Anthropology</w:t>
      </w:r>
      <w:r w:rsidRPr="003879E4">
        <w:rPr>
          <w:rFonts w:asciiTheme="minorHAnsi" w:hAnsiTheme="minorHAnsi" w:cstheme="minorHAnsi"/>
          <w:color w:val="000000"/>
        </w:rPr>
        <w:t>, </w:t>
      </w:r>
      <w:r w:rsidRPr="003879E4">
        <w:rPr>
          <w:rFonts w:asciiTheme="minorHAnsi" w:hAnsiTheme="minorHAnsi" w:cstheme="minorHAnsi"/>
          <w:i/>
          <w:iCs/>
          <w:color w:val="000000"/>
        </w:rPr>
        <w:t>10</w:t>
      </w:r>
      <w:r w:rsidRPr="003879E4">
        <w:rPr>
          <w:rFonts w:asciiTheme="minorHAnsi" w:hAnsiTheme="minorHAnsi" w:cstheme="minorHAnsi"/>
          <w:color w:val="000000"/>
        </w:rPr>
        <w:t>(1), pp.63-88.</w:t>
      </w:r>
    </w:p>
    <w:p w14:paraId="24919543"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 xml:space="preserve">Annan L, </w:t>
      </w:r>
      <w:proofErr w:type="spellStart"/>
      <w:r w:rsidRPr="003879E4">
        <w:rPr>
          <w:rFonts w:asciiTheme="minorHAnsi" w:hAnsiTheme="minorHAnsi" w:cstheme="minorHAnsi"/>
          <w:color w:val="000000"/>
        </w:rPr>
        <w:t>Gaoua</w:t>
      </w:r>
      <w:proofErr w:type="spellEnd"/>
      <w:r w:rsidRPr="003879E4">
        <w:rPr>
          <w:rFonts w:asciiTheme="minorHAnsi" w:hAnsiTheme="minorHAnsi" w:cstheme="minorHAnsi"/>
          <w:color w:val="000000"/>
        </w:rPr>
        <w:t xml:space="preserve"> N, </w:t>
      </w:r>
      <w:proofErr w:type="spellStart"/>
      <w:r w:rsidRPr="003879E4">
        <w:rPr>
          <w:rFonts w:asciiTheme="minorHAnsi" w:hAnsiTheme="minorHAnsi" w:cstheme="minorHAnsi"/>
          <w:color w:val="000000"/>
        </w:rPr>
        <w:t>Mileva</w:t>
      </w:r>
      <w:proofErr w:type="spellEnd"/>
      <w:r w:rsidRPr="003879E4">
        <w:rPr>
          <w:rFonts w:asciiTheme="minorHAnsi" w:hAnsiTheme="minorHAnsi" w:cstheme="minorHAnsi"/>
          <w:color w:val="000000"/>
        </w:rPr>
        <w:t xml:space="preserve"> K and Borges M (2021) What makes young people get involved with street gangs in London? A study of the perceived risk factors. </w:t>
      </w:r>
      <w:r w:rsidRPr="003879E4">
        <w:rPr>
          <w:rFonts w:asciiTheme="minorHAnsi" w:hAnsiTheme="minorHAnsi" w:cstheme="minorHAnsi"/>
          <w:i/>
          <w:iCs/>
          <w:color w:val="000000"/>
        </w:rPr>
        <w:t>Journal of community psychology</w:t>
      </w:r>
      <w:r w:rsidRPr="003879E4">
        <w:rPr>
          <w:rFonts w:asciiTheme="minorHAnsi" w:hAnsiTheme="minorHAnsi" w:cstheme="minorHAnsi"/>
          <w:color w:val="000000"/>
        </w:rPr>
        <w:t>.</w:t>
      </w:r>
    </w:p>
    <w:p w14:paraId="6189E71A" w14:textId="77777777" w:rsidR="006F1594" w:rsidRDefault="00B7781D" w:rsidP="006F1594">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ASB Help (2014) Effective Support for Anti-Social Behaviour Victims. Available at: </w:t>
      </w:r>
      <w:hyperlink r:id="rId26" w:history="1">
        <w:r w:rsidRPr="003879E4">
          <w:rPr>
            <w:rStyle w:val="Hyperlink"/>
            <w:rFonts w:asciiTheme="minorHAnsi" w:hAnsiTheme="minorHAnsi" w:cstheme="minorHAnsi"/>
            <w:i/>
            <w:iCs/>
          </w:rPr>
          <w:t>https://asbhelp.co.uk/wp-content/uploads/2014/11/ASB-Help-Report-Effective-Support-November-2014.pdf</w:t>
        </w:r>
      </w:hyperlink>
      <w:r w:rsidRPr="003879E4">
        <w:rPr>
          <w:rFonts w:asciiTheme="minorHAnsi" w:hAnsiTheme="minorHAnsi" w:cstheme="minorHAnsi"/>
          <w:i/>
          <w:iCs/>
          <w:color w:val="000000"/>
        </w:rPr>
        <w:t xml:space="preserve"> </w:t>
      </w:r>
      <w:r w:rsidRPr="003879E4">
        <w:rPr>
          <w:rFonts w:asciiTheme="minorHAnsi" w:hAnsiTheme="minorHAnsi" w:cstheme="minorHAnsi"/>
          <w:color w:val="000000"/>
        </w:rPr>
        <w:t>(Accessed 21 Jan. 2022)</w:t>
      </w:r>
    </w:p>
    <w:p w14:paraId="7DF883C3" w14:textId="43013C32" w:rsidR="00B7781D" w:rsidRPr="006F1594" w:rsidRDefault="00B7781D" w:rsidP="006F1594">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6F1594">
        <w:rPr>
          <w:rFonts w:asciiTheme="minorHAnsi" w:hAnsiTheme="minorHAnsi" w:cstheme="minorHAnsi"/>
          <w:color w:val="000000"/>
        </w:rPr>
        <w:t>Barnett, J., Thorpe, S. and Young, T. (2018). Characterising and Justifying Sample Size Sufficiency in interview-based studies: Systematic Analysis of Qualitative Health Research over a 15-year Period. </w:t>
      </w:r>
      <w:r w:rsidRPr="006F1594">
        <w:rPr>
          <w:rFonts w:asciiTheme="minorHAnsi" w:hAnsiTheme="minorHAnsi" w:cstheme="minorHAnsi"/>
          <w:i/>
          <w:iCs/>
          <w:color w:val="000000"/>
        </w:rPr>
        <w:t>BMC Medical Research Methodology</w:t>
      </w:r>
      <w:r w:rsidRPr="006F1594">
        <w:rPr>
          <w:rFonts w:asciiTheme="minorHAnsi" w:hAnsiTheme="minorHAnsi" w:cstheme="minorHAnsi"/>
          <w:color w:val="000000"/>
        </w:rPr>
        <w:t xml:space="preserve">, [online] 18(1). Available at: </w:t>
      </w:r>
      <w:hyperlink r:id="rId27" w:history="1">
        <w:r w:rsidRPr="006F1594">
          <w:rPr>
            <w:rStyle w:val="Hyperlink"/>
            <w:rFonts w:asciiTheme="minorHAnsi" w:hAnsiTheme="minorHAnsi" w:cstheme="minorHAnsi"/>
            <w:i/>
            <w:iCs/>
          </w:rPr>
          <w:t>https://bmcmedresmethodol.biomedcentral.com/articles/10.1186/s12874-018-0594</w:t>
        </w:r>
      </w:hyperlink>
      <w:r w:rsidR="00D618F8" w:rsidRPr="006F1594">
        <w:rPr>
          <w:rFonts w:asciiTheme="minorHAnsi" w:hAnsiTheme="minorHAnsi" w:cstheme="minorHAnsi"/>
          <w:i/>
          <w:iCs/>
          <w:color w:val="000000"/>
        </w:rPr>
        <w:t xml:space="preserve"> </w:t>
      </w:r>
      <w:r w:rsidR="00D618F8" w:rsidRPr="006F1594">
        <w:rPr>
          <w:rFonts w:asciiTheme="minorHAnsi" w:hAnsiTheme="minorHAnsi" w:cstheme="minorHAnsi"/>
          <w:color w:val="000000"/>
        </w:rPr>
        <w:t xml:space="preserve"> (</w:t>
      </w:r>
      <w:r w:rsidRPr="006F1594">
        <w:rPr>
          <w:rFonts w:asciiTheme="minorHAnsi" w:hAnsiTheme="minorHAnsi" w:cstheme="minorHAnsi"/>
          <w:color w:val="000000"/>
        </w:rPr>
        <w:t>Accessed 6 Mar. 2022).</w:t>
      </w:r>
    </w:p>
    <w:p w14:paraId="41E3BFA2"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Bernard, T. (2018). William Sheldon | American psychologist. In: </w:t>
      </w:r>
      <w:proofErr w:type="spellStart"/>
      <w:r w:rsidRPr="003879E4">
        <w:rPr>
          <w:rFonts w:asciiTheme="minorHAnsi" w:hAnsiTheme="minorHAnsi" w:cstheme="minorHAnsi"/>
          <w:i/>
          <w:iCs/>
          <w:color w:val="000000"/>
        </w:rPr>
        <w:t>Encyclopædia</w:t>
      </w:r>
      <w:proofErr w:type="spellEnd"/>
      <w:r w:rsidRPr="003879E4">
        <w:rPr>
          <w:rFonts w:asciiTheme="minorHAnsi" w:hAnsiTheme="minorHAnsi" w:cstheme="minorHAnsi"/>
          <w:i/>
          <w:iCs/>
          <w:color w:val="000000"/>
        </w:rPr>
        <w:t xml:space="preserve"> Britannica</w:t>
      </w:r>
      <w:r w:rsidRPr="003879E4">
        <w:rPr>
          <w:rFonts w:asciiTheme="minorHAnsi" w:hAnsiTheme="minorHAnsi" w:cstheme="minorHAnsi"/>
          <w:color w:val="000000"/>
        </w:rPr>
        <w:t xml:space="preserve">. [online] Available at: </w:t>
      </w:r>
      <w:hyperlink r:id="rId28" w:history="1">
        <w:r w:rsidRPr="003879E4">
          <w:rPr>
            <w:rStyle w:val="Hyperlink"/>
            <w:rFonts w:asciiTheme="minorHAnsi" w:hAnsiTheme="minorHAnsi" w:cstheme="minorHAnsi"/>
            <w:i/>
            <w:iCs/>
          </w:rPr>
          <w:t>https://www.britannica.com/biography/William-Sheldon</w:t>
        </w:r>
      </w:hyperlink>
      <w:r w:rsidRPr="003879E4">
        <w:rPr>
          <w:rFonts w:asciiTheme="minorHAnsi" w:hAnsiTheme="minorHAnsi" w:cstheme="minorHAnsi"/>
          <w:color w:val="000000"/>
        </w:rPr>
        <w:t xml:space="preserve"> (Accessed 18 Jan. 2022).</w:t>
      </w:r>
    </w:p>
    <w:p w14:paraId="593B83FD"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proofErr w:type="spellStart"/>
      <w:r w:rsidRPr="003879E4">
        <w:rPr>
          <w:rFonts w:asciiTheme="minorHAnsi" w:hAnsiTheme="minorHAnsi" w:cstheme="minorHAnsi"/>
          <w:color w:val="000000"/>
        </w:rPr>
        <w:t>Biggam</w:t>
      </w:r>
      <w:proofErr w:type="spellEnd"/>
      <w:r w:rsidRPr="003879E4">
        <w:rPr>
          <w:rFonts w:asciiTheme="minorHAnsi" w:hAnsiTheme="minorHAnsi" w:cstheme="minorHAnsi"/>
          <w:color w:val="000000"/>
        </w:rPr>
        <w:t>, J. (2015). </w:t>
      </w:r>
      <w:r w:rsidRPr="003879E4">
        <w:rPr>
          <w:rFonts w:asciiTheme="minorHAnsi" w:hAnsiTheme="minorHAnsi" w:cstheme="minorHAnsi"/>
          <w:i/>
          <w:iCs/>
          <w:color w:val="000000"/>
        </w:rPr>
        <w:t>Succeeding with Your Master’s Dissertation</w:t>
      </w:r>
      <w:r w:rsidRPr="003879E4">
        <w:rPr>
          <w:rFonts w:asciiTheme="minorHAnsi" w:hAnsiTheme="minorHAnsi" w:cstheme="minorHAnsi"/>
          <w:color w:val="000000"/>
        </w:rPr>
        <w:t>. 3rd ed. Berkshire, England: Open University Press, pp.92–263.</w:t>
      </w:r>
    </w:p>
    <w:p w14:paraId="5B436E74"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Bristol University (2019). </w:t>
      </w:r>
      <w:r w:rsidRPr="003879E4">
        <w:rPr>
          <w:rFonts w:asciiTheme="minorHAnsi" w:hAnsiTheme="minorHAnsi" w:cstheme="minorHAnsi"/>
          <w:i/>
          <w:iCs/>
          <w:color w:val="000000"/>
        </w:rPr>
        <w:t>Dealing with Sensitive Data</w:t>
      </w:r>
      <w:r w:rsidRPr="003879E4">
        <w:rPr>
          <w:rFonts w:asciiTheme="minorHAnsi" w:hAnsiTheme="minorHAnsi" w:cstheme="minorHAnsi"/>
          <w:color w:val="000000"/>
        </w:rPr>
        <w:t xml:space="preserve">. [online] www.bristol.ac.uk. Available at: </w:t>
      </w:r>
      <w:hyperlink r:id="rId29" w:history="1">
        <w:r w:rsidRPr="003879E4">
          <w:rPr>
            <w:rStyle w:val="Hyperlink"/>
            <w:rFonts w:asciiTheme="minorHAnsi" w:hAnsiTheme="minorHAnsi" w:cstheme="minorHAnsi"/>
            <w:i/>
            <w:iCs/>
          </w:rPr>
          <w:t>http://www.bristol.ac.uk/staff/researchers/data/dealing-with-sensitive-data/</w:t>
        </w:r>
      </w:hyperlink>
      <w:r w:rsidRPr="003879E4">
        <w:rPr>
          <w:rFonts w:asciiTheme="minorHAnsi" w:hAnsiTheme="minorHAnsi" w:cstheme="minorHAnsi"/>
          <w:color w:val="000000"/>
        </w:rPr>
        <w:t xml:space="preserve"> (Accessed 18 Mar. 2022).</w:t>
      </w:r>
    </w:p>
    <w:p w14:paraId="44F14769"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Bryant R &amp; Bryant S (2017) ‘</w:t>
      </w:r>
      <w:r w:rsidRPr="003879E4">
        <w:rPr>
          <w:rFonts w:asciiTheme="minorHAnsi" w:hAnsiTheme="minorHAnsi" w:cstheme="minorHAnsi"/>
          <w:i/>
          <w:iCs/>
          <w:color w:val="000000"/>
        </w:rPr>
        <w:t>Handbook for Policing’</w:t>
      </w:r>
      <w:r w:rsidRPr="003879E4">
        <w:rPr>
          <w:rFonts w:asciiTheme="minorHAnsi" w:hAnsiTheme="minorHAnsi" w:cstheme="minorHAnsi"/>
          <w:color w:val="000000"/>
        </w:rPr>
        <w:t xml:space="preserve">. 11th </w:t>
      </w:r>
      <w:proofErr w:type="spellStart"/>
      <w:r w:rsidRPr="003879E4">
        <w:rPr>
          <w:rFonts w:asciiTheme="minorHAnsi" w:hAnsiTheme="minorHAnsi" w:cstheme="minorHAnsi"/>
          <w:color w:val="000000"/>
        </w:rPr>
        <w:t>edt</w:t>
      </w:r>
      <w:proofErr w:type="spellEnd"/>
      <w:r w:rsidRPr="003879E4">
        <w:rPr>
          <w:rFonts w:asciiTheme="minorHAnsi" w:hAnsiTheme="minorHAnsi" w:cstheme="minorHAnsi"/>
          <w:color w:val="000000"/>
        </w:rPr>
        <w:t>. Blackstone’s. Oxford Press. pp.85.</w:t>
      </w:r>
    </w:p>
    <w:p w14:paraId="6D0A66AD"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proofErr w:type="spellStart"/>
      <w:r w:rsidRPr="003879E4">
        <w:rPr>
          <w:rFonts w:asciiTheme="minorHAnsi" w:hAnsiTheme="minorHAnsi" w:cstheme="minorHAnsi"/>
          <w:color w:val="000000"/>
        </w:rPr>
        <w:t>Buil</w:t>
      </w:r>
      <w:proofErr w:type="spellEnd"/>
      <w:r w:rsidRPr="003879E4">
        <w:rPr>
          <w:rFonts w:asciiTheme="minorHAnsi" w:hAnsiTheme="minorHAnsi" w:cstheme="minorHAnsi"/>
          <w:color w:val="000000"/>
        </w:rPr>
        <w:t>-Gil, D., Moretti, A. and Langton, S.H. (2021). The Accuracy of Crime statistics: Assessing the Impact of Police Data Bias on Geographic Crime Analysis. </w:t>
      </w:r>
      <w:r w:rsidRPr="003879E4">
        <w:rPr>
          <w:rFonts w:asciiTheme="minorHAnsi" w:hAnsiTheme="minorHAnsi" w:cstheme="minorHAnsi"/>
          <w:i/>
          <w:iCs/>
          <w:color w:val="000000"/>
        </w:rPr>
        <w:t>Journal of Experimental Criminology</w:t>
      </w:r>
      <w:r w:rsidRPr="003879E4">
        <w:rPr>
          <w:rFonts w:asciiTheme="minorHAnsi" w:hAnsiTheme="minorHAnsi" w:cstheme="minorHAnsi"/>
          <w:color w:val="000000"/>
        </w:rPr>
        <w:t>.</w:t>
      </w:r>
    </w:p>
    <w:p w14:paraId="4311E792"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lastRenderedPageBreak/>
        <w:t>Bulmer, M. and Warwick, D (1983) Research strategy. </w:t>
      </w:r>
      <w:r w:rsidRPr="003879E4">
        <w:rPr>
          <w:rFonts w:asciiTheme="minorHAnsi" w:hAnsiTheme="minorHAnsi" w:cstheme="minorHAnsi"/>
          <w:i/>
          <w:iCs/>
          <w:color w:val="000000"/>
        </w:rPr>
        <w:t>Social research in developing countries: Surveys and censuses in the third world</w:t>
      </w:r>
      <w:r w:rsidRPr="003879E4">
        <w:rPr>
          <w:rFonts w:asciiTheme="minorHAnsi" w:hAnsiTheme="minorHAnsi" w:cstheme="minorHAnsi"/>
          <w:color w:val="000000"/>
        </w:rPr>
        <w:t>, pp.27-40.</w:t>
      </w:r>
    </w:p>
    <w:p w14:paraId="20ED9519"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 xml:space="preserve">Burney, E (2002) 'Talking Tough, Acting Coy: What happened to the Anti-social Behaviour Order?', </w:t>
      </w:r>
      <w:r w:rsidRPr="003879E4">
        <w:rPr>
          <w:rFonts w:asciiTheme="minorHAnsi" w:hAnsiTheme="minorHAnsi" w:cstheme="minorHAnsi"/>
          <w:i/>
          <w:iCs/>
          <w:color w:val="000000"/>
        </w:rPr>
        <w:t>The Howard Journal</w:t>
      </w:r>
      <w:r w:rsidRPr="003879E4">
        <w:rPr>
          <w:rFonts w:asciiTheme="minorHAnsi" w:hAnsiTheme="minorHAnsi" w:cstheme="minorHAnsi"/>
          <w:color w:val="000000"/>
        </w:rPr>
        <w:t>. 41(5), pp: 469 - 484.</w:t>
      </w:r>
    </w:p>
    <w:p w14:paraId="557D9761"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Burton, S and Blair, E (1991) Task conditions, response formulation processes, and response accuracy for behavioural frequency questions in surveys. </w:t>
      </w:r>
      <w:r w:rsidRPr="003879E4">
        <w:rPr>
          <w:rFonts w:asciiTheme="minorHAnsi" w:hAnsiTheme="minorHAnsi" w:cstheme="minorHAnsi"/>
          <w:i/>
          <w:iCs/>
          <w:color w:val="000000"/>
        </w:rPr>
        <w:t>Public Opinion Quarterly</w:t>
      </w:r>
      <w:r w:rsidRPr="003879E4">
        <w:rPr>
          <w:rFonts w:asciiTheme="minorHAnsi" w:hAnsiTheme="minorHAnsi" w:cstheme="minorHAnsi"/>
          <w:color w:val="000000"/>
        </w:rPr>
        <w:t>, </w:t>
      </w:r>
      <w:r w:rsidRPr="003879E4">
        <w:rPr>
          <w:rFonts w:asciiTheme="minorHAnsi" w:hAnsiTheme="minorHAnsi" w:cstheme="minorHAnsi"/>
          <w:i/>
          <w:iCs/>
          <w:color w:val="000000"/>
        </w:rPr>
        <w:t>55</w:t>
      </w:r>
      <w:r w:rsidRPr="003879E4">
        <w:rPr>
          <w:rFonts w:asciiTheme="minorHAnsi" w:hAnsiTheme="minorHAnsi" w:cstheme="minorHAnsi"/>
          <w:color w:val="000000"/>
        </w:rPr>
        <w:t>(1), pp.50-79.</w:t>
      </w:r>
    </w:p>
    <w:p w14:paraId="4E254006"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Business Research Methodology (2022). </w:t>
      </w:r>
      <w:r w:rsidRPr="003879E4">
        <w:rPr>
          <w:rFonts w:asciiTheme="minorHAnsi" w:hAnsiTheme="minorHAnsi" w:cstheme="minorHAnsi"/>
          <w:i/>
          <w:iCs/>
          <w:color w:val="000000"/>
        </w:rPr>
        <w:t>Positivism - Research Methodology</w:t>
      </w:r>
      <w:r w:rsidRPr="003879E4">
        <w:rPr>
          <w:rFonts w:asciiTheme="minorHAnsi" w:hAnsiTheme="minorHAnsi" w:cstheme="minorHAnsi"/>
          <w:color w:val="000000"/>
        </w:rPr>
        <w:t xml:space="preserve">. [online] Research-Methodology. Available at: </w:t>
      </w:r>
      <w:hyperlink r:id="rId30" w:anchor="_ftn5" w:history="1">
        <w:r w:rsidRPr="003879E4">
          <w:rPr>
            <w:rStyle w:val="Hyperlink"/>
            <w:rFonts w:asciiTheme="minorHAnsi" w:hAnsiTheme="minorHAnsi" w:cstheme="minorHAnsi"/>
            <w:i/>
            <w:iCs/>
          </w:rPr>
          <w:t>https://research-methodology.net/research-philosophy/positivism/#_ftn5</w:t>
        </w:r>
      </w:hyperlink>
      <w:r w:rsidRPr="003879E4">
        <w:rPr>
          <w:rFonts w:asciiTheme="minorHAnsi" w:hAnsiTheme="minorHAnsi" w:cstheme="minorHAnsi"/>
          <w:color w:val="000000"/>
        </w:rPr>
        <w:t xml:space="preserve"> (Accessed 6 Mar. 2022).</w:t>
      </w:r>
    </w:p>
    <w:p w14:paraId="06161394"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proofErr w:type="spellStart"/>
      <w:r w:rsidRPr="003879E4">
        <w:rPr>
          <w:rFonts w:asciiTheme="minorHAnsi" w:hAnsiTheme="minorHAnsi" w:cstheme="minorHAnsi"/>
          <w:color w:val="000000"/>
        </w:rPr>
        <w:t>Cadoret</w:t>
      </w:r>
      <w:proofErr w:type="spellEnd"/>
      <w:r w:rsidRPr="003879E4">
        <w:rPr>
          <w:rFonts w:asciiTheme="minorHAnsi" w:hAnsiTheme="minorHAnsi" w:cstheme="minorHAnsi"/>
          <w:color w:val="000000"/>
        </w:rPr>
        <w:t>, R., Cain, C., Crowe, R. and Bell, R. (1983). Evidence for gene-environment interaction in the development of adolescent antisocial behaviour. </w:t>
      </w:r>
      <w:r w:rsidRPr="003879E4">
        <w:rPr>
          <w:rFonts w:asciiTheme="minorHAnsi" w:hAnsiTheme="minorHAnsi" w:cstheme="minorHAnsi"/>
          <w:i/>
          <w:iCs/>
          <w:color w:val="000000"/>
        </w:rPr>
        <w:t>Behaviour Genetics</w:t>
      </w:r>
      <w:r w:rsidRPr="003879E4">
        <w:rPr>
          <w:rFonts w:asciiTheme="minorHAnsi" w:hAnsiTheme="minorHAnsi" w:cstheme="minorHAnsi"/>
          <w:color w:val="000000"/>
        </w:rPr>
        <w:t>, 13(3), pp.301–310.</w:t>
      </w:r>
    </w:p>
    <w:p w14:paraId="65A33743"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 xml:space="preserve">Campbell, S (2002) </w:t>
      </w:r>
      <w:r w:rsidRPr="003879E4">
        <w:rPr>
          <w:rFonts w:asciiTheme="minorHAnsi" w:hAnsiTheme="minorHAnsi" w:cstheme="minorHAnsi"/>
          <w:i/>
          <w:iCs/>
          <w:color w:val="000000"/>
        </w:rPr>
        <w:t>A Review of Anti-social Behaviour Orders</w:t>
      </w:r>
      <w:r w:rsidRPr="003879E4">
        <w:rPr>
          <w:rFonts w:asciiTheme="minorHAnsi" w:hAnsiTheme="minorHAnsi" w:cstheme="minorHAnsi"/>
          <w:color w:val="000000"/>
        </w:rPr>
        <w:t>. London: Research, Development and Statistics Directorate.</w:t>
      </w:r>
    </w:p>
    <w:p w14:paraId="418BE89F"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Carlo, M. (2018). </w:t>
      </w:r>
      <w:r w:rsidRPr="003879E4">
        <w:rPr>
          <w:rFonts w:asciiTheme="minorHAnsi" w:hAnsiTheme="minorHAnsi" w:cstheme="minorHAnsi"/>
          <w:i/>
          <w:iCs/>
          <w:color w:val="000000"/>
        </w:rPr>
        <w:t>Inductive and Deductive Reasoning</w:t>
      </w:r>
      <w:r w:rsidRPr="003879E4">
        <w:rPr>
          <w:rFonts w:asciiTheme="minorHAnsi" w:hAnsiTheme="minorHAnsi" w:cstheme="minorHAnsi"/>
          <w:color w:val="000000"/>
        </w:rPr>
        <w:t xml:space="preserve">. [online] scientificinquiryinsocialwork.pressbooks.com. Available at: </w:t>
      </w:r>
      <w:hyperlink r:id="rId31" w:history="1">
        <w:r w:rsidRPr="003879E4">
          <w:rPr>
            <w:rStyle w:val="Hyperlink"/>
            <w:rFonts w:asciiTheme="minorHAnsi" w:hAnsiTheme="minorHAnsi" w:cstheme="minorHAnsi"/>
            <w:i/>
            <w:iCs/>
          </w:rPr>
          <w:t>https://scientificinquiryinsocialwork.pressbooks.com/chapter/6-3-inductive-and-deductive-reasoning/</w:t>
        </w:r>
      </w:hyperlink>
      <w:r w:rsidRPr="003879E4">
        <w:rPr>
          <w:rFonts w:asciiTheme="minorHAnsi" w:hAnsiTheme="minorHAnsi" w:cstheme="minorHAnsi"/>
          <w:color w:val="000000"/>
        </w:rPr>
        <w:t xml:space="preserve"> (Accessed 6 Mar. 2022).</w:t>
      </w:r>
    </w:p>
    <w:p w14:paraId="2F67E917" w14:textId="2766A0F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 xml:space="preserve">Centre for Child Counselling (2020). Our Fighting ACEs Approach. [online] </w:t>
      </w:r>
      <w:r w:rsidR="00106E93" w:rsidRPr="003879E4">
        <w:rPr>
          <w:rFonts w:asciiTheme="minorHAnsi" w:hAnsiTheme="minorHAnsi" w:cstheme="minorHAnsi"/>
          <w:color w:val="000000"/>
        </w:rPr>
        <w:t>Centre</w:t>
      </w:r>
      <w:r w:rsidRPr="003879E4">
        <w:rPr>
          <w:rFonts w:asciiTheme="minorHAnsi" w:hAnsiTheme="minorHAnsi" w:cstheme="minorHAnsi"/>
          <w:color w:val="000000"/>
        </w:rPr>
        <w:t xml:space="preserve"> for Child Counselling. Available at: </w:t>
      </w:r>
      <w:hyperlink r:id="rId32" w:history="1">
        <w:r w:rsidRPr="003879E4">
          <w:rPr>
            <w:rStyle w:val="Hyperlink"/>
            <w:rFonts w:asciiTheme="minorHAnsi" w:hAnsiTheme="minorHAnsi" w:cstheme="minorHAnsi"/>
            <w:i/>
            <w:iCs/>
          </w:rPr>
          <w:t>https://www.centerforchildcounseling.org/programs/fightingaces/</w:t>
        </w:r>
      </w:hyperlink>
      <w:r w:rsidRPr="003879E4">
        <w:rPr>
          <w:rFonts w:asciiTheme="minorHAnsi" w:hAnsiTheme="minorHAnsi" w:cstheme="minorHAnsi"/>
          <w:color w:val="000000"/>
        </w:rPr>
        <w:t xml:space="preserve"> (Accessed: 8 Dec. 2021).</w:t>
      </w:r>
    </w:p>
    <w:p w14:paraId="4065DC37"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 xml:space="preserve">Clarke R, </w:t>
      </w:r>
      <w:proofErr w:type="spellStart"/>
      <w:r w:rsidRPr="003879E4">
        <w:rPr>
          <w:rFonts w:asciiTheme="minorHAnsi" w:hAnsiTheme="minorHAnsi" w:cstheme="minorHAnsi"/>
          <w:color w:val="000000"/>
        </w:rPr>
        <w:t>Ekblom</w:t>
      </w:r>
      <w:proofErr w:type="spellEnd"/>
      <w:r w:rsidRPr="003879E4">
        <w:rPr>
          <w:rFonts w:asciiTheme="minorHAnsi" w:hAnsiTheme="minorHAnsi" w:cstheme="minorHAnsi"/>
          <w:color w:val="000000"/>
        </w:rPr>
        <w:t xml:space="preserve"> P, Hough M and Mayhew P (1985) Elderly victims of crime and exposure to risk. </w:t>
      </w:r>
      <w:r w:rsidRPr="003879E4">
        <w:rPr>
          <w:rFonts w:asciiTheme="minorHAnsi" w:hAnsiTheme="minorHAnsi" w:cstheme="minorHAnsi"/>
          <w:i/>
          <w:iCs/>
          <w:color w:val="000000"/>
        </w:rPr>
        <w:t>The Howard Journal of Criminal Justice</w:t>
      </w:r>
      <w:r w:rsidRPr="003879E4">
        <w:rPr>
          <w:rFonts w:asciiTheme="minorHAnsi" w:hAnsiTheme="minorHAnsi" w:cstheme="minorHAnsi"/>
          <w:color w:val="000000"/>
        </w:rPr>
        <w:t>, </w:t>
      </w:r>
      <w:r w:rsidRPr="003879E4">
        <w:rPr>
          <w:rFonts w:asciiTheme="minorHAnsi" w:hAnsiTheme="minorHAnsi" w:cstheme="minorHAnsi"/>
          <w:i/>
          <w:iCs/>
          <w:color w:val="000000"/>
        </w:rPr>
        <w:t>24</w:t>
      </w:r>
      <w:r w:rsidRPr="003879E4">
        <w:rPr>
          <w:rFonts w:asciiTheme="minorHAnsi" w:hAnsiTheme="minorHAnsi" w:cstheme="minorHAnsi"/>
          <w:color w:val="000000"/>
        </w:rPr>
        <w:t>(1), pp.1-9.</w:t>
      </w:r>
    </w:p>
    <w:p w14:paraId="7A3B05BE"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 xml:space="preserve">Cleave, P. (2017). The Pros and Cons of Using Open Ended Questions. [online] </w:t>
      </w:r>
      <w:proofErr w:type="spellStart"/>
      <w:r w:rsidRPr="003879E4">
        <w:rPr>
          <w:rFonts w:asciiTheme="minorHAnsi" w:hAnsiTheme="minorHAnsi" w:cstheme="minorHAnsi"/>
          <w:color w:val="000000"/>
        </w:rPr>
        <w:t>SmartSurvey</w:t>
      </w:r>
      <w:proofErr w:type="spellEnd"/>
      <w:r w:rsidRPr="003879E4">
        <w:rPr>
          <w:rFonts w:asciiTheme="minorHAnsi" w:hAnsiTheme="minorHAnsi" w:cstheme="minorHAnsi"/>
          <w:color w:val="000000"/>
        </w:rPr>
        <w:t xml:space="preserve">. Available at: </w:t>
      </w:r>
    </w:p>
    <w:p w14:paraId="455848CD" w14:textId="77777777" w:rsidR="00B7781D" w:rsidRPr="003879E4" w:rsidRDefault="00E506C4" w:rsidP="00B7781D">
      <w:pPr>
        <w:pStyle w:val="NormalWeb"/>
        <w:shd w:val="clear" w:color="auto" w:fill="FFFFFF"/>
        <w:spacing w:before="0" w:beforeAutospacing="0" w:after="0" w:afterAutospacing="0" w:line="276" w:lineRule="auto"/>
        <w:ind w:left="720"/>
        <w:rPr>
          <w:rFonts w:asciiTheme="minorHAnsi" w:hAnsiTheme="minorHAnsi" w:cstheme="minorHAnsi"/>
          <w:color w:val="000000"/>
        </w:rPr>
      </w:pPr>
      <w:hyperlink r:id="rId33" w:anchor=":~:text=Open%20ended%20questions%20allow%20you" w:history="1">
        <w:r w:rsidR="00B7781D" w:rsidRPr="003879E4">
          <w:rPr>
            <w:rStyle w:val="Hyperlink"/>
            <w:rFonts w:asciiTheme="minorHAnsi" w:hAnsiTheme="minorHAnsi" w:cstheme="minorHAnsi"/>
            <w:i/>
            <w:iCs/>
          </w:rPr>
          <w:t>https://www.smartsurvey.co.uk/blog/the-pros-and-cons of-using-open-ended-questions#:~:text=Open%20ended%20questions%20allow%20you</w:t>
        </w:r>
      </w:hyperlink>
      <w:r w:rsidR="00B7781D" w:rsidRPr="003879E4">
        <w:rPr>
          <w:rFonts w:asciiTheme="minorHAnsi" w:hAnsiTheme="minorHAnsi" w:cstheme="minorHAnsi"/>
          <w:color w:val="000000"/>
        </w:rPr>
        <w:t xml:space="preserve"> (Accessed 5 Apr. 2022).</w:t>
      </w:r>
    </w:p>
    <w:p w14:paraId="66EDC733"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Cloninger, R. (1982). Predisposition to Petty Criminality in Swedish Adoptees. </w:t>
      </w:r>
      <w:r w:rsidRPr="003879E4">
        <w:rPr>
          <w:rFonts w:asciiTheme="minorHAnsi" w:hAnsiTheme="minorHAnsi" w:cstheme="minorHAnsi"/>
          <w:i/>
          <w:iCs/>
          <w:color w:val="000000"/>
        </w:rPr>
        <w:t>Archives of General Psychiatry</w:t>
      </w:r>
      <w:r w:rsidRPr="003879E4">
        <w:rPr>
          <w:rFonts w:asciiTheme="minorHAnsi" w:hAnsiTheme="minorHAnsi" w:cstheme="minorHAnsi"/>
          <w:color w:val="000000"/>
        </w:rPr>
        <w:t>, 39(11), pp.1248.</w:t>
      </w:r>
    </w:p>
    <w:p w14:paraId="1996420B"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Coles, S (1997) Creating effective graphs and charts. </w:t>
      </w:r>
      <w:r w:rsidRPr="003879E4">
        <w:rPr>
          <w:rFonts w:asciiTheme="minorHAnsi" w:hAnsiTheme="minorHAnsi" w:cstheme="minorHAnsi"/>
          <w:i/>
          <w:iCs/>
          <w:color w:val="000000"/>
        </w:rPr>
        <w:t>Industrial management &amp; data systems</w:t>
      </w:r>
      <w:r w:rsidRPr="003879E4">
        <w:rPr>
          <w:rFonts w:asciiTheme="minorHAnsi" w:hAnsiTheme="minorHAnsi" w:cstheme="minorHAnsi"/>
          <w:color w:val="000000"/>
        </w:rPr>
        <w:t>. 97(3). pp.114 - 118. </w:t>
      </w:r>
    </w:p>
    <w:p w14:paraId="34704D7B"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College of Policing (2017). Anti-social Behaviour &amp; Hate Crime. [online] </w:t>
      </w:r>
      <w:r w:rsidRPr="003879E4">
        <w:rPr>
          <w:rFonts w:asciiTheme="minorHAnsi" w:hAnsiTheme="minorHAnsi" w:cstheme="minorHAnsi"/>
          <w:i/>
          <w:iCs/>
          <w:color w:val="000000"/>
        </w:rPr>
        <w:t>College of Policing</w:t>
      </w:r>
      <w:r w:rsidRPr="003879E4">
        <w:rPr>
          <w:rFonts w:asciiTheme="minorHAnsi" w:hAnsiTheme="minorHAnsi" w:cstheme="minorHAnsi"/>
          <w:color w:val="000000"/>
        </w:rPr>
        <w:t xml:space="preserve">. Available at: </w:t>
      </w:r>
      <w:hyperlink r:id="rId34" w:history="1">
        <w:r w:rsidRPr="003879E4">
          <w:rPr>
            <w:rStyle w:val="Hyperlink"/>
            <w:rFonts w:asciiTheme="minorHAnsi" w:hAnsiTheme="minorHAnsi" w:cstheme="minorHAnsi"/>
            <w:i/>
            <w:iCs/>
          </w:rPr>
          <w:t>https://www.learn.college.police.uk/coursecontent/39649/assets/pdf/JoDavies_transcript.pdf</w:t>
        </w:r>
      </w:hyperlink>
      <w:r w:rsidRPr="003879E4">
        <w:rPr>
          <w:rFonts w:asciiTheme="minorHAnsi" w:hAnsiTheme="minorHAnsi" w:cstheme="minorHAnsi"/>
          <w:i/>
          <w:iCs/>
          <w:color w:val="000000"/>
        </w:rPr>
        <w:t xml:space="preserve"> </w:t>
      </w:r>
      <w:r w:rsidRPr="003879E4">
        <w:rPr>
          <w:rFonts w:asciiTheme="minorHAnsi" w:hAnsiTheme="minorHAnsi" w:cstheme="minorHAnsi"/>
          <w:color w:val="000000"/>
        </w:rPr>
        <w:t>(Accessed 21 Jan. 2022).</w:t>
      </w:r>
    </w:p>
    <w:p w14:paraId="535924F9"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College of Policing (2019). </w:t>
      </w:r>
      <w:r w:rsidRPr="003879E4">
        <w:rPr>
          <w:rFonts w:asciiTheme="minorHAnsi" w:hAnsiTheme="minorHAnsi" w:cstheme="minorHAnsi"/>
          <w:i/>
          <w:iCs/>
          <w:color w:val="000000"/>
        </w:rPr>
        <w:t>CCTV</w:t>
      </w:r>
      <w:r w:rsidRPr="003879E4">
        <w:rPr>
          <w:rFonts w:asciiTheme="minorHAnsi" w:hAnsiTheme="minorHAnsi" w:cstheme="minorHAnsi"/>
          <w:color w:val="000000"/>
        </w:rPr>
        <w:t>. [online] Police.uk. Available at: </w:t>
      </w:r>
      <w:hyperlink r:id="rId35" w:history="1">
        <w:r w:rsidRPr="003879E4">
          <w:rPr>
            <w:rStyle w:val="Hyperlink"/>
            <w:rFonts w:asciiTheme="minorHAnsi" w:hAnsiTheme="minorHAnsi" w:cstheme="minorHAnsi"/>
            <w:i/>
            <w:iCs/>
          </w:rPr>
          <w:t>https://whatworks.college.police.uk/toolkit/Pages/Intervention.aspx?InterventionID=1</w:t>
        </w:r>
      </w:hyperlink>
      <w:r w:rsidRPr="003879E4">
        <w:rPr>
          <w:rFonts w:asciiTheme="minorHAnsi" w:hAnsiTheme="minorHAnsi" w:cstheme="minorHAnsi"/>
          <w:color w:val="000000"/>
        </w:rPr>
        <w:t xml:space="preserve"> (Accessed 1 Mar. 2022).</w:t>
      </w:r>
    </w:p>
    <w:p w14:paraId="1DEC54A1"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lastRenderedPageBreak/>
        <w:t>Compton, A (2017) ‘On the Psychoanalytic Theory of Instinctual Drives IV: Instinctual Drives and the Ego-Id-Superego Model’ </w:t>
      </w:r>
      <w:r w:rsidRPr="003879E4">
        <w:rPr>
          <w:rFonts w:asciiTheme="minorHAnsi" w:hAnsiTheme="minorHAnsi" w:cstheme="minorHAnsi"/>
          <w:i/>
          <w:iCs/>
          <w:color w:val="000000"/>
        </w:rPr>
        <w:t>The Psychoanalytic Quarterly</w:t>
      </w:r>
      <w:r w:rsidRPr="003879E4">
        <w:rPr>
          <w:rFonts w:asciiTheme="minorHAnsi" w:hAnsiTheme="minorHAnsi" w:cstheme="minorHAnsi"/>
          <w:color w:val="000000"/>
        </w:rPr>
        <w:t>. 50(3). pp.363 - 392.</w:t>
      </w:r>
    </w:p>
    <w:p w14:paraId="0E7754BF"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Constabulary, H.M.I. of and Fire (2018a). Hate crime. [online] HMICFRS. Available at: </w:t>
      </w:r>
      <w:hyperlink r:id="rId36" w:history="1">
        <w:r w:rsidRPr="003879E4">
          <w:rPr>
            <w:rStyle w:val="Hyperlink"/>
            <w:rFonts w:asciiTheme="minorHAnsi" w:hAnsiTheme="minorHAnsi" w:cstheme="minorHAnsi"/>
            <w:i/>
            <w:iCs/>
          </w:rPr>
          <w:t>https://www.justiceinspectorates.gov.uk/hmicfrs/our-work/article/hate-crime/</w:t>
        </w:r>
      </w:hyperlink>
      <w:r w:rsidRPr="003879E4">
        <w:rPr>
          <w:rFonts w:asciiTheme="minorHAnsi" w:hAnsiTheme="minorHAnsi" w:cstheme="minorHAnsi"/>
          <w:i/>
          <w:iCs/>
          <w:color w:val="000000"/>
        </w:rPr>
        <w:t xml:space="preserve"> </w:t>
      </w:r>
      <w:r w:rsidRPr="003879E4">
        <w:rPr>
          <w:rFonts w:asciiTheme="minorHAnsi" w:hAnsiTheme="minorHAnsi" w:cstheme="minorHAnsi"/>
          <w:color w:val="000000"/>
        </w:rPr>
        <w:t>(Accessed 12 Jan. 2022).</w:t>
      </w:r>
    </w:p>
    <w:p w14:paraId="12FAD5F7"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Constabulary, H.M.I. of and Fire (2018b). Hate crime. [online] HMICFRS. Available at: </w:t>
      </w:r>
      <w:hyperlink r:id="rId37" w:history="1">
        <w:r w:rsidRPr="003879E4">
          <w:rPr>
            <w:rStyle w:val="Hyperlink"/>
            <w:rFonts w:asciiTheme="minorHAnsi" w:hAnsiTheme="minorHAnsi" w:cstheme="minorHAnsi"/>
            <w:i/>
            <w:iCs/>
          </w:rPr>
          <w:t>https://www.justiceinspectorates.gov.uk/hmicfrs/our-work/article/hate-crime/</w:t>
        </w:r>
      </w:hyperlink>
      <w:r w:rsidRPr="003879E4">
        <w:rPr>
          <w:rFonts w:asciiTheme="minorHAnsi" w:hAnsiTheme="minorHAnsi" w:cstheme="minorHAnsi"/>
          <w:i/>
          <w:iCs/>
          <w:color w:val="000000"/>
        </w:rPr>
        <w:t xml:space="preserve"> </w:t>
      </w:r>
      <w:r w:rsidRPr="003879E4">
        <w:rPr>
          <w:rFonts w:asciiTheme="minorHAnsi" w:hAnsiTheme="minorHAnsi" w:cstheme="minorHAnsi"/>
          <w:color w:val="000000"/>
        </w:rPr>
        <w:t>(Accessed 24 Jan. 2022).</w:t>
      </w:r>
    </w:p>
    <w:p w14:paraId="3BEF2F82"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Cosgrove, F and Ramshaw, P (2015) It is what you do as well as the way that you do it: the value and deployment of PCSOs in achieving public engagement. </w:t>
      </w:r>
      <w:r w:rsidRPr="003879E4">
        <w:rPr>
          <w:rFonts w:asciiTheme="minorHAnsi" w:hAnsiTheme="minorHAnsi" w:cstheme="minorHAnsi"/>
          <w:i/>
          <w:iCs/>
          <w:color w:val="000000"/>
        </w:rPr>
        <w:t>Policing and society</w:t>
      </w:r>
      <w:r w:rsidRPr="003879E4">
        <w:rPr>
          <w:rFonts w:asciiTheme="minorHAnsi" w:hAnsiTheme="minorHAnsi" w:cstheme="minorHAnsi"/>
          <w:color w:val="000000"/>
        </w:rPr>
        <w:t>, </w:t>
      </w:r>
      <w:r w:rsidRPr="003879E4">
        <w:rPr>
          <w:rFonts w:asciiTheme="minorHAnsi" w:hAnsiTheme="minorHAnsi" w:cstheme="minorHAnsi"/>
          <w:i/>
          <w:iCs/>
          <w:color w:val="000000"/>
        </w:rPr>
        <w:t>25</w:t>
      </w:r>
      <w:r w:rsidRPr="003879E4">
        <w:rPr>
          <w:rFonts w:asciiTheme="minorHAnsi" w:hAnsiTheme="minorHAnsi" w:cstheme="minorHAnsi"/>
          <w:color w:val="000000"/>
        </w:rPr>
        <w:t>(1), pp.77-96.</w:t>
      </w:r>
    </w:p>
    <w:p w14:paraId="61FE72B4"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Crime Statistics UK (2022). </w:t>
      </w:r>
      <w:r w:rsidRPr="003879E4">
        <w:rPr>
          <w:rFonts w:asciiTheme="minorHAnsi" w:hAnsiTheme="minorHAnsi" w:cstheme="minorHAnsi"/>
          <w:i/>
          <w:iCs/>
          <w:color w:val="000000"/>
        </w:rPr>
        <w:t>Crime Map | Neighbourhood Watch Network</w:t>
      </w:r>
      <w:r w:rsidRPr="003879E4">
        <w:rPr>
          <w:rFonts w:asciiTheme="minorHAnsi" w:hAnsiTheme="minorHAnsi" w:cstheme="minorHAnsi"/>
          <w:color w:val="000000"/>
        </w:rPr>
        <w:t xml:space="preserve">. [online] www.ourwatch.org.uk. Available at: </w:t>
      </w:r>
      <w:hyperlink r:id="rId38" w:history="1">
        <w:r w:rsidRPr="003879E4">
          <w:rPr>
            <w:rStyle w:val="Hyperlink"/>
            <w:rFonts w:asciiTheme="minorHAnsi" w:hAnsiTheme="minorHAnsi" w:cstheme="minorHAnsi"/>
            <w:i/>
            <w:iCs/>
          </w:rPr>
          <w:t>https://www.ourwatch.org.uk/crime-prevention/crime-prevention/crime-map</w:t>
        </w:r>
      </w:hyperlink>
      <w:r w:rsidRPr="003879E4">
        <w:rPr>
          <w:rFonts w:asciiTheme="minorHAnsi" w:hAnsiTheme="minorHAnsi" w:cstheme="minorHAnsi"/>
          <w:color w:val="000000"/>
        </w:rPr>
        <w:t xml:space="preserve"> (Accessed 25 Mar. 2022).</w:t>
      </w:r>
    </w:p>
    <w:p w14:paraId="7983537B"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Crossley, S (2018) </w:t>
      </w:r>
      <w:r w:rsidRPr="003879E4">
        <w:rPr>
          <w:rFonts w:asciiTheme="minorHAnsi" w:hAnsiTheme="minorHAnsi" w:cstheme="minorHAnsi"/>
          <w:i/>
          <w:iCs/>
          <w:color w:val="000000"/>
        </w:rPr>
        <w:t>Troublemakers: The construction of ‘troubled families’ as a social problem</w:t>
      </w:r>
      <w:r w:rsidRPr="003879E4">
        <w:rPr>
          <w:rFonts w:asciiTheme="minorHAnsi" w:hAnsiTheme="minorHAnsi" w:cstheme="minorHAnsi"/>
          <w:color w:val="000000"/>
        </w:rPr>
        <w:t>. Policy Press.</w:t>
      </w:r>
    </w:p>
    <w:p w14:paraId="3E268BB2"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proofErr w:type="spellStart"/>
      <w:r w:rsidRPr="003879E4">
        <w:rPr>
          <w:rFonts w:asciiTheme="minorHAnsi" w:hAnsiTheme="minorHAnsi" w:cstheme="minorHAnsi"/>
          <w:color w:val="000000"/>
        </w:rPr>
        <w:t>Dehaghani</w:t>
      </w:r>
      <w:proofErr w:type="spellEnd"/>
      <w:r w:rsidRPr="003879E4">
        <w:rPr>
          <w:rFonts w:asciiTheme="minorHAnsi" w:hAnsiTheme="minorHAnsi" w:cstheme="minorHAnsi"/>
          <w:color w:val="000000"/>
        </w:rPr>
        <w:t xml:space="preserve">, R &amp; Newman, D (2017) 'We're Vulnerable Too': </w:t>
      </w:r>
      <w:r w:rsidRPr="003879E4">
        <w:rPr>
          <w:rFonts w:asciiTheme="minorHAnsi" w:hAnsiTheme="minorHAnsi" w:cstheme="minorHAnsi"/>
          <w:i/>
          <w:iCs/>
          <w:color w:val="000000"/>
        </w:rPr>
        <w:t>An (Alternative) Analysis of Vulnerability within English Criminal Legal Aid and Police Custody.</w:t>
      </w:r>
      <w:r w:rsidRPr="003879E4">
        <w:rPr>
          <w:rFonts w:asciiTheme="minorHAnsi" w:hAnsiTheme="minorHAnsi" w:cstheme="minorHAnsi"/>
          <w:color w:val="000000"/>
        </w:rPr>
        <w:t xml:space="preserve"> Socio-legal series. 7(6). pp. 25 – 59. </w:t>
      </w:r>
    </w:p>
    <w:p w14:paraId="4CC071D8"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proofErr w:type="spellStart"/>
      <w:r w:rsidRPr="003879E4">
        <w:rPr>
          <w:rFonts w:asciiTheme="minorHAnsi" w:hAnsiTheme="minorHAnsi" w:cstheme="minorHAnsi"/>
          <w:color w:val="000000"/>
        </w:rPr>
        <w:t>DeSalle</w:t>
      </w:r>
      <w:proofErr w:type="spellEnd"/>
      <w:r w:rsidRPr="003879E4">
        <w:rPr>
          <w:rFonts w:asciiTheme="minorHAnsi" w:hAnsiTheme="minorHAnsi" w:cstheme="minorHAnsi"/>
          <w:color w:val="000000"/>
        </w:rPr>
        <w:t>, R &amp; Goldstein, P (2019) Review and interpretation of trends in DNA barcoding. </w:t>
      </w:r>
      <w:r w:rsidRPr="003879E4">
        <w:rPr>
          <w:rFonts w:asciiTheme="minorHAnsi" w:hAnsiTheme="minorHAnsi" w:cstheme="minorHAnsi"/>
          <w:i/>
          <w:iCs/>
          <w:color w:val="000000"/>
        </w:rPr>
        <w:t>Frontiers in Ecology and Evolution</w:t>
      </w:r>
      <w:r w:rsidRPr="003879E4">
        <w:rPr>
          <w:rFonts w:asciiTheme="minorHAnsi" w:hAnsiTheme="minorHAnsi" w:cstheme="minorHAnsi"/>
          <w:color w:val="000000"/>
        </w:rPr>
        <w:t>, </w:t>
      </w:r>
      <w:r w:rsidRPr="003879E4">
        <w:rPr>
          <w:rFonts w:asciiTheme="minorHAnsi" w:hAnsiTheme="minorHAnsi" w:cstheme="minorHAnsi"/>
          <w:i/>
          <w:iCs/>
          <w:color w:val="000000"/>
        </w:rPr>
        <w:t>7th Ed.</w:t>
      </w:r>
      <w:r w:rsidRPr="003879E4">
        <w:rPr>
          <w:rFonts w:asciiTheme="minorHAnsi" w:hAnsiTheme="minorHAnsi" w:cstheme="minorHAnsi"/>
          <w:color w:val="000000"/>
        </w:rPr>
        <w:t> pp. 302. Sackler Institute for Comparative Genomics, American Museum of Natural History, New York.</w:t>
      </w:r>
    </w:p>
    <w:p w14:paraId="0DDC4F5A"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Driscoll, D (2011) Introduction to primary research: Observations, surveys, and interviews. </w:t>
      </w:r>
      <w:r w:rsidRPr="003879E4">
        <w:rPr>
          <w:rFonts w:asciiTheme="minorHAnsi" w:hAnsiTheme="minorHAnsi" w:cstheme="minorHAnsi"/>
          <w:i/>
          <w:iCs/>
          <w:color w:val="000000"/>
        </w:rPr>
        <w:t>Writing spaces: Readings on writing</w:t>
      </w:r>
      <w:r w:rsidRPr="003879E4">
        <w:rPr>
          <w:rFonts w:asciiTheme="minorHAnsi" w:hAnsiTheme="minorHAnsi" w:cstheme="minorHAnsi"/>
          <w:color w:val="000000"/>
        </w:rPr>
        <w:t>, </w:t>
      </w:r>
      <w:r w:rsidRPr="003879E4">
        <w:rPr>
          <w:rFonts w:asciiTheme="minorHAnsi" w:hAnsiTheme="minorHAnsi" w:cstheme="minorHAnsi"/>
          <w:i/>
          <w:iCs/>
          <w:color w:val="000000"/>
        </w:rPr>
        <w:t>2</w:t>
      </w:r>
      <w:r w:rsidRPr="003879E4">
        <w:rPr>
          <w:rFonts w:asciiTheme="minorHAnsi" w:hAnsiTheme="minorHAnsi" w:cstheme="minorHAnsi"/>
          <w:color w:val="000000"/>
        </w:rPr>
        <w:t>(11), pp.153-174.</w:t>
      </w:r>
    </w:p>
    <w:p w14:paraId="57DCE80A"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Dryden, F (2017) Police: How things have changed after Fiona Pilkington’s death. [online] </w:t>
      </w:r>
      <w:r w:rsidRPr="003879E4">
        <w:rPr>
          <w:rFonts w:asciiTheme="minorHAnsi" w:hAnsiTheme="minorHAnsi" w:cstheme="minorHAnsi"/>
          <w:i/>
          <w:iCs/>
          <w:color w:val="000000"/>
        </w:rPr>
        <w:t>Leicester Mercury</w:t>
      </w:r>
      <w:r w:rsidRPr="003879E4">
        <w:rPr>
          <w:rFonts w:asciiTheme="minorHAnsi" w:hAnsiTheme="minorHAnsi" w:cstheme="minorHAnsi"/>
          <w:color w:val="000000"/>
        </w:rPr>
        <w:t>. Available at: </w:t>
      </w:r>
      <w:hyperlink r:id="rId39" w:history="1">
        <w:r w:rsidRPr="003879E4">
          <w:rPr>
            <w:rStyle w:val="Hyperlink"/>
            <w:rFonts w:asciiTheme="minorHAnsi" w:hAnsiTheme="minorHAnsi" w:cstheme="minorHAnsi"/>
            <w:i/>
            <w:iCs/>
          </w:rPr>
          <w:t>https://www.leicestermercury.co.uk/news/local-news/leicestershire-police-how-things-changed-669880</w:t>
        </w:r>
      </w:hyperlink>
      <w:r w:rsidRPr="003879E4">
        <w:rPr>
          <w:rFonts w:asciiTheme="minorHAnsi" w:hAnsiTheme="minorHAnsi" w:cstheme="minorHAnsi"/>
          <w:i/>
          <w:iCs/>
          <w:color w:val="000000"/>
        </w:rPr>
        <w:t xml:space="preserve"> </w:t>
      </w:r>
      <w:r w:rsidRPr="003879E4">
        <w:rPr>
          <w:rFonts w:asciiTheme="minorHAnsi" w:hAnsiTheme="minorHAnsi" w:cstheme="minorHAnsi"/>
          <w:color w:val="000000"/>
        </w:rPr>
        <w:t>(Accessed 18 Oct. 2021)</w:t>
      </w:r>
    </w:p>
    <w:p w14:paraId="50BEB840"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Dudovskiy, J. (2009). </w:t>
      </w:r>
      <w:r w:rsidRPr="003879E4">
        <w:rPr>
          <w:rFonts w:asciiTheme="minorHAnsi" w:hAnsiTheme="minorHAnsi" w:cstheme="minorHAnsi"/>
          <w:i/>
          <w:iCs/>
          <w:color w:val="000000"/>
        </w:rPr>
        <w:t>Interpretivism (interpretivist) Research Philosophy - Research-Methodology</w:t>
      </w:r>
      <w:r w:rsidRPr="003879E4">
        <w:rPr>
          <w:rFonts w:asciiTheme="minorHAnsi" w:hAnsiTheme="minorHAnsi" w:cstheme="minorHAnsi"/>
          <w:color w:val="000000"/>
        </w:rPr>
        <w:t xml:space="preserve">. [online] Research-Methodology. Available at: </w:t>
      </w:r>
      <w:hyperlink r:id="rId40" w:history="1">
        <w:r w:rsidRPr="003879E4">
          <w:rPr>
            <w:rStyle w:val="Hyperlink"/>
            <w:rFonts w:asciiTheme="minorHAnsi" w:hAnsiTheme="minorHAnsi" w:cstheme="minorHAnsi"/>
            <w:i/>
            <w:iCs/>
          </w:rPr>
          <w:t>https://research-methodology.net/research-philosophy/interpretivism/</w:t>
        </w:r>
      </w:hyperlink>
      <w:r w:rsidRPr="003879E4">
        <w:rPr>
          <w:rFonts w:asciiTheme="minorHAnsi" w:hAnsiTheme="minorHAnsi" w:cstheme="minorHAnsi"/>
          <w:color w:val="000000"/>
        </w:rPr>
        <w:t xml:space="preserve"> (Accessed 6 Mar. 2022).</w:t>
      </w:r>
    </w:p>
    <w:p w14:paraId="3FAF4950"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Durkheim, E. (1893). </w:t>
      </w:r>
      <w:r w:rsidRPr="003879E4">
        <w:rPr>
          <w:rFonts w:asciiTheme="minorHAnsi" w:hAnsiTheme="minorHAnsi" w:cstheme="minorHAnsi"/>
          <w:i/>
          <w:iCs/>
          <w:color w:val="000000"/>
        </w:rPr>
        <w:t>The Division of Labour in Society</w:t>
      </w:r>
      <w:r w:rsidRPr="003879E4">
        <w:rPr>
          <w:rFonts w:asciiTheme="minorHAnsi" w:hAnsiTheme="minorHAnsi" w:cstheme="minorHAnsi"/>
          <w:color w:val="000000"/>
        </w:rPr>
        <w:t>. French University Press, pp.45–442.</w:t>
      </w:r>
    </w:p>
    <w:p w14:paraId="429C68A4"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 xml:space="preserve">Dyfed Powys Police (2021a). Our priorities and progress. [online] www.dyfed-powys.police.uk. Available at: </w:t>
      </w:r>
      <w:hyperlink r:id="rId41" w:history="1">
        <w:r w:rsidRPr="003879E4">
          <w:rPr>
            <w:rStyle w:val="Hyperlink"/>
            <w:rFonts w:asciiTheme="minorHAnsi" w:hAnsiTheme="minorHAnsi" w:cstheme="minorHAnsi"/>
            <w:i/>
            <w:iCs/>
          </w:rPr>
          <w:t>https://www.dyfed-powys.police.uk/police-forces/dyfed-powys-police/areas/about-us/about-us/our-priorities-and-progress/</w:t>
        </w:r>
      </w:hyperlink>
      <w:r w:rsidRPr="003879E4">
        <w:rPr>
          <w:rFonts w:asciiTheme="minorHAnsi" w:hAnsiTheme="minorHAnsi" w:cstheme="minorHAnsi"/>
          <w:color w:val="000000"/>
        </w:rPr>
        <w:t xml:space="preserve">  (Accessed 23 Oct. 2021).</w:t>
      </w:r>
    </w:p>
    <w:p w14:paraId="0567289C"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Dyfed Powys Police (2021b). </w:t>
      </w:r>
      <w:r w:rsidRPr="003879E4">
        <w:rPr>
          <w:rFonts w:asciiTheme="minorHAnsi" w:hAnsiTheme="minorHAnsi" w:cstheme="minorHAnsi"/>
          <w:i/>
          <w:iCs/>
          <w:color w:val="000000"/>
        </w:rPr>
        <w:t>Antisocial behaviour: The seemingly minor issues that can have devastating effects on communities</w:t>
      </w:r>
      <w:r w:rsidRPr="003879E4">
        <w:rPr>
          <w:rFonts w:asciiTheme="minorHAnsi" w:hAnsiTheme="minorHAnsi" w:cstheme="minorHAnsi"/>
          <w:color w:val="000000"/>
        </w:rPr>
        <w:t xml:space="preserve">. [online] Dyfed Powys Police. Available at: </w:t>
      </w:r>
      <w:hyperlink r:id="rId42" w:history="1">
        <w:r w:rsidRPr="003879E4">
          <w:rPr>
            <w:rStyle w:val="Hyperlink"/>
            <w:rFonts w:asciiTheme="minorHAnsi" w:hAnsiTheme="minorHAnsi" w:cstheme="minorHAnsi"/>
            <w:i/>
            <w:iCs/>
          </w:rPr>
          <w:t>https://www.dyfed-powys.police.uk/news/dyfed-powys/news/2021/march-</w:t>
        </w:r>
        <w:r w:rsidRPr="003879E4">
          <w:rPr>
            <w:rStyle w:val="Hyperlink"/>
            <w:rFonts w:asciiTheme="minorHAnsi" w:hAnsiTheme="minorHAnsi" w:cstheme="minorHAnsi"/>
            <w:i/>
            <w:iCs/>
          </w:rPr>
          <w:lastRenderedPageBreak/>
          <w:t>2021/antisocial-behaviour-the-seemingly-minor-issues-that-can-have-devastating-effects-on-communities/</w:t>
        </w:r>
      </w:hyperlink>
      <w:r w:rsidRPr="003879E4">
        <w:rPr>
          <w:rFonts w:asciiTheme="minorHAnsi" w:hAnsiTheme="minorHAnsi" w:cstheme="minorHAnsi"/>
          <w:color w:val="000000"/>
        </w:rPr>
        <w:t xml:space="preserve"> (Accessed 15 Nov. 2021].</w:t>
      </w:r>
    </w:p>
    <w:p w14:paraId="618D91A8"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 xml:space="preserve">Dyfed Powys Police (2021c). Grant Scheme Opens to Support Those Impacted by Adverse Childhood Experiences (ACEs). [online] www.dyfedpowys-pcc.org.uk. Available at: </w:t>
      </w:r>
      <w:hyperlink r:id="rId43" w:history="1">
        <w:r w:rsidRPr="003879E4">
          <w:rPr>
            <w:rStyle w:val="Hyperlink"/>
            <w:rFonts w:asciiTheme="minorHAnsi" w:hAnsiTheme="minorHAnsi" w:cstheme="minorHAnsi"/>
            <w:i/>
            <w:iCs/>
          </w:rPr>
          <w:t>https://www.dyfedpowys-pcc.org.uk/en/news/press-releases/grant-scheme-opens-to-support-those-impacted-by-adverse-childhood-experiences-aces/</w:t>
        </w:r>
      </w:hyperlink>
      <w:r w:rsidRPr="003879E4">
        <w:rPr>
          <w:rFonts w:asciiTheme="minorHAnsi" w:hAnsiTheme="minorHAnsi" w:cstheme="minorHAnsi"/>
          <w:i/>
          <w:iCs/>
          <w:color w:val="000000"/>
        </w:rPr>
        <w:t xml:space="preserve">  </w:t>
      </w:r>
      <w:r w:rsidRPr="003879E4">
        <w:rPr>
          <w:rFonts w:asciiTheme="minorHAnsi" w:hAnsiTheme="minorHAnsi" w:cstheme="minorHAnsi"/>
          <w:color w:val="000000"/>
        </w:rPr>
        <w:t>(Accessed 4 Dec. 2021).</w:t>
      </w:r>
    </w:p>
    <w:p w14:paraId="0F19C196"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Early Years Workforce Study Team (2020) Identifying predictors of retention and professional wellbeing of the early childhood education workforce in a time of change. </w:t>
      </w:r>
      <w:r w:rsidRPr="003879E4">
        <w:rPr>
          <w:rFonts w:asciiTheme="minorHAnsi" w:hAnsiTheme="minorHAnsi" w:cstheme="minorHAnsi"/>
          <w:i/>
          <w:iCs/>
          <w:color w:val="000000"/>
        </w:rPr>
        <w:t>Journal of Educational Change</w:t>
      </w:r>
      <w:r w:rsidRPr="003879E4">
        <w:rPr>
          <w:rFonts w:asciiTheme="minorHAnsi" w:hAnsiTheme="minorHAnsi" w:cstheme="minorHAnsi"/>
          <w:color w:val="000000"/>
        </w:rPr>
        <w:t>, </w:t>
      </w:r>
      <w:r w:rsidRPr="003879E4">
        <w:rPr>
          <w:rFonts w:asciiTheme="minorHAnsi" w:hAnsiTheme="minorHAnsi" w:cstheme="minorHAnsi"/>
          <w:i/>
          <w:iCs/>
          <w:color w:val="000000"/>
        </w:rPr>
        <w:t>21</w:t>
      </w:r>
      <w:r w:rsidRPr="003879E4">
        <w:rPr>
          <w:rFonts w:asciiTheme="minorHAnsi" w:hAnsiTheme="minorHAnsi" w:cstheme="minorHAnsi"/>
          <w:color w:val="000000"/>
        </w:rPr>
        <w:t>, pp.623-647.</w:t>
      </w:r>
    </w:p>
    <w:p w14:paraId="0D851BF5"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Emsley, C. (2014). Policing the Empire / Policing the metropole: Some Thoughts on Models and Types. </w:t>
      </w:r>
      <w:r w:rsidRPr="003879E4">
        <w:rPr>
          <w:rFonts w:asciiTheme="minorHAnsi" w:hAnsiTheme="minorHAnsi" w:cstheme="minorHAnsi"/>
          <w:i/>
          <w:iCs/>
          <w:color w:val="000000"/>
        </w:rPr>
        <w:t>Crime, History &amp; Societies</w:t>
      </w:r>
      <w:r w:rsidRPr="003879E4">
        <w:rPr>
          <w:rFonts w:asciiTheme="minorHAnsi" w:hAnsiTheme="minorHAnsi" w:cstheme="minorHAnsi"/>
          <w:color w:val="000000"/>
        </w:rPr>
        <w:t>, 18(2), pp.5–25.</w:t>
      </w:r>
    </w:p>
    <w:p w14:paraId="468E4C10"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Evans, K (2011) Crime Prevention: A critical introduction, London: Sage. </w:t>
      </w:r>
    </w:p>
    <w:p w14:paraId="5C08D548"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Farrington, D. and West, P. (1979). Longitudinal Research on Crime and Delinquency. </w:t>
      </w:r>
      <w:r w:rsidRPr="003879E4">
        <w:rPr>
          <w:rFonts w:asciiTheme="minorHAnsi" w:hAnsiTheme="minorHAnsi" w:cstheme="minorHAnsi"/>
          <w:i/>
          <w:iCs/>
          <w:color w:val="000000"/>
        </w:rPr>
        <w:t>Crime and Justice</w:t>
      </w:r>
      <w:r w:rsidRPr="003879E4">
        <w:rPr>
          <w:rFonts w:asciiTheme="minorHAnsi" w:hAnsiTheme="minorHAnsi" w:cstheme="minorHAnsi"/>
          <w:color w:val="000000"/>
        </w:rPr>
        <w:t xml:space="preserve">, [online] 1, pp.289–348. Available at: </w:t>
      </w:r>
      <w:hyperlink r:id="rId44" w:history="1">
        <w:r w:rsidRPr="003879E4">
          <w:rPr>
            <w:rStyle w:val="Hyperlink"/>
            <w:rFonts w:asciiTheme="minorHAnsi" w:hAnsiTheme="minorHAnsi" w:cstheme="minorHAnsi"/>
            <w:i/>
            <w:iCs/>
          </w:rPr>
          <w:t>https://www.jstor.org/stable/1147454</w:t>
        </w:r>
      </w:hyperlink>
      <w:r w:rsidRPr="003879E4">
        <w:rPr>
          <w:rFonts w:asciiTheme="minorHAnsi" w:hAnsiTheme="minorHAnsi" w:cstheme="minorHAnsi"/>
          <w:color w:val="000000"/>
        </w:rPr>
        <w:t xml:space="preserve"> (Accessed 11 Nov. 2021).</w:t>
      </w:r>
    </w:p>
    <w:p w14:paraId="59EB1255"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Faulkner, D (1998) Tackling youth grime and reforming youth justice: The origins and nature of ‘new labour 'policy. </w:t>
      </w:r>
      <w:r w:rsidRPr="003879E4">
        <w:rPr>
          <w:rFonts w:asciiTheme="minorHAnsi" w:hAnsiTheme="minorHAnsi" w:cstheme="minorHAnsi"/>
          <w:i/>
          <w:iCs/>
          <w:color w:val="000000"/>
        </w:rPr>
        <w:t>Policy Studies</w:t>
      </w:r>
      <w:r w:rsidRPr="003879E4">
        <w:rPr>
          <w:rFonts w:asciiTheme="minorHAnsi" w:hAnsiTheme="minorHAnsi" w:cstheme="minorHAnsi"/>
          <w:color w:val="000000"/>
        </w:rPr>
        <w:t>, </w:t>
      </w:r>
      <w:r w:rsidRPr="003879E4">
        <w:rPr>
          <w:rFonts w:asciiTheme="minorHAnsi" w:hAnsiTheme="minorHAnsi" w:cstheme="minorHAnsi"/>
          <w:i/>
          <w:iCs/>
          <w:color w:val="000000"/>
        </w:rPr>
        <w:t>19</w:t>
      </w:r>
      <w:r w:rsidRPr="003879E4">
        <w:rPr>
          <w:rFonts w:asciiTheme="minorHAnsi" w:hAnsiTheme="minorHAnsi" w:cstheme="minorHAnsi"/>
          <w:color w:val="000000"/>
        </w:rPr>
        <w:t xml:space="preserve">(4), pp. 199 – 212. </w:t>
      </w:r>
    </w:p>
    <w:p w14:paraId="2A2B254A"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Fink, A and Litwin, M (1995) </w:t>
      </w:r>
      <w:r w:rsidRPr="003879E4">
        <w:rPr>
          <w:rFonts w:asciiTheme="minorHAnsi" w:hAnsiTheme="minorHAnsi" w:cstheme="minorHAnsi"/>
          <w:i/>
          <w:iCs/>
          <w:color w:val="000000"/>
        </w:rPr>
        <w:t>How to measure survey reliability and validity. </w:t>
      </w:r>
      <w:r w:rsidRPr="003879E4">
        <w:rPr>
          <w:rFonts w:asciiTheme="minorHAnsi" w:hAnsiTheme="minorHAnsi" w:cstheme="minorHAnsi"/>
          <w:color w:val="000000"/>
        </w:rPr>
        <w:t>Sage.</w:t>
      </w:r>
    </w:p>
    <w:p w14:paraId="54425CA0"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Fogelman, K. and Comber, C (2002) Surveys and sampling. </w:t>
      </w:r>
      <w:r w:rsidRPr="003879E4">
        <w:rPr>
          <w:rFonts w:asciiTheme="minorHAnsi" w:hAnsiTheme="minorHAnsi" w:cstheme="minorHAnsi"/>
          <w:i/>
          <w:iCs/>
          <w:color w:val="000000"/>
        </w:rPr>
        <w:t>Research methods in educational leadership and management</w:t>
      </w:r>
      <w:r w:rsidRPr="003879E4">
        <w:rPr>
          <w:rFonts w:asciiTheme="minorHAnsi" w:hAnsiTheme="minorHAnsi" w:cstheme="minorHAnsi"/>
          <w:color w:val="000000"/>
        </w:rPr>
        <w:t>, pp. 93 – 107.</w:t>
      </w:r>
    </w:p>
    <w:p w14:paraId="10E850AD"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Freud, S. (1989). </w:t>
      </w:r>
      <w:r w:rsidRPr="003879E4">
        <w:rPr>
          <w:rFonts w:asciiTheme="minorHAnsi" w:hAnsiTheme="minorHAnsi" w:cstheme="minorHAnsi"/>
          <w:i/>
          <w:iCs/>
          <w:color w:val="000000"/>
        </w:rPr>
        <w:t>The Ego And The Id (1923)</w:t>
      </w:r>
      <w:r w:rsidRPr="003879E4">
        <w:rPr>
          <w:rFonts w:asciiTheme="minorHAnsi" w:hAnsiTheme="minorHAnsi" w:cstheme="minorHAnsi"/>
          <w:color w:val="000000"/>
        </w:rPr>
        <w:t>. 1st ed. TACD Journal, pp. 5 – 22.</w:t>
      </w:r>
    </w:p>
    <w:p w14:paraId="3B6BBB90"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Gabriel, D. (2013). </w:t>
      </w:r>
      <w:r w:rsidRPr="003879E4">
        <w:rPr>
          <w:rFonts w:asciiTheme="minorHAnsi" w:hAnsiTheme="minorHAnsi" w:cstheme="minorHAnsi"/>
          <w:i/>
          <w:iCs/>
          <w:color w:val="000000"/>
        </w:rPr>
        <w:t>Inductive and Deductive Approaches to Research Dr Deborah Gabriel</w:t>
      </w:r>
      <w:r w:rsidRPr="003879E4">
        <w:rPr>
          <w:rFonts w:asciiTheme="minorHAnsi" w:hAnsiTheme="minorHAnsi" w:cstheme="minorHAnsi"/>
          <w:color w:val="000000"/>
        </w:rPr>
        <w:t xml:space="preserve">. [online] Deborahgabriel.com. Available at: </w:t>
      </w:r>
      <w:hyperlink r:id="rId45" w:history="1">
        <w:r w:rsidRPr="003879E4">
          <w:rPr>
            <w:rStyle w:val="Hyperlink"/>
            <w:rFonts w:asciiTheme="minorHAnsi" w:hAnsiTheme="minorHAnsi" w:cstheme="minorHAnsi"/>
            <w:i/>
            <w:iCs/>
          </w:rPr>
          <w:t>https://deborahgabriel.com/2013/03/17/inductive-and-deductive-approaches-to-research/</w:t>
        </w:r>
      </w:hyperlink>
      <w:r w:rsidRPr="003879E4">
        <w:rPr>
          <w:rFonts w:asciiTheme="minorHAnsi" w:hAnsiTheme="minorHAnsi" w:cstheme="minorHAnsi"/>
          <w:color w:val="000000"/>
        </w:rPr>
        <w:t xml:space="preserve"> (Accessed 6 Mar. 2022).</w:t>
      </w:r>
    </w:p>
    <w:p w14:paraId="2F075E6D"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 xml:space="preserve">Galbicsek, C (2020) ‘Alcohol-Related Crimes’ Alcohol rehab guide. Available at: </w:t>
      </w:r>
      <w:hyperlink r:id="rId46" w:anchor=":~:text=Alcohol%20plays%20a%20large%20role,the%20rise%20throughout%20the%20country" w:history="1">
        <w:r w:rsidRPr="003879E4">
          <w:rPr>
            <w:rStyle w:val="Hyperlink"/>
            <w:rFonts w:asciiTheme="minorHAnsi" w:hAnsiTheme="minorHAnsi" w:cstheme="minorHAnsi"/>
            <w:i/>
            <w:iCs/>
          </w:rPr>
          <w:t>https://www.alcoholrehabguide.org/alcohol/crimes/#:~:text=Alcohol%20plays%20a%20large%20role,the%20rise%20throughout%20the%20country</w:t>
        </w:r>
      </w:hyperlink>
      <w:r w:rsidRPr="003879E4">
        <w:rPr>
          <w:rFonts w:asciiTheme="minorHAnsi" w:hAnsiTheme="minorHAnsi" w:cstheme="minorHAnsi"/>
          <w:i/>
          <w:iCs/>
          <w:color w:val="000000"/>
        </w:rPr>
        <w:t xml:space="preserve">. </w:t>
      </w:r>
      <w:r w:rsidRPr="003879E4">
        <w:rPr>
          <w:rFonts w:asciiTheme="minorHAnsi" w:hAnsiTheme="minorHAnsi" w:cstheme="minorHAnsi"/>
          <w:color w:val="000000"/>
        </w:rPr>
        <w:t>(Accessed 19 Jan. 2022)</w:t>
      </w:r>
    </w:p>
    <w:p w14:paraId="48BE50A4"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Gallagher, K (2008) The art of methodology. </w:t>
      </w:r>
      <w:r w:rsidRPr="003879E4">
        <w:rPr>
          <w:rFonts w:asciiTheme="minorHAnsi" w:hAnsiTheme="minorHAnsi" w:cstheme="minorHAnsi"/>
          <w:i/>
          <w:iCs/>
          <w:color w:val="000000"/>
        </w:rPr>
        <w:t>The methodological dilemma: Creative, critical, and collaborative approaches to qualitative research</w:t>
      </w:r>
      <w:r w:rsidRPr="003879E4">
        <w:rPr>
          <w:rFonts w:asciiTheme="minorHAnsi" w:hAnsiTheme="minorHAnsi" w:cstheme="minorHAnsi"/>
          <w:color w:val="000000"/>
        </w:rPr>
        <w:t>, pp. 67 – 81.</w:t>
      </w:r>
    </w:p>
    <w:p w14:paraId="482883A3"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Garofalo, R (1914) Enforced reparation as a substitute for imprisonment. Social Science. Milano, Italy. </w:t>
      </w:r>
    </w:p>
    <w:p w14:paraId="554ED8CF"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proofErr w:type="spellStart"/>
      <w:r w:rsidRPr="003879E4">
        <w:rPr>
          <w:rFonts w:asciiTheme="minorHAnsi" w:hAnsiTheme="minorHAnsi" w:cstheme="minorHAnsi"/>
          <w:color w:val="000000"/>
        </w:rPr>
        <w:t>Gialdino</w:t>
      </w:r>
      <w:proofErr w:type="spellEnd"/>
      <w:r w:rsidRPr="003879E4">
        <w:rPr>
          <w:rFonts w:asciiTheme="minorHAnsi" w:hAnsiTheme="minorHAnsi" w:cstheme="minorHAnsi"/>
          <w:color w:val="000000"/>
        </w:rPr>
        <w:t>, I (2009) Ontological and epistemological foundations of qualitative research. In </w:t>
      </w:r>
      <w:r w:rsidRPr="003879E4">
        <w:rPr>
          <w:rFonts w:asciiTheme="minorHAnsi" w:hAnsiTheme="minorHAnsi" w:cstheme="minorHAnsi"/>
          <w:i/>
          <w:iCs/>
          <w:color w:val="000000"/>
        </w:rPr>
        <w:t xml:space="preserve">Forum Qualitative </w:t>
      </w:r>
      <w:proofErr w:type="spellStart"/>
      <w:r w:rsidRPr="003879E4">
        <w:rPr>
          <w:rFonts w:asciiTheme="minorHAnsi" w:hAnsiTheme="minorHAnsi" w:cstheme="minorHAnsi"/>
          <w:i/>
          <w:iCs/>
          <w:color w:val="000000"/>
        </w:rPr>
        <w:t>Sozialforschung</w:t>
      </w:r>
      <w:proofErr w:type="spellEnd"/>
      <w:r w:rsidRPr="003879E4">
        <w:rPr>
          <w:rFonts w:asciiTheme="minorHAnsi" w:hAnsiTheme="minorHAnsi" w:cstheme="minorHAnsi"/>
          <w:i/>
          <w:iCs/>
          <w:color w:val="000000"/>
        </w:rPr>
        <w:t>/Forum: Qualitative Social Research</w:t>
      </w:r>
      <w:r w:rsidRPr="003879E4">
        <w:rPr>
          <w:rFonts w:asciiTheme="minorHAnsi" w:hAnsiTheme="minorHAnsi" w:cstheme="minorHAnsi"/>
          <w:color w:val="000000"/>
        </w:rPr>
        <w:t> 10(2). pp. 23 – 61. </w:t>
      </w:r>
    </w:p>
    <w:p w14:paraId="4CE059CF"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Gibson, M. (2006). </w:t>
      </w:r>
      <w:r w:rsidRPr="003879E4">
        <w:rPr>
          <w:rFonts w:asciiTheme="minorHAnsi" w:hAnsiTheme="minorHAnsi" w:cstheme="minorHAnsi"/>
          <w:i/>
          <w:iCs/>
          <w:color w:val="000000"/>
        </w:rPr>
        <w:t>Criminal Man</w:t>
      </w:r>
      <w:r w:rsidRPr="003879E4">
        <w:rPr>
          <w:rFonts w:asciiTheme="minorHAnsi" w:hAnsiTheme="minorHAnsi" w:cstheme="minorHAnsi"/>
          <w:color w:val="000000"/>
        </w:rPr>
        <w:t>. 1st ed. New York: Duke University Press, pp. 402 –430.</w:t>
      </w:r>
    </w:p>
    <w:p w14:paraId="55E24785"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lastRenderedPageBreak/>
        <w:t>Giddings, L. and Grant, B. (2006). </w:t>
      </w:r>
      <w:r w:rsidRPr="003879E4">
        <w:rPr>
          <w:rFonts w:asciiTheme="minorHAnsi" w:hAnsiTheme="minorHAnsi" w:cstheme="minorHAnsi"/>
          <w:i/>
          <w:iCs/>
          <w:color w:val="000000"/>
        </w:rPr>
        <w:t>INTRODUCTION: ANYTHING GOES?</w:t>
      </w:r>
      <w:r w:rsidRPr="003879E4">
        <w:rPr>
          <w:rFonts w:asciiTheme="minorHAnsi" w:hAnsiTheme="minorHAnsi" w:cstheme="minorHAnsi"/>
          <w:color w:val="000000"/>
        </w:rPr>
        <w:t xml:space="preserve"> [online] Available at: </w:t>
      </w:r>
      <w:hyperlink r:id="rId47" w:history="1">
        <w:r w:rsidRPr="003879E4">
          <w:rPr>
            <w:rStyle w:val="Hyperlink"/>
            <w:rFonts w:asciiTheme="minorHAnsi" w:hAnsiTheme="minorHAnsi" w:cstheme="minorHAnsi"/>
            <w:i/>
            <w:iCs/>
          </w:rPr>
          <w:t>https://core.ac.uk/download/pdf/56362402.pdf</w:t>
        </w:r>
      </w:hyperlink>
      <w:r w:rsidRPr="003879E4">
        <w:rPr>
          <w:rFonts w:asciiTheme="minorHAnsi" w:hAnsiTheme="minorHAnsi" w:cstheme="minorHAnsi"/>
          <w:color w:val="000000"/>
        </w:rPr>
        <w:t xml:space="preserve"> (Accessed 6 Mar. 2022).</w:t>
      </w:r>
    </w:p>
    <w:p w14:paraId="64DE93AE"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proofErr w:type="spellStart"/>
      <w:r w:rsidRPr="003879E4">
        <w:rPr>
          <w:rFonts w:asciiTheme="minorHAnsi" w:hAnsiTheme="minorHAnsi" w:cstheme="minorHAnsi"/>
          <w:color w:val="000000"/>
        </w:rPr>
        <w:t>Glueck</w:t>
      </w:r>
      <w:proofErr w:type="spellEnd"/>
      <w:r w:rsidRPr="003879E4">
        <w:rPr>
          <w:rFonts w:asciiTheme="minorHAnsi" w:hAnsiTheme="minorHAnsi" w:cstheme="minorHAnsi"/>
          <w:color w:val="000000"/>
        </w:rPr>
        <w:t xml:space="preserve">, S and </w:t>
      </w:r>
      <w:proofErr w:type="spellStart"/>
      <w:r w:rsidRPr="003879E4">
        <w:rPr>
          <w:rFonts w:asciiTheme="minorHAnsi" w:hAnsiTheme="minorHAnsi" w:cstheme="minorHAnsi"/>
          <w:color w:val="000000"/>
        </w:rPr>
        <w:t>Glueck</w:t>
      </w:r>
      <w:proofErr w:type="spellEnd"/>
      <w:r w:rsidRPr="003879E4">
        <w:rPr>
          <w:rFonts w:asciiTheme="minorHAnsi" w:hAnsiTheme="minorHAnsi" w:cstheme="minorHAnsi"/>
          <w:color w:val="000000"/>
        </w:rPr>
        <w:t>, E (1950) Unravelling juvenile delinquency. </w:t>
      </w:r>
      <w:r w:rsidRPr="003879E4">
        <w:rPr>
          <w:rFonts w:asciiTheme="minorHAnsi" w:hAnsiTheme="minorHAnsi" w:cstheme="minorHAnsi"/>
          <w:i/>
          <w:iCs/>
          <w:color w:val="000000"/>
        </w:rPr>
        <w:t>Juv. Judges.</w:t>
      </w:r>
      <w:r w:rsidRPr="003879E4">
        <w:rPr>
          <w:rFonts w:asciiTheme="minorHAnsi" w:hAnsiTheme="minorHAnsi" w:cstheme="minorHAnsi"/>
          <w:color w:val="000000"/>
        </w:rPr>
        <w:t> </w:t>
      </w:r>
      <w:r w:rsidRPr="003879E4">
        <w:rPr>
          <w:rFonts w:asciiTheme="minorHAnsi" w:hAnsiTheme="minorHAnsi" w:cstheme="minorHAnsi"/>
          <w:i/>
          <w:iCs/>
          <w:color w:val="000000"/>
        </w:rPr>
        <w:t>2nd Ed.</w:t>
      </w:r>
      <w:r w:rsidRPr="003879E4">
        <w:rPr>
          <w:rFonts w:asciiTheme="minorHAnsi" w:hAnsiTheme="minorHAnsi" w:cstheme="minorHAnsi"/>
          <w:color w:val="000000"/>
        </w:rPr>
        <w:t> pp.32.</w:t>
      </w:r>
    </w:p>
    <w:p w14:paraId="49D4564C"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Goddard, D (2021) Deputy Crime Registrar at Leicestershire Constabulary. [online] </w:t>
      </w:r>
      <w:r w:rsidRPr="003879E4">
        <w:rPr>
          <w:rFonts w:asciiTheme="minorHAnsi" w:hAnsiTheme="minorHAnsi" w:cstheme="minorHAnsi"/>
          <w:i/>
          <w:iCs/>
          <w:color w:val="000000"/>
        </w:rPr>
        <w:t>Leicestershire Police.</w:t>
      </w:r>
      <w:r w:rsidRPr="003879E4">
        <w:rPr>
          <w:rFonts w:asciiTheme="minorHAnsi" w:hAnsiTheme="minorHAnsi" w:cstheme="minorHAnsi"/>
          <w:color w:val="000000"/>
        </w:rPr>
        <w:t> Available at: </w:t>
      </w:r>
      <w:hyperlink r:id="rId48" w:history="1">
        <w:r w:rsidRPr="003879E4">
          <w:rPr>
            <w:rStyle w:val="Hyperlink"/>
            <w:rFonts w:asciiTheme="minorHAnsi" w:hAnsiTheme="minorHAnsi" w:cstheme="minorHAnsi"/>
            <w:i/>
            <w:iCs/>
          </w:rPr>
          <w:t>https://uk.linkedin.com/in/darren-goddard-46456468</w:t>
        </w:r>
      </w:hyperlink>
      <w:r w:rsidRPr="003879E4">
        <w:rPr>
          <w:rFonts w:asciiTheme="minorHAnsi" w:hAnsiTheme="minorHAnsi" w:cstheme="minorHAnsi"/>
          <w:i/>
          <w:iCs/>
          <w:color w:val="000000"/>
        </w:rPr>
        <w:t xml:space="preserve"> </w:t>
      </w:r>
      <w:r w:rsidRPr="003879E4">
        <w:rPr>
          <w:rFonts w:asciiTheme="minorHAnsi" w:hAnsiTheme="minorHAnsi" w:cstheme="minorHAnsi"/>
          <w:color w:val="000000"/>
        </w:rPr>
        <w:t>(Accessed 23 Jan. 2022).</w:t>
      </w:r>
    </w:p>
    <w:p w14:paraId="71FF8483"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Godfrey, P (1992) An overview of cooperative answering. </w:t>
      </w:r>
      <w:r w:rsidRPr="003879E4">
        <w:rPr>
          <w:rFonts w:asciiTheme="minorHAnsi" w:hAnsiTheme="minorHAnsi" w:cstheme="minorHAnsi"/>
          <w:i/>
          <w:iCs/>
          <w:color w:val="000000"/>
        </w:rPr>
        <w:t>Journal of Intelligent Information Systems</w:t>
      </w:r>
      <w:r w:rsidRPr="003879E4">
        <w:rPr>
          <w:rFonts w:asciiTheme="minorHAnsi" w:hAnsiTheme="minorHAnsi" w:cstheme="minorHAnsi"/>
          <w:color w:val="000000"/>
        </w:rPr>
        <w:t>, </w:t>
      </w:r>
      <w:r w:rsidRPr="003879E4">
        <w:rPr>
          <w:rFonts w:asciiTheme="minorHAnsi" w:hAnsiTheme="minorHAnsi" w:cstheme="minorHAnsi"/>
          <w:i/>
          <w:iCs/>
          <w:color w:val="000000"/>
        </w:rPr>
        <w:t>1</w:t>
      </w:r>
      <w:r w:rsidRPr="003879E4">
        <w:rPr>
          <w:rFonts w:asciiTheme="minorHAnsi" w:hAnsiTheme="minorHAnsi" w:cstheme="minorHAnsi"/>
          <w:color w:val="000000"/>
        </w:rPr>
        <w:t>(2), pp. 123 – 157.</w:t>
      </w:r>
    </w:p>
    <w:p w14:paraId="728B8CCC"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Gorman, C. (2021). Issue 1 Spring 2021 Article 4 Part of the Social and Behavioural Sciences Commons Recommended Citation Recommended Citation Gorman. </w:t>
      </w:r>
      <w:r w:rsidRPr="003879E4">
        <w:rPr>
          <w:rFonts w:asciiTheme="minorHAnsi" w:hAnsiTheme="minorHAnsi" w:cstheme="minorHAnsi"/>
          <w:i/>
          <w:iCs/>
          <w:color w:val="000000"/>
        </w:rPr>
        <w:t>The Yale Undergraduate Research Journal</w:t>
      </w:r>
      <w:r w:rsidRPr="003879E4">
        <w:rPr>
          <w:rFonts w:asciiTheme="minorHAnsi" w:hAnsiTheme="minorHAnsi" w:cstheme="minorHAnsi"/>
          <w:color w:val="000000"/>
        </w:rPr>
        <w:t xml:space="preserve">, [online] 2. Available at: </w:t>
      </w:r>
      <w:hyperlink r:id="rId49" w:history="1">
        <w:r w:rsidRPr="003879E4">
          <w:rPr>
            <w:rStyle w:val="Hyperlink"/>
            <w:rFonts w:asciiTheme="minorHAnsi" w:hAnsiTheme="minorHAnsi" w:cstheme="minorHAnsi"/>
            <w:i/>
            <w:iCs/>
          </w:rPr>
          <w:t>https://elischolar.library.yale.edu/cgi/viewcontent.cgi?article=1047&amp;context=yurj</w:t>
        </w:r>
      </w:hyperlink>
      <w:r w:rsidRPr="003879E4">
        <w:rPr>
          <w:rFonts w:asciiTheme="minorHAnsi" w:hAnsiTheme="minorHAnsi" w:cstheme="minorHAnsi"/>
          <w:color w:val="000000"/>
        </w:rPr>
        <w:t xml:space="preserve"> (Accessed 11 Nov. 2021).</w:t>
      </w:r>
    </w:p>
    <w:p w14:paraId="6EA56E02"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Gottfredson G &amp; Payne A (2005) School climate predictors of school disorder: Results from a national study of delinquency prevention in schools. </w:t>
      </w:r>
      <w:r w:rsidRPr="003879E4">
        <w:rPr>
          <w:rFonts w:asciiTheme="minorHAnsi" w:hAnsiTheme="minorHAnsi" w:cstheme="minorHAnsi"/>
          <w:i/>
          <w:iCs/>
          <w:color w:val="000000"/>
        </w:rPr>
        <w:t>Journal of research in crime and delinquency</w:t>
      </w:r>
      <w:r w:rsidRPr="003879E4">
        <w:rPr>
          <w:rFonts w:asciiTheme="minorHAnsi" w:hAnsiTheme="minorHAnsi" w:cstheme="minorHAnsi"/>
          <w:color w:val="000000"/>
        </w:rPr>
        <w:t>, </w:t>
      </w:r>
      <w:r w:rsidRPr="003879E4">
        <w:rPr>
          <w:rFonts w:asciiTheme="minorHAnsi" w:hAnsiTheme="minorHAnsi" w:cstheme="minorHAnsi"/>
          <w:i/>
          <w:iCs/>
          <w:color w:val="000000"/>
        </w:rPr>
        <w:t>42</w:t>
      </w:r>
      <w:r w:rsidRPr="003879E4">
        <w:rPr>
          <w:rFonts w:asciiTheme="minorHAnsi" w:hAnsiTheme="minorHAnsi" w:cstheme="minorHAnsi"/>
          <w:color w:val="000000"/>
        </w:rPr>
        <w:t>(4), pp. 412 – 444.</w:t>
      </w:r>
    </w:p>
    <w:p w14:paraId="5B7A4553"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Gottfredson, M and Hirschi, T (1990) </w:t>
      </w:r>
      <w:r w:rsidRPr="003879E4">
        <w:rPr>
          <w:rFonts w:asciiTheme="minorHAnsi" w:hAnsiTheme="minorHAnsi" w:cstheme="minorHAnsi"/>
          <w:i/>
          <w:iCs/>
          <w:color w:val="000000"/>
        </w:rPr>
        <w:t>A general theory of crime</w:t>
      </w:r>
      <w:r w:rsidRPr="003879E4">
        <w:rPr>
          <w:rFonts w:asciiTheme="minorHAnsi" w:hAnsiTheme="minorHAnsi" w:cstheme="minorHAnsi"/>
          <w:color w:val="000000"/>
        </w:rPr>
        <w:t>. Stanford University Press.</w:t>
      </w:r>
    </w:p>
    <w:p w14:paraId="7CC27211"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 xml:space="preserve">Gray D, Lilley T, </w:t>
      </w:r>
      <w:proofErr w:type="spellStart"/>
      <w:r w:rsidRPr="003879E4">
        <w:rPr>
          <w:rFonts w:asciiTheme="minorHAnsi" w:hAnsiTheme="minorHAnsi" w:cstheme="minorHAnsi"/>
          <w:color w:val="000000"/>
        </w:rPr>
        <w:t>Vause</w:t>
      </w:r>
      <w:proofErr w:type="spellEnd"/>
      <w:r w:rsidRPr="003879E4">
        <w:rPr>
          <w:rFonts w:asciiTheme="minorHAnsi" w:hAnsiTheme="minorHAnsi" w:cstheme="minorHAnsi"/>
          <w:color w:val="000000"/>
        </w:rPr>
        <w:t xml:space="preserve"> J (2010) </w:t>
      </w:r>
      <w:r w:rsidRPr="003879E4">
        <w:rPr>
          <w:rFonts w:asciiTheme="minorHAnsi" w:hAnsiTheme="minorHAnsi" w:cstheme="minorHAnsi"/>
          <w:i/>
          <w:iCs/>
          <w:color w:val="000000"/>
        </w:rPr>
        <w:t>Public Services.</w:t>
      </w:r>
      <w:r w:rsidRPr="003879E4">
        <w:rPr>
          <w:rFonts w:asciiTheme="minorHAnsi" w:hAnsiTheme="minorHAnsi" w:cstheme="minorHAnsi"/>
          <w:color w:val="000000"/>
        </w:rPr>
        <w:t xml:space="preserve"> 1st Ed. Essex: Edexcel, Pearson Company.</w:t>
      </w:r>
    </w:p>
    <w:p w14:paraId="4A9EEC1D"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Green, S. Pemberton, A (2018) The impact of crime: Victimisation, harm and resilience</w:t>
      </w:r>
      <w:r w:rsidRPr="003879E4">
        <w:rPr>
          <w:rFonts w:asciiTheme="minorHAnsi" w:hAnsiTheme="minorHAnsi" w:cstheme="minorHAnsi"/>
          <w:i/>
          <w:iCs/>
          <w:color w:val="000000"/>
        </w:rPr>
        <w:t>. Handbook of Victims and Victimisation</w:t>
      </w:r>
      <w:r w:rsidRPr="003879E4">
        <w:rPr>
          <w:rFonts w:asciiTheme="minorHAnsi" w:hAnsiTheme="minorHAnsi" w:cstheme="minorHAnsi"/>
          <w:color w:val="000000"/>
        </w:rPr>
        <w:t> (2nd Ed). Abingdon: Routledge. pp. 128 - 163. </w:t>
      </w:r>
    </w:p>
    <w:p w14:paraId="4DD4EAC7"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Gregory, V (2018) SIGMUND FREUD ‘The Ego And The Id’ </w:t>
      </w:r>
      <w:r w:rsidRPr="003879E4">
        <w:rPr>
          <w:rFonts w:asciiTheme="minorHAnsi" w:hAnsiTheme="minorHAnsi" w:cstheme="minorHAnsi"/>
          <w:i/>
          <w:iCs/>
          <w:color w:val="000000"/>
        </w:rPr>
        <w:t>TACD Journal.</w:t>
      </w:r>
      <w:r w:rsidRPr="003879E4">
        <w:rPr>
          <w:rFonts w:asciiTheme="minorHAnsi" w:hAnsiTheme="minorHAnsi" w:cstheme="minorHAnsi"/>
          <w:color w:val="000000"/>
        </w:rPr>
        <w:t> 17(1). The Major Theorists. pp. 5-22.</w:t>
      </w:r>
    </w:p>
    <w:p w14:paraId="7C3FB0C0" w14:textId="24E60898" w:rsidR="00B7781D"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proofErr w:type="spellStart"/>
      <w:r w:rsidRPr="003879E4">
        <w:rPr>
          <w:rFonts w:asciiTheme="minorHAnsi" w:hAnsiTheme="minorHAnsi" w:cstheme="minorHAnsi"/>
          <w:color w:val="000000"/>
        </w:rPr>
        <w:t>Harpe</w:t>
      </w:r>
      <w:proofErr w:type="spellEnd"/>
      <w:r w:rsidRPr="003879E4">
        <w:rPr>
          <w:rFonts w:asciiTheme="minorHAnsi" w:hAnsiTheme="minorHAnsi" w:cstheme="minorHAnsi"/>
          <w:color w:val="000000"/>
        </w:rPr>
        <w:t>, S (2015) How to analyse Likert and other rating scale data. </w:t>
      </w:r>
      <w:r w:rsidRPr="003879E4">
        <w:rPr>
          <w:rFonts w:asciiTheme="minorHAnsi" w:hAnsiTheme="minorHAnsi" w:cstheme="minorHAnsi"/>
          <w:i/>
          <w:iCs/>
          <w:color w:val="000000"/>
        </w:rPr>
        <w:t>Currents in pharmacy teaching and learning</w:t>
      </w:r>
      <w:r w:rsidRPr="003879E4">
        <w:rPr>
          <w:rFonts w:asciiTheme="minorHAnsi" w:hAnsiTheme="minorHAnsi" w:cstheme="minorHAnsi"/>
          <w:color w:val="000000"/>
        </w:rPr>
        <w:t>, </w:t>
      </w:r>
      <w:r w:rsidRPr="003879E4">
        <w:rPr>
          <w:rFonts w:asciiTheme="minorHAnsi" w:hAnsiTheme="minorHAnsi" w:cstheme="minorHAnsi"/>
          <w:i/>
          <w:iCs/>
          <w:color w:val="000000"/>
        </w:rPr>
        <w:t>7</w:t>
      </w:r>
      <w:r w:rsidRPr="003879E4">
        <w:rPr>
          <w:rFonts w:asciiTheme="minorHAnsi" w:hAnsiTheme="minorHAnsi" w:cstheme="minorHAnsi"/>
          <w:color w:val="000000"/>
        </w:rPr>
        <w:t>(6), pp.836-850.</w:t>
      </w:r>
    </w:p>
    <w:p w14:paraId="27E46F36" w14:textId="2D99B973" w:rsidR="009E2F41" w:rsidRPr="003879E4" w:rsidRDefault="009E2F41"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bookmarkStart w:id="7" w:name="_Hlk100328398"/>
      <w:r w:rsidRPr="009E2F41">
        <w:rPr>
          <w:rFonts w:asciiTheme="minorHAnsi" w:hAnsiTheme="minorHAnsi" w:cstheme="minorHAnsi"/>
          <w:color w:val="000000"/>
        </w:rPr>
        <w:t>Harries, K</w:t>
      </w:r>
      <w:r>
        <w:rPr>
          <w:rFonts w:asciiTheme="minorHAnsi" w:hAnsiTheme="minorHAnsi" w:cstheme="minorHAnsi"/>
          <w:color w:val="000000"/>
        </w:rPr>
        <w:t xml:space="preserve"> (</w:t>
      </w:r>
      <w:r w:rsidRPr="009E2F41">
        <w:rPr>
          <w:rFonts w:asciiTheme="minorHAnsi" w:hAnsiTheme="minorHAnsi" w:cstheme="minorHAnsi"/>
          <w:color w:val="000000"/>
        </w:rPr>
        <w:t>1980</w:t>
      </w:r>
      <w:r>
        <w:rPr>
          <w:rFonts w:asciiTheme="minorHAnsi" w:hAnsiTheme="minorHAnsi" w:cstheme="minorHAnsi"/>
          <w:color w:val="000000"/>
        </w:rPr>
        <w:t>)</w:t>
      </w:r>
      <w:r w:rsidRPr="009E2F41">
        <w:rPr>
          <w:rFonts w:asciiTheme="minorHAnsi" w:hAnsiTheme="minorHAnsi" w:cstheme="minorHAnsi"/>
          <w:color w:val="000000"/>
        </w:rPr>
        <w:t xml:space="preserve"> </w:t>
      </w:r>
      <w:bookmarkEnd w:id="7"/>
      <w:r w:rsidRPr="009E2F41">
        <w:rPr>
          <w:rFonts w:asciiTheme="minorHAnsi" w:hAnsiTheme="minorHAnsi" w:cstheme="minorHAnsi"/>
          <w:i/>
          <w:iCs/>
          <w:color w:val="000000"/>
        </w:rPr>
        <w:t>Crime and the Environment</w:t>
      </w:r>
      <w:r w:rsidRPr="009E2F41">
        <w:rPr>
          <w:rFonts w:asciiTheme="minorHAnsi" w:hAnsiTheme="minorHAnsi" w:cstheme="minorHAnsi"/>
          <w:color w:val="000000"/>
        </w:rPr>
        <w:t>. Springfield, IL: Thomas.</w:t>
      </w:r>
    </w:p>
    <w:p w14:paraId="326CBB80"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Harrogate Borough Council (2011). </w:t>
      </w:r>
      <w:r w:rsidRPr="003879E4">
        <w:rPr>
          <w:rFonts w:asciiTheme="minorHAnsi" w:hAnsiTheme="minorHAnsi" w:cstheme="minorHAnsi"/>
          <w:i/>
          <w:iCs/>
          <w:color w:val="000000"/>
        </w:rPr>
        <w:t>Reducing the Impact of Anti-Social Behaviour Recognising and Reporting Anti-Social Behaviour (ASB) How We Deal with Reported ASB in the Harrogate District</w:t>
      </w:r>
      <w:r w:rsidRPr="003879E4">
        <w:rPr>
          <w:rFonts w:asciiTheme="minorHAnsi" w:hAnsiTheme="minorHAnsi" w:cstheme="minorHAnsi"/>
          <w:color w:val="000000"/>
        </w:rPr>
        <w:t xml:space="preserve">. [online] Available at: </w:t>
      </w:r>
      <w:hyperlink r:id="rId50" w:history="1">
        <w:r w:rsidRPr="003879E4">
          <w:rPr>
            <w:rStyle w:val="Hyperlink"/>
            <w:rFonts w:asciiTheme="minorHAnsi" w:hAnsiTheme="minorHAnsi" w:cstheme="minorHAnsi"/>
            <w:i/>
            <w:iCs/>
          </w:rPr>
          <w:t>https://www.harrogate.gov.uk/downloads/file/36/reducing-the-impact-of-anti-social-behaviour</w:t>
        </w:r>
      </w:hyperlink>
      <w:r w:rsidRPr="003879E4">
        <w:rPr>
          <w:rFonts w:asciiTheme="minorHAnsi" w:hAnsiTheme="minorHAnsi" w:cstheme="minorHAnsi"/>
          <w:color w:val="000000"/>
        </w:rPr>
        <w:t xml:space="preserve"> (Accessed 15 Mar. 2022).</w:t>
      </w:r>
    </w:p>
    <w:p w14:paraId="1061D9D2"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Haworth C, Davis O, &amp; Plomin R (2013) Twins Early Development Study: a genetically sensitive investigation of cognitive and behavioural development from childhood to young adulthood. </w:t>
      </w:r>
      <w:r w:rsidRPr="003879E4">
        <w:rPr>
          <w:rStyle w:val="Emphasis"/>
          <w:rFonts w:asciiTheme="minorHAnsi" w:hAnsiTheme="minorHAnsi" w:cstheme="minorHAnsi"/>
          <w:color w:val="000000"/>
        </w:rPr>
        <w:t>Twin Research and Human Genetics, 16(1)</w:t>
      </w:r>
      <w:r w:rsidRPr="003879E4">
        <w:rPr>
          <w:rFonts w:asciiTheme="minorHAnsi" w:hAnsiTheme="minorHAnsi" w:cstheme="minorHAnsi"/>
          <w:color w:val="000000"/>
        </w:rPr>
        <w:t>, pp. 117 – 125.</w:t>
      </w:r>
    </w:p>
    <w:p w14:paraId="14EE093C"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lastRenderedPageBreak/>
        <w:t>Hayes, C &amp; Corrie, I (2020). Learner-Centred Pedagogy Framing Authentic Identity and Positionality in Higher Education. Optimizing Higher Education Learning Through Activities and Assessments, pp. 77-95.</w:t>
      </w:r>
    </w:p>
    <w:p w14:paraId="0AE50244"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Haywood, P. and Wragg, C. (1982). </w:t>
      </w:r>
      <w:r w:rsidRPr="003879E4">
        <w:rPr>
          <w:rFonts w:asciiTheme="minorHAnsi" w:hAnsiTheme="minorHAnsi" w:cstheme="minorHAnsi"/>
          <w:i/>
          <w:iCs/>
          <w:color w:val="000000"/>
        </w:rPr>
        <w:t>Evaluating the Literature</w:t>
      </w:r>
      <w:r w:rsidRPr="003879E4">
        <w:rPr>
          <w:rFonts w:asciiTheme="minorHAnsi" w:hAnsiTheme="minorHAnsi" w:cstheme="minorHAnsi"/>
          <w:color w:val="000000"/>
        </w:rPr>
        <w:t>. Nottingham University School of Education: Oxford, pp.12–25.</w:t>
      </w:r>
    </w:p>
    <w:p w14:paraId="0E94986A"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Heap, V (2010) Understanding Public Perceptions of Anti-Social Behaviour: Problems and Policy Responses. </w:t>
      </w:r>
      <w:r w:rsidRPr="003879E4">
        <w:rPr>
          <w:rFonts w:asciiTheme="minorHAnsi" w:hAnsiTheme="minorHAnsi" w:cstheme="minorHAnsi"/>
          <w:i/>
          <w:iCs/>
          <w:color w:val="000000"/>
        </w:rPr>
        <w:t>Doctoral Thesis, University of Huddersfield</w:t>
      </w:r>
      <w:r w:rsidRPr="003879E4">
        <w:rPr>
          <w:rFonts w:asciiTheme="minorHAnsi" w:hAnsiTheme="minorHAnsi" w:cstheme="minorHAnsi"/>
          <w:color w:val="000000"/>
        </w:rPr>
        <w:t>. Available at: </w:t>
      </w:r>
      <w:hyperlink r:id="rId51" w:history="1">
        <w:r w:rsidRPr="003879E4">
          <w:rPr>
            <w:rStyle w:val="Hyperlink"/>
            <w:rFonts w:asciiTheme="minorHAnsi" w:hAnsiTheme="minorHAnsi" w:cstheme="minorHAnsi"/>
            <w:i/>
            <w:iCs/>
          </w:rPr>
          <w:t>http://eprints.hud.ac.uk/9209/</w:t>
        </w:r>
      </w:hyperlink>
      <w:r w:rsidRPr="003879E4">
        <w:rPr>
          <w:rFonts w:asciiTheme="minorHAnsi" w:hAnsiTheme="minorHAnsi" w:cstheme="minorHAnsi"/>
          <w:color w:val="000000"/>
        </w:rPr>
        <w:t> (Accessed 21 Jan. 2022)</w:t>
      </w:r>
    </w:p>
    <w:p w14:paraId="75A7C657"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Heap, V (2016) Anti-social behaviour, harm, and victimisation. </w:t>
      </w:r>
      <w:r w:rsidRPr="003879E4">
        <w:rPr>
          <w:rFonts w:asciiTheme="minorHAnsi" w:hAnsiTheme="minorHAnsi" w:cstheme="minorHAnsi"/>
          <w:i/>
          <w:iCs/>
          <w:color w:val="000000"/>
        </w:rPr>
        <w:t>A Companion to Crime, Harm and Victimisation</w:t>
      </w:r>
      <w:r w:rsidRPr="003879E4">
        <w:rPr>
          <w:rFonts w:asciiTheme="minorHAnsi" w:hAnsiTheme="minorHAnsi" w:cstheme="minorHAnsi"/>
          <w:color w:val="000000"/>
        </w:rPr>
        <w:t>. Bristol: Policy Press. pp. 59 – 82.</w:t>
      </w:r>
    </w:p>
    <w:p w14:paraId="4070DB69"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Heap, V. (2020). Exploring the effects of long-term anti-social behaviour victimisation. </w:t>
      </w:r>
      <w:r w:rsidRPr="003879E4">
        <w:rPr>
          <w:rFonts w:asciiTheme="minorHAnsi" w:hAnsiTheme="minorHAnsi" w:cstheme="minorHAnsi"/>
          <w:i/>
          <w:iCs/>
          <w:color w:val="000000"/>
        </w:rPr>
        <w:t>International Review of Victimology</w:t>
      </w:r>
      <w:r w:rsidRPr="003879E4">
        <w:rPr>
          <w:rFonts w:asciiTheme="minorHAnsi" w:hAnsiTheme="minorHAnsi" w:cstheme="minorHAnsi"/>
          <w:color w:val="000000"/>
        </w:rPr>
        <w:t>, 27(2), pp. 269 – 758.</w:t>
      </w:r>
    </w:p>
    <w:p w14:paraId="449E22E3"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Henry, S. and Lanier, M. (2019). </w:t>
      </w:r>
      <w:r w:rsidRPr="003879E4">
        <w:rPr>
          <w:rFonts w:asciiTheme="minorHAnsi" w:hAnsiTheme="minorHAnsi" w:cstheme="minorHAnsi"/>
          <w:i/>
          <w:iCs/>
          <w:color w:val="000000"/>
        </w:rPr>
        <w:t>The Essential Criminology Reader - Social Sciences</w:t>
      </w:r>
      <w:r w:rsidRPr="003879E4">
        <w:rPr>
          <w:rFonts w:asciiTheme="minorHAnsi" w:hAnsiTheme="minorHAnsi" w:cstheme="minorHAnsi"/>
          <w:color w:val="000000"/>
        </w:rPr>
        <w:t xml:space="preserve">. 2nd ed. New York: Routledge. pp. 75 -142. </w:t>
      </w:r>
    </w:p>
    <w:p w14:paraId="01AD2CD8"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Home Office (2010) Crime and Disorder Act 1998. [online] </w:t>
      </w:r>
      <w:r w:rsidRPr="003879E4">
        <w:rPr>
          <w:rFonts w:asciiTheme="minorHAnsi" w:hAnsiTheme="minorHAnsi" w:cstheme="minorHAnsi"/>
          <w:i/>
          <w:iCs/>
          <w:color w:val="000000"/>
        </w:rPr>
        <w:t>Legislation.gov.uk</w:t>
      </w:r>
      <w:r w:rsidRPr="003879E4">
        <w:rPr>
          <w:rFonts w:asciiTheme="minorHAnsi" w:hAnsiTheme="minorHAnsi" w:cstheme="minorHAnsi"/>
          <w:color w:val="000000"/>
        </w:rPr>
        <w:t>. Available at: </w:t>
      </w:r>
      <w:hyperlink r:id="rId52" w:history="1">
        <w:r w:rsidRPr="003879E4">
          <w:rPr>
            <w:rStyle w:val="Hyperlink"/>
            <w:rFonts w:asciiTheme="minorHAnsi" w:hAnsiTheme="minorHAnsi" w:cstheme="minorHAnsi"/>
            <w:i/>
            <w:iCs/>
          </w:rPr>
          <w:t>https://www.legislation.gov.uk/ukpga/1998/37</w:t>
        </w:r>
      </w:hyperlink>
      <w:r w:rsidRPr="003879E4">
        <w:rPr>
          <w:rFonts w:asciiTheme="minorHAnsi" w:hAnsiTheme="minorHAnsi" w:cstheme="minorHAnsi"/>
          <w:i/>
          <w:iCs/>
          <w:color w:val="000000"/>
        </w:rPr>
        <w:t xml:space="preserve"> </w:t>
      </w:r>
      <w:r w:rsidRPr="003879E4">
        <w:rPr>
          <w:rFonts w:asciiTheme="minorHAnsi" w:hAnsiTheme="minorHAnsi" w:cstheme="minorHAnsi"/>
          <w:color w:val="000000"/>
        </w:rPr>
        <w:t>(Accessed 21 Jan. 2022)</w:t>
      </w:r>
    </w:p>
    <w:p w14:paraId="6B9E0DCB"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Home Office (2011). </w:t>
      </w:r>
      <w:r w:rsidRPr="003879E4">
        <w:rPr>
          <w:rFonts w:asciiTheme="minorHAnsi" w:hAnsiTheme="minorHAnsi" w:cstheme="minorHAnsi"/>
          <w:i/>
          <w:iCs/>
          <w:color w:val="000000"/>
        </w:rPr>
        <w:t>More Effective Responses to Anti-social Behaviour</w:t>
      </w:r>
      <w:r w:rsidRPr="003879E4">
        <w:rPr>
          <w:rFonts w:asciiTheme="minorHAnsi" w:hAnsiTheme="minorHAnsi" w:cstheme="minorHAnsi"/>
          <w:color w:val="000000"/>
        </w:rPr>
        <w:t xml:space="preserve">. [online] Available at: </w:t>
      </w:r>
      <w:hyperlink r:id="rId53" w:history="1">
        <w:r w:rsidRPr="003879E4">
          <w:rPr>
            <w:rStyle w:val="Hyperlink"/>
            <w:rFonts w:asciiTheme="minorHAnsi" w:hAnsiTheme="minorHAnsi" w:cstheme="minorHAnsi"/>
            <w:i/>
            <w:iCs/>
          </w:rPr>
          <w:t>https://assets.publishing.service.gov.uk/government/uploads/system/uploads/attachment_data/file/210685/asb-consultation-document.pdf</w:t>
        </w:r>
      </w:hyperlink>
      <w:r w:rsidRPr="003879E4">
        <w:rPr>
          <w:rFonts w:asciiTheme="minorHAnsi" w:hAnsiTheme="minorHAnsi" w:cstheme="minorHAnsi"/>
          <w:i/>
          <w:iCs/>
          <w:color w:val="000000"/>
        </w:rPr>
        <w:t xml:space="preserve"> </w:t>
      </w:r>
      <w:r w:rsidRPr="003879E4">
        <w:rPr>
          <w:rFonts w:asciiTheme="minorHAnsi" w:hAnsiTheme="minorHAnsi" w:cstheme="minorHAnsi"/>
          <w:color w:val="000000"/>
        </w:rPr>
        <w:t>(Accessed 21 Jan. 2022).</w:t>
      </w:r>
    </w:p>
    <w:p w14:paraId="29840ED9"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Home Office (2012) Disability rights. [online] </w:t>
      </w:r>
      <w:r w:rsidRPr="003879E4">
        <w:rPr>
          <w:rFonts w:asciiTheme="minorHAnsi" w:hAnsiTheme="minorHAnsi" w:cstheme="minorHAnsi"/>
          <w:i/>
          <w:iCs/>
          <w:color w:val="000000"/>
        </w:rPr>
        <w:t>GOV.UK.</w:t>
      </w:r>
      <w:r w:rsidRPr="003879E4">
        <w:rPr>
          <w:rFonts w:asciiTheme="minorHAnsi" w:hAnsiTheme="minorHAnsi" w:cstheme="minorHAnsi"/>
          <w:color w:val="000000"/>
        </w:rPr>
        <w:t> Available at: </w:t>
      </w:r>
      <w:hyperlink r:id="rId54" w:history="1">
        <w:r w:rsidRPr="003879E4">
          <w:rPr>
            <w:rStyle w:val="Hyperlink"/>
            <w:rFonts w:asciiTheme="minorHAnsi" w:hAnsiTheme="minorHAnsi" w:cstheme="minorHAnsi"/>
            <w:i/>
            <w:iCs/>
          </w:rPr>
          <w:t>https://www.gov.uk/rights-disabled-person/police</w:t>
        </w:r>
      </w:hyperlink>
      <w:r w:rsidRPr="003879E4">
        <w:rPr>
          <w:rFonts w:asciiTheme="minorHAnsi" w:hAnsiTheme="minorHAnsi" w:cstheme="minorHAnsi"/>
          <w:i/>
          <w:iCs/>
          <w:color w:val="000000"/>
        </w:rPr>
        <w:t xml:space="preserve"> </w:t>
      </w:r>
      <w:r w:rsidRPr="003879E4">
        <w:rPr>
          <w:rFonts w:asciiTheme="minorHAnsi" w:hAnsiTheme="minorHAnsi" w:cstheme="minorHAnsi"/>
          <w:color w:val="000000"/>
        </w:rPr>
        <w:t>(Accessed: 23 Jan. 2022). </w:t>
      </w:r>
    </w:p>
    <w:p w14:paraId="4A3A6D2E"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Home Office (2014) Anti-social Behaviour, Crime and Policing Act 2014. [online] </w:t>
      </w:r>
      <w:r w:rsidRPr="003879E4">
        <w:rPr>
          <w:rFonts w:asciiTheme="minorHAnsi" w:hAnsiTheme="minorHAnsi" w:cstheme="minorHAnsi"/>
          <w:i/>
          <w:iCs/>
          <w:color w:val="000000"/>
        </w:rPr>
        <w:t>Legislation.gov.uk.</w:t>
      </w:r>
      <w:r w:rsidRPr="003879E4">
        <w:rPr>
          <w:rFonts w:asciiTheme="minorHAnsi" w:hAnsiTheme="minorHAnsi" w:cstheme="minorHAnsi"/>
          <w:color w:val="000000"/>
        </w:rPr>
        <w:t xml:space="preserve"> Available at: </w:t>
      </w:r>
      <w:hyperlink r:id="rId55" w:history="1">
        <w:r w:rsidRPr="003879E4">
          <w:rPr>
            <w:rStyle w:val="Hyperlink"/>
            <w:rFonts w:asciiTheme="minorHAnsi" w:hAnsiTheme="minorHAnsi" w:cstheme="minorHAnsi"/>
            <w:i/>
            <w:iCs/>
          </w:rPr>
          <w:t>https://www.legislation.gov.uk/ukpga/2014/12/contents/enacted</w:t>
        </w:r>
      </w:hyperlink>
      <w:r w:rsidRPr="003879E4">
        <w:rPr>
          <w:rFonts w:asciiTheme="minorHAnsi" w:hAnsiTheme="minorHAnsi" w:cstheme="minorHAnsi"/>
          <w:color w:val="000000"/>
        </w:rPr>
        <w:t xml:space="preserve"> (Accessed 21 Jan. 2022).</w:t>
      </w:r>
    </w:p>
    <w:p w14:paraId="3E7B4917"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Home Office (2018) Victims of Crime. [online] </w:t>
      </w:r>
      <w:r w:rsidRPr="003879E4">
        <w:rPr>
          <w:rFonts w:asciiTheme="minorHAnsi" w:hAnsiTheme="minorHAnsi" w:cstheme="minorHAnsi"/>
          <w:i/>
          <w:iCs/>
          <w:color w:val="000000"/>
        </w:rPr>
        <w:t>Service.gov.uk</w:t>
      </w:r>
      <w:r w:rsidRPr="003879E4">
        <w:rPr>
          <w:rFonts w:asciiTheme="minorHAnsi" w:hAnsiTheme="minorHAnsi" w:cstheme="minorHAnsi"/>
          <w:color w:val="000000"/>
        </w:rPr>
        <w:t>. Available at: </w:t>
      </w:r>
      <w:hyperlink r:id="rId56" w:history="1">
        <w:r w:rsidRPr="003879E4">
          <w:rPr>
            <w:rStyle w:val="Hyperlink"/>
            <w:rFonts w:asciiTheme="minorHAnsi" w:hAnsiTheme="minorHAnsi" w:cstheme="minorHAnsi"/>
            <w:i/>
            <w:iCs/>
          </w:rPr>
          <w:t>https://www.ethnicity-facts-figures.service.gov.uk/crime-justice-and-the-law/crime-and-reoffending/victims-of-crime/lates</w:t>
        </w:r>
        <w:r w:rsidRPr="003879E4">
          <w:rPr>
            <w:rStyle w:val="Hyperlink"/>
            <w:rFonts w:asciiTheme="minorHAnsi" w:hAnsiTheme="minorHAnsi" w:cstheme="minorHAnsi"/>
          </w:rPr>
          <w:t>t</w:t>
        </w:r>
      </w:hyperlink>
      <w:r w:rsidRPr="003879E4">
        <w:rPr>
          <w:rFonts w:asciiTheme="minorHAnsi" w:hAnsiTheme="minorHAnsi" w:cstheme="minorHAnsi"/>
          <w:color w:val="000000"/>
        </w:rPr>
        <w:t xml:space="preserve"> (Accessed 23 Jan. 2022). </w:t>
      </w:r>
    </w:p>
    <w:p w14:paraId="1AAFC6DB"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Home Office (2019). </w:t>
      </w:r>
      <w:r w:rsidRPr="003879E4">
        <w:rPr>
          <w:rFonts w:asciiTheme="minorHAnsi" w:hAnsiTheme="minorHAnsi" w:cstheme="minorHAnsi"/>
          <w:i/>
          <w:iCs/>
          <w:color w:val="000000"/>
        </w:rPr>
        <w:t>Crime and Disorder Act 1998</w:t>
      </w:r>
      <w:r w:rsidRPr="003879E4">
        <w:rPr>
          <w:rFonts w:asciiTheme="minorHAnsi" w:hAnsiTheme="minorHAnsi" w:cstheme="minorHAnsi"/>
          <w:color w:val="000000"/>
        </w:rPr>
        <w:t xml:space="preserve">. [online] Legislation.gov.uk. Available at: </w:t>
      </w:r>
      <w:hyperlink r:id="rId57" w:history="1">
        <w:r w:rsidRPr="003879E4">
          <w:rPr>
            <w:rStyle w:val="Hyperlink"/>
            <w:rFonts w:asciiTheme="minorHAnsi" w:hAnsiTheme="minorHAnsi" w:cstheme="minorHAnsi"/>
            <w:i/>
            <w:iCs/>
          </w:rPr>
          <w:t>https://www.legislation.gov.uk/ukpga/1998/37/contents</w:t>
        </w:r>
      </w:hyperlink>
      <w:r w:rsidRPr="003879E4">
        <w:rPr>
          <w:rFonts w:asciiTheme="minorHAnsi" w:hAnsiTheme="minorHAnsi" w:cstheme="minorHAnsi"/>
          <w:color w:val="000000"/>
        </w:rPr>
        <w:t xml:space="preserve"> (Accessed 21 Jan. 2022).</w:t>
      </w:r>
    </w:p>
    <w:p w14:paraId="646C8EAE"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Home Office (2020a). </w:t>
      </w:r>
      <w:r w:rsidRPr="003879E4">
        <w:rPr>
          <w:rFonts w:asciiTheme="minorHAnsi" w:hAnsiTheme="minorHAnsi" w:cstheme="minorHAnsi"/>
          <w:i/>
          <w:iCs/>
          <w:color w:val="000000"/>
        </w:rPr>
        <w:t>Anti-social Behaviour Act 2003</w:t>
      </w:r>
      <w:r w:rsidRPr="003879E4">
        <w:rPr>
          <w:rFonts w:asciiTheme="minorHAnsi" w:hAnsiTheme="minorHAnsi" w:cstheme="minorHAnsi"/>
          <w:color w:val="000000"/>
        </w:rPr>
        <w:t xml:space="preserve">. [online] Legislation.gov.uk. Available at: </w:t>
      </w:r>
      <w:hyperlink r:id="rId58" w:history="1">
        <w:r w:rsidRPr="003879E4">
          <w:rPr>
            <w:rStyle w:val="Hyperlink"/>
            <w:rFonts w:asciiTheme="minorHAnsi" w:hAnsiTheme="minorHAnsi" w:cstheme="minorHAnsi"/>
            <w:i/>
            <w:iCs/>
          </w:rPr>
          <w:t>https://www.legislation.gov.uk/ukpga/2003/38/contents</w:t>
        </w:r>
      </w:hyperlink>
      <w:r w:rsidRPr="003879E4">
        <w:rPr>
          <w:rFonts w:asciiTheme="minorHAnsi" w:hAnsiTheme="minorHAnsi" w:cstheme="minorHAnsi"/>
          <w:color w:val="000000"/>
        </w:rPr>
        <w:t xml:space="preserve"> (Accessed 22 Jan. 2022).</w:t>
      </w:r>
    </w:p>
    <w:p w14:paraId="33AAA239"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Home Office (2020b). </w:t>
      </w:r>
      <w:r w:rsidRPr="003879E4">
        <w:rPr>
          <w:rFonts w:asciiTheme="minorHAnsi" w:hAnsiTheme="minorHAnsi" w:cstheme="minorHAnsi"/>
          <w:i/>
          <w:iCs/>
          <w:color w:val="000000"/>
        </w:rPr>
        <w:t>The economic and social costs of crime Second edition</w:t>
      </w:r>
      <w:r w:rsidRPr="003879E4">
        <w:rPr>
          <w:rFonts w:asciiTheme="minorHAnsi" w:hAnsiTheme="minorHAnsi" w:cstheme="minorHAnsi"/>
          <w:color w:val="000000"/>
        </w:rPr>
        <w:t xml:space="preserve">. [online] Available at: </w:t>
      </w:r>
      <w:hyperlink r:id="rId59" w:history="1">
        <w:r w:rsidRPr="003879E4">
          <w:rPr>
            <w:rStyle w:val="Hyperlink"/>
            <w:rFonts w:asciiTheme="minorHAnsi" w:hAnsiTheme="minorHAnsi" w:cstheme="minorHAnsi"/>
            <w:i/>
            <w:iCs/>
          </w:rPr>
          <w:t>https://assets.publishing.service.gov.uk/government/uploads/system/uploads/attachment_data/file/732110/the-economic-and-social-costs-of-crime-horr99.pdf</w:t>
        </w:r>
      </w:hyperlink>
      <w:r w:rsidRPr="003879E4">
        <w:rPr>
          <w:rFonts w:asciiTheme="minorHAnsi" w:hAnsiTheme="minorHAnsi" w:cstheme="minorHAnsi"/>
          <w:i/>
          <w:iCs/>
          <w:color w:val="000000"/>
        </w:rPr>
        <w:t xml:space="preserve">  </w:t>
      </w:r>
      <w:r w:rsidRPr="003879E4">
        <w:rPr>
          <w:rFonts w:asciiTheme="minorHAnsi" w:hAnsiTheme="minorHAnsi" w:cstheme="minorHAnsi"/>
          <w:color w:val="000000"/>
        </w:rPr>
        <w:t>(Accessed 12 Nov. 2021).</w:t>
      </w:r>
    </w:p>
    <w:p w14:paraId="341E2599"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lastRenderedPageBreak/>
        <w:t xml:space="preserve">Home Office (2021). UKCrimeStats.com - Dyfed-Powys Police. [online] www.ukcrimestats.com. Available at: </w:t>
      </w:r>
      <w:hyperlink r:id="rId60" w:history="1">
        <w:r w:rsidRPr="003879E4">
          <w:rPr>
            <w:rStyle w:val="Hyperlink"/>
            <w:rFonts w:asciiTheme="minorHAnsi" w:hAnsiTheme="minorHAnsi" w:cstheme="minorHAnsi"/>
            <w:i/>
            <w:iCs/>
          </w:rPr>
          <w:t>https://www.ukcrimestats.com/Police_Force/Dyfed-Powys_Police</w:t>
        </w:r>
      </w:hyperlink>
      <w:r w:rsidRPr="003879E4">
        <w:rPr>
          <w:rFonts w:asciiTheme="minorHAnsi" w:hAnsiTheme="minorHAnsi" w:cstheme="minorHAnsi"/>
          <w:i/>
          <w:iCs/>
          <w:color w:val="000000"/>
        </w:rPr>
        <w:t xml:space="preserve"> </w:t>
      </w:r>
      <w:r w:rsidRPr="003879E4">
        <w:rPr>
          <w:rFonts w:asciiTheme="minorHAnsi" w:hAnsiTheme="minorHAnsi" w:cstheme="minorHAnsi"/>
          <w:color w:val="000000"/>
        </w:rPr>
        <w:t xml:space="preserve">(Accessed 4 Nov. 2021). </w:t>
      </w:r>
    </w:p>
    <w:p w14:paraId="03951D9A"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Hunter, G., May, T. and Hough, M. (2018). Are the police embracing evidence-informed practice? A view from England and Wales. </w:t>
      </w:r>
      <w:r w:rsidRPr="003879E4">
        <w:rPr>
          <w:rFonts w:asciiTheme="minorHAnsi" w:hAnsiTheme="minorHAnsi" w:cstheme="minorHAnsi"/>
          <w:i/>
          <w:iCs/>
          <w:color w:val="000000"/>
        </w:rPr>
        <w:t>Policing and Society</w:t>
      </w:r>
      <w:r w:rsidRPr="003879E4">
        <w:rPr>
          <w:rFonts w:asciiTheme="minorHAnsi" w:hAnsiTheme="minorHAnsi" w:cstheme="minorHAnsi"/>
          <w:color w:val="000000"/>
        </w:rPr>
        <w:t>, 29(3), pp. 251 – 265.</w:t>
      </w:r>
    </w:p>
    <w:p w14:paraId="0A9D4735"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Hutton G, Gold E &amp; Conor P (2021) ‘General policing Duties’. Blackstone’s Police Manual. Oxford University Press. Volume 4.</w:t>
      </w:r>
    </w:p>
    <w:p w14:paraId="70778D1E"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Jarret, S. (2021). </w:t>
      </w:r>
      <w:r w:rsidRPr="003879E4">
        <w:rPr>
          <w:rFonts w:asciiTheme="minorHAnsi" w:hAnsiTheme="minorHAnsi" w:cstheme="minorHAnsi"/>
          <w:i/>
          <w:iCs/>
          <w:color w:val="000000"/>
        </w:rPr>
        <w:t>The Extinction of Intellectual Disability an Enlightenment Project from Locke to Freud</w:t>
      </w:r>
      <w:r w:rsidRPr="003879E4">
        <w:rPr>
          <w:rFonts w:asciiTheme="minorHAnsi" w:hAnsiTheme="minorHAnsi" w:cstheme="minorHAnsi"/>
          <w:color w:val="000000"/>
        </w:rPr>
        <w:t>. 1st ed. Routledge, pp.18.</w:t>
      </w:r>
    </w:p>
    <w:p w14:paraId="356DA4C5"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proofErr w:type="spellStart"/>
      <w:r w:rsidRPr="003879E4">
        <w:rPr>
          <w:rFonts w:asciiTheme="minorHAnsi" w:hAnsiTheme="minorHAnsi" w:cstheme="minorHAnsi"/>
          <w:color w:val="000000"/>
        </w:rPr>
        <w:t>Jobson</w:t>
      </w:r>
      <w:proofErr w:type="spellEnd"/>
      <w:r w:rsidRPr="003879E4">
        <w:rPr>
          <w:rFonts w:asciiTheme="minorHAnsi" w:hAnsiTheme="minorHAnsi" w:cstheme="minorHAnsi"/>
          <w:color w:val="000000"/>
        </w:rPr>
        <w:t xml:space="preserve"> D, Rahman Z and </w:t>
      </w:r>
      <w:proofErr w:type="spellStart"/>
      <w:r w:rsidRPr="003879E4">
        <w:rPr>
          <w:rFonts w:asciiTheme="minorHAnsi" w:hAnsiTheme="minorHAnsi" w:cstheme="minorHAnsi"/>
          <w:color w:val="000000"/>
        </w:rPr>
        <w:t>Woodell</w:t>
      </w:r>
      <w:proofErr w:type="spellEnd"/>
      <w:r w:rsidRPr="003879E4">
        <w:rPr>
          <w:rFonts w:asciiTheme="minorHAnsi" w:hAnsiTheme="minorHAnsi" w:cstheme="minorHAnsi"/>
          <w:color w:val="000000"/>
        </w:rPr>
        <w:t xml:space="preserve"> G (2002) Statistics of visual representation. In </w:t>
      </w:r>
      <w:r w:rsidRPr="003879E4">
        <w:rPr>
          <w:rFonts w:asciiTheme="minorHAnsi" w:hAnsiTheme="minorHAnsi" w:cstheme="minorHAnsi"/>
          <w:i/>
          <w:iCs/>
          <w:color w:val="000000"/>
        </w:rPr>
        <w:t>Visual information processing.</w:t>
      </w:r>
      <w:r w:rsidRPr="003879E4">
        <w:rPr>
          <w:rFonts w:asciiTheme="minorHAnsi" w:hAnsiTheme="minorHAnsi" w:cstheme="minorHAnsi"/>
          <w:color w:val="000000"/>
        </w:rPr>
        <w:t> International Society for Optics and Photonics. pp.25-35.</w:t>
      </w:r>
    </w:p>
    <w:p w14:paraId="4A56F08F"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 xml:space="preserve">John, S &amp; Foss, K (2009) </w:t>
      </w:r>
      <w:proofErr w:type="spellStart"/>
      <w:r w:rsidRPr="003879E4">
        <w:rPr>
          <w:rFonts w:asciiTheme="minorHAnsi" w:hAnsiTheme="minorHAnsi" w:cstheme="minorHAnsi"/>
          <w:i/>
          <w:iCs/>
          <w:color w:val="000000"/>
        </w:rPr>
        <w:t>Encyclopedia</w:t>
      </w:r>
      <w:proofErr w:type="spellEnd"/>
      <w:r w:rsidRPr="003879E4">
        <w:rPr>
          <w:rFonts w:asciiTheme="minorHAnsi" w:hAnsiTheme="minorHAnsi" w:cstheme="minorHAnsi"/>
          <w:i/>
          <w:iCs/>
          <w:color w:val="000000"/>
        </w:rPr>
        <w:t xml:space="preserve"> of Communication Theory</w:t>
      </w:r>
      <w:r w:rsidRPr="003879E4">
        <w:rPr>
          <w:rFonts w:asciiTheme="minorHAnsi" w:hAnsiTheme="minorHAnsi" w:cstheme="minorHAnsi"/>
          <w:color w:val="000000"/>
        </w:rPr>
        <w:t xml:space="preserve">. Vol.1, SAGE Publication. pp. 13 – 19. </w:t>
      </w:r>
    </w:p>
    <w:p w14:paraId="29F1B9B0"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Jones, T. (2013). A Quick Guide to Survey Research. </w:t>
      </w:r>
      <w:r w:rsidRPr="003879E4">
        <w:rPr>
          <w:rFonts w:asciiTheme="minorHAnsi" w:hAnsiTheme="minorHAnsi" w:cstheme="minorHAnsi"/>
          <w:i/>
          <w:iCs/>
          <w:color w:val="000000"/>
        </w:rPr>
        <w:t>The Annals of the Royal College of Surgeons of England</w:t>
      </w:r>
      <w:r w:rsidRPr="003879E4">
        <w:rPr>
          <w:rFonts w:asciiTheme="minorHAnsi" w:hAnsiTheme="minorHAnsi" w:cstheme="minorHAnsi"/>
          <w:color w:val="000000"/>
        </w:rPr>
        <w:t>, 95(1), pp.5 – 7.</w:t>
      </w:r>
    </w:p>
    <w:p w14:paraId="396D54ED"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 xml:space="preserve">Junger-Tas J, </w:t>
      </w:r>
      <w:proofErr w:type="spellStart"/>
      <w:r w:rsidRPr="003879E4">
        <w:rPr>
          <w:rFonts w:asciiTheme="minorHAnsi" w:hAnsiTheme="minorHAnsi" w:cstheme="minorHAnsi"/>
          <w:color w:val="000000"/>
        </w:rPr>
        <w:t>Terlouw</w:t>
      </w:r>
      <w:proofErr w:type="spellEnd"/>
      <w:r w:rsidRPr="003879E4">
        <w:rPr>
          <w:rFonts w:asciiTheme="minorHAnsi" w:hAnsiTheme="minorHAnsi" w:cstheme="minorHAnsi"/>
          <w:color w:val="000000"/>
        </w:rPr>
        <w:t xml:space="preserve"> J &amp; Klein W (1994) </w:t>
      </w:r>
      <w:r w:rsidRPr="003879E4">
        <w:rPr>
          <w:rFonts w:asciiTheme="minorHAnsi" w:hAnsiTheme="minorHAnsi" w:cstheme="minorHAnsi"/>
          <w:i/>
          <w:iCs/>
          <w:color w:val="000000"/>
        </w:rPr>
        <w:t>Delinquent Behaviour Among Young People in the Western World</w:t>
      </w:r>
      <w:r w:rsidRPr="003879E4">
        <w:rPr>
          <w:rFonts w:asciiTheme="minorHAnsi" w:hAnsiTheme="minorHAnsi" w:cstheme="minorHAnsi"/>
          <w:color w:val="000000"/>
        </w:rPr>
        <w:t>. Amsterdam: Kugler Publications.</w:t>
      </w:r>
    </w:p>
    <w:p w14:paraId="325FE695"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Kaplan, M. and Winter, G. (2013). Prisoners of Abstraction? the Theory and Measure of Genetic Variation, and the Very Concept of ‘Race’. </w:t>
      </w:r>
      <w:r w:rsidRPr="003879E4">
        <w:rPr>
          <w:rFonts w:asciiTheme="minorHAnsi" w:hAnsiTheme="minorHAnsi" w:cstheme="minorHAnsi"/>
          <w:i/>
          <w:iCs/>
          <w:color w:val="000000"/>
        </w:rPr>
        <w:t>Biological Theory</w:t>
      </w:r>
      <w:r w:rsidRPr="003879E4">
        <w:rPr>
          <w:rFonts w:asciiTheme="minorHAnsi" w:hAnsiTheme="minorHAnsi" w:cstheme="minorHAnsi"/>
          <w:color w:val="000000"/>
        </w:rPr>
        <w:t>, 7(4), pp.401 – 412.</w:t>
      </w:r>
    </w:p>
    <w:p w14:paraId="241DBDD8"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Kelly, P. (2012). </w:t>
      </w:r>
      <w:r w:rsidRPr="003879E4">
        <w:rPr>
          <w:rFonts w:asciiTheme="minorHAnsi" w:hAnsiTheme="minorHAnsi" w:cstheme="minorHAnsi"/>
          <w:i/>
          <w:iCs/>
          <w:color w:val="000000"/>
        </w:rPr>
        <w:t>Effectiveness of CCTV in Crime Prevention</w:t>
      </w:r>
      <w:r w:rsidRPr="003879E4">
        <w:rPr>
          <w:rFonts w:asciiTheme="minorHAnsi" w:hAnsiTheme="minorHAnsi" w:cstheme="minorHAnsi"/>
          <w:color w:val="000000"/>
        </w:rPr>
        <w:t>. [online] www.grin.com. Available at:</w:t>
      </w:r>
      <w:r w:rsidRPr="003879E4">
        <w:rPr>
          <w:rFonts w:asciiTheme="minorHAnsi" w:hAnsiTheme="minorHAnsi" w:cstheme="minorHAnsi"/>
          <w:i/>
          <w:iCs/>
          <w:color w:val="000000"/>
        </w:rPr>
        <w:t> </w:t>
      </w:r>
      <w:hyperlink r:id="rId61" w:history="1">
        <w:r w:rsidRPr="003879E4">
          <w:rPr>
            <w:rStyle w:val="Hyperlink"/>
            <w:rFonts w:asciiTheme="minorHAnsi" w:hAnsiTheme="minorHAnsi" w:cstheme="minorHAnsi"/>
            <w:i/>
            <w:iCs/>
          </w:rPr>
          <w:t>https://www.grin.com/document/280648</w:t>
        </w:r>
      </w:hyperlink>
      <w:r w:rsidRPr="003879E4">
        <w:rPr>
          <w:rFonts w:asciiTheme="minorHAnsi" w:hAnsiTheme="minorHAnsi" w:cstheme="minorHAnsi"/>
          <w:i/>
          <w:iCs/>
          <w:color w:val="000000"/>
        </w:rPr>
        <w:t xml:space="preserve"> </w:t>
      </w:r>
      <w:r w:rsidRPr="003879E4">
        <w:rPr>
          <w:rFonts w:asciiTheme="minorHAnsi" w:hAnsiTheme="minorHAnsi" w:cstheme="minorHAnsi"/>
          <w:color w:val="000000"/>
        </w:rPr>
        <w:t>(Accessed 2 Mar. 2022).</w:t>
      </w:r>
    </w:p>
    <w:p w14:paraId="2408C789"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proofErr w:type="spellStart"/>
      <w:r w:rsidRPr="003879E4">
        <w:rPr>
          <w:rFonts w:asciiTheme="minorHAnsi" w:hAnsiTheme="minorHAnsi" w:cstheme="minorHAnsi"/>
          <w:color w:val="000000"/>
        </w:rPr>
        <w:t>Koufioti</w:t>
      </w:r>
      <w:proofErr w:type="spellEnd"/>
      <w:r w:rsidRPr="003879E4">
        <w:rPr>
          <w:rFonts w:asciiTheme="minorHAnsi" w:hAnsiTheme="minorHAnsi" w:cstheme="minorHAnsi"/>
          <w:color w:val="000000"/>
        </w:rPr>
        <w:t>, G. (2021). Hormones, Chromosome Diseases and Crime: a Correlation among neuroscience, genetics, Criminology and Penology. </w:t>
      </w:r>
      <w:r w:rsidRPr="003879E4">
        <w:rPr>
          <w:rFonts w:asciiTheme="minorHAnsi" w:hAnsiTheme="minorHAnsi" w:cstheme="minorHAnsi"/>
          <w:i/>
          <w:iCs/>
          <w:color w:val="000000"/>
        </w:rPr>
        <w:t>repository.ihu.edu.gr</w:t>
      </w:r>
      <w:r w:rsidRPr="003879E4">
        <w:rPr>
          <w:rFonts w:asciiTheme="minorHAnsi" w:hAnsiTheme="minorHAnsi" w:cstheme="minorHAnsi"/>
          <w:color w:val="000000"/>
        </w:rPr>
        <w:t xml:space="preserve">, [online] pp.1–10. Available at: </w:t>
      </w:r>
      <w:hyperlink r:id="rId62" w:history="1">
        <w:r w:rsidRPr="003879E4">
          <w:rPr>
            <w:rStyle w:val="Hyperlink"/>
            <w:rFonts w:asciiTheme="minorHAnsi" w:hAnsiTheme="minorHAnsi" w:cstheme="minorHAnsi"/>
            <w:i/>
            <w:iCs/>
          </w:rPr>
          <w:t>https://repository.ihu.edu.gr/xmlui/handle/11544/29896</w:t>
        </w:r>
      </w:hyperlink>
      <w:r w:rsidRPr="003879E4">
        <w:rPr>
          <w:rFonts w:asciiTheme="minorHAnsi" w:hAnsiTheme="minorHAnsi" w:cstheme="minorHAnsi"/>
          <w:color w:val="000000"/>
        </w:rPr>
        <w:t xml:space="preserve"> (Accessed 11 Nov. 2021). </w:t>
      </w:r>
    </w:p>
    <w:p w14:paraId="7FDB91DB"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Law Enforcement Action Partnership (2017). </w:t>
      </w:r>
      <w:r w:rsidRPr="003879E4">
        <w:rPr>
          <w:rFonts w:asciiTheme="minorHAnsi" w:hAnsiTheme="minorHAnsi" w:cstheme="minorHAnsi"/>
          <w:i/>
          <w:iCs/>
          <w:color w:val="000000"/>
        </w:rPr>
        <w:t>Sir Robert Peel’s Policing Principles | Law Enforcement Action Partnership</w:t>
      </w:r>
      <w:r w:rsidRPr="003879E4">
        <w:rPr>
          <w:rFonts w:asciiTheme="minorHAnsi" w:hAnsiTheme="minorHAnsi" w:cstheme="minorHAnsi"/>
          <w:color w:val="000000"/>
        </w:rPr>
        <w:t xml:space="preserve">. [online] Law Enforcement Action Partnership. Available at: </w:t>
      </w:r>
      <w:hyperlink r:id="rId63" w:history="1">
        <w:r w:rsidRPr="003879E4">
          <w:rPr>
            <w:rStyle w:val="Hyperlink"/>
            <w:rFonts w:asciiTheme="minorHAnsi" w:hAnsiTheme="minorHAnsi" w:cstheme="minorHAnsi"/>
            <w:i/>
            <w:iCs/>
          </w:rPr>
          <w:t>https://lawenforcementactionpartnership.org/peel-policing-principles/</w:t>
        </w:r>
      </w:hyperlink>
      <w:r w:rsidRPr="003879E4">
        <w:rPr>
          <w:rFonts w:asciiTheme="minorHAnsi" w:hAnsiTheme="minorHAnsi" w:cstheme="minorHAnsi"/>
          <w:i/>
          <w:iCs/>
          <w:color w:val="000000"/>
        </w:rPr>
        <w:t xml:space="preserve">  </w:t>
      </w:r>
      <w:r w:rsidRPr="003879E4">
        <w:rPr>
          <w:rFonts w:asciiTheme="minorHAnsi" w:hAnsiTheme="minorHAnsi" w:cstheme="minorHAnsi"/>
          <w:color w:val="000000"/>
        </w:rPr>
        <w:t>(Accessed 13 Jan. 2022).</w:t>
      </w:r>
    </w:p>
    <w:p w14:paraId="25777C84"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Leech, N (2007) An array of qualitative data analysis tools: A call for data analysis triangulation. </w:t>
      </w:r>
      <w:r w:rsidRPr="003879E4">
        <w:rPr>
          <w:rFonts w:asciiTheme="minorHAnsi" w:hAnsiTheme="minorHAnsi" w:cstheme="minorHAnsi"/>
          <w:i/>
          <w:iCs/>
          <w:color w:val="000000"/>
        </w:rPr>
        <w:t>School psychology quarterly</w:t>
      </w:r>
      <w:r w:rsidRPr="003879E4">
        <w:rPr>
          <w:rFonts w:asciiTheme="minorHAnsi" w:hAnsiTheme="minorHAnsi" w:cstheme="minorHAnsi"/>
          <w:color w:val="000000"/>
        </w:rPr>
        <w:t>, </w:t>
      </w:r>
      <w:r w:rsidRPr="003879E4">
        <w:rPr>
          <w:rFonts w:asciiTheme="minorHAnsi" w:hAnsiTheme="minorHAnsi" w:cstheme="minorHAnsi"/>
          <w:i/>
          <w:iCs/>
          <w:color w:val="000000"/>
        </w:rPr>
        <w:t>22</w:t>
      </w:r>
      <w:r w:rsidRPr="003879E4">
        <w:rPr>
          <w:rFonts w:asciiTheme="minorHAnsi" w:hAnsiTheme="minorHAnsi" w:cstheme="minorHAnsi"/>
          <w:color w:val="000000"/>
        </w:rPr>
        <w:t>(4), pp.557.</w:t>
      </w:r>
    </w:p>
    <w:p w14:paraId="73F09477"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Likert, R (2017) The method of constructing an attitude scale. In </w:t>
      </w:r>
      <w:r w:rsidRPr="003879E4">
        <w:rPr>
          <w:rFonts w:asciiTheme="minorHAnsi" w:hAnsiTheme="minorHAnsi" w:cstheme="minorHAnsi"/>
          <w:i/>
          <w:iCs/>
          <w:color w:val="000000"/>
        </w:rPr>
        <w:t>Scaling</w:t>
      </w:r>
      <w:r w:rsidRPr="003879E4">
        <w:rPr>
          <w:rFonts w:asciiTheme="minorHAnsi" w:hAnsiTheme="minorHAnsi" w:cstheme="minorHAnsi"/>
          <w:color w:val="000000"/>
        </w:rPr>
        <w:t>. Routledge. pp. 232 - 234.</w:t>
      </w:r>
    </w:p>
    <w:p w14:paraId="6F7C8221"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Little, B. (2019). </w:t>
      </w:r>
      <w:r w:rsidRPr="003879E4">
        <w:rPr>
          <w:rFonts w:asciiTheme="minorHAnsi" w:hAnsiTheme="minorHAnsi" w:cstheme="minorHAnsi"/>
          <w:i/>
          <w:iCs/>
          <w:color w:val="000000"/>
        </w:rPr>
        <w:t>What Type of Criminal Are You? 19th-Century Doctors Claimed to Know by Your Face</w:t>
      </w:r>
      <w:r w:rsidRPr="003879E4">
        <w:rPr>
          <w:rFonts w:asciiTheme="minorHAnsi" w:hAnsiTheme="minorHAnsi" w:cstheme="minorHAnsi"/>
          <w:color w:val="000000"/>
        </w:rPr>
        <w:t xml:space="preserve">. [online] History. Available at: </w:t>
      </w:r>
      <w:hyperlink r:id="rId64" w:history="1">
        <w:r w:rsidRPr="003879E4">
          <w:rPr>
            <w:rStyle w:val="Hyperlink"/>
            <w:rFonts w:asciiTheme="minorHAnsi" w:hAnsiTheme="minorHAnsi" w:cstheme="minorHAnsi"/>
            <w:i/>
            <w:iCs/>
          </w:rPr>
          <w:t>https://www.history.com/news/born-criminal-theory-criminology</w:t>
        </w:r>
      </w:hyperlink>
      <w:r w:rsidRPr="003879E4">
        <w:rPr>
          <w:rFonts w:asciiTheme="minorHAnsi" w:hAnsiTheme="minorHAnsi" w:cstheme="minorHAnsi"/>
          <w:color w:val="000000"/>
        </w:rPr>
        <w:t xml:space="preserve"> (Accessed 13 Jan. 2022).</w:t>
      </w:r>
    </w:p>
    <w:p w14:paraId="16991138"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Locke, J. (1689). </w:t>
      </w:r>
      <w:r w:rsidRPr="003879E4">
        <w:rPr>
          <w:rFonts w:asciiTheme="minorHAnsi" w:hAnsiTheme="minorHAnsi" w:cstheme="minorHAnsi"/>
          <w:i/>
          <w:iCs/>
          <w:color w:val="000000"/>
        </w:rPr>
        <w:t>An Essay concerning the True Original, Extent and End of Civil Government</w:t>
      </w:r>
      <w:r w:rsidRPr="003879E4">
        <w:rPr>
          <w:rFonts w:asciiTheme="minorHAnsi" w:hAnsiTheme="minorHAnsi" w:cstheme="minorHAnsi"/>
          <w:color w:val="000000"/>
        </w:rPr>
        <w:t>. 1st ed. Political Philosophy.</w:t>
      </w:r>
    </w:p>
    <w:p w14:paraId="0936541C"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Lombroso, C (1876) </w:t>
      </w:r>
      <w:proofErr w:type="spellStart"/>
      <w:r w:rsidRPr="003879E4">
        <w:rPr>
          <w:rFonts w:asciiTheme="minorHAnsi" w:hAnsiTheme="minorHAnsi" w:cstheme="minorHAnsi"/>
          <w:i/>
          <w:iCs/>
          <w:color w:val="000000"/>
        </w:rPr>
        <w:t>L’Uomom</w:t>
      </w:r>
      <w:proofErr w:type="spellEnd"/>
      <w:r w:rsidRPr="003879E4">
        <w:rPr>
          <w:rFonts w:asciiTheme="minorHAnsi" w:hAnsiTheme="minorHAnsi" w:cstheme="minorHAnsi"/>
          <w:i/>
          <w:iCs/>
          <w:color w:val="000000"/>
        </w:rPr>
        <w:t xml:space="preserve"> </w:t>
      </w:r>
      <w:proofErr w:type="spellStart"/>
      <w:r w:rsidRPr="003879E4">
        <w:rPr>
          <w:rFonts w:asciiTheme="minorHAnsi" w:hAnsiTheme="minorHAnsi" w:cstheme="minorHAnsi"/>
          <w:i/>
          <w:iCs/>
          <w:color w:val="000000"/>
        </w:rPr>
        <w:t>delinquente</w:t>
      </w:r>
      <w:proofErr w:type="spellEnd"/>
      <w:r w:rsidRPr="003879E4">
        <w:rPr>
          <w:rFonts w:asciiTheme="minorHAnsi" w:hAnsiTheme="minorHAnsi" w:cstheme="minorHAnsi"/>
          <w:color w:val="000000"/>
        </w:rPr>
        <w:t>. Criminal Man. Scientific Research Publishing. </w:t>
      </w:r>
    </w:p>
    <w:p w14:paraId="04456395"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Lombroso-Ferrero, G. (1914). Charles Goring’s the English Convict a Symposium. </w:t>
      </w:r>
      <w:r w:rsidRPr="003879E4">
        <w:rPr>
          <w:rFonts w:asciiTheme="minorHAnsi" w:hAnsiTheme="minorHAnsi" w:cstheme="minorHAnsi"/>
          <w:i/>
          <w:iCs/>
          <w:color w:val="000000"/>
        </w:rPr>
        <w:t>Journal of the American Institute of Criminal Law and Criminology</w:t>
      </w:r>
      <w:r w:rsidRPr="003879E4">
        <w:rPr>
          <w:rFonts w:asciiTheme="minorHAnsi" w:hAnsiTheme="minorHAnsi" w:cstheme="minorHAnsi"/>
          <w:color w:val="000000"/>
        </w:rPr>
        <w:t xml:space="preserve">, [online] 5, p.207. Available at: </w:t>
      </w:r>
      <w:hyperlink r:id="rId65" w:history="1">
        <w:r w:rsidRPr="003879E4">
          <w:rPr>
            <w:rStyle w:val="Hyperlink"/>
            <w:rFonts w:asciiTheme="minorHAnsi" w:hAnsiTheme="minorHAnsi" w:cstheme="minorHAnsi"/>
            <w:i/>
            <w:iCs/>
          </w:rPr>
          <w:t>https://heinonline.org/HOL/LandingPage?handle=hein.journals/jclc5&amp;div=24&amp;id=&amp;page=</w:t>
        </w:r>
      </w:hyperlink>
      <w:r w:rsidRPr="003879E4">
        <w:rPr>
          <w:rFonts w:asciiTheme="minorHAnsi" w:hAnsiTheme="minorHAnsi" w:cstheme="minorHAnsi"/>
          <w:i/>
          <w:iCs/>
          <w:color w:val="000000"/>
        </w:rPr>
        <w:t xml:space="preserve"> </w:t>
      </w:r>
      <w:r w:rsidRPr="003879E4">
        <w:rPr>
          <w:rFonts w:asciiTheme="minorHAnsi" w:hAnsiTheme="minorHAnsi" w:cstheme="minorHAnsi"/>
          <w:color w:val="000000"/>
        </w:rPr>
        <w:t>(Accessed 11 Nov. 2021).</w:t>
      </w:r>
    </w:p>
    <w:p w14:paraId="750A0173"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Lumsden, K &amp; Black, A (2020) “Sorry, I’m dead, it’s too late now”: barriers faced by deaf citizens when accessing police services. </w:t>
      </w:r>
      <w:r w:rsidRPr="003879E4">
        <w:rPr>
          <w:rFonts w:asciiTheme="minorHAnsi" w:hAnsiTheme="minorHAnsi" w:cstheme="minorHAnsi"/>
          <w:i/>
          <w:iCs/>
          <w:color w:val="000000"/>
        </w:rPr>
        <w:t>Disability &amp; Society</w:t>
      </w:r>
      <w:r w:rsidRPr="003879E4">
        <w:rPr>
          <w:rFonts w:asciiTheme="minorHAnsi" w:hAnsiTheme="minorHAnsi" w:cstheme="minorHAnsi"/>
          <w:color w:val="000000"/>
        </w:rPr>
        <w:t>. pp.1–20.</w:t>
      </w:r>
    </w:p>
    <w:p w14:paraId="1BE68D12"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Lynch, O &amp; Joyce, C (2016) ‘“Doing peace”. The role of ex-political prisoners in violence prevention initiatives in Northern Ireland’ </w:t>
      </w:r>
      <w:r w:rsidRPr="003879E4">
        <w:rPr>
          <w:rFonts w:asciiTheme="minorHAnsi" w:hAnsiTheme="minorHAnsi" w:cstheme="minorHAnsi"/>
          <w:i/>
          <w:iCs/>
          <w:color w:val="000000"/>
        </w:rPr>
        <w:t>Conflict and Terrorism Studies</w:t>
      </w:r>
      <w:r w:rsidRPr="003879E4">
        <w:rPr>
          <w:rFonts w:asciiTheme="minorHAnsi" w:hAnsiTheme="minorHAnsi" w:cstheme="minorHAnsi"/>
          <w:color w:val="000000"/>
        </w:rPr>
        <w:t>.</w:t>
      </w:r>
    </w:p>
    <w:p w14:paraId="76BE9B6A"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proofErr w:type="spellStart"/>
      <w:r w:rsidRPr="003879E4">
        <w:rPr>
          <w:rFonts w:asciiTheme="minorHAnsi" w:hAnsiTheme="minorHAnsi" w:cstheme="minorHAnsi"/>
          <w:color w:val="000000"/>
        </w:rPr>
        <w:t>Maddan</w:t>
      </w:r>
      <w:proofErr w:type="spellEnd"/>
      <w:r w:rsidRPr="003879E4">
        <w:rPr>
          <w:rFonts w:asciiTheme="minorHAnsi" w:hAnsiTheme="minorHAnsi" w:cstheme="minorHAnsi"/>
          <w:color w:val="000000"/>
        </w:rPr>
        <w:t>, S. (2021). Somatotyping. </w:t>
      </w:r>
      <w:r w:rsidRPr="003879E4">
        <w:rPr>
          <w:rFonts w:asciiTheme="minorHAnsi" w:hAnsiTheme="minorHAnsi" w:cstheme="minorHAnsi"/>
          <w:i/>
          <w:iCs/>
          <w:color w:val="000000"/>
        </w:rPr>
        <w:t>The Encyclopaedia of Research Methods in Criminology and Criminal Justice</w:t>
      </w:r>
      <w:r w:rsidRPr="003879E4">
        <w:rPr>
          <w:rFonts w:asciiTheme="minorHAnsi" w:hAnsiTheme="minorHAnsi" w:cstheme="minorHAnsi"/>
          <w:color w:val="000000"/>
        </w:rPr>
        <w:t>, 2, pp.752–755.</w:t>
      </w:r>
    </w:p>
    <w:p w14:paraId="095D3456"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proofErr w:type="spellStart"/>
      <w:r w:rsidRPr="003879E4">
        <w:rPr>
          <w:rFonts w:asciiTheme="minorHAnsi" w:hAnsiTheme="minorHAnsi" w:cstheme="minorHAnsi"/>
          <w:color w:val="000000"/>
        </w:rPr>
        <w:t>Maddan</w:t>
      </w:r>
      <w:proofErr w:type="spellEnd"/>
      <w:r w:rsidRPr="003879E4">
        <w:rPr>
          <w:rFonts w:asciiTheme="minorHAnsi" w:hAnsiTheme="minorHAnsi" w:cstheme="minorHAnsi"/>
          <w:color w:val="000000"/>
        </w:rPr>
        <w:t>, S., Walker, J and Miller, J (2008) Does size really matter? A re-examination of Sheldon’s somatotypes and criminal behaviour. </w:t>
      </w:r>
      <w:r w:rsidRPr="003879E4">
        <w:rPr>
          <w:rFonts w:asciiTheme="minorHAnsi" w:hAnsiTheme="minorHAnsi" w:cstheme="minorHAnsi"/>
          <w:i/>
          <w:iCs/>
          <w:color w:val="000000"/>
        </w:rPr>
        <w:t>The Social Science Journal</w:t>
      </w:r>
      <w:r w:rsidRPr="003879E4">
        <w:rPr>
          <w:rFonts w:asciiTheme="minorHAnsi" w:hAnsiTheme="minorHAnsi" w:cstheme="minorHAnsi"/>
          <w:color w:val="000000"/>
        </w:rPr>
        <w:t>, </w:t>
      </w:r>
      <w:r w:rsidRPr="003879E4">
        <w:rPr>
          <w:rFonts w:asciiTheme="minorHAnsi" w:hAnsiTheme="minorHAnsi" w:cstheme="minorHAnsi"/>
          <w:i/>
          <w:iCs/>
          <w:color w:val="000000"/>
        </w:rPr>
        <w:t>45</w:t>
      </w:r>
      <w:r w:rsidRPr="003879E4">
        <w:rPr>
          <w:rFonts w:asciiTheme="minorHAnsi" w:hAnsiTheme="minorHAnsi" w:cstheme="minorHAnsi"/>
          <w:color w:val="000000"/>
        </w:rPr>
        <w:t>(2), pp.330-344.</w:t>
      </w:r>
    </w:p>
    <w:p w14:paraId="24D32F09"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Mallick, K (2017) Leadership Team. </w:t>
      </w:r>
      <w:r w:rsidRPr="003879E4">
        <w:rPr>
          <w:rFonts w:asciiTheme="minorHAnsi" w:hAnsiTheme="minorHAnsi" w:cstheme="minorHAnsi"/>
          <w:i/>
          <w:iCs/>
          <w:color w:val="000000"/>
        </w:rPr>
        <w:t>Disability Rights UK</w:t>
      </w:r>
      <w:r w:rsidRPr="003879E4">
        <w:rPr>
          <w:rFonts w:asciiTheme="minorHAnsi" w:hAnsiTheme="minorHAnsi" w:cstheme="minorHAnsi"/>
          <w:color w:val="000000"/>
        </w:rPr>
        <w:t>. [online] Available at: www.disabilityrightsuk.org. Available at: </w:t>
      </w:r>
      <w:hyperlink r:id="rId66" w:anchor=":~:text=Kamran%20Mallick%20joined%20Disability%20Rights" w:history="1">
        <w:r w:rsidRPr="003879E4">
          <w:rPr>
            <w:rStyle w:val="Hyperlink"/>
            <w:rFonts w:asciiTheme="minorHAnsi" w:hAnsiTheme="minorHAnsi" w:cstheme="minorHAnsi"/>
            <w:i/>
            <w:iCs/>
          </w:rPr>
          <w:t>https://www.disabilityrightsuk.org/about-us/ourteam/smt#:~:text=Kamran%20Mallick%20joined%20Disability%20Rights</w:t>
        </w:r>
      </w:hyperlink>
      <w:r w:rsidRPr="003879E4">
        <w:rPr>
          <w:rFonts w:asciiTheme="minorHAnsi" w:hAnsiTheme="minorHAnsi" w:cstheme="minorHAnsi"/>
          <w:color w:val="000000"/>
        </w:rPr>
        <w:t xml:space="preserve"> (Accessed 23 Jan. 2022). </w:t>
      </w:r>
    </w:p>
    <w:p w14:paraId="54C0309A"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proofErr w:type="spellStart"/>
      <w:r w:rsidRPr="003879E4">
        <w:rPr>
          <w:rFonts w:asciiTheme="minorHAnsi" w:hAnsiTheme="minorHAnsi" w:cstheme="minorHAnsi"/>
          <w:color w:val="000000"/>
        </w:rPr>
        <w:t>Manen</w:t>
      </w:r>
      <w:proofErr w:type="spellEnd"/>
      <w:r w:rsidRPr="003879E4">
        <w:rPr>
          <w:rFonts w:asciiTheme="minorHAnsi" w:hAnsiTheme="minorHAnsi" w:cstheme="minorHAnsi"/>
          <w:color w:val="000000"/>
        </w:rPr>
        <w:t>, M (2016) </w:t>
      </w:r>
      <w:r w:rsidRPr="003879E4">
        <w:rPr>
          <w:rFonts w:asciiTheme="minorHAnsi" w:hAnsiTheme="minorHAnsi" w:cstheme="minorHAnsi"/>
          <w:i/>
          <w:iCs/>
          <w:color w:val="000000"/>
        </w:rPr>
        <w:t>The tact of teaching: The meaning of pedagogical thoughtfulness</w:t>
      </w:r>
      <w:r w:rsidRPr="003879E4">
        <w:rPr>
          <w:rFonts w:asciiTheme="minorHAnsi" w:hAnsiTheme="minorHAnsi" w:cstheme="minorHAnsi"/>
          <w:color w:val="000000"/>
        </w:rPr>
        <w:t>. Routledge.</w:t>
      </w:r>
    </w:p>
    <w:p w14:paraId="6C1576F5"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proofErr w:type="spellStart"/>
      <w:r w:rsidRPr="003879E4">
        <w:rPr>
          <w:rFonts w:asciiTheme="minorHAnsi" w:hAnsiTheme="minorHAnsi" w:cstheme="minorHAnsi"/>
          <w:color w:val="000000"/>
        </w:rPr>
        <w:t>Marrais</w:t>
      </w:r>
      <w:proofErr w:type="spellEnd"/>
      <w:r w:rsidRPr="003879E4">
        <w:rPr>
          <w:rFonts w:asciiTheme="minorHAnsi" w:hAnsiTheme="minorHAnsi" w:cstheme="minorHAnsi"/>
          <w:color w:val="000000"/>
        </w:rPr>
        <w:t xml:space="preserve">, K and </w:t>
      </w:r>
      <w:proofErr w:type="spellStart"/>
      <w:r w:rsidRPr="003879E4">
        <w:rPr>
          <w:rFonts w:asciiTheme="minorHAnsi" w:hAnsiTheme="minorHAnsi" w:cstheme="minorHAnsi"/>
          <w:color w:val="000000"/>
        </w:rPr>
        <w:t>Lapan</w:t>
      </w:r>
      <w:proofErr w:type="spellEnd"/>
      <w:r w:rsidRPr="003879E4">
        <w:rPr>
          <w:rFonts w:asciiTheme="minorHAnsi" w:hAnsiTheme="minorHAnsi" w:cstheme="minorHAnsi"/>
          <w:color w:val="000000"/>
        </w:rPr>
        <w:t>, S (2003) Qualitative interview studies: Learning through experience. In </w:t>
      </w:r>
      <w:r w:rsidRPr="003879E4">
        <w:rPr>
          <w:rFonts w:asciiTheme="minorHAnsi" w:hAnsiTheme="minorHAnsi" w:cstheme="minorHAnsi"/>
          <w:i/>
          <w:iCs/>
          <w:color w:val="000000"/>
        </w:rPr>
        <w:t>Foundations for research</w:t>
      </w:r>
      <w:r w:rsidRPr="003879E4">
        <w:rPr>
          <w:rFonts w:asciiTheme="minorHAnsi" w:hAnsiTheme="minorHAnsi" w:cstheme="minorHAnsi"/>
          <w:color w:val="000000"/>
        </w:rPr>
        <w:t>. Routledge. pp.67-84.</w:t>
      </w:r>
    </w:p>
    <w:p w14:paraId="0E818E3E"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Marx, K. (1848). </w:t>
      </w:r>
      <w:r w:rsidRPr="003879E4">
        <w:rPr>
          <w:rFonts w:asciiTheme="minorHAnsi" w:hAnsiTheme="minorHAnsi" w:cstheme="minorHAnsi"/>
          <w:i/>
          <w:iCs/>
          <w:color w:val="000000"/>
        </w:rPr>
        <w:t>The Communist Manifesto</w:t>
      </w:r>
      <w:r w:rsidRPr="003879E4">
        <w:rPr>
          <w:rFonts w:asciiTheme="minorHAnsi" w:hAnsiTheme="minorHAnsi" w:cstheme="minorHAnsi"/>
          <w:color w:val="000000"/>
        </w:rPr>
        <w:t>. 1st ed. Berlin: Philosophy, pp.12–34.</w:t>
      </w:r>
    </w:p>
    <w:p w14:paraId="30B71C66" w14:textId="3D0CAC13" w:rsidR="00B7781D"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Mearns, D &amp; Thorne, B (2012) Person-Centred Counselling in Action 3rd edition London: Sage.</w:t>
      </w:r>
    </w:p>
    <w:p w14:paraId="2A32236E" w14:textId="158B9A4D" w:rsidR="00FF309E" w:rsidRPr="003879E4" w:rsidRDefault="00FF309E"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FF309E">
        <w:rPr>
          <w:rFonts w:asciiTheme="minorHAnsi" w:hAnsiTheme="minorHAnsi" w:cstheme="minorHAnsi"/>
          <w:color w:val="000000"/>
        </w:rPr>
        <w:t xml:space="preserve">Mednick S, </w:t>
      </w:r>
      <w:proofErr w:type="spellStart"/>
      <w:r w:rsidRPr="00FF309E">
        <w:rPr>
          <w:rFonts w:asciiTheme="minorHAnsi" w:hAnsiTheme="minorHAnsi" w:cstheme="minorHAnsi"/>
          <w:color w:val="000000"/>
        </w:rPr>
        <w:t>Gabrielli</w:t>
      </w:r>
      <w:proofErr w:type="spellEnd"/>
      <w:r w:rsidRPr="00FF309E">
        <w:rPr>
          <w:rFonts w:asciiTheme="minorHAnsi" w:hAnsiTheme="minorHAnsi" w:cstheme="minorHAnsi"/>
          <w:color w:val="000000"/>
        </w:rPr>
        <w:t xml:space="preserve"> W</w:t>
      </w:r>
      <w:r>
        <w:rPr>
          <w:rFonts w:asciiTheme="minorHAnsi" w:hAnsiTheme="minorHAnsi" w:cstheme="minorHAnsi"/>
          <w:color w:val="000000"/>
        </w:rPr>
        <w:t xml:space="preserve"> </w:t>
      </w:r>
      <w:r w:rsidRPr="00FF309E">
        <w:rPr>
          <w:rFonts w:asciiTheme="minorHAnsi" w:hAnsiTheme="minorHAnsi" w:cstheme="minorHAnsi"/>
          <w:color w:val="000000"/>
        </w:rPr>
        <w:t>and Hutchings, B</w:t>
      </w:r>
      <w:r>
        <w:rPr>
          <w:rFonts w:asciiTheme="minorHAnsi" w:hAnsiTheme="minorHAnsi" w:cstheme="minorHAnsi"/>
          <w:color w:val="000000"/>
        </w:rPr>
        <w:t xml:space="preserve"> (</w:t>
      </w:r>
      <w:r w:rsidRPr="00FF309E">
        <w:rPr>
          <w:rFonts w:asciiTheme="minorHAnsi" w:hAnsiTheme="minorHAnsi" w:cstheme="minorHAnsi"/>
          <w:color w:val="000000"/>
        </w:rPr>
        <w:t>1984</w:t>
      </w:r>
      <w:r>
        <w:rPr>
          <w:rFonts w:asciiTheme="minorHAnsi" w:hAnsiTheme="minorHAnsi" w:cstheme="minorHAnsi"/>
          <w:color w:val="000000"/>
        </w:rPr>
        <w:t>)</w:t>
      </w:r>
      <w:r w:rsidRPr="00FF309E">
        <w:rPr>
          <w:rFonts w:asciiTheme="minorHAnsi" w:hAnsiTheme="minorHAnsi" w:cstheme="minorHAnsi"/>
          <w:color w:val="000000"/>
        </w:rPr>
        <w:t xml:space="preserve"> Genetic influences in criminal convictions: </w:t>
      </w:r>
      <w:r w:rsidRPr="00FF309E">
        <w:rPr>
          <w:rFonts w:asciiTheme="minorHAnsi" w:hAnsiTheme="minorHAnsi" w:cstheme="minorHAnsi"/>
          <w:i/>
          <w:iCs/>
          <w:color w:val="000000"/>
        </w:rPr>
        <w:t>Evidence from an adoption cohort</w:t>
      </w:r>
      <w:r w:rsidRPr="00FF309E">
        <w:rPr>
          <w:rFonts w:asciiTheme="minorHAnsi" w:hAnsiTheme="minorHAnsi" w:cstheme="minorHAnsi"/>
          <w:color w:val="000000"/>
        </w:rPr>
        <w:t>. Science, 224(51), pp.891-894.</w:t>
      </w:r>
    </w:p>
    <w:p w14:paraId="7BC93E8E"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Mendel, G (1993) </w:t>
      </w:r>
      <w:r w:rsidRPr="003879E4">
        <w:rPr>
          <w:rFonts w:asciiTheme="minorHAnsi" w:hAnsiTheme="minorHAnsi" w:cstheme="minorHAnsi"/>
          <w:i/>
          <w:iCs/>
          <w:color w:val="000000"/>
        </w:rPr>
        <w:t>Gregor Mendel's experiments on plant hybrids: a guided study</w:t>
      </w:r>
      <w:r w:rsidRPr="003879E4">
        <w:rPr>
          <w:rFonts w:asciiTheme="minorHAnsi" w:hAnsiTheme="minorHAnsi" w:cstheme="minorHAnsi"/>
          <w:color w:val="000000"/>
        </w:rPr>
        <w:t>. Rutgers University Press.</w:t>
      </w:r>
    </w:p>
    <w:p w14:paraId="7271D50E"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Metropolitan Police (2019) Crime type definitions. Available at: </w:t>
      </w:r>
      <w:hyperlink r:id="rId67" w:history="1">
        <w:r w:rsidRPr="003879E4">
          <w:rPr>
            <w:rStyle w:val="Hyperlink"/>
            <w:rFonts w:asciiTheme="minorHAnsi" w:hAnsiTheme="minorHAnsi" w:cstheme="minorHAnsi"/>
            <w:i/>
            <w:iCs/>
          </w:rPr>
          <w:t>https://www.met.police.uk/sd/stats-and-data/met/crime-type-definitions/</w:t>
        </w:r>
      </w:hyperlink>
      <w:r w:rsidRPr="003879E4">
        <w:rPr>
          <w:rFonts w:asciiTheme="minorHAnsi" w:hAnsiTheme="minorHAnsi" w:cstheme="minorHAnsi"/>
          <w:i/>
          <w:iCs/>
          <w:color w:val="000000"/>
        </w:rPr>
        <w:t xml:space="preserve"> </w:t>
      </w:r>
      <w:r w:rsidRPr="003879E4">
        <w:rPr>
          <w:rFonts w:asciiTheme="minorHAnsi" w:hAnsiTheme="minorHAnsi" w:cstheme="minorHAnsi"/>
          <w:color w:val="000000"/>
        </w:rPr>
        <w:t>(Accessed 22 Jan. 2022)</w:t>
      </w:r>
    </w:p>
    <w:p w14:paraId="7A8161F1" w14:textId="50844FE7" w:rsidR="00B7781D"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lastRenderedPageBreak/>
        <w:t>Microsoft Excel (2022). </w:t>
      </w:r>
      <w:r w:rsidRPr="003879E4">
        <w:rPr>
          <w:rFonts w:asciiTheme="minorHAnsi" w:hAnsiTheme="minorHAnsi" w:cstheme="minorHAnsi"/>
          <w:i/>
          <w:iCs/>
          <w:color w:val="000000"/>
        </w:rPr>
        <w:t>Microsoft Excel, Spreadsheet Software</w:t>
      </w:r>
      <w:r w:rsidRPr="003879E4">
        <w:rPr>
          <w:rFonts w:asciiTheme="minorHAnsi" w:hAnsiTheme="minorHAnsi" w:cstheme="minorHAnsi"/>
          <w:color w:val="000000"/>
        </w:rPr>
        <w:t xml:space="preserve">. [online] www.microsoft.com. Available at: </w:t>
      </w:r>
      <w:hyperlink r:id="rId68" w:history="1">
        <w:r w:rsidRPr="003879E4">
          <w:rPr>
            <w:rStyle w:val="Hyperlink"/>
            <w:rFonts w:asciiTheme="minorHAnsi" w:hAnsiTheme="minorHAnsi" w:cstheme="minorHAnsi"/>
            <w:i/>
            <w:iCs/>
          </w:rPr>
          <w:t>https://www.microsoft.com/en-us/microsoft-365/excel</w:t>
        </w:r>
      </w:hyperlink>
      <w:r w:rsidRPr="003879E4">
        <w:rPr>
          <w:rFonts w:asciiTheme="minorHAnsi" w:hAnsiTheme="minorHAnsi" w:cstheme="minorHAnsi"/>
          <w:color w:val="000000"/>
        </w:rPr>
        <w:t xml:space="preserve"> (Accessed 22 Mar. 2022).</w:t>
      </w:r>
    </w:p>
    <w:p w14:paraId="7EFA4354" w14:textId="6841D5B1" w:rsidR="00FA5B91" w:rsidRPr="00FA5B91" w:rsidRDefault="00FA5B91"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i/>
          <w:iCs/>
          <w:color w:val="000000"/>
        </w:rPr>
      </w:pPr>
      <w:r w:rsidRPr="00FA5B91">
        <w:rPr>
          <w:rFonts w:asciiTheme="minorHAnsi" w:hAnsiTheme="minorHAnsi" w:cstheme="minorHAnsi"/>
          <w:color w:val="000000"/>
        </w:rPr>
        <w:t xml:space="preserve">Mills, H. </w:t>
      </w:r>
      <w:r>
        <w:rPr>
          <w:rFonts w:asciiTheme="minorHAnsi" w:hAnsiTheme="minorHAnsi" w:cstheme="minorHAnsi"/>
          <w:color w:val="000000"/>
        </w:rPr>
        <w:t>&amp;</w:t>
      </w:r>
      <w:r w:rsidRPr="00FA5B91">
        <w:rPr>
          <w:rFonts w:asciiTheme="minorHAnsi" w:hAnsiTheme="minorHAnsi" w:cstheme="minorHAnsi"/>
          <w:color w:val="000000"/>
        </w:rPr>
        <w:t xml:space="preserve"> Ford, M</w:t>
      </w:r>
      <w:r>
        <w:rPr>
          <w:rFonts w:asciiTheme="minorHAnsi" w:hAnsiTheme="minorHAnsi" w:cstheme="minorHAnsi"/>
          <w:color w:val="000000"/>
        </w:rPr>
        <w:t xml:space="preserve"> (</w:t>
      </w:r>
      <w:r w:rsidRPr="00FA5B91">
        <w:rPr>
          <w:rFonts w:asciiTheme="minorHAnsi" w:hAnsiTheme="minorHAnsi" w:cstheme="minorHAnsi"/>
          <w:color w:val="000000"/>
        </w:rPr>
        <w:t>2018</w:t>
      </w:r>
      <w:r>
        <w:rPr>
          <w:rFonts w:asciiTheme="minorHAnsi" w:hAnsiTheme="minorHAnsi" w:cstheme="minorHAnsi"/>
          <w:color w:val="000000"/>
        </w:rPr>
        <w:t>)</w:t>
      </w:r>
      <w:r w:rsidRPr="00FA5B91">
        <w:rPr>
          <w:rFonts w:asciiTheme="minorHAnsi" w:hAnsiTheme="minorHAnsi" w:cstheme="minorHAnsi"/>
          <w:color w:val="000000"/>
        </w:rPr>
        <w:t xml:space="preserve"> Anti-social behaviour powers and young adults. </w:t>
      </w:r>
      <w:r w:rsidRPr="00FA5B91">
        <w:rPr>
          <w:rFonts w:asciiTheme="minorHAnsi" w:hAnsiTheme="minorHAnsi" w:cstheme="minorHAnsi"/>
          <w:i/>
          <w:iCs/>
          <w:color w:val="000000"/>
        </w:rPr>
        <w:t>Centre for Crime and Justice Studies.</w:t>
      </w:r>
    </w:p>
    <w:p w14:paraId="58819B72"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 xml:space="preserve">Murray, S. (2019). Primary vs. Secondary Sources. [online] </w:t>
      </w:r>
      <w:proofErr w:type="spellStart"/>
      <w:r w:rsidRPr="003879E4">
        <w:rPr>
          <w:rFonts w:asciiTheme="minorHAnsi" w:hAnsiTheme="minorHAnsi" w:cstheme="minorHAnsi"/>
          <w:color w:val="000000"/>
        </w:rPr>
        <w:t>Scribbr</w:t>
      </w:r>
      <w:proofErr w:type="spellEnd"/>
      <w:r w:rsidRPr="003879E4">
        <w:rPr>
          <w:rFonts w:asciiTheme="minorHAnsi" w:hAnsiTheme="minorHAnsi" w:cstheme="minorHAnsi"/>
          <w:color w:val="000000"/>
        </w:rPr>
        <w:t xml:space="preserve">. Available at: </w:t>
      </w:r>
      <w:hyperlink r:id="rId69" w:history="1">
        <w:r w:rsidRPr="003879E4">
          <w:rPr>
            <w:rStyle w:val="Hyperlink"/>
            <w:rFonts w:asciiTheme="minorHAnsi" w:hAnsiTheme="minorHAnsi" w:cstheme="minorHAnsi"/>
            <w:i/>
            <w:iCs/>
          </w:rPr>
          <w:t>https://www.scribbr.com/citing-sources/primary-and-secondary-sources</w:t>
        </w:r>
        <w:r w:rsidRPr="003879E4">
          <w:rPr>
            <w:rStyle w:val="Hyperlink"/>
            <w:rFonts w:asciiTheme="minorHAnsi" w:hAnsiTheme="minorHAnsi" w:cstheme="minorHAnsi"/>
          </w:rPr>
          <w:t>/</w:t>
        </w:r>
      </w:hyperlink>
      <w:r w:rsidRPr="003879E4">
        <w:rPr>
          <w:rFonts w:asciiTheme="minorHAnsi" w:hAnsiTheme="minorHAnsi" w:cstheme="minorHAnsi"/>
          <w:color w:val="000000"/>
        </w:rPr>
        <w:t xml:space="preserve"> (Accessed 5 Apr. 2022).</w:t>
      </w:r>
    </w:p>
    <w:p w14:paraId="7F353AE1"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Nathan, F (2020) Pilkington deaths could happen again because of police failure. [online] </w:t>
      </w:r>
      <w:r w:rsidRPr="003879E4">
        <w:rPr>
          <w:rFonts w:asciiTheme="minorHAnsi" w:hAnsiTheme="minorHAnsi" w:cstheme="minorHAnsi"/>
          <w:i/>
          <w:iCs/>
          <w:color w:val="000000"/>
        </w:rPr>
        <w:t>The Independent</w:t>
      </w:r>
      <w:r w:rsidRPr="003879E4">
        <w:rPr>
          <w:rFonts w:asciiTheme="minorHAnsi" w:hAnsiTheme="minorHAnsi" w:cstheme="minorHAnsi"/>
          <w:color w:val="000000"/>
        </w:rPr>
        <w:t>. Available at: </w:t>
      </w:r>
      <w:hyperlink r:id="rId70" w:history="1">
        <w:r w:rsidRPr="003879E4">
          <w:rPr>
            <w:rStyle w:val="Hyperlink"/>
            <w:rFonts w:asciiTheme="minorHAnsi" w:hAnsiTheme="minorHAnsi" w:cstheme="minorHAnsi"/>
            <w:i/>
            <w:iCs/>
          </w:rPr>
          <w:t>https://www.independent.co.uk/news/uk/crime/pilkington-deaths-could-happen-again-because-police-failure-8543040.html</w:t>
        </w:r>
      </w:hyperlink>
      <w:r w:rsidRPr="003879E4">
        <w:rPr>
          <w:rFonts w:asciiTheme="minorHAnsi" w:hAnsiTheme="minorHAnsi" w:cstheme="minorHAnsi"/>
          <w:i/>
          <w:iCs/>
          <w:color w:val="000000"/>
        </w:rPr>
        <w:t xml:space="preserve"> </w:t>
      </w:r>
      <w:r w:rsidRPr="003879E4">
        <w:rPr>
          <w:rFonts w:asciiTheme="minorHAnsi" w:hAnsiTheme="minorHAnsi" w:cstheme="minorHAnsi"/>
          <w:color w:val="000000"/>
        </w:rPr>
        <w:t>(Accessed 23 Jan. 2022)</w:t>
      </w:r>
    </w:p>
    <w:p w14:paraId="3820BB1B"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Newburn, T. (2017). </w:t>
      </w:r>
      <w:r w:rsidRPr="003879E4">
        <w:rPr>
          <w:rFonts w:asciiTheme="minorHAnsi" w:hAnsiTheme="minorHAnsi" w:cstheme="minorHAnsi"/>
          <w:i/>
          <w:iCs/>
          <w:color w:val="000000"/>
        </w:rPr>
        <w:t>Criminology</w:t>
      </w:r>
      <w:r w:rsidRPr="003879E4">
        <w:rPr>
          <w:rFonts w:asciiTheme="minorHAnsi" w:hAnsiTheme="minorHAnsi" w:cstheme="minorHAnsi"/>
          <w:color w:val="000000"/>
        </w:rPr>
        <w:t xml:space="preserve">. 3rd ed. </w:t>
      </w:r>
      <w:proofErr w:type="spellStart"/>
      <w:r w:rsidRPr="003879E4">
        <w:rPr>
          <w:rFonts w:asciiTheme="minorHAnsi" w:hAnsiTheme="minorHAnsi" w:cstheme="minorHAnsi"/>
          <w:color w:val="000000"/>
        </w:rPr>
        <w:t>Lonon</w:t>
      </w:r>
      <w:proofErr w:type="spellEnd"/>
      <w:r w:rsidRPr="003879E4">
        <w:rPr>
          <w:rFonts w:asciiTheme="minorHAnsi" w:hAnsiTheme="minorHAnsi" w:cstheme="minorHAnsi"/>
          <w:color w:val="000000"/>
        </w:rPr>
        <w:t>: Routledge, pp.3–365.</w:t>
      </w:r>
    </w:p>
    <w:p w14:paraId="5AB6CDE7"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NHS (2021). </w:t>
      </w:r>
      <w:r w:rsidRPr="003879E4">
        <w:rPr>
          <w:rFonts w:asciiTheme="minorHAnsi" w:hAnsiTheme="minorHAnsi" w:cstheme="minorHAnsi"/>
          <w:i/>
          <w:iCs/>
          <w:color w:val="000000"/>
        </w:rPr>
        <w:t>Antisocial Personality Disorder</w:t>
      </w:r>
      <w:r w:rsidRPr="003879E4">
        <w:rPr>
          <w:rFonts w:asciiTheme="minorHAnsi" w:hAnsiTheme="minorHAnsi" w:cstheme="minorHAnsi"/>
          <w:color w:val="000000"/>
        </w:rPr>
        <w:t xml:space="preserve">. [online] nhs.uk. Available at: </w:t>
      </w:r>
      <w:hyperlink r:id="rId71" w:history="1">
        <w:r w:rsidRPr="003879E4">
          <w:rPr>
            <w:rStyle w:val="Hyperlink"/>
            <w:rFonts w:asciiTheme="minorHAnsi" w:hAnsiTheme="minorHAnsi" w:cstheme="minorHAnsi"/>
            <w:i/>
            <w:iCs/>
          </w:rPr>
          <w:t>https://www.nhs.uk/mental-health/conditions/antisocial-personality-disorder/</w:t>
        </w:r>
      </w:hyperlink>
      <w:r w:rsidRPr="003879E4">
        <w:rPr>
          <w:rFonts w:asciiTheme="minorHAnsi" w:hAnsiTheme="minorHAnsi" w:cstheme="minorHAnsi"/>
          <w:i/>
          <w:iCs/>
          <w:color w:val="000000"/>
        </w:rPr>
        <w:t xml:space="preserve">  </w:t>
      </w:r>
      <w:r w:rsidRPr="003879E4">
        <w:rPr>
          <w:rFonts w:asciiTheme="minorHAnsi" w:hAnsiTheme="minorHAnsi" w:cstheme="minorHAnsi"/>
          <w:color w:val="000000"/>
        </w:rPr>
        <w:t>(Accessed 22 Jan. 2022).</w:t>
      </w:r>
    </w:p>
    <w:p w14:paraId="3206019E"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NHS Health Scotland (2020). Overview of ACEs. [online] Health Scotland. Available at: </w:t>
      </w:r>
      <w:hyperlink r:id="rId72" w:history="1">
        <w:r w:rsidRPr="003879E4">
          <w:rPr>
            <w:rStyle w:val="Hyperlink"/>
            <w:rFonts w:asciiTheme="minorHAnsi" w:hAnsiTheme="minorHAnsi" w:cstheme="minorHAnsi"/>
            <w:i/>
            <w:iCs/>
          </w:rPr>
          <w:t>http://www.healthscotland.scot/population-groups/children/adverse-childhood-experiences-aces/overview-of-aces</w:t>
        </w:r>
      </w:hyperlink>
      <w:r w:rsidRPr="003879E4">
        <w:rPr>
          <w:rFonts w:asciiTheme="minorHAnsi" w:hAnsiTheme="minorHAnsi" w:cstheme="minorHAnsi"/>
          <w:i/>
          <w:iCs/>
          <w:color w:val="000000"/>
        </w:rPr>
        <w:t xml:space="preserve"> </w:t>
      </w:r>
      <w:r w:rsidRPr="003879E4">
        <w:rPr>
          <w:rFonts w:asciiTheme="minorHAnsi" w:hAnsiTheme="minorHAnsi" w:cstheme="minorHAnsi"/>
          <w:color w:val="000000"/>
        </w:rPr>
        <w:t>(Accessed 8 Dec. 2021).</w:t>
      </w:r>
    </w:p>
    <w:p w14:paraId="55DEE098"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NSPCC (2019). Early Help (or Early intervention). [online] NSPCC Learning. Available at: </w:t>
      </w:r>
      <w:hyperlink r:id="rId73" w:history="1">
        <w:r w:rsidRPr="003879E4">
          <w:rPr>
            <w:rStyle w:val="Hyperlink"/>
            <w:rFonts w:asciiTheme="minorHAnsi" w:hAnsiTheme="minorHAnsi" w:cstheme="minorHAnsi"/>
            <w:i/>
            <w:iCs/>
          </w:rPr>
          <w:t>https://learning.nspcc.org.uk/safeguarding-child-protection/early-help-early-intervention</w:t>
        </w:r>
      </w:hyperlink>
      <w:r w:rsidRPr="003879E4">
        <w:rPr>
          <w:rFonts w:asciiTheme="minorHAnsi" w:hAnsiTheme="minorHAnsi" w:cstheme="minorHAnsi"/>
          <w:color w:val="000000"/>
        </w:rPr>
        <w:t xml:space="preserve"> (Accessed 4 Dec. 2021).</w:t>
      </w:r>
    </w:p>
    <w:p w14:paraId="625AFD03"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proofErr w:type="spellStart"/>
      <w:r w:rsidRPr="003879E4">
        <w:rPr>
          <w:rFonts w:asciiTheme="minorHAnsi" w:hAnsiTheme="minorHAnsi" w:cstheme="minorHAnsi"/>
          <w:color w:val="000000"/>
        </w:rPr>
        <w:t>Nurius</w:t>
      </w:r>
      <w:proofErr w:type="spellEnd"/>
      <w:r w:rsidRPr="003879E4">
        <w:rPr>
          <w:rFonts w:asciiTheme="minorHAnsi" w:hAnsiTheme="minorHAnsi" w:cstheme="minorHAnsi"/>
          <w:color w:val="000000"/>
        </w:rPr>
        <w:t xml:space="preserve">, S (2016) Stress pathways to health inequalities: Embedding ACEs within social and behavioural contexts. </w:t>
      </w:r>
      <w:r w:rsidRPr="003879E4">
        <w:rPr>
          <w:rFonts w:asciiTheme="minorHAnsi" w:hAnsiTheme="minorHAnsi" w:cstheme="minorHAnsi"/>
          <w:i/>
          <w:iCs/>
          <w:color w:val="000000"/>
        </w:rPr>
        <w:t>International Public Health Journal</w:t>
      </w:r>
      <w:r w:rsidRPr="003879E4">
        <w:rPr>
          <w:rFonts w:asciiTheme="minorHAnsi" w:hAnsiTheme="minorHAnsi" w:cstheme="minorHAnsi"/>
          <w:color w:val="000000"/>
        </w:rPr>
        <w:t>, 8(2). pp.241–256.</w:t>
      </w:r>
    </w:p>
    <w:p w14:paraId="57A9351B"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Office for National Statistics (2019) Crime in England and Wales, Year Ending December 2018. London: </w:t>
      </w:r>
      <w:r w:rsidRPr="003879E4">
        <w:rPr>
          <w:rFonts w:asciiTheme="minorHAnsi" w:hAnsiTheme="minorHAnsi" w:cstheme="minorHAnsi"/>
          <w:i/>
          <w:iCs/>
          <w:color w:val="000000"/>
        </w:rPr>
        <w:t>Office for National Statistics.</w:t>
      </w:r>
    </w:p>
    <w:p w14:paraId="11671E8F"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Office of National Statistics (2018). </w:t>
      </w:r>
      <w:r w:rsidRPr="003879E4">
        <w:rPr>
          <w:rFonts w:asciiTheme="minorHAnsi" w:hAnsiTheme="minorHAnsi" w:cstheme="minorHAnsi"/>
          <w:i/>
          <w:iCs/>
          <w:color w:val="000000"/>
        </w:rPr>
        <w:t>CSEW Perception and ASB Data by Police Force Area, Year Ending March 2017 - Office for National Statistics</w:t>
      </w:r>
      <w:r w:rsidRPr="003879E4">
        <w:rPr>
          <w:rFonts w:asciiTheme="minorHAnsi" w:hAnsiTheme="minorHAnsi" w:cstheme="minorHAnsi"/>
          <w:color w:val="000000"/>
        </w:rPr>
        <w:t xml:space="preserve">. [online] www.ons.gov.uk. Available at: </w:t>
      </w:r>
      <w:hyperlink r:id="rId74" w:history="1">
        <w:r w:rsidRPr="003879E4">
          <w:rPr>
            <w:rStyle w:val="Hyperlink"/>
            <w:rFonts w:asciiTheme="minorHAnsi" w:hAnsiTheme="minorHAnsi" w:cstheme="minorHAnsi"/>
            <w:i/>
            <w:iCs/>
          </w:rPr>
          <w:t>https://www.ons.gov.uk/peoplepopulationandcommunity/crimeandjustice/adhocs/007254csewperceptionandasbdatabypoliceforceareayearendingmarch2017</w:t>
        </w:r>
      </w:hyperlink>
      <w:r w:rsidRPr="003879E4">
        <w:rPr>
          <w:rFonts w:asciiTheme="minorHAnsi" w:hAnsiTheme="minorHAnsi" w:cstheme="minorHAnsi"/>
          <w:i/>
          <w:iCs/>
          <w:color w:val="000000"/>
        </w:rPr>
        <w:t xml:space="preserve"> </w:t>
      </w:r>
      <w:r w:rsidRPr="003879E4">
        <w:rPr>
          <w:rFonts w:asciiTheme="minorHAnsi" w:hAnsiTheme="minorHAnsi" w:cstheme="minorHAnsi"/>
          <w:color w:val="000000"/>
        </w:rPr>
        <w:t>(Accessed 21 Jan. 2022).</w:t>
      </w:r>
    </w:p>
    <w:p w14:paraId="3C0C0DF2"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Office of National Statistics (2022). </w:t>
      </w:r>
      <w:r w:rsidRPr="003879E4">
        <w:rPr>
          <w:rFonts w:asciiTheme="minorHAnsi" w:hAnsiTheme="minorHAnsi" w:cstheme="minorHAnsi"/>
          <w:i/>
          <w:iCs/>
          <w:color w:val="000000"/>
        </w:rPr>
        <w:t>Crime in England and Wales: Coronavirus (COVID-19) and Crime Tables - Office for National Statistics</w:t>
      </w:r>
      <w:r w:rsidRPr="003879E4">
        <w:rPr>
          <w:rFonts w:asciiTheme="minorHAnsi" w:hAnsiTheme="minorHAnsi" w:cstheme="minorHAnsi"/>
          <w:color w:val="000000"/>
        </w:rPr>
        <w:t xml:space="preserve">. [online] www.ons.gov.uk. Available at: </w:t>
      </w:r>
      <w:hyperlink r:id="rId75" w:history="1">
        <w:r w:rsidRPr="003879E4">
          <w:rPr>
            <w:rStyle w:val="Hyperlink"/>
            <w:rFonts w:asciiTheme="minorHAnsi" w:hAnsiTheme="minorHAnsi" w:cstheme="minorHAnsi"/>
            <w:i/>
            <w:iCs/>
          </w:rPr>
          <w:t>https://www.ons.gov.uk/peoplepopulationandcommunity/crimeandjustice/datasets/crimeinenglandandwalescoronavirusandcrimetables</w:t>
        </w:r>
      </w:hyperlink>
      <w:r w:rsidRPr="003879E4">
        <w:rPr>
          <w:rFonts w:asciiTheme="minorHAnsi" w:hAnsiTheme="minorHAnsi" w:cstheme="minorHAnsi"/>
          <w:color w:val="000000"/>
        </w:rPr>
        <w:t xml:space="preserve"> (Accessed 21 Jan. 2022).</w:t>
      </w:r>
    </w:p>
    <w:p w14:paraId="357FC705"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O'Neill, M (2019) </w:t>
      </w:r>
      <w:r w:rsidRPr="003879E4">
        <w:rPr>
          <w:rFonts w:asciiTheme="minorHAnsi" w:hAnsiTheme="minorHAnsi" w:cstheme="minorHAnsi"/>
          <w:i/>
          <w:iCs/>
          <w:color w:val="000000"/>
        </w:rPr>
        <w:t>Police community support officers: cultures and identities within pluralised policing</w:t>
      </w:r>
      <w:r w:rsidRPr="003879E4">
        <w:rPr>
          <w:rFonts w:asciiTheme="minorHAnsi" w:hAnsiTheme="minorHAnsi" w:cstheme="minorHAnsi"/>
          <w:color w:val="000000"/>
        </w:rPr>
        <w:t>. Oxford University Press.</w:t>
      </w:r>
    </w:p>
    <w:p w14:paraId="0202D6F3"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lastRenderedPageBreak/>
        <w:t>Oxford University (2022). </w:t>
      </w:r>
      <w:r w:rsidRPr="003879E4">
        <w:rPr>
          <w:rFonts w:asciiTheme="minorHAnsi" w:hAnsiTheme="minorHAnsi" w:cstheme="minorHAnsi"/>
          <w:i/>
          <w:iCs/>
          <w:color w:val="000000"/>
        </w:rPr>
        <w:t>OVERVIEW Methodology</w:t>
      </w:r>
      <w:r w:rsidRPr="003879E4">
        <w:rPr>
          <w:rFonts w:asciiTheme="minorHAnsi" w:hAnsiTheme="minorHAnsi" w:cstheme="minorHAnsi"/>
          <w:color w:val="000000"/>
        </w:rPr>
        <w:t xml:space="preserve">. [online] Word Reference. Available at: </w:t>
      </w:r>
      <w:hyperlink r:id="rId76" w:history="1">
        <w:r w:rsidRPr="003879E4">
          <w:rPr>
            <w:rStyle w:val="Hyperlink"/>
            <w:rFonts w:asciiTheme="minorHAnsi" w:hAnsiTheme="minorHAnsi" w:cstheme="minorHAnsi"/>
            <w:i/>
            <w:iCs/>
          </w:rPr>
          <w:t>https://www.oxfordreference.com/view/10.1093/oi/authority.20110803100153801</w:t>
        </w:r>
      </w:hyperlink>
      <w:r w:rsidRPr="003879E4">
        <w:rPr>
          <w:rFonts w:asciiTheme="minorHAnsi" w:hAnsiTheme="minorHAnsi" w:cstheme="minorHAnsi"/>
          <w:color w:val="000000"/>
        </w:rPr>
        <w:t xml:space="preserve">  (Accessed 5 Mar. 2022).</w:t>
      </w:r>
    </w:p>
    <w:p w14:paraId="41FCCA5F"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Pickering, R (2017) Describing the participants in a study. </w:t>
      </w:r>
      <w:r w:rsidRPr="003879E4">
        <w:rPr>
          <w:rFonts w:asciiTheme="minorHAnsi" w:hAnsiTheme="minorHAnsi" w:cstheme="minorHAnsi"/>
          <w:i/>
          <w:iCs/>
          <w:color w:val="000000"/>
        </w:rPr>
        <w:t>Age and Ageing</w:t>
      </w:r>
      <w:r w:rsidRPr="003879E4">
        <w:rPr>
          <w:rFonts w:asciiTheme="minorHAnsi" w:hAnsiTheme="minorHAnsi" w:cstheme="minorHAnsi"/>
          <w:color w:val="000000"/>
        </w:rPr>
        <w:t>, </w:t>
      </w:r>
      <w:r w:rsidRPr="003879E4">
        <w:rPr>
          <w:rFonts w:asciiTheme="minorHAnsi" w:hAnsiTheme="minorHAnsi" w:cstheme="minorHAnsi"/>
          <w:i/>
          <w:iCs/>
          <w:color w:val="000000"/>
        </w:rPr>
        <w:t>46</w:t>
      </w:r>
      <w:r w:rsidRPr="003879E4">
        <w:rPr>
          <w:rFonts w:asciiTheme="minorHAnsi" w:hAnsiTheme="minorHAnsi" w:cstheme="minorHAnsi"/>
          <w:color w:val="000000"/>
        </w:rPr>
        <w:t>(4), pp.576-581.</w:t>
      </w:r>
    </w:p>
    <w:p w14:paraId="19EC6ACB"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 xml:space="preserve">Rafter N, </w:t>
      </w:r>
      <w:proofErr w:type="spellStart"/>
      <w:r w:rsidRPr="003879E4">
        <w:rPr>
          <w:rFonts w:asciiTheme="minorHAnsi" w:hAnsiTheme="minorHAnsi" w:cstheme="minorHAnsi"/>
          <w:color w:val="000000"/>
        </w:rPr>
        <w:t>Posick</w:t>
      </w:r>
      <w:proofErr w:type="spellEnd"/>
      <w:r w:rsidRPr="003879E4">
        <w:rPr>
          <w:rFonts w:asciiTheme="minorHAnsi" w:hAnsiTheme="minorHAnsi" w:cstheme="minorHAnsi"/>
          <w:color w:val="000000"/>
        </w:rPr>
        <w:t xml:space="preserve"> C &amp; </w:t>
      </w:r>
      <w:proofErr w:type="spellStart"/>
      <w:r w:rsidRPr="003879E4">
        <w:rPr>
          <w:rFonts w:asciiTheme="minorHAnsi" w:hAnsiTheme="minorHAnsi" w:cstheme="minorHAnsi"/>
          <w:color w:val="000000"/>
        </w:rPr>
        <w:t>Rocque</w:t>
      </w:r>
      <w:proofErr w:type="spellEnd"/>
      <w:r w:rsidRPr="003879E4">
        <w:rPr>
          <w:rFonts w:asciiTheme="minorHAnsi" w:hAnsiTheme="minorHAnsi" w:cstheme="minorHAnsi"/>
          <w:color w:val="000000"/>
        </w:rPr>
        <w:t xml:space="preserve"> M (2016) </w:t>
      </w:r>
      <w:r w:rsidRPr="003879E4">
        <w:rPr>
          <w:rFonts w:asciiTheme="minorHAnsi" w:hAnsiTheme="minorHAnsi" w:cstheme="minorHAnsi"/>
          <w:i/>
          <w:iCs/>
          <w:color w:val="000000"/>
        </w:rPr>
        <w:t>The criminal brain</w:t>
      </w:r>
      <w:r w:rsidRPr="003879E4">
        <w:rPr>
          <w:rFonts w:asciiTheme="minorHAnsi" w:hAnsiTheme="minorHAnsi" w:cstheme="minorHAnsi"/>
          <w:color w:val="000000"/>
        </w:rPr>
        <w:t>. 1(2). New York University Press.</w:t>
      </w:r>
    </w:p>
    <w:p w14:paraId="1DC9B4C8"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Ramanathan, R. (2008) “The Role of Organisational Change Management in Offshore Outsourcing of Information Technology Services” Universal Publishers.</w:t>
      </w:r>
    </w:p>
    <w:p w14:paraId="697C2D17"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Ray, K. (2021). Criminal Career Research. </w:t>
      </w:r>
      <w:r w:rsidRPr="003879E4">
        <w:rPr>
          <w:rFonts w:asciiTheme="minorHAnsi" w:hAnsiTheme="minorHAnsi" w:cstheme="minorHAnsi"/>
          <w:i/>
          <w:iCs/>
          <w:color w:val="000000"/>
        </w:rPr>
        <w:t>The Encyclopaedia of Research Methods in Criminology and Criminal Justice</w:t>
      </w:r>
      <w:r w:rsidRPr="003879E4">
        <w:rPr>
          <w:rFonts w:asciiTheme="minorHAnsi" w:hAnsiTheme="minorHAnsi" w:cstheme="minorHAnsi"/>
          <w:color w:val="000000"/>
        </w:rPr>
        <w:t>, pp.576–582.</w:t>
      </w:r>
    </w:p>
    <w:p w14:paraId="5BDAAEA2"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proofErr w:type="spellStart"/>
      <w:r w:rsidRPr="003879E4">
        <w:rPr>
          <w:rFonts w:asciiTheme="minorHAnsi" w:hAnsiTheme="minorHAnsi" w:cstheme="minorHAnsi"/>
          <w:color w:val="000000"/>
        </w:rPr>
        <w:t>Reinbergs</w:t>
      </w:r>
      <w:proofErr w:type="spellEnd"/>
      <w:r w:rsidRPr="003879E4">
        <w:rPr>
          <w:rFonts w:asciiTheme="minorHAnsi" w:hAnsiTheme="minorHAnsi" w:cstheme="minorHAnsi"/>
          <w:color w:val="000000"/>
        </w:rPr>
        <w:t xml:space="preserve">, E and </w:t>
      </w:r>
      <w:proofErr w:type="spellStart"/>
      <w:r w:rsidRPr="003879E4">
        <w:rPr>
          <w:rFonts w:asciiTheme="minorHAnsi" w:hAnsiTheme="minorHAnsi" w:cstheme="minorHAnsi"/>
          <w:color w:val="000000"/>
        </w:rPr>
        <w:t>Fefer</w:t>
      </w:r>
      <w:proofErr w:type="spellEnd"/>
      <w:r w:rsidRPr="003879E4">
        <w:rPr>
          <w:rFonts w:asciiTheme="minorHAnsi" w:hAnsiTheme="minorHAnsi" w:cstheme="minorHAnsi"/>
          <w:color w:val="000000"/>
        </w:rPr>
        <w:t>, S (2018) Addressing trauma in schools: Multitiered service delivery options for practitioners. </w:t>
      </w:r>
      <w:r w:rsidRPr="003879E4">
        <w:rPr>
          <w:rFonts w:asciiTheme="minorHAnsi" w:hAnsiTheme="minorHAnsi" w:cstheme="minorHAnsi"/>
          <w:i/>
          <w:iCs/>
          <w:color w:val="000000"/>
        </w:rPr>
        <w:t>Psychology in the Schools</w:t>
      </w:r>
      <w:r w:rsidRPr="003879E4">
        <w:rPr>
          <w:rFonts w:asciiTheme="minorHAnsi" w:hAnsiTheme="minorHAnsi" w:cstheme="minorHAnsi"/>
          <w:color w:val="000000"/>
        </w:rPr>
        <w:t>, </w:t>
      </w:r>
      <w:r w:rsidRPr="003879E4">
        <w:rPr>
          <w:rFonts w:asciiTheme="minorHAnsi" w:hAnsiTheme="minorHAnsi" w:cstheme="minorHAnsi"/>
          <w:i/>
          <w:iCs/>
          <w:color w:val="000000"/>
        </w:rPr>
        <w:t>55</w:t>
      </w:r>
      <w:r w:rsidRPr="003879E4">
        <w:rPr>
          <w:rFonts w:asciiTheme="minorHAnsi" w:hAnsiTheme="minorHAnsi" w:cstheme="minorHAnsi"/>
          <w:color w:val="000000"/>
        </w:rPr>
        <w:t>(3), pp.250-263.</w:t>
      </w:r>
    </w:p>
    <w:p w14:paraId="6F6A708A"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Rhee, H &amp; Waldman, D (2002) Genetic and environmental influences on antisocial behaviour: A meta-analysis of twin and adoption studies. </w:t>
      </w:r>
      <w:r w:rsidRPr="003879E4">
        <w:rPr>
          <w:rStyle w:val="Emphasis"/>
          <w:rFonts w:asciiTheme="minorHAnsi" w:hAnsiTheme="minorHAnsi" w:cstheme="minorHAnsi"/>
          <w:color w:val="000000"/>
        </w:rPr>
        <w:t>Psychological Bulletin, 128</w:t>
      </w:r>
      <w:r w:rsidRPr="003879E4">
        <w:rPr>
          <w:rFonts w:asciiTheme="minorHAnsi" w:hAnsiTheme="minorHAnsi" w:cstheme="minorHAnsi"/>
          <w:color w:val="000000"/>
        </w:rPr>
        <w:t>(3), pp. 490–529.</w:t>
      </w:r>
    </w:p>
    <w:p w14:paraId="616C495A"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Richards, A. (2018). </w:t>
      </w:r>
      <w:r w:rsidRPr="003879E4">
        <w:rPr>
          <w:rFonts w:asciiTheme="minorHAnsi" w:hAnsiTheme="minorHAnsi" w:cstheme="minorHAnsi"/>
          <w:i/>
          <w:iCs/>
          <w:color w:val="000000"/>
        </w:rPr>
        <w:t>A Cultural Citizen of the World: Sigmund Freud’s Knowledge and use of British and American Writings</w:t>
      </w:r>
      <w:r w:rsidRPr="003879E4">
        <w:rPr>
          <w:rFonts w:asciiTheme="minorHAnsi" w:hAnsiTheme="minorHAnsi" w:cstheme="minorHAnsi"/>
          <w:color w:val="000000"/>
        </w:rPr>
        <w:t>. New York: Routledge, p.156.</w:t>
      </w:r>
    </w:p>
    <w:p w14:paraId="1246FF34"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Rowe D &amp; Farrington D (2006) ‘THE FAMILIAL TRANSMISSION OF CRIMINAL CONVICTIONS’. 35(1). pp. 12 - 47. </w:t>
      </w:r>
    </w:p>
    <w:p w14:paraId="48B92AE2"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Rowland, R and Coupe, T (2014) Patrol officers and public reassurance: a comparative evaluation of police officers, PCSOs, ACSOs and private security guards. </w:t>
      </w:r>
      <w:r w:rsidRPr="003879E4">
        <w:rPr>
          <w:rFonts w:asciiTheme="minorHAnsi" w:hAnsiTheme="minorHAnsi" w:cstheme="minorHAnsi"/>
          <w:i/>
          <w:iCs/>
          <w:color w:val="000000"/>
        </w:rPr>
        <w:t>Policing and society</w:t>
      </w:r>
      <w:r w:rsidRPr="003879E4">
        <w:rPr>
          <w:rFonts w:asciiTheme="minorHAnsi" w:hAnsiTheme="minorHAnsi" w:cstheme="minorHAnsi"/>
          <w:color w:val="000000"/>
        </w:rPr>
        <w:t>, </w:t>
      </w:r>
      <w:r w:rsidRPr="003879E4">
        <w:rPr>
          <w:rFonts w:asciiTheme="minorHAnsi" w:hAnsiTheme="minorHAnsi" w:cstheme="minorHAnsi"/>
          <w:i/>
          <w:iCs/>
          <w:color w:val="000000"/>
        </w:rPr>
        <w:t>24</w:t>
      </w:r>
      <w:r w:rsidRPr="003879E4">
        <w:rPr>
          <w:rFonts w:asciiTheme="minorHAnsi" w:hAnsiTheme="minorHAnsi" w:cstheme="minorHAnsi"/>
          <w:color w:val="000000"/>
        </w:rPr>
        <w:t>(3), pp.265-284.</w:t>
      </w:r>
    </w:p>
    <w:p w14:paraId="02AEF466"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Rutter, M (2003) Commentary: Causal processes leading to antisocial behaviour [Editorial]. </w:t>
      </w:r>
      <w:r w:rsidRPr="003879E4">
        <w:rPr>
          <w:rStyle w:val="Emphasis"/>
          <w:rFonts w:asciiTheme="minorHAnsi" w:hAnsiTheme="minorHAnsi" w:cstheme="minorHAnsi"/>
          <w:color w:val="000000"/>
        </w:rPr>
        <w:t>Developmental Psychology, 39</w:t>
      </w:r>
      <w:r w:rsidRPr="003879E4">
        <w:rPr>
          <w:rFonts w:asciiTheme="minorHAnsi" w:hAnsiTheme="minorHAnsi" w:cstheme="minorHAnsi"/>
          <w:color w:val="000000"/>
        </w:rPr>
        <w:t>(2), pp. 372 – 378.</w:t>
      </w:r>
    </w:p>
    <w:p w14:paraId="6F321C30"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Ryan, G (2018) Introduction to positivism, interpretivism and critical theory. </w:t>
      </w:r>
      <w:r w:rsidRPr="003879E4">
        <w:rPr>
          <w:rFonts w:asciiTheme="minorHAnsi" w:hAnsiTheme="minorHAnsi" w:cstheme="minorHAnsi"/>
          <w:i/>
          <w:iCs/>
          <w:color w:val="000000"/>
        </w:rPr>
        <w:t>Nurse researcher</w:t>
      </w:r>
      <w:r w:rsidRPr="003879E4">
        <w:rPr>
          <w:rFonts w:asciiTheme="minorHAnsi" w:hAnsiTheme="minorHAnsi" w:cstheme="minorHAnsi"/>
          <w:color w:val="000000"/>
        </w:rPr>
        <w:t>, </w:t>
      </w:r>
      <w:r w:rsidRPr="003879E4">
        <w:rPr>
          <w:rFonts w:asciiTheme="minorHAnsi" w:hAnsiTheme="minorHAnsi" w:cstheme="minorHAnsi"/>
          <w:i/>
          <w:iCs/>
          <w:color w:val="000000"/>
        </w:rPr>
        <w:t>25</w:t>
      </w:r>
      <w:r w:rsidRPr="003879E4">
        <w:rPr>
          <w:rFonts w:asciiTheme="minorHAnsi" w:hAnsiTheme="minorHAnsi" w:cstheme="minorHAnsi"/>
          <w:color w:val="000000"/>
        </w:rPr>
        <w:t>(4), pp.41-49.</w:t>
      </w:r>
    </w:p>
    <w:p w14:paraId="1F522E82"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 xml:space="preserve">Sahay, A (2016) Peeling </w:t>
      </w:r>
      <w:proofErr w:type="spellStart"/>
      <w:r w:rsidRPr="003879E4">
        <w:rPr>
          <w:rFonts w:asciiTheme="minorHAnsi" w:hAnsiTheme="minorHAnsi" w:cstheme="minorHAnsi"/>
          <w:color w:val="000000"/>
        </w:rPr>
        <w:t>Saunder's</w:t>
      </w:r>
      <w:proofErr w:type="spellEnd"/>
      <w:r w:rsidRPr="003879E4">
        <w:rPr>
          <w:rFonts w:asciiTheme="minorHAnsi" w:hAnsiTheme="minorHAnsi" w:cstheme="minorHAnsi"/>
          <w:color w:val="000000"/>
        </w:rPr>
        <w:t xml:space="preserve"> research onion. </w:t>
      </w:r>
      <w:r w:rsidRPr="003879E4">
        <w:rPr>
          <w:rFonts w:asciiTheme="minorHAnsi" w:hAnsiTheme="minorHAnsi" w:cstheme="minorHAnsi"/>
          <w:i/>
          <w:iCs/>
          <w:color w:val="000000"/>
        </w:rPr>
        <w:t>Research Gate, Art</w:t>
      </w:r>
      <w:r w:rsidRPr="003879E4">
        <w:rPr>
          <w:rFonts w:asciiTheme="minorHAnsi" w:hAnsiTheme="minorHAnsi" w:cstheme="minorHAnsi"/>
          <w:color w:val="000000"/>
        </w:rPr>
        <w:t>, pp.1-5.</w:t>
      </w:r>
    </w:p>
    <w:p w14:paraId="2ECEF93C"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Salerno-Ferraro, C. &amp; Schuller, A (2020) Perspectives from the ASD community on police interactions: Challenges &amp; recommendations. Research in Developmental Disabilities. pp.105</w:t>
      </w:r>
    </w:p>
    <w:p w14:paraId="02C8583F"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Sarah, C. (2022). </w:t>
      </w:r>
      <w:r w:rsidRPr="003879E4">
        <w:rPr>
          <w:rFonts w:asciiTheme="minorHAnsi" w:hAnsiTheme="minorHAnsi" w:cstheme="minorHAnsi"/>
          <w:i/>
          <w:iCs/>
          <w:color w:val="000000"/>
        </w:rPr>
        <w:t>How to Analyse open-ended Responses</w:t>
      </w:r>
      <w:r w:rsidRPr="003879E4">
        <w:rPr>
          <w:rFonts w:asciiTheme="minorHAnsi" w:hAnsiTheme="minorHAnsi" w:cstheme="minorHAnsi"/>
          <w:color w:val="000000"/>
        </w:rPr>
        <w:t xml:space="preserve">. [online] SurveyMonkey. Available at: </w:t>
      </w:r>
      <w:hyperlink r:id="rId77" w:history="1">
        <w:r w:rsidRPr="003879E4">
          <w:rPr>
            <w:rStyle w:val="Hyperlink"/>
            <w:rFonts w:asciiTheme="minorHAnsi" w:hAnsiTheme="minorHAnsi" w:cstheme="minorHAnsi"/>
            <w:i/>
            <w:iCs/>
          </w:rPr>
          <w:t>https://www.surveymonkey.co.uk/curiosity/open-response-question-types/</w:t>
        </w:r>
      </w:hyperlink>
      <w:r w:rsidRPr="003879E4">
        <w:rPr>
          <w:rFonts w:asciiTheme="minorHAnsi" w:hAnsiTheme="minorHAnsi" w:cstheme="minorHAnsi"/>
          <w:color w:val="000000"/>
        </w:rPr>
        <w:t xml:space="preserve"> (Accessed 21 Mar. 2022).</w:t>
      </w:r>
    </w:p>
    <w:p w14:paraId="5AEE2AAC"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Saunders, M., Lewis, P., &amp; Thornhill, A. (2016) Research Methods for Business Students. England: Journal of Futures Studies 44 Pearson Education Limited.</w:t>
      </w:r>
    </w:p>
    <w:p w14:paraId="7DE7F4C1"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Saunders, M., Lewis, P and Thornhill, A. (2007) Research methods. </w:t>
      </w:r>
      <w:r w:rsidRPr="003879E4">
        <w:rPr>
          <w:rFonts w:asciiTheme="minorHAnsi" w:hAnsiTheme="minorHAnsi" w:cstheme="minorHAnsi"/>
          <w:i/>
          <w:iCs/>
          <w:color w:val="000000"/>
        </w:rPr>
        <w:t>Business Students 4th edition Pearson Education Limited, England</w:t>
      </w:r>
      <w:r w:rsidRPr="003879E4">
        <w:rPr>
          <w:rFonts w:asciiTheme="minorHAnsi" w:hAnsiTheme="minorHAnsi" w:cstheme="minorHAnsi"/>
          <w:color w:val="000000"/>
        </w:rPr>
        <w:t>.</w:t>
      </w:r>
    </w:p>
    <w:p w14:paraId="46A59303"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lastRenderedPageBreak/>
        <w:t>Saunders, M (2019) </w:t>
      </w:r>
      <w:r w:rsidRPr="003879E4">
        <w:rPr>
          <w:rFonts w:asciiTheme="minorHAnsi" w:hAnsiTheme="minorHAnsi" w:cstheme="minorHAnsi"/>
          <w:i/>
          <w:iCs/>
          <w:color w:val="000000"/>
        </w:rPr>
        <w:t>Research methods for business students. </w:t>
      </w:r>
      <w:r w:rsidRPr="003879E4">
        <w:rPr>
          <w:rFonts w:asciiTheme="minorHAnsi" w:hAnsiTheme="minorHAnsi" w:cstheme="minorHAnsi"/>
          <w:color w:val="000000"/>
        </w:rPr>
        <w:t>8th Ed. Harlow, United Kingdom. Pearson Education Limited.</w:t>
      </w:r>
    </w:p>
    <w:p w14:paraId="5905C084"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Schindler S, Fisher A &amp; Shonkoff J (2017) From innovation to impact at scale: lessons learned from a cluster of research–community partnerships. Child Development. 88(5). pp.1435-1446.</w:t>
      </w:r>
    </w:p>
    <w:p w14:paraId="4CB76D68"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proofErr w:type="spellStart"/>
      <w:r w:rsidRPr="003879E4">
        <w:rPr>
          <w:rFonts w:asciiTheme="minorHAnsi" w:hAnsiTheme="minorHAnsi" w:cstheme="minorHAnsi"/>
          <w:color w:val="000000"/>
        </w:rPr>
        <w:t>Shapland</w:t>
      </w:r>
      <w:proofErr w:type="spellEnd"/>
      <w:r w:rsidRPr="003879E4">
        <w:rPr>
          <w:rFonts w:asciiTheme="minorHAnsi" w:hAnsiTheme="minorHAnsi" w:cstheme="minorHAnsi"/>
          <w:color w:val="000000"/>
        </w:rPr>
        <w:t>, J &amp; Hall, M (2007) What do we know about the effects of crime on victims? International Review of Victimology 14: pp.175–217.</w:t>
      </w:r>
    </w:p>
    <w:p w14:paraId="33ED0660"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Sheldon, W (1940) The varieties of human physique. Harper. Washington.</w:t>
      </w:r>
    </w:p>
    <w:p w14:paraId="271A5151"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Sheldon, W (1942) The varieties of temperament; a psychology of constitutional differences. Harper. Washington. </w:t>
      </w:r>
    </w:p>
    <w:p w14:paraId="37AE4BFF"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Shoemaker, D (2018) </w:t>
      </w:r>
      <w:r w:rsidRPr="003879E4">
        <w:rPr>
          <w:rFonts w:asciiTheme="minorHAnsi" w:hAnsiTheme="minorHAnsi" w:cstheme="minorHAnsi"/>
          <w:i/>
          <w:iCs/>
          <w:color w:val="000000"/>
        </w:rPr>
        <w:t>Theories of delinquency: An examination of explanations of delinquent behaviour</w:t>
      </w:r>
      <w:r w:rsidRPr="003879E4">
        <w:rPr>
          <w:rFonts w:asciiTheme="minorHAnsi" w:hAnsiTheme="minorHAnsi" w:cstheme="minorHAnsi"/>
          <w:color w:val="000000"/>
        </w:rPr>
        <w:t>. Oxford University Press.</w:t>
      </w:r>
    </w:p>
    <w:p w14:paraId="67D7146F"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proofErr w:type="spellStart"/>
      <w:r w:rsidRPr="003879E4">
        <w:rPr>
          <w:rFonts w:asciiTheme="minorHAnsi" w:hAnsiTheme="minorHAnsi" w:cstheme="minorHAnsi"/>
          <w:color w:val="000000"/>
        </w:rPr>
        <w:t>Sincero</w:t>
      </w:r>
      <w:proofErr w:type="spellEnd"/>
      <w:r w:rsidRPr="003879E4">
        <w:rPr>
          <w:rFonts w:asciiTheme="minorHAnsi" w:hAnsiTheme="minorHAnsi" w:cstheme="minorHAnsi"/>
          <w:color w:val="000000"/>
        </w:rPr>
        <w:t xml:space="preserve"> (2019). </w:t>
      </w:r>
      <w:r w:rsidRPr="003879E4">
        <w:rPr>
          <w:rFonts w:asciiTheme="minorHAnsi" w:hAnsiTheme="minorHAnsi" w:cstheme="minorHAnsi"/>
          <w:i/>
          <w:iCs/>
          <w:color w:val="000000"/>
        </w:rPr>
        <w:t>Advantages and Disadvantages of Surveys</w:t>
      </w:r>
      <w:r w:rsidRPr="003879E4">
        <w:rPr>
          <w:rFonts w:asciiTheme="minorHAnsi" w:hAnsiTheme="minorHAnsi" w:cstheme="minorHAnsi"/>
          <w:color w:val="000000"/>
        </w:rPr>
        <w:t xml:space="preserve">. [online] Explorable.com. Available at: </w:t>
      </w:r>
      <w:hyperlink r:id="rId78" w:history="1">
        <w:r w:rsidRPr="003879E4">
          <w:rPr>
            <w:rStyle w:val="Hyperlink"/>
            <w:rFonts w:asciiTheme="minorHAnsi" w:hAnsiTheme="minorHAnsi" w:cstheme="minorHAnsi"/>
            <w:i/>
            <w:iCs/>
          </w:rPr>
          <w:t>https://explorable.com/advantages-and-disadvantages-of-surveys</w:t>
        </w:r>
      </w:hyperlink>
      <w:r w:rsidRPr="003879E4">
        <w:rPr>
          <w:rFonts w:asciiTheme="minorHAnsi" w:hAnsiTheme="minorHAnsi" w:cstheme="minorHAnsi"/>
          <w:i/>
          <w:iCs/>
          <w:color w:val="000000"/>
        </w:rPr>
        <w:t xml:space="preserve">  </w:t>
      </w:r>
      <w:r w:rsidRPr="003879E4">
        <w:rPr>
          <w:rFonts w:asciiTheme="minorHAnsi" w:hAnsiTheme="minorHAnsi" w:cstheme="minorHAnsi"/>
          <w:color w:val="000000"/>
        </w:rPr>
        <w:t>(Accessed 6 Mar. 2022).</w:t>
      </w:r>
    </w:p>
    <w:p w14:paraId="17268B24"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 xml:space="preserve">Smith, D.A. and </w:t>
      </w:r>
      <w:proofErr w:type="spellStart"/>
      <w:r w:rsidRPr="003879E4">
        <w:rPr>
          <w:rFonts w:asciiTheme="minorHAnsi" w:hAnsiTheme="minorHAnsi" w:cstheme="minorHAnsi"/>
          <w:color w:val="000000"/>
        </w:rPr>
        <w:t>Visher</w:t>
      </w:r>
      <w:proofErr w:type="spellEnd"/>
      <w:r w:rsidRPr="003879E4">
        <w:rPr>
          <w:rFonts w:asciiTheme="minorHAnsi" w:hAnsiTheme="minorHAnsi" w:cstheme="minorHAnsi"/>
          <w:color w:val="000000"/>
        </w:rPr>
        <w:t>, C.A. (1980). Sex and Involvement in Deviance/Crime: A Quantitative Review of the Empirical Literature. </w:t>
      </w:r>
      <w:r w:rsidRPr="003879E4">
        <w:rPr>
          <w:rFonts w:asciiTheme="minorHAnsi" w:hAnsiTheme="minorHAnsi" w:cstheme="minorHAnsi"/>
          <w:i/>
          <w:iCs/>
          <w:color w:val="000000"/>
        </w:rPr>
        <w:t>American Sociological Review</w:t>
      </w:r>
      <w:r w:rsidRPr="003879E4">
        <w:rPr>
          <w:rFonts w:asciiTheme="minorHAnsi" w:hAnsiTheme="minorHAnsi" w:cstheme="minorHAnsi"/>
          <w:color w:val="000000"/>
        </w:rPr>
        <w:t>, 45(4), p.691.</w:t>
      </w:r>
    </w:p>
    <w:p w14:paraId="3CB4AFC2"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Smith K, Brodie Z, Collins K, Deacon K and Goodall K (2020) Moving towards trauma-informed policing: An exploration of police officers’ attitudes and perceptions towards Adverse Childhood Experiences (ACEs).</w:t>
      </w:r>
    </w:p>
    <w:p w14:paraId="7AC76A7B"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Statistics UK (2021). Police services expenditure 2013-2019 public sector. [online] Statista. Available at:</w:t>
      </w:r>
      <w:r w:rsidRPr="003879E4">
        <w:rPr>
          <w:rFonts w:asciiTheme="minorHAnsi" w:hAnsiTheme="minorHAnsi" w:cstheme="minorHAnsi"/>
          <w:i/>
          <w:iCs/>
          <w:color w:val="000000"/>
        </w:rPr>
        <w:t xml:space="preserve"> </w:t>
      </w:r>
      <w:hyperlink r:id="rId79" w:history="1">
        <w:r w:rsidRPr="003879E4">
          <w:rPr>
            <w:rStyle w:val="Hyperlink"/>
            <w:rFonts w:asciiTheme="minorHAnsi" w:hAnsiTheme="minorHAnsi" w:cstheme="minorHAnsi"/>
            <w:i/>
            <w:iCs/>
          </w:rPr>
          <w:t>https://www.statista.com/statistics/298637/united-kingdom-uk-public-sector-expenditure-police-services/</w:t>
        </w:r>
      </w:hyperlink>
      <w:r w:rsidRPr="003879E4">
        <w:rPr>
          <w:rFonts w:asciiTheme="minorHAnsi" w:hAnsiTheme="minorHAnsi" w:cstheme="minorHAnsi"/>
          <w:color w:val="000000"/>
        </w:rPr>
        <w:t xml:space="preserve"> (Accessed 4 Nov. 2021).</w:t>
      </w:r>
    </w:p>
    <w:p w14:paraId="4F4CFC0D"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Thomas, C (2018) Oh, great. Another cardiac risk factor to worry about…. [online] Heart Sisters. Available at: </w:t>
      </w:r>
      <w:hyperlink r:id="rId80" w:history="1">
        <w:r w:rsidRPr="003879E4">
          <w:rPr>
            <w:rStyle w:val="Hyperlink"/>
            <w:rFonts w:asciiTheme="minorHAnsi" w:hAnsiTheme="minorHAnsi" w:cstheme="minorHAnsi"/>
            <w:i/>
            <w:iCs/>
          </w:rPr>
          <w:t>https://myheartsisters.org/2018/10/07/ace-test-adverse-childhood-experiences/</w:t>
        </w:r>
      </w:hyperlink>
      <w:r w:rsidRPr="003879E4">
        <w:rPr>
          <w:rFonts w:asciiTheme="minorHAnsi" w:hAnsiTheme="minorHAnsi" w:cstheme="minorHAnsi"/>
          <w:i/>
          <w:iCs/>
          <w:color w:val="000000"/>
        </w:rPr>
        <w:t xml:space="preserve"> </w:t>
      </w:r>
      <w:r w:rsidRPr="003879E4">
        <w:rPr>
          <w:rFonts w:asciiTheme="minorHAnsi" w:hAnsiTheme="minorHAnsi" w:cstheme="minorHAnsi"/>
          <w:color w:val="000000"/>
        </w:rPr>
        <w:t>(Accessed 5 Dec 2021).</w:t>
      </w:r>
    </w:p>
    <w:p w14:paraId="576E52DE"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Thomas, D (2006) A general inductive approach for analysing qualitative evaluation data. </w:t>
      </w:r>
      <w:r w:rsidRPr="003879E4">
        <w:rPr>
          <w:rFonts w:asciiTheme="minorHAnsi" w:hAnsiTheme="minorHAnsi" w:cstheme="minorHAnsi"/>
          <w:i/>
          <w:iCs/>
          <w:color w:val="000000"/>
        </w:rPr>
        <w:t>American journal of evaluation</w:t>
      </w:r>
      <w:r w:rsidRPr="003879E4">
        <w:rPr>
          <w:rFonts w:asciiTheme="minorHAnsi" w:hAnsiTheme="minorHAnsi" w:cstheme="minorHAnsi"/>
          <w:color w:val="000000"/>
        </w:rPr>
        <w:t>, </w:t>
      </w:r>
      <w:r w:rsidRPr="003879E4">
        <w:rPr>
          <w:rFonts w:asciiTheme="minorHAnsi" w:hAnsiTheme="minorHAnsi" w:cstheme="minorHAnsi"/>
          <w:i/>
          <w:iCs/>
          <w:color w:val="000000"/>
        </w:rPr>
        <w:t>27</w:t>
      </w:r>
      <w:r w:rsidRPr="003879E4">
        <w:rPr>
          <w:rFonts w:asciiTheme="minorHAnsi" w:hAnsiTheme="minorHAnsi" w:cstheme="minorHAnsi"/>
          <w:color w:val="000000"/>
        </w:rPr>
        <w:t>(2), pp.237-246.</w:t>
      </w:r>
    </w:p>
    <w:p w14:paraId="3E6DE7D0"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Tilley, N (2015) Crime Prevention, Cullompton: Willan. </w:t>
      </w:r>
    </w:p>
    <w:p w14:paraId="1962F640"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proofErr w:type="spellStart"/>
      <w:r w:rsidRPr="003879E4">
        <w:rPr>
          <w:rFonts w:asciiTheme="minorHAnsi" w:hAnsiTheme="minorHAnsi" w:cstheme="minorHAnsi"/>
          <w:color w:val="000000"/>
        </w:rPr>
        <w:t>Timimi</w:t>
      </w:r>
      <w:proofErr w:type="spellEnd"/>
      <w:r w:rsidRPr="003879E4">
        <w:rPr>
          <w:rFonts w:asciiTheme="minorHAnsi" w:hAnsiTheme="minorHAnsi" w:cstheme="minorHAnsi"/>
          <w:color w:val="000000"/>
        </w:rPr>
        <w:t>, S (2015) </w:t>
      </w:r>
      <w:r w:rsidRPr="003879E4">
        <w:rPr>
          <w:rFonts w:asciiTheme="minorHAnsi" w:hAnsiTheme="minorHAnsi" w:cstheme="minorHAnsi"/>
          <w:i/>
          <w:iCs/>
          <w:color w:val="000000"/>
        </w:rPr>
        <w:t>Naughty boys: Anti-social behaviour, ADHD and the role of culture</w:t>
      </w:r>
      <w:r w:rsidRPr="003879E4">
        <w:rPr>
          <w:rFonts w:asciiTheme="minorHAnsi" w:hAnsiTheme="minorHAnsi" w:cstheme="minorHAnsi"/>
          <w:color w:val="000000"/>
        </w:rPr>
        <w:t>. Macmillan International Higher Education.</w:t>
      </w:r>
    </w:p>
    <w:p w14:paraId="048DA702"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Torgersen, S (1993) The psychometric-genetic structure of personality disorder criteria. Journal of Personality Disorders. 7th Ed. pp.196–213.</w:t>
      </w:r>
    </w:p>
    <w:p w14:paraId="494C9C37"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Turner, S (2005) Emile Durkheim ‘</w:t>
      </w:r>
      <w:r w:rsidRPr="003879E4">
        <w:rPr>
          <w:rFonts w:asciiTheme="minorHAnsi" w:hAnsiTheme="minorHAnsi" w:cstheme="minorHAnsi"/>
          <w:i/>
          <w:iCs/>
          <w:color w:val="000000"/>
        </w:rPr>
        <w:t>Sociologist and Moralist’.</w:t>
      </w:r>
      <w:r w:rsidRPr="003879E4">
        <w:rPr>
          <w:rFonts w:asciiTheme="minorHAnsi" w:hAnsiTheme="minorHAnsi" w:cstheme="minorHAnsi"/>
          <w:color w:val="000000"/>
        </w:rPr>
        <w:t> 1st ed. London: Taylor &amp; Francis e-library.</w:t>
      </w:r>
    </w:p>
    <w:p w14:paraId="1B11D56E"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 xml:space="preserve">Van </w:t>
      </w:r>
      <w:proofErr w:type="spellStart"/>
      <w:r w:rsidRPr="003879E4">
        <w:rPr>
          <w:rFonts w:asciiTheme="minorHAnsi" w:hAnsiTheme="minorHAnsi" w:cstheme="minorHAnsi"/>
          <w:color w:val="000000"/>
        </w:rPr>
        <w:t>Dusen</w:t>
      </w:r>
      <w:proofErr w:type="spellEnd"/>
      <w:r w:rsidRPr="003879E4">
        <w:rPr>
          <w:rFonts w:asciiTheme="minorHAnsi" w:hAnsiTheme="minorHAnsi" w:cstheme="minorHAnsi"/>
          <w:color w:val="000000"/>
        </w:rPr>
        <w:t>, K (1983) Social class and crime in an adoption cohort. Prospective Studies of Crime and Delinquency. Hingham, Mass.: Kluwer-</w:t>
      </w:r>
      <w:proofErr w:type="spellStart"/>
      <w:r w:rsidRPr="003879E4">
        <w:rPr>
          <w:rFonts w:asciiTheme="minorHAnsi" w:hAnsiTheme="minorHAnsi" w:cstheme="minorHAnsi"/>
          <w:color w:val="000000"/>
        </w:rPr>
        <w:t>Nijhoff</w:t>
      </w:r>
      <w:proofErr w:type="spellEnd"/>
      <w:r w:rsidRPr="003879E4">
        <w:rPr>
          <w:rFonts w:asciiTheme="minorHAnsi" w:hAnsiTheme="minorHAnsi" w:cstheme="minorHAnsi"/>
          <w:color w:val="000000"/>
        </w:rPr>
        <w:t>.</w:t>
      </w:r>
    </w:p>
    <w:p w14:paraId="22AA8B11"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Vetter, H and Silverman, I (1978) </w:t>
      </w:r>
      <w:r w:rsidRPr="003879E4">
        <w:rPr>
          <w:rFonts w:asciiTheme="minorHAnsi" w:hAnsiTheme="minorHAnsi" w:cstheme="minorHAnsi"/>
          <w:i/>
          <w:iCs/>
          <w:color w:val="000000"/>
        </w:rPr>
        <w:t>The nature of crime</w:t>
      </w:r>
      <w:r w:rsidRPr="003879E4">
        <w:rPr>
          <w:rFonts w:asciiTheme="minorHAnsi" w:hAnsiTheme="minorHAnsi" w:cstheme="minorHAnsi"/>
          <w:color w:val="000000"/>
        </w:rPr>
        <w:t>. Philadelphia: Saunders</w:t>
      </w:r>
    </w:p>
    <w:p w14:paraId="03A5BE5B"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lastRenderedPageBreak/>
        <w:t>Vici, A (2012) The Inbetweeners: Young people making sense of youth anti-social behaviour, Durham theses, Durham University. </w:t>
      </w:r>
    </w:p>
    <w:p w14:paraId="08845EDC"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Victim Support (2021) 2021 Archives. [online] </w:t>
      </w:r>
      <w:r w:rsidRPr="003879E4">
        <w:rPr>
          <w:rFonts w:asciiTheme="minorHAnsi" w:hAnsiTheme="minorHAnsi" w:cstheme="minorHAnsi"/>
          <w:i/>
          <w:iCs/>
          <w:color w:val="000000"/>
        </w:rPr>
        <w:t>Victim Support</w:t>
      </w:r>
      <w:r w:rsidRPr="003879E4">
        <w:rPr>
          <w:rFonts w:asciiTheme="minorHAnsi" w:hAnsiTheme="minorHAnsi" w:cstheme="minorHAnsi"/>
          <w:color w:val="000000"/>
        </w:rPr>
        <w:t>. Available at: </w:t>
      </w:r>
      <w:hyperlink r:id="rId81" w:history="1">
        <w:r w:rsidRPr="003879E4">
          <w:rPr>
            <w:rStyle w:val="Hyperlink"/>
            <w:rFonts w:asciiTheme="minorHAnsi" w:hAnsiTheme="minorHAnsi" w:cstheme="minorHAnsi"/>
            <w:i/>
            <w:iCs/>
          </w:rPr>
          <w:t>https://www.victimsupport.org.uk/category/2021/</w:t>
        </w:r>
      </w:hyperlink>
      <w:r w:rsidRPr="003879E4">
        <w:rPr>
          <w:rFonts w:asciiTheme="minorHAnsi" w:hAnsiTheme="minorHAnsi" w:cstheme="minorHAnsi"/>
          <w:color w:val="000000"/>
        </w:rPr>
        <w:t xml:space="preserve"> (Accessed 12 Jan. 2022). </w:t>
      </w:r>
    </w:p>
    <w:p w14:paraId="5937E16E"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Visconti, G (2019) Policy Preferences after Crime Victimization: </w:t>
      </w:r>
      <w:r w:rsidRPr="003879E4">
        <w:rPr>
          <w:rFonts w:asciiTheme="minorHAnsi" w:hAnsiTheme="minorHAnsi" w:cstheme="minorHAnsi"/>
          <w:i/>
          <w:iCs/>
          <w:color w:val="000000"/>
        </w:rPr>
        <w:t>Panel and Survey Evidence from Latin America. British Journal of Political Science</w:t>
      </w:r>
      <w:r w:rsidRPr="003879E4">
        <w:rPr>
          <w:rFonts w:asciiTheme="minorHAnsi" w:hAnsiTheme="minorHAnsi" w:cstheme="minorHAnsi"/>
          <w:color w:val="000000"/>
        </w:rPr>
        <w:t>, 50(4), pp.1–15.</w:t>
      </w:r>
    </w:p>
    <w:p w14:paraId="4FD02C0D"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Wade R, Merritt M and Davies M (2015) Adverse childhood experiences: Expanding the concept of adversity. </w:t>
      </w:r>
      <w:r w:rsidRPr="003879E4">
        <w:rPr>
          <w:rFonts w:asciiTheme="minorHAnsi" w:hAnsiTheme="minorHAnsi" w:cstheme="minorHAnsi"/>
          <w:i/>
          <w:iCs/>
          <w:color w:val="000000"/>
        </w:rPr>
        <w:t>American journal of preventive medicine</w:t>
      </w:r>
      <w:r w:rsidRPr="003879E4">
        <w:rPr>
          <w:rFonts w:asciiTheme="minorHAnsi" w:hAnsiTheme="minorHAnsi" w:cstheme="minorHAnsi"/>
          <w:color w:val="000000"/>
        </w:rPr>
        <w:t>, </w:t>
      </w:r>
      <w:r w:rsidRPr="003879E4">
        <w:rPr>
          <w:rFonts w:asciiTheme="minorHAnsi" w:hAnsiTheme="minorHAnsi" w:cstheme="minorHAnsi"/>
          <w:i/>
          <w:iCs/>
          <w:color w:val="000000"/>
        </w:rPr>
        <w:t>49</w:t>
      </w:r>
      <w:r w:rsidRPr="003879E4">
        <w:rPr>
          <w:rFonts w:asciiTheme="minorHAnsi" w:hAnsiTheme="minorHAnsi" w:cstheme="minorHAnsi"/>
          <w:color w:val="000000"/>
        </w:rPr>
        <w:t>(3), pp.354-361.</w:t>
      </w:r>
    </w:p>
    <w:p w14:paraId="0036C891"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Walden University (2021). </w:t>
      </w:r>
      <w:r w:rsidRPr="003879E4">
        <w:rPr>
          <w:rFonts w:asciiTheme="minorHAnsi" w:hAnsiTheme="minorHAnsi" w:cstheme="minorHAnsi"/>
          <w:i/>
          <w:iCs/>
          <w:color w:val="000000"/>
        </w:rPr>
        <w:t>Academic Guides: Common Assignments: Literature Review Matrix</w:t>
      </w:r>
      <w:r w:rsidRPr="003879E4">
        <w:rPr>
          <w:rFonts w:asciiTheme="minorHAnsi" w:hAnsiTheme="minorHAnsi" w:cstheme="minorHAnsi"/>
          <w:color w:val="000000"/>
        </w:rPr>
        <w:t xml:space="preserve">. [online] academicguides.waldenu.edu. Available at: </w:t>
      </w:r>
      <w:hyperlink r:id="rId82" w:history="1">
        <w:r w:rsidRPr="003879E4">
          <w:rPr>
            <w:rStyle w:val="Hyperlink"/>
            <w:rFonts w:asciiTheme="minorHAnsi" w:hAnsiTheme="minorHAnsi" w:cstheme="minorHAnsi"/>
            <w:i/>
            <w:iCs/>
          </w:rPr>
          <w:t>https://academicguides.waldenu.edu/writingcenter/assignments/literaturereview/matrix</w:t>
        </w:r>
      </w:hyperlink>
      <w:r w:rsidRPr="003879E4">
        <w:rPr>
          <w:rFonts w:asciiTheme="minorHAnsi" w:hAnsiTheme="minorHAnsi" w:cstheme="minorHAnsi"/>
          <w:i/>
          <w:iCs/>
          <w:color w:val="000000"/>
        </w:rPr>
        <w:t xml:space="preserve"> </w:t>
      </w:r>
      <w:r w:rsidRPr="003879E4">
        <w:rPr>
          <w:rFonts w:asciiTheme="minorHAnsi" w:hAnsiTheme="minorHAnsi" w:cstheme="minorHAnsi"/>
          <w:color w:val="000000"/>
        </w:rPr>
        <w:t>(Accessed 20 Mar. 2022).</w:t>
      </w:r>
    </w:p>
    <w:p w14:paraId="665A55F0"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6F1594">
        <w:rPr>
          <w:rFonts w:asciiTheme="minorHAnsi" w:hAnsiTheme="minorHAnsi" w:cstheme="minorHAnsi"/>
          <w:color w:val="000000"/>
        </w:rPr>
        <w:t>Wells, J and Walsh, A (2019) Biosocial theories in criminology</w:t>
      </w:r>
      <w:r w:rsidRPr="003879E4">
        <w:rPr>
          <w:rFonts w:asciiTheme="minorHAnsi" w:hAnsiTheme="minorHAnsi" w:cstheme="minorHAnsi"/>
          <w:color w:val="000000"/>
        </w:rPr>
        <w:t>. In </w:t>
      </w:r>
      <w:r w:rsidRPr="003879E4">
        <w:rPr>
          <w:rFonts w:asciiTheme="minorHAnsi" w:hAnsiTheme="minorHAnsi" w:cstheme="minorHAnsi"/>
          <w:i/>
          <w:iCs/>
          <w:color w:val="000000"/>
        </w:rPr>
        <w:t xml:space="preserve">Oxford Research </w:t>
      </w:r>
      <w:proofErr w:type="spellStart"/>
      <w:r w:rsidRPr="003879E4">
        <w:rPr>
          <w:rFonts w:asciiTheme="minorHAnsi" w:hAnsiTheme="minorHAnsi" w:cstheme="minorHAnsi"/>
          <w:i/>
          <w:iCs/>
          <w:color w:val="000000"/>
        </w:rPr>
        <w:t>Encyclopedia</w:t>
      </w:r>
      <w:proofErr w:type="spellEnd"/>
      <w:r w:rsidRPr="003879E4">
        <w:rPr>
          <w:rFonts w:asciiTheme="minorHAnsi" w:hAnsiTheme="minorHAnsi" w:cstheme="minorHAnsi"/>
          <w:i/>
          <w:iCs/>
          <w:color w:val="000000"/>
        </w:rPr>
        <w:t xml:space="preserve"> of Criminology and Criminal Justice</w:t>
      </w:r>
      <w:r w:rsidRPr="003879E4">
        <w:rPr>
          <w:rFonts w:asciiTheme="minorHAnsi" w:hAnsiTheme="minorHAnsi" w:cstheme="minorHAnsi"/>
          <w:color w:val="000000"/>
        </w:rPr>
        <w:t>.</w:t>
      </w:r>
    </w:p>
    <w:p w14:paraId="329FB4CD"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Welsh, B and Farrington, D (2009) 'Public Area CCTV and Crime Prevention</w:t>
      </w:r>
      <w:r w:rsidRPr="003879E4">
        <w:rPr>
          <w:rFonts w:asciiTheme="minorHAnsi" w:hAnsiTheme="minorHAnsi" w:cstheme="minorHAnsi"/>
          <w:i/>
          <w:iCs/>
          <w:color w:val="000000"/>
        </w:rPr>
        <w:t>: An Updated Systematic Review and Meta-Analysis'</w:t>
      </w:r>
      <w:r w:rsidRPr="003879E4">
        <w:rPr>
          <w:rFonts w:asciiTheme="minorHAnsi" w:hAnsiTheme="minorHAnsi" w:cstheme="minorHAnsi"/>
          <w:color w:val="000000"/>
        </w:rPr>
        <w:t>, Justice Quarterly, 26: 4, 716 — 745.</w:t>
      </w:r>
    </w:p>
    <w:p w14:paraId="33E7E36E"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Will G, Becker R and Weigand D (2020) COVID-19 lockdown during field work. In </w:t>
      </w:r>
      <w:r w:rsidRPr="003879E4">
        <w:rPr>
          <w:rFonts w:asciiTheme="minorHAnsi" w:hAnsiTheme="minorHAnsi" w:cstheme="minorHAnsi"/>
          <w:i/>
          <w:iCs/>
          <w:color w:val="000000"/>
        </w:rPr>
        <w:t>Survey Research Methods </w:t>
      </w:r>
      <w:r w:rsidRPr="003879E4">
        <w:rPr>
          <w:rFonts w:asciiTheme="minorHAnsi" w:hAnsiTheme="minorHAnsi" w:cstheme="minorHAnsi"/>
          <w:color w:val="000000"/>
        </w:rPr>
        <w:t>14(2), pp. 247-252.</w:t>
      </w:r>
    </w:p>
    <w:p w14:paraId="202DC53E"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Wilson, J. (2010) “Essentials of Business Research: A Guide to Doing Your Research Project” SAGE Publications</w:t>
      </w:r>
    </w:p>
    <w:p w14:paraId="16F49811"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Wolf, M (2021) Survey item validation. In </w:t>
      </w:r>
      <w:r w:rsidRPr="003879E4">
        <w:rPr>
          <w:rFonts w:asciiTheme="minorHAnsi" w:hAnsiTheme="minorHAnsi" w:cstheme="minorHAnsi"/>
          <w:i/>
          <w:iCs/>
          <w:color w:val="000000"/>
        </w:rPr>
        <w:t>The Routledge Handbook of Research Methods in the Study of Religion</w:t>
      </w:r>
      <w:r w:rsidRPr="003879E4">
        <w:rPr>
          <w:rFonts w:asciiTheme="minorHAnsi" w:hAnsiTheme="minorHAnsi" w:cstheme="minorHAnsi"/>
          <w:color w:val="000000"/>
        </w:rPr>
        <w:t>. Routledge. pp.612-624. </w:t>
      </w:r>
    </w:p>
    <w:p w14:paraId="407A9506"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Wood, A. (2018). A Systematic Survey Shows That Reporting and Handling of Missing Outcome Data in Networks of Interventions Is Poor</w:t>
      </w:r>
      <w:r w:rsidRPr="003879E4">
        <w:rPr>
          <w:rFonts w:asciiTheme="minorHAnsi" w:hAnsiTheme="minorHAnsi" w:cstheme="minorHAnsi"/>
          <w:i/>
          <w:iCs/>
          <w:color w:val="000000"/>
        </w:rPr>
        <w:t>. BMC Medical Research Methodology</w:t>
      </w:r>
      <w:r w:rsidRPr="003879E4">
        <w:rPr>
          <w:rFonts w:asciiTheme="minorHAnsi" w:hAnsiTheme="minorHAnsi" w:cstheme="minorHAnsi"/>
          <w:color w:val="000000"/>
        </w:rPr>
        <w:t xml:space="preserve">, 18(13), London. pp.115. </w:t>
      </w:r>
    </w:p>
    <w:p w14:paraId="39B3E0A5"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 xml:space="preserve">Wood, M (2004) Perceptions and experience of anti-social behaviour: findings from the 2003/2004 British Crime Survey [Home Office Online Report 49/04]. Available at: </w:t>
      </w:r>
      <w:hyperlink r:id="rId83" w:history="1">
        <w:r w:rsidRPr="003879E4">
          <w:rPr>
            <w:rStyle w:val="Hyperlink"/>
            <w:rFonts w:asciiTheme="minorHAnsi" w:hAnsiTheme="minorHAnsi" w:cstheme="minorHAnsi"/>
            <w:i/>
            <w:iCs/>
          </w:rPr>
          <w:t>http://library.npia.police.uk/docs/hordsolr/rdsolr2106.pdf</w:t>
        </w:r>
      </w:hyperlink>
      <w:r w:rsidRPr="003879E4">
        <w:rPr>
          <w:rFonts w:asciiTheme="minorHAnsi" w:hAnsiTheme="minorHAnsi" w:cstheme="minorHAnsi"/>
          <w:color w:val="000000"/>
        </w:rPr>
        <w:t xml:space="preserve"> (Accessed 24 Jan. 2022).</w:t>
      </w:r>
    </w:p>
    <w:p w14:paraId="44BDEF23" w14:textId="77777777" w:rsidR="00B7781D" w:rsidRPr="003879E4" w:rsidRDefault="00B7781D" w:rsidP="00B7781D">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Wright, K (2015) Researching Internet-based populations: Advantages and disadvantages of online survey research, online questionnaire authoring software packages, and web survey services. </w:t>
      </w:r>
      <w:r w:rsidRPr="003879E4">
        <w:rPr>
          <w:rFonts w:asciiTheme="minorHAnsi" w:hAnsiTheme="minorHAnsi" w:cstheme="minorHAnsi"/>
          <w:i/>
          <w:iCs/>
          <w:color w:val="000000"/>
        </w:rPr>
        <w:t>Journal of computer-mediated communication</w:t>
      </w:r>
      <w:r w:rsidRPr="003879E4">
        <w:rPr>
          <w:rFonts w:asciiTheme="minorHAnsi" w:hAnsiTheme="minorHAnsi" w:cstheme="minorHAnsi"/>
          <w:color w:val="000000"/>
        </w:rPr>
        <w:t>, </w:t>
      </w:r>
      <w:r w:rsidRPr="003879E4">
        <w:rPr>
          <w:rFonts w:asciiTheme="minorHAnsi" w:hAnsiTheme="minorHAnsi" w:cstheme="minorHAnsi"/>
          <w:i/>
          <w:iCs/>
          <w:color w:val="000000"/>
        </w:rPr>
        <w:t>10</w:t>
      </w:r>
      <w:r w:rsidRPr="003879E4">
        <w:rPr>
          <w:rFonts w:asciiTheme="minorHAnsi" w:hAnsiTheme="minorHAnsi" w:cstheme="minorHAnsi"/>
          <w:color w:val="000000"/>
        </w:rPr>
        <w:t>(3), pp.10-34. </w:t>
      </w:r>
    </w:p>
    <w:p w14:paraId="7EFE3AD7" w14:textId="05BDB506" w:rsidR="00DB422E" w:rsidRDefault="00B7781D" w:rsidP="00DB3C2F">
      <w:pPr>
        <w:pStyle w:val="NormalWeb"/>
        <w:numPr>
          <w:ilvl w:val="0"/>
          <w:numId w:val="3"/>
        </w:numPr>
        <w:shd w:val="clear" w:color="auto" w:fill="FFFFFF"/>
        <w:spacing w:before="0" w:beforeAutospacing="0" w:after="0" w:afterAutospacing="0" w:line="276" w:lineRule="auto"/>
        <w:rPr>
          <w:rFonts w:asciiTheme="minorHAnsi" w:hAnsiTheme="minorHAnsi" w:cstheme="minorHAnsi"/>
          <w:color w:val="000000"/>
        </w:rPr>
      </w:pPr>
      <w:r w:rsidRPr="003879E4">
        <w:rPr>
          <w:rFonts w:asciiTheme="minorHAnsi" w:hAnsiTheme="minorHAnsi" w:cstheme="minorHAnsi"/>
          <w:color w:val="000000"/>
        </w:rPr>
        <w:t>Young, M &amp; Stein, J (2019) The History of the Crime Victims’ Movement in the United States. [online] </w:t>
      </w:r>
      <w:r w:rsidRPr="003879E4">
        <w:rPr>
          <w:rFonts w:asciiTheme="minorHAnsi" w:hAnsiTheme="minorHAnsi" w:cstheme="minorHAnsi"/>
          <w:i/>
          <w:iCs/>
          <w:color w:val="000000"/>
        </w:rPr>
        <w:t>Ncjrs.gov</w:t>
      </w:r>
      <w:r w:rsidRPr="003879E4">
        <w:rPr>
          <w:rFonts w:asciiTheme="minorHAnsi" w:hAnsiTheme="minorHAnsi" w:cstheme="minorHAnsi"/>
          <w:color w:val="000000"/>
        </w:rPr>
        <w:t xml:space="preserve">. Available at: </w:t>
      </w:r>
      <w:hyperlink r:id="rId84" w:history="1">
        <w:r w:rsidRPr="003879E4">
          <w:rPr>
            <w:rStyle w:val="Hyperlink"/>
            <w:rFonts w:asciiTheme="minorHAnsi" w:hAnsiTheme="minorHAnsi" w:cstheme="minorHAnsi"/>
            <w:i/>
            <w:iCs/>
          </w:rPr>
          <w:t>https://www.ncjrs.gov/ovc_archives/ncvrw/2005/pg4c.html</w:t>
        </w:r>
      </w:hyperlink>
      <w:r w:rsidRPr="003879E4">
        <w:rPr>
          <w:rFonts w:asciiTheme="minorHAnsi" w:hAnsiTheme="minorHAnsi" w:cstheme="minorHAnsi"/>
          <w:color w:val="000000"/>
        </w:rPr>
        <w:t xml:space="preserve"> (Accessed 12 Jan. 2022)</w:t>
      </w:r>
      <w:r w:rsidR="00DB422E">
        <w:rPr>
          <w:rFonts w:asciiTheme="minorHAnsi" w:hAnsiTheme="minorHAnsi" w:cstheme="minorHAnsi"/>
          <w:color w:val="000000"/>
        </w:rPr>
        <w:t xml:space="preserve">. </w:t>
      </w:r>
    </w:p>
    <w:p w14:paraId="5B2795BE" w14:textId="18A89210" w:rsidR="00DB422E" w:rsidRDefault="00DB422E" w:rsidP="00DB422E">
      <w:pPr>
        <w:pStyle w:val="NormalWeb"/>
        <w:shd w:val="clear" w:color="auto" w:fill="FFFFFF"/>
        <w:spacing w:before="0" w:beforeAutospacing="0" w:after="0" w:afterAutospacing="0" w:line="276" w:lineRule="auto"/>
        <w:ind w:left="360"/>
        <w:rPr>
          <w:rFonts w:asciiTheme="minorHAnsi" w:hAnsiTheme="minorHAnsi" w:cstheme="minorHAnsi"/>
          <w:color w:val="000000"/>
        </w:rPr>
      </w:pPr>
    </w:p>
    <w:p w14:paraId="15F822D7" w14:textId="6B5D6054" w:rsidR="00DB422E" w:rsidRDefault="00DB422E" w:rsidP="00DB422E">
      <w:pPr>
        <w:pStyle w:val="NormalWeb"/>
        <w:shd w:val="clear" w:color="auto" w:fill="FFFFFF"/>
        <w:spacing w:before="0" w:beforeAutospacing="0" w:after="0" w:afterAutospacing="0" w:line="276" w:lineRule="auto"/>
        <w:ind w:left="360"/>
        <w:rPr>
          <w:rFonts w:asciiTheme="minorHAnsi" w:hAnsiTheme="minorHAnsi" w:cstheme="minorHAnsi"/>
          <w:color w:val="000000"/>
        </w:rPr>
      </w:pPr>
    </w:p>
    <w:p w14:paraId="191EBE48" w14:textId="77777777" w:rsidR="00273791" w:rsidRDefault="00273791" w:rsidP="00DB422E">
      <w:pPr>
        <w:pStyle w:val="NormalWeb"/>
        <w:shd w:val="clear" w:color="auto" w:fill="FFFFFF"/>
        <w:spacing w:before="0" w:beforeAutospacing="0" w:after="0" w:afterAutospacing="0" w:line="276" w:lineRule="auto"/>
        <w:rPr>
          <w:rFonts w:asciiTheme="minorHAnsi" w:hAnsiTheme="minorHAnsi" w:cstheme="minorHAnsi"/>
          <w:b/>
          <w:bCs/>
          <w:color w:val="0070C0"/>
        </w:rPr>
      </w:pPr>
    </w:p>
    <w:p w14:paraId="35B25ED4" w14:textId="77777777" w:rsidR="004254FD" w:rsidRDefault="004254FD" w:rsidP="00DB422E">
      <w:pPr>
        <w:pStyle w:val="NormalWeb"/>
        <w:shd w:val="clear" w:color="auto" w:fill="FFFFFF"/>
        <w:spacing w:before="0" w:beforeAutospacing="0" w:after="0" w:afterAutospacing="0" w:line="276" w:lineRule="auto"/>
        <w:rPr>
          <w:rFonts w:asciiTheme="minorHAnsi" w:hAnsiTheme="minorHAnsi" w:cstheme="minorHAnsi"/>
          <w:b/>
          <w:bCs/>
          <w:color w:val="0070C0"/>
        </w:rPr>
      </w:pPr>
    </w:p>
    <w:p w14:paraId="21FC8E8E" w14:textId="77777777" w:rsidR="00DE2E5C" w:rsidRDefault="00DE2E5C" w:rsidP="00DB422E">
      <w:pPr>
        <w:pStyle w:val="NormalWeb"/>
        <w:shd w:val="clear" w:color="auto" w:fill="FFFFFF"/>
        <w:spacing w:before="0" w:beforeAutospacing="0" w:after="0" w:afterAutospacing="0" w:line="276" w:lineRule="auto"/>
        <w:rPr>
          <w:rFonts w:asciiTheme="minorHAnsi" w:hAnsiTheme="minorHAnsi" w:cstheme="minorHAnsi"/>
          <w:b/>
          <w:bCs/>
          <w:color w:val="0070C0"/>
        </w:rPr>
      </w:pPr>
    </w:p>
    <w:p w14:paraId="00BE0297" w14:textId="3A7E7FE0" w:rsidR="00DB422E" w:rsidRPr="004254FD" w:rsidRDefault="00DB422E" w:rsidP="00DB422E">
      <w:pPr>
        <w:pStyle w:val="NormalWeb"/>
        <w:shd w:val="clear" w:color="auto" w:fill="FFFFFF"/>
        <w:spacing w:before="0" w:beforeAutospacing="0" w:after="0" w:afterAutospacing="0" w:line="276" w:lineRule="auto"/>
        <w:rPr>
          <w:rFonts w:asciiTheme="minorHAnsi" w:hAnsiTheme="minorHAnsi" w:cstheme="minorHAnsi"/>
          <w:b/>
          <w:bCs/>
          <w:color w:val="0070C0"/>
        </w:rPr>
      </w:pPr>
      <w:r w:rsidRPr="00DB3C2F">
        <w:rPr>
          <w:rFonts w:asciiTheme="minorHAnsi" w:hAnsiTheme="minorHAnsi" w:cstheme="minorHAnsi"/>
          <w:b/>
          <w:bCs/>
          <w:color w:val="0070C0"/>
        </w:rPr>
        <w:lastRenderedPageBreak/>
        <w:t xml:space="preserve">Chapter Seven: </w:t>
      </w:r>
      <w:r w:rsidR="001354A6">
        <w:rPr>
          <w:rFonts w:asciiTheme="minorHAnsi" w:hAnsiTheme="minorHAnsi" w:cstheme="minorHAnsi"/>
          <w:b/>
          <w:bCs/>
          <w:color w:val="0070C0"/>
        </w:rPr>
        <w:t>Appendi</w:t>
      </w:r>
      <w:r w:rsidR="004254FD">
        <w:rPr>
          <w:rFonts w:asciiTheme="minorHAnsi" w:hAnsiTheme="minorHAnsi" w:cstheme="minorHAnsi"/>
          <w:b/>
          <w:bCs/>
          <w:color w:val="0070C0"/>
        </w:rPr>
        <w:t>ces</w:t>
      </w:r>
    </w:p>
    <w:p w14:paraId="110B8D80" w14:textId="77777777" w:rsidR="00DB422E" w:rsidRPr="002A71C8" w:rsidRDefault="00DB422E" w:rsidP="00DB422E">
      <w:pPr>
        <w:pStyle w:val="NormalWeb"/>
        <w:shd w:val="clear" w:color="auto" w:fill="FFFFFF"/>
        <w:spacing w:before="0" w:beforeAutospacing="0" w:after="0" w:afterAutospacing="0" w:line="276" w:lineRule="auto"/>
        <w:rPr>
          <w:rFonts w:asciiTheme="minorHAnsi" w:hAnsiTheme="minorHAnsi" w:cstheme="minorHAnsi"/>
          <w:color w:val="000000"/>
        </w:rPr>
      </w:pPr>
    </w:p>
    <w:p w14:paraId="1475FD53" w14:textId="77777777" w:rsidR="00DB422E" w:rsidRDefault="00DB422E" w:rsidP="00DB422E">
      <w:pPr>
        <w:rPr>
          <w:i/>
          <w:iCs/>
        </w:rPr>
      </w:pPr>
      <w:r w:rsidRPr="002A71C8">
        <w:rPr>
          <w:i/>
          <w:iCs/>
        </w:rPr>
        <w:t xml:space="preserve">Appendix A – </w:t>
      </w:r>
      <w:r w:rsidRPr="00107FFB">
        <w:t>Time-scale Table for the research</w:t>
      </w:r>
      <w:r w:rsidRPr="002A71C8">
        <w:rPr>
          <w:i/>
          <w:iCs/>
        </w:rPr>
        <w:t xml:space="preserve"> </w:t>
      </w:r>
    </w:p>
    <w:p w14:paraId="0D8421EA" w14:textId="03402F96" w:rsidR="00DB422E" w:rsidRDefault="00DB422E" w:rsidP="00DB422E">
      <w:pPr>
        <w:rPr>
          <w:i/>
          <w:iCs/>
        </w:rPr>
      </w:pPr>
    </w:p>
    <w:p w14:paraId="506E36ED" w14:textId="2F3E0D19" w:rsidR="00DB422E" w:rsidRDefault="00DB422E" w:rsidP="00DB422E">
      <w:pPr>
        <w:rPr>
          <w:i/>
          <w:iCs/>
        </w:rPr>
      </w:pPr>
    </w:p>
    <w:p w14:paraId="7A89513E" w14:textId="77777777" w:rsidR="00DB422E" w:rsidRDefault="00DB422E" w:rsidP="00DB422E">
      <w:pPr>
        <w:rPr>
          <w:i/>
          <w:iCs/>
        </w:rPr>
      </w:pPr>
    </w:p>
    <w:p w14:paraId="2115B4EF" w14:textId="77777777" w:rsidR="00DB422E" w:rsidRPr="002A71C8" w:rsidRDefault="00DB422E" w:rsidP="00DB422E">
      <w:pPr>
        <w:rPr>
          <w:i/>
          <w:iCs/>
        </w:rPr>
      </w:pPr>
    </w:p>
    <w:tbl>
      <w:tblPr>
        <w:tblStyle w:val="PlainTable5"/>
        <w:tblW w:w="0" w:type="auto"/>
        <w:tblLook w:val="04A0" w:firstRow="1" w:lastRow="0" w:firstColumn="1" w:lastColumn="0" w:noHBand="0" w:noVBand="1"/>
      </w:tblPr>
      <w:tblGrid>
        <w:gridCol w:w="4536"/>
        <w:gridCol w:w="1474"/>
      </w:tblGrid>
      <w:tr w:rsidR="00DB422E" w:rsidRPr="00371929" w14:paraId="5B886905" w14:textId="77777777" w:rsidTr="00235B3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536" w:type="dxa"/>
          </w:tcPr>
          <w:p w14:paraId="58CB0961" w14:textId="77777777" w:rsidR="00DB422E" w:rsidRPr="00371929" w:rsidRDefault="00DB422E" w:rsidP="00235B31">
            <w:pPr>
              <w:rPr>
                <w:rFonts w:asciiTheme="minorHAnsi" w:hAnsiTheme="minorHAnsi" w:cstheme="minorHAnsi"/>
                <w:sz w:val="28"/>
                <w:szCs w:val="28"/>
              </w:rPr>
            </w:pPr>
            <w:r w:rsidRPr="00371929">
              <w:rPr>
                <w:rFonts w:asciiTheme="minorHAnsi" w:hAnsiTheme="minorHAnsi" w:cstheme="minorHAnsi"/>
                <w:sz w:val="28"/>
                <w:szCs w:val="28"/>
              </w:rPr>
              <w:t xml:space="preserve">Content </w:t>
            </w:r>
          </w:p>
        </w:tc>
        <w:tc>
          <w:tcPr>
            <w:tcW w:w="1474" w:type="dxa"/>
          </w:tcPr>
          <w:p w14:paraId="0033BA8D" w14:textId="77777777" w:rsidR="00DB422E" w:rsidRPr="00371929" w:rsidRDefault="00DB422E" w:rsidP="00235B31">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8"/>
                <w:szCs w:val="28"/>
              </w:rPr>
            </w:pPr>
            <w:r w:rsidRPr="00371929">
              <w:rPr>
                <w:rFonts w:asciiTheme="minorHAnsi" w:hAnsiTheme="minorHAnsi" w:cstheme="minorHAnsi"/>
                <w:sz w:val="28"/>
                <w:szCs w:val="28"/>
              </w:rPr>
              <w:t>Duration (Weeks)</w:t>
            </w:r>
          </w:p>
        </w:tc>
      </w:tr>
      <w:tr w:rsidR="00DB422E" w:rsidRPr="00371929" w14:paraId="2201B28E" w14:textId="77777777" w:rsidTr="00235B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6" w:type="dxa"/>
          </w:tcPr>
          <w:p w14:paraId="1B31CEB2" w14:textId="77777777" w:rsidR="00DB422E" w:rsidRPr="00371929" w:rsidRDefault="00DB422E" w:rsidP="00235B31">
            <w:pPr>
              <w:rPr>
                <w:rFonts w:asciiTheme="minorHAnsi" w:hAnsiTheme="minorHAnsi" w:cstheme="minorHAnsi"/>
                <w:b/>
                <w:bCs/>
                <w:sz w:val="28"/>
                <w:szCs w:val="28"/>
              </w:rPr>
            </w:pPr>
            <w:r w:rsidRPr="00371929">
              <w:rPr>
                <w:rFonts w:asciiTheme="minorHAnsi" w:hAnsiTheme="minorHAnsi" w:cstheme="minorHAnsi"/>
                <w:b/>
                <w:bCs/>
                <w:sz w:val="28"/>
                <w:szCs w:val="28"/>
              </w:rPr>
              <w:t>Confirm Aims &amp; Objectives</w:t>
            </w:r>
          </w:p>
        </w:tc>
        <w:tc>
          <w:tcPr>
            <w:tcW w:w="1474" w:type="dxa"/>
          </w:tcPr>
          <w:p w14:paraId="60D33769" w14:textId="77777777" w:rsidR="00DB422E" w:rsidRPr="00371929" w:rsidRDefault="00DB422E" w:rsidP="00235B31">
            <w:pPr>
              <w:cnfStyle w:val="000000100000" w:firstRow="0" w:lastRow="0" w:firstColumn="0" w:lastColumn="0" w:oddVBand="0" w:evenVBand="0" w:oddHBand="1" w:evenHBand="0" w:firstRowFirstColumn="0" w:firstRowLastColumn="0" w:lastRowFirstColumn="0" w:lastRowLastColumn="0"/>
              <w:rPr>
                <w:rFonts w:cstheme="minorHAnsi"/>
                <w:sz w:val="28"/>
                <w:szCs w:val="28"/>
              </w:rPr>
            </w:pPr>
            <w:r w:rsidRPr="00371929">
              <w:rPr>
                <w:rFonts w:cstheme="minorHAnsi"/>
                <w:sz w:val="28"/>
                <w:szCs w:val="28"/>
              </w:rPr>
              <w:t>2</w:t>
            </w:r>
          </w:p>
        </w:tc>
      </w:tr>
      <w:tr w:rsidR="00DB422E" w:rsidRPr="00371929" w14:paraId="4EBA4B5C" w14:textId="77777777" w:rsidTr="00235B31">
        <w:tc>
          <w:tcPr>
            <w:cnfStyle w:val="001000000000" w:firstRow="0" w:lastRow="0" w:firstColumn="1" w:lastColumn="0" w:oddVBand="0" w:evenVBand="0" w:oddHBand="0" w:evenHBand="0" w:firstRowFirstColumn="0" w:firstRowLastColumn="0" w:lastRowFirstColumn="0" w:lastRowLastColumn="0"/>
            <w:tcW w:w="4536" w:type="dxa"/>
          </w:tcPr>
          <w:p w14:paraId="362BAB48" w14:textId="77777777" w:rsidR="00DB422E" w:rsidRPr="00371929" w:rsidRDefault="00DB422E" w:rsidP="00235B31">
            <w:pPr>
              <w:rPr>
                <w:rFonts w:asciiTheme="minorHAnsi" w:hAnsiTheme="minorHAnsi" w:cstheme="minorHAnsi"/>
                <w:b/>
                <w:bCs/>
                <w:sz w:val="28"/>
                <w:szCs w:val="28"/>
              </w:rPr>
            </w:pPr>
            <w:r w:rsidRPr="00371929">
              <w:rPr>
                <w:rFonts w:asciiTheme="minorHAnsi" w:hAnsiTheme="minorHAnsi" w:cstheme="minorHAnsi"/>
                <w:b/>
                <w:bCs/>
                <w:sz w:val="28"/>
                <w:szCs w:val="28"/>
              </w:rPr>
              <w:t xml:space="preserve">Introduction &amp; Research Methods </w:t>
            </w:r>
          </w:p>
        </w:tc>
        <w:tc>
          <w:tcPr>
            <w:tcW w:w="1474" w:type="dxa"/>
          </w:tcPr>
          <w:p w14:paraId="4456BDC0" w14:textId="77777777" w:rsidR="00DB422E" w:rsidRPr="00371929" w:rsidRDefault="00DB422E" w:rsidP="00235B31">
            <w:pPr>
              <w:cnfStyle w:val="000000000000" w:firstRow="0" w:lastRow="0" w:firstColumn="0" w:lastColumn="0" w:oddVBand="0" w:evenVBand="0" w:oddHBand="0" w:evenHBand="0" w:firstRowFirstColumn="0" w:firstRowLastColumn="0" w:lastRowFirstColumn="0" w:lastRowLastColumn="0"/>
              <w:rPr>
                <w:rFonts w:cstheme="minorHAnsi"/>
                <w:sz w:val="28"/>
                <w:szCs w:val="28"/>
              </w:rPr>
            </w:pPr>
            <w:r w:rsidRPr="00371929">
              <w:rPr>
                <w:rFonts w:cstheme="minorHAnsi"/>
                <w:sz w:val="28"/>
                <w:szCs w:val="28"/>
              </w:rPr>
              <w:t>5</w:t>
            </w:r>
          </w:p>
        </w:tc>
      </w:tr>
      <w:tr w:rsidR="00DB422E" w:rsidRPr="00371929" w14:paraId="4B03360D" w14:textId="77777777" w:rsidTr="00235B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6" w:type="dxa"/>
          </w:tcPr>
          <w:p w14:paraId="5BE9F5BE" w14:textId="77777777" w:rsidR="00DB422E" w:rsidRPr="00371929" w:rsidRDefault="00DB422E" w:rsidP="00235B31">
            <w:pPr>
              <w:rPr>
                <w:rFonts w:asciiTheme="minorHAnsi" w:hAnsiTheme="minorHAnsi" w:cstheme="minorHAnsi"/>
                <w:b/>
                <w:bCs/>
                <w:sz w:val="28"/>
                <w:szCs w:val="28"/>
              </w:rPr>
            </w:pPr>
            <w:r w:rsidRPr="00371929">
              <w:rPr>
                <w:rFonts w:asciiTheme="minorHAnsi" w:hAnsiTheme="minorHAnsi" w:cstheme="minorHAnsi"/>
                <w:b/>
                <w:bCs/>
                <w:sz w:val="28"/>
                <w:szCs w:val="28"/>
              </w:rPr>
              <w:t>Literature Review</w:t>
            </w:r>
          </w:p>
        </w:tc>
        <w:tc>
          <w:tcPr>
            <w:tcW w:w="1474" w:type="dxa"/>
          </w:tcPr>
          <w:p w14:paraId="39855463" w14:textId="77777777" w:rsidR="00DB422E" w:rsidRPr="00371929" w:rsidRDefault="00DB422E" w:rsidP="00235B31">
            <w:pPr>
              <w:cnfStyle w:val="000000100000" w:firstRow="0" w:lastRow="0" w:firstColumn="0" w:lastColumn="0" w:oddVBand="0" w:evenVBand="0" w:oddHBand="1" w:evenHBand="0" w:firstRowFirstColumn="0" w:firstRowLastColumn="0" w:lastRowFirstColumn="0" w:lastRowLastColumn="0"/>
              <w:rPr>
                <w:rFonts w:cstheme="minorHAnsi"/>
                <w:sz w:val="28"/>
                <w:szCs w:val="28"/>
              </w:rPr>
            </w:pPr>
            <w:r w:rsidRPr="00371929">
              <w:rPr>
                <w:rFonts w:cstheme="minorHAnsi"/>
                <w:sz w:val="28"/>
                <w:szCs w:val="28"/>
              </w:rPr>
              <w:t>6</w:t>
            </w:r>
          </w:p>
        </w:tc>
      </w:tr>
      <w:tr w:rsidR="00DB422E" w:rsidRPr="00371929" w14:paraId="0B7194B6" w14:textId="77777777" w:rsidTr="00235B31">
        <w:tc>
          <w:tcPr>
            <w:cnfStyle w:val="001000000000" w:firstRow="0" w:lastRow="0" w:firstColumn="1" w:lastColumn="0" w:oddVBand="0" w:evenVBand="0" w:oddHBand="0" w:evenHBand="0" w:firstRowFirstColumn="0" w:firstRowLastColumn="0" w:lastRowFirstColumn="0" w:lastRowLastColumn="0"/>
            <w:tcW w:w="4536" w:type="dxa"/>
          </w:tcPr>
          <w:p w14:paraId="553D73A1" w14:textId="77777777" w:rsidR="00DB422E" w:rsidRPr="00371929" w:rsidRDefault="00DB422E" w:rsidP="00235B31">
            <w:pPr>
              <w:rPr>
                <w:rFonts w:asciiTheme="minorHAnsi" w:hAnsiTheme="minorHAnsi" w:cstheme="minorHAnsi"/>
                <w:b/>
                <w:bCs/>
                <w:sz w:val="28"/>
                <w:szCs w:val="28"/>
              </w:rPr>
            </w:pPr>
            <w:r w:rsidRPr="00371929">
              <w:rPr>
                <w:rFonts w:asciiTheme="minorHAnsi" w:hAnsiTheme="minorHAnsi" w:cstheme="minorHAnsi"/>
                <w:b/>
                <w:bCs/>
                <w:sz w:val="28"/>
                <w:szCs w:val="28"/>
              </w:rPr>
              <w:t>Data Collection</w:t>
            </w:r>
          </w:p>
        </w:tc>
        <w:tc>
          <w:tcPr>
            <w:tcW w:w="1474" w:type="dxa"/>
          </w:tcPr>
          <w:p w14:paraId="3189B856" w14:textId="77777777" w:rsidR="00DB422E" w:rsidRPr="00371929" w:rsidRDefault="00DB422E" w:rsidP="00235B31">
            <w:pPr>
              <w:cnfStyle w:val="000000000000" w:firstRow="0" w:lastRow="0" w:firstColumn="0" w:lastColumn="0" w:oddVBand="0" w:evenVBand="0" w:oddHBand="0" w:evenHBand="0" w:firstRowFirstColumn="0" w:firstRowLastColumn="0" w:lastRowFirstColumn="0" w:lastRowLastColumn="0"/>
              <w:rPr>
                <w:rFonts w:cstheme="minorHAnsi"/>
                <w:sz w:val="28"/>
                <w:szCs w:val="28"/>
              </w:rPr>
            </w:pPr>
            <w:r w:rsidRPr="00371929">
              <w:rPr>
                <w:rFonts w:cstheme="minorHAnsi"/>
                <w:sz w:val="28"/>
                <w:szCs w:val="28"/>
              </w:rPr>
              <w:t>11</w:t>
            </w:r>
          </w:p>
        </w:tc>
      </w:tr>
      <w:tr w:rsidR="00DB422E" w:rsidRPr="00371929" w14:paraId="17AEFC00" w14:textId="77777777" w:rsidTr="00235B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6" w:type="dxa"/>
          </w:tcPr>
          <w:p w14:paraId="1F62B8F3" w14:textId="77777777" w:rsidR="00DB422E" w:rsidRPr="00371929" w:rsidRDefault="00DB422E" w:rsidP="00235B31">
            <w:pPr>
              <w:rPr>
                <w:rFonts w:asciiTheme="minorHAnsi" w:hAnsiTheme="minorHAnsi" w:cstheme="minorHAnsi"/>
                <w:b/>
                <w:bCs/>
                <w:sz w:val="28"/>
                <w:szCs w:val="28"/>
              </w:rPr>
            </w:pPr>
            <w:r w:rsidRPr="00371929">
              <w:rPr>
                <w:rFonts w:asciiTheme="minorHAnsi" w:hAnsiTheme="minorHAnsi" w:cstheme="minorHAnsi"/>
                <w:b/>
                <w:bCs/>
                <w:sz w:val="28"/>
                <w:szCs w:val="28"/>
              </w:rPr>
              <w:t>Findings</w:t>
            </w:r>
          </w:p>
        </w:tc>
        <w:tc>
          <w:tcPr>
            <w:tcW w:w="1474" w:type="dxa"/>
          </w:tcPr>
          <w:p w14:paraId="295E09E9" w14:textId="77777777" w:rsidR="00DB422E" w:rsidRPr="00371929" w:rsidRDefault="00DB422E" w:rsidP="00235B31">
            <w:pPr>
              <w:cnfStyle w:val="000000100000" w:firstRow="0" w:lastRow="0" w:firstColumn="0" w:lastColumn="0" w:oddVBand="0" w:evenVBand="0" w:oddHBand="1" w:evenHBand="0" w:firstRowFirstColumn="0" w:firstRowLastColumn="0" w:lastRowFirstColumn="0" w:lastRowLastColumn="0"/>
              <w:rPr>
                <w:rFonts w:cstheme="minorHAnsi"/>
                <w:sz w:val="28"/>
                <w:szCs w:val="28"/>
              </w:rPr>
            </w:pPr>
            <w:r w:rsidRPr="00371929">
              <w:rPr>
                <w:rFonts w:cstheme="minorHAnsi"/>
                <w:sz w:val="28"/>
                <w:szCs w:val="28"/>
              </w:rPr>
              <w:t>4</w:t>
            </w:r>
          </w:p>
        </w:tc>
      </w:tr>
      <w:tr w:rsidR="00DB422E" w:rsidRPr="00371929" w14:paraId="5B8CE686" w14:textId="77777777" w:rsidTr="00235B31">
        <w:tc>
          <w:tcPr>
            <w:cnfStyle w:val="001000000000" w:firstRow="0" w:lastRow="0" w:firstColumn="1" w:lastColumn="0" w:oddVBand="0" w:evenVBand="0" w:oddHBand="0" w:evenHBand="0" w:firstRowFirstColumn="0" w:firstRowLastColumn="0" w:lastRowFirstColumn="0" w:lastRowLastColumn="0"/>
            <w:tcW w:w="4536" w:type="dxa"/>
          </w:tcPr>
          <w:p w14:paraId="2F064300" w14:textId="77777777" w:rsidR="00DB422E" w:rsidRPr="00371929" w:rsidRDefault="00DB422E" w:rsidP="00235B31">
            <w:pPr>
              <w:rPr>
                <w:rFonts w:asciiTheme="minorHAnsi" w:hAnsiTheme="minorHAnsi" w:cstheme="minorHAnsi"/>
                <w:b/>
                <w:bCs/>
                <w:sz w:val="28"/>
                <w:szCs w:val="28"/>
              </w:rPr>
            </w:pPr>
            <w:r w:rsidRPr="00371929">
              <w:rPr>
                <w:rFonts w:asciiTheme="minorHAnsi" w:hAnsiTheme="minorHAnsi" w:cstheme="minorHAnsi"/>
                <w:b/>
                <w:bCs/>
                <w:sz w:val="28"/>
                <w:szCs w:val="28"/>
              </w:rPr>
              <w:t>Conclusion</w:t>
            </w:r>
          </w:p>
        </w:tc>
        <w:tc>
          <w:tcPr>
            <w:tcW w:w="1474" w:type="dxa"/>
          </w:tcPr>
          <w:p w14:paraId="1E4516EB" w14:textId="77777777" w:rsidR="00DB422E" w:rsidRPr="00371929" w:rsidRDefault="00DB422E" w:rsidP="00235B31">
            <w:pPr>
              <w:cnfStyle w:val="000000000000" w:firstRow="0" w:lastRow="0" w:firstColumn="0" w:lastColumn="0" w:oddVBand="0" w:evenVBand="0" w:oddHBand="0" w:evenHBand="0" w:firstRowFirstColumn="0" w:firstRowLastColumn="0" w:lastRowFirstColumn="0" w:lastRowLastColumn="0"/>
              <w:rPr>
                <w:rFonts w:cstheme="minorHAnsi"/>
                <w:sz w:val="28"/>
                <w:szCs w:val="28"/>
              </w:rPr>
            </w:pPr>
            <w:r w:rsidRPr="00371929">
              <w:rPr>
                <w:rFonts w:cstheme="minorHAnsi"/>
                <w:sz w:val="28"/>
                <w:szCs w:val="28"/>
              </w:rPr>
              <w:t>3</w:t>
            </w:r>
          </w:p>
        </w:tc>
      </w:tr>
    </w:tbl>
    <w:p w14:paraId="47748283" w14:textId="77777777" w:rsidR="00DB422E" w:rsidRDefault="00DB422E" w:rsidP="00DB422E">
      <w:pPr>
        <w:rPr>
          <w:i/>
          <w:iCs/>
        </w:rPr>
      </w:pPr>
    </w:p>
    <w:p w14:paraId="5BBFC1A4" w14:textId="77777777" w:rsidR="00DB422E" w:rsidRDefault="00DB422E" w:rsidP="00DB422E">
      <w:pPr>
        <w:rPr>
          <w:i/>
          <w:iCs/>
        </w:rPr>
      </w:pPr>
    </w:p>
    <w:p w14:paraId="6674998D" w14:textId="77777777" w:rsidR="00DB422E" w:rsidRDefault="00DB422E" w:rsidP="00DB422E">
      <w:pPr>
        <w:rPr>
          <w:i/>
          <w:iCs/>
        </w:rPr>
      </w:pPr>
    </w:p>
    <w:p w14:paraId="2233A26C" w14:textId="77777777" w:rsidR="00DB422E" w:rsidRDefault="00DB422E" w:rsidP="00DB422E">
      <w:pPr>
        <w:rPr>
          <w:i/>
          <w:iCs/>
        </w:rPr>
      </w:pPr>
    </w:p>
    <w:p w14:paraId="31EAC7CD" w14:textId="77777777" w:rsidR="00DB422E" w:rsidRDefault="00DB422E" w:rsidP="00DB422E">
      <w:pPr>
        <w:rPr>
          <w:i/>
          <w:iCs/>
        </w:rPr>
      </w:pPr>
    </w:p>
    <w:p w14:paraId="16FFD0A7" w14:textId="77777777" w:rsidR="00DB422E" w:rsidRDefault="00DB422E" w:rsidP="00DB422E">
      <w:pPr>
        <w:rPr>
          <w:i/>
          <w:iCs/>
        </w:rPr>
      </w:pPr>
    </w:p>
    <w:p w14:paraId="6EF44D96" w14:textId="77777777" w:rsidR="00DB422E" w:rsidRDefault="00DB422E" w:rsidP="00DB422E">
      <w:pPr>
        <w:rPr>
          <w:i/>
          <w:iCs/>
        </w:rPr>
      </w:pPr>
    </w:p>
    <w:p w14:paraId="2D51792A" w14:textId="77777777" w:rsidR="00DB422E" w:rsidRDefault="00DB422E" w:rsidP="00DB422E">
      <w:pPr>
        <w:rPr>
          <w:i/>
          <w:iCs/>
        </w:rPr>
      </w:pPr>
    </w:p>
    <w:p w14:paraId="24730E51" w14:textId="77777777" w:rsidR="00DB422E" w:rsidRDefault="00DB422E" w:rsidP="00DB422E">
      <w:pPr>
        <w:rPr>
          <w:i/>
          <w:iCs/>
        </w:rPr>
      </w:pPr>
    </w:p>
    <w:p w14:paraId="6CF90879" w14:textId="77777777" w:rsidR="00DB422E" w:rsidRDefault="00DB422E" w:rsidP="00DB422E">
      <w:pPr>
        <w:rPr>
          <w:i/>
          <w:iCs/>
        </w:rPr>
      </w:pPr>
    </w:p>
    <w:p w14:paraId="716ECD1E" w14:textId="62719332" w:rsidR="00DB422E" w:rsidRDefault="00DB422E" w:rsidP="00DB422E">
      <w:pPr>
        <w:rPr>
          <w:i/>
          <w:iCs/>
        </w:rPr>
      </w:pPr>
      <w:r>
        <w:rPr>
          <w:noProof/>
        </w:rPr>
        <w:lastRenderedPageBreak/>
        <w:drawing>
          <wp:anchor distT="0" distB="0" distL="114300" distR="114300" simplePos="0" relativeHeight="251688960" behindDoc="0" locked="0" layoutInCell="1" allowOverlap="1" wp14:anchorId="50B9DD0B" wp14:editId="0561C910">
            <wp:simplePos x="0" y="0"/>
            <wp:positionH relativeFrom="margin">
              <wp:align>center</wp:align>
            </wp:positionH>
            <wp:positionV relativeFrom="paragraph">
              <wp:posOffset>3561257</wp:posOffset>
            </wp:positionV>
            <wp:extent cx="5368925" cy="3933825"/>
            <wp:effectExtent l="0" t="0" r="3175" b="9525"/>
            <wp:wrapTopAndBottom/>
            <wp:docPr id="24" name="Picture 2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Word&#10;&#10;Description automatically generated"/>
                    <pic:cNvPicPr/>
                  </pic:nvPicPr>
                  <pic:blipFill rotWithShape="1">
                    <a:blip r:embed="rId85">
                      <a:extLst>
                        <a:ext uri="{28A0092B-C50C-407E-A947-70E740481C1C}">
                          <a14:useLocalDpi xmlns:a14="http://schemas.microsoft.com/office/drawing/2010/main" val="0"/>
                        </a:ext>
                      </a:extLst>
                    </a:blip>
                    <a:srcRect l="23765" t="24532" r="25881" b="9852"/>
                    <a:stretch/>
                  </pic:blipFill>
                  <pic:spPr bwMode="auto">
                    <a:xfrm>
                      <a:off x="0" y="0"/>
                      <a:ext cx="5368925" cy="39338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7936" behindDoc="0" locked="0" layoutInCell="1" allowOverlap="1" wp14:anchorId="136B2B07" wp14:editId="115E7893">
            <wp:simplePos x="0" y="0"/>
            <wp:positionH relativeFrom="margin">
              <wp:align>left</wp:align>
            </wp:positionH>
            <wp:positionV relativeFrom="paragraph">
              <wp:posOffset>414655</wp:posOffset>
            </wp:positionV>
            <wp:extent cx="5836920" cy="3049905"/>
            <wp:effectExtent l="0" t="0" r="0" b="0"/>
            <wp:wrapTopAndBottom/>
            <wp:docPr id="25" name="Picture 2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86">
                      <a:extLst>
                        <a:ext uri="{28A0092B-C50C-407E-A947-70E740481C1C}">
                          <a14:useLocalDpi xmlns:a14="http://schemas.microsoft.com/office/drawing/2010/main" val="0"/>
                        </a:ext>
                      </a:extLst>
                    </a:blip>
                    <a:srcRect l="22103" t="34588" r="22889" b="14286"/>
                    <a:stretch/>
                  </pic:blipFill>
                  <pic:spPr bwMode="auto">
                    <a:xfrm>
                      <a:off x="0" y="0"/>
                      <a:ext cx="5857874" cy="306123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F2E96">
        <w:rPr>
          <w:i/>
          <w:iCs/>
        </w:rPr>
        <w:t xml:space="preserve">Appendix </w:t>
      </w:r>
      <w:r w:rsidR="00273791">
        <w:rPr>
          <w:i/>
          <w:iCs/>
        </w:rPr>
        <w:t>B</w:t>
      </w:r>
      <w:r>
        <w:rPr>
          <w:i/>
          <w:iCs/>
        </w:rPr>
        <w:t xml:space="preserve"> – </w:t>
      </w:r>
      <w:r w:rsidRPr="009F2E96">
        <w:rPr>
          <w:i/>
          <w:iCs/>
        </w:rPr>
        <w:t>Participant’s Information Sheet</w:t>
      </w:r>
      <w:r>
        <w:rPr>
          <w:i/>
          <w:iCs/>
        </w:rPr>
        <w:br w:type="page"/>
      </w:r>
    </w:p>
    <w:p w14:paraId="42BFEEF6" w14:textId="77777777" w:rsidR="00DB422E" w:rsidRDefault="00DB422E" w:rsidP="00DB422E">
      <w:pPr>
        <w:rPr>
          <w:i/>
          <w:iCs/>
        </w:rPr>
      </w:pPr>
      <w:r>
        <w:rPr>
          <w:noProof/>
        </w:rPr>
        <w:lastRenderedPageBreak/>
        <w:drawing>
          <wp:anchor distT="0" distB="0" distL="114300" distR="114300" simplePos="0" relativeHeight="251689984" behindDoc="0" locked="0" layoutInCell="1" allowOverlap="1" wp14:anchorId="70444863" wp14:editId="0699E585">
            <wp:simplePos x="0" y="0"/>
            <wp:positionH relativeFrom="margin">
              <wp:align>center</wp:align>
            </wp:positionH>
            <wp:positionV relativeFrom="paragraph">
              <wp:posOffset>63795</wp:posOffset>
            </wp:positionV>
            <wp:extent cx="5146040" cy="4218940"/>
            <wp:effectExtent l="0" t="0" r="0" b="0"/>
            <wp:wrapTopAndBottom/>
            <wp:docPr id="26" name="Picture 2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Word&#10;&#10;Description automatically generated"/>
                    <pic:cNvPicPr/>
                  </pic:nvPicPr>
                  <pic:blipFill rotWithShape="1">
                    <a:blip r:embed="rId87">
                      <a:extLst>
                        <a:ext uri="{28A0092B-C50C-407E-A947-70E740481C1C}">
                          <a14:useLocalDpi xmlns:a14="http://schemas.microsoft.com/office/drawing/2010/main" val="0"/>
                        </a:ext>
                      </a:extLst>
                    </a:blip>
                    <a:srcRect l="26424" t="23645" r="26545" b="7783"/>
                    <a:stretch/>
                  </pic:blipFill>
                  <pic:spPr bwMode="auto">
                    <a:xfrm>
                      <a:off x="0" y="0"/>
                      <a:ext cx="5146040" cy="42189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83F1EF8" w14:textId="77777777" w:rsidR="00DB422E" w:rsidRDefault="00DB422E" w:rsidP="00DB422E">
      <w:pPr>
        <w:rPr>
          <w:i/>
          <w:iCs/>
        </w:rPr>
      </w:pPr>
    </w:p>
    <w:p w14:paraId="0893F480" w14:textId="77777777" w:rsidR="00DB422E" w:rsidRDefault="00DB422E" w:rsidP="00DB422E">
      <w:pPr>
        <w:rPr>
          <w:i/>
          <w:iCs/>
        </w:rPr>
      </w:pPr>
    </w:p>
    <w:p w14:paraId="2F179543" w14:textId="77777777" w:rsidR="00DB422E" w:rsidRDefault="00DB422E" w:rsidP="00DB422E">
      <w:pPr>
        <w:rPr>
          <w:i/>
          <w:iCs/>
        </w:rPr>
      </w:pPr>
    </w:p>
    <w:p w14:paraId="36C5FF1C" w14:textId="77777777" w:rsidR="00DB422E" w:rsidRDefault="00DB422E" w:rsidP="00DB422E">
      <w:pPr>
        <w:rPr>
          <w:i/>
          <w:iCs/>
        </w:rPr>
      </w:pPr>
    </w:p>
    <w:p w14:paraId="64D8B1DB" w14:textId="77777777" w:rsidR="00DB422E" w:rsidRDefault="00DB422E" w:rsidP="00DB422E">
      <w:pPr>
        <w:rPr>
          <w:i/>
          <w:iCs/>
        </w:rPr>
      </w:pPr>
    </w:p>
    <w:p w14:paraId="682C12D8" w14:textId="77777777" w:rsidR="00DB422E" w:rsidRDefault="00DB422E" w:rsidP="00DB422E">
      <w:pPr>
        <w:rPr>
          <w:i/>
          <w:iCs/>
        </w:rPr>
      </w:pPr>
    </w:p>
    <w:p w14:paraId="7DDBE512" w14:textId="77777777" w:rsidR="00DB422E" w:rsidRDefault="00DB422E" w:rsidP="00DB422E">
      <w:pPr>
        <w:rPr>
          <w:i/>
          <w:iCs/>
        </w:rPr>
      </w:pPr>
    </w:p>
    <w:p w14:paraId="77EFE65C" w14:textId="77777777" w:rsidR="00DB422E" w:rsidRDefault="00DB422E" w:rsidP="00DB422E">
      <w:pPr>
        <w:rPr>
          <w:i/>
          <w:iCs/>
        </w:rPr>
      </w:pPr>
    </w:p>
    <w:p w14:paraId="49655D52" w14:textId="77777777" w:rsidR="00DB422E" w:rsidRDefault="00DB422E" w:rsidP="00DB422E">
      <w:pPr>
        <w:rPr>
          <w:i/>
          <w:iCs/>
        </w:rPr>
      </w:pPr>
    </w:p>
    <w:p w14:paraId="784568A1" w14:textId="6F2C65C3" w:rsidR="00DB422E" w:rsidRDefault="00DB422E" w:rsidP="00DB422E">
      <w:pPr>
        <w:pStyle w:val="NormalWeb"/>
        <w:shd w:val="clear" w:color="auto" w:fill="FFFFFF"/>
        <w:spacing w:before="0" w:beforeAutospacing="0" w:after="0" w:afterAutospacing="0" w:line="276" w:lineRule="auto"/>
        <w:ind w:left="360"/>
        <w:rPr>
          <w:rFonts w:asciiTheme="minorHAnsi" w:hAnsiTheme="minorHAnsi" w:cstheme="minorHAnsi"/>
          <w:color w:val="000000"/>
        </w:rPr>
      </w:pPr>
    </w:p>
    <w:p w14:paraId="1548D630" w14:textId="264DBC17" w:rsidR="00DB422E" w:rsidRDefault="00DB422E" w:rsidP="00DB422E">
      <w:pPr>
        <w:pStyle w:val="NormalWeb"/>
        <w:shd w:val="clear" w:color="auto" w:fill="FFFFFF"/>
        <w:spacing w:before="0" w:beforeAutospacing="0" w:after="0" w:afterAutospacing="0" w:line="276" w:lineRule="auto"/>
        <w:ind w:left="360"/>
        <w:rPr>
          <w:rFonts w:asciiTheme="minorHAnsi" w:hAnsiTheme="minorHAnsi" w:cstheme="minorHAnsi"/>
          <w:color w:val="000000"/>
        </w:rPr>
      </w:pPr>
    </w:p>
    <w:p w14:paraId="0F35913B" w14:textId="151133DE" w:rsidR="00DB422E" w:rsidRDefault="00DB422E" w:rsidP="00DB422E">
      <w:pPr>
        <w:pStyle w:val="NormalWeb"/>
        <w:shd w:val="clear" w:color="auto" w:fill="FFFFFF"/>
        <w:spacing w:before="0" w:beforeAutospacing="0" w:after="0" w:afterAutospacing="0" w:line="276" w:lineRule="auto"/>
        <w:ind w:left="360"/>
        <w:rPr>
          <w:rFonts w:asciiTheme="minorHAnsi" w:hAnsiTheme="minorHAnsi" w:cstheme="minorHAnsi"/>
          <w:color w:val="000000"/>
        </w:rPr>
      </w:pPr>
    </w:p>
    <w:p w14:paraId="4FFF7E4D" w14:textId="179D21B9" w:rsidR="00DB422E" w:rsidRDefault="00DB422E" w:rsidP="00DB422E">
      <w:pPr>
        <w:pStyle w:val="NormalWeb"/>
        <w:shd w:val="clear" w:color="auto" w:fill="FFFFFF"/>
        <w:spacing w:before="0" w:beforeAutospacing="0" w:after="0" w:afterAutospacing="0" w:line="276" w:lineRule="auto"/>
        <w:ind w:left="360"/>
        <w:rPr>
          <w:rFonts w:asciiTheme="minorHAnsi" w:hAnsiTheme="minorHAnsi" w:cstheme="minorHAnsi"/>
          <w:color w:val="000000"/>
        </w:rPr>
      </w:pPr>
    </w:p>
    <w:p w14:paraId="02237035" w14:textId="249444FF" w:rsidR="00DB422E" w:rsidRDefault="00DB422E" w:rsidP="00DB422E">
      <w:pPr>
        <w:pStyle w:val="NormalWeb"/>
        <w:shd w:val="clear" w:color="auto" w:fill="FFFFFF"/>
        <w:spacing w:before="0" w:beforeAutospacing="0" w:after="0" w:afterAutospacing="0" w:line="276" w:lineRule="auto"/>
        <w:ind w:left="360"/>
        <w:rPr>
          <w:rFonts w:asciiTheme="minorHAnsi" w:hAnsiTheme="minorHAnsi" w:cstheme="minorHAnsi"/>
          <w:color w:val="000000"/>
        </w:rPr>
      </w:pPr>
    </w:p>
    <w:p w14:paraId="6727B6C4" w14:textId="799B5CA9" w:rsidR="00DB422E" w:rsidRDefault="00DB422E" w:rsidP="00DB422E">
      <w:pPr>
        <w:pStyle w:val="NormalWeb"/>
        <w:shd w:val="clear" w:color="auto" w:fill="FFFFFF"/>
        <w:spacing w:before="0" w:beforeAutospacing="0" w:after="0" w:afterAutospacing="0" w:line="276" w:lineRule="auto"/>
        <w:ind w:left="360"/>
        <w:rPr>
          <w:rFonts w:asciiTheme="minorHAnsi" w:hAnsiTheme="minorHAnsi" w:cstheme="minorHAnsi"/>
          <w:color w:val="000000"/>
        </w:rPr>
      </w:pPr>
    </w:p>
    <w:p w14:paraId="583EA8F8" w14:textId="76E50962" w:rsidR="00DB422E" w:rsidRDefault="00DB422E" w:rsidP="00DB422E">
      <w:pPr>
        <w:pStyle w:val="NormalWeb"/>
        <w:shd w:val="clear" w:color="auto" w:fill="FFFFFF"/>
        <w:spacing w:before="0" w:beforeAutospacing="0" w:after="0" w:afterAutospacing="0" w:line="276" w:lineRule="auto"/>
        <w:ind w:left="360"/>
        <w:rPr>
          <w:rFonts w:asciiTheme="minorHAnsi" w:hAnsiTheme="minorHAnsi" w:cstheme="minorHAnsi"/>
          <w:color w:val="000000"/>
        </w:rPr>
      </w:pPr>
    </w:p>
    <w:p w14:paraId="4BA5E5E5" w14:textId="36714E3F" w:rsidR="00DB422E" w:rsidRDefault="00DB422E" w:rsidP="00DB422E">
      <w:pPr>
        <w:pStyle w:val="NormalWeb"/>
        <w:shd w:val="clear" w:color="auto" w:fill="FFFFFF"/>
        <w:spacing w:before="0" w:beforeAutospacing="0" w:after="0" w:afterAutospacing="0" w:line="276" w:lineRule="auto"/>
        <w:ind w:left="360"/>
        <w:rPr>
          <w:rFonts w:asciiTheme="minorHAnsi" w:hAnsiTheme="minorHAnsi" w:cstheme="minorHAnsi"/>
          <w:color w:val="000000"/>
        </w:rPr>
      </w:pPr>
    </w:p>
    <w:p w14:paraId="55239B46" w14:textId="4B5936D3" w:rsidR="00DB422E" w:rsidRDefault="00DB422E" w:rsidP="00DB422E">
      <w:r w:rsidRPr="009F2E96">
        <w:rPr>
          <w:i/>
          <w:iCs/>
        </w:rPr>
        <w:lastRenderedPageBreak/>
        <w:t xml:space="preserve">Appendix </w:t>
      </w:r>
      <w:r w:rsidR="00273791">
        <w:rPr>
          <w:i/>
          <w:iCs/>
        </w:rPr>
        <w:t>C</w:t>
      </w:r>
      <w:r>
        <w:rPr>
          <w:i/>
          <w:iCs/>
        </w:rPr>
        <w:t xml:space="preserve"> – </w:t>
      </w:r>
      <w:r>
        <w:t>Survey</w:t>
      </w:r>
    </w:p>
    <w:p w14:paraId="5208A272" w14:textId="77777777" w:rsidR="00DB422E" w:rsidRDefault="00DB422E" w:rsidP="00DB422E"/>
    <w:p w14:paraId="304CDD56" w14:textId="77777777" w:rsidR="00DB422E" w:rsidRDefault="00DB422E" w:rsidP="00DB422E">
      <w:r>
        <w:rPr>
          <w:noProof/>
        </w:rPr>
        <w:drawing>
          <wp:anchor distT="0" distB="0" distL="114300" distR="114300" simplePos="0" relativeHeight="251692032" behindDoc="0" locked="0" layoutInCell="1" allowOverlap="1" wp14:anchorId="02F4B7A3" wp14:editId="0135940D">
            <wp:simplePos x="0" y="0"/>
            <wp:positionH relativeFrom="margin">
              <wp:align>left</wp:align>
            </wp:positionH>
            <wp:positionV relativeFrom="paragraph">
              <wp:posOffset>229848</wp:posOffset>
            </wp:positionV>
            <wp:extent cx="5850890" cy="7230110"/>
            <wp:effectExtent l="0" t="0" r="0" b="8890"/>
            <wp:wrapTopAndBottom/>
            <wp:docPr id="27" name="Picture 2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 application, email&#10;&#10;Description automatically generated"/>
                    <pic:cNvPicPr/>
                  </pic:nvPicPr>
                  <pic:blipFill rotWithShape="1">
                    <a:blip r:embed="rId88">
                      <a:extLst>
                        <a:ext uri="{28A0092B-C50C-407E-A947-70E740481C1C}">
                          <a14:useLocalDpi xmlns:a14="http://schemas.microsoft.com/office/drawing/2010/main" val="0"/>
                        </a:ext>
                      </a:extLst>
                    </a:blip>
                    <a:srcRect l="51907" t="21730" r="17231" b="10444"/>
                    <a:stretch/>
                  </pic:blipFill>
                  <pic:spPr bwMode="auto">
                    <a:xfrm>
                      <a:off x="0" y="0"/>
                      <a:ext cx="5850890" cy="72301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FD3F1A1" w14:textId="77777777" w:rsidR="00DB422E" w:rsidRDefault="00DB422E" w:rsidP="00DB422E"/>
    <w:p w14:paraId="50E9689B" w14:textId="77777777" w:rsidR="00DB422E" w:rsidRDefault="00DB422E" w:rsidP="00DB422E"/>
    <w:p w14:paraId="255EE837" w14:textId="77777777" w:rsidR="00DB422E" w:rsidRDefault="00DB422E" w:rsidP="00DB422E"/>
    <w:p w14:paraId="44FF3AA8" w14:textId="77777777" w:rsidR="00DB422E" w:rsidRDefault="00DB422E" w:rsidP="00DB422E"/>
    <w:p w14:paraId="0E7A0D1C" w14:textId="77777777" w:rsidR="00DB422E" w:rsidRDefault="00DB422E" w:rsidP="00DB422E"/>
    <w:p w14:paraId="7B55A8FC" w14:textId="77777777" w:rsidR="00DB422E" w:rsidRDefault="00DB422E" w:rsidP="00DB422E">
      <w:r>
        <w:rPr>
          <w:noProof/>
        </w:rPr>
        <w:drawing>
          <wp:anchor distT="0" distB="0" distL="114300" distR="114300" simplePos="0" relativeHeight="251693056" behindDoc="0" locked="0" layoutInCell="1" allowOverlap="1" wp14:anchorId="7F7D742A" wp14:editId="0ADE5E00">
            <wp:simplePos x="0" y="0"/>
            <wp:positionH relativeFrom="margin">
              <wp:posOffset>142875</wp:posOffset>
            </wp:positionH>
            <wp:positionV relativeFrom="paragraph">
              <wp:posOffset>295275</wp:posOffset>
            </wp:positionV>
            <wp:extent cx="5586095" cy="7105015"/>
            <wp:effectExtent l="0" t="0" r="0" b="635"/>
            <wp:wrapTopAndBottom/>
            <wp:docPr id="28" name="Picture 2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application&#10;&#10;Description automatically generated"/>
                    <pic:cNvPicPr/>
                  </pic:nvPicPr>
                  <pic:blipFill rotWithShape="1">
                    <a:blip r:embed="rId89">
                      <a:extLst>
                        <a:ext uri="{28A0092B-C50C-407E-A947-70E740481C1C}">
                          <a14:useLocalDpi xmlns:a14="http://schemas.microsoft.com/office/drawing/2010/main" val="0"/>
                        </a:ext>
                      </a:extLst>
                    </a:blip>
                    <a:srcRect l="51481" t="18108" r="16930" b="10433"/>
                    <a:stretch/>
                  </pic:blipFill>
                  <pic:spPr bwMode="auto">
                    <a:xfrm>
                      <a:off x="0" y="0"/>
                      <a:ext cx="5586095" cy="71050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040C622" w14:textId="77777777" w:rsidR="00DB422E" w:rsidRPr="002927A4" w:rsidRDefault="00DB422E" w:rsidP="00DB422E"/>
    <w:p w14:paraId="6FFDC01E" w14:textId="77777777" w:rsidR="00DB422E" w:rsidRPr="002927A4" w:rsidRDefault="00DB422E" w:rsidP="00DB422E"/>
    <w:p w14:paraId="74C040D2" w14:textId="77777777" w:rsidR="00DB422E" w:rsidRDefault="00DB422E" w:rsidP="00DB422E"/>
    <w:p w14:paraId="0E83B74C" w14:textId="77777777" w:rsidR="00DB422E" w:rsidRDefault="00DB422E" w:rsidP="00DB422E"/>
    <w:p w14:paraId="6E1B8D96" w14:textId="77777777" w:rsidR="00DB422E" w:rsidRDefault="00DB422E" w:rsidP="00DB422E"/>
    <w:p w14:paraId="3213AF6D" w14:textId="77777777" w:rsidR="00DB422E" w:rsidRDefault="00DB422E" w:rsidP="00DB422E">
      <w:r>
        <w:rPr>
          <w:noProof/>
        </w:rPr>
        <w:drawing>
          <wp:anchor distT="0" distB="0" distL="114300" distR="114300" simplePos="0" relativeHeight="251694080" behindDoc="0" locked="0" layoutInCell="1" allowOverlap="1" wp14:anchorId="0FC8D848" wp14:editId="271DF110">
            <wp:simplePos x="0" y="0"/>
            <wp:positionH relativeFrom="margin">
              <wp:align>right</wp:align>
            </wp:positionH>
            <wp:positionV relativeFrom="paragraph">
              <wp:posOffset>294574</wp:posOffset>
            </wp:positionV>
            <wp:extent cx="5738495" cy="7127875"/>
            <wp:effectExtent l="0" t="0" r="0" b="0"/>
            <wp:wrapTopAndBottom/>
            <wp:docPr id="29" name="Picture 29"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application, Word&#10;&#10;Description automatically generated"/>
                    <pic:cNvPicPr/>
                  </pic:nvPicPr>
                  <pic:blipFill rotWithShape="1">
                    <a:blip r:embed="rId90">
                      <a:extLst>
                        <a:ext uri="{28A0092B-C50C-407E-A947-70E740481C1C}">
                          <a14:useLocalDpi xmlns:a14="http://schemas.microsoft.com/office/drawing/2010/main" val="0"/>
                        </a:ext>
                      </a:extLst>
                    </a:blip>
                    <a:srcRect l="51169" t="16147" r="16930" b="13371"/>
                    <a:stretch/>
                  </pic:blipFill>
                  <pic:spPr bwMode="auto">
                    <a:xfrm>
                      <a:off x="0" y="0"/>
                      <a:ext cx="5738495" cy="7127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83DACDC" w14:textId="77777777" w:rsidR="00DB422E" w:rsidRDefault="00DB422E" w:rsidP="00DB422E"/>
    <w:p w14:paraId="311D399B" w14:textId="77777777" w:rsidR="00DB422E" w:rsidRDefault="00DB422E" w:rsidP="00DB422E"/>
    <w:p w14:paraId="4937C64D" w14:textId="77777777" w:rsidR="00DB422E" w:rsidRDefault="00DB422E" w:rsidP="00DB422E"/>
    <w:p w14:paraId="7BBF4D63" w14:textId="77777777" w:rsidR="00DB422E" w:rsidRDefault="00DB422E" w:rsidP="00DB422E">
      <w:r>
        <w:rPr>
          <w:noProof/>
        </w:rPr>
        <w:lastRenderedPageBreak/>
        <w:drawing>
          <wp:anchor distT="0" distB="0" distL="114300" distR="114300" simplePos="0" relativeHeight="251695104" behindDoc="0" locked="0" layoutInCell="1" allowOverlap="1" wp14:anchorId="42B5C16A" wp14:editId="51C9C7BD">
            <wp:simplePos x="0" y="0"/>
            <wp:positionH relativeFrom="margin">
              <wp:align>right</wp:align>
            </wp:positionH>
            <wp:positionV relativeFrom="paragraph">
              <wp:posOffset>361818</wp:posOffset>
            </wp:positionV>
            <wp:extent cx="5928360" cy="4540250"/>
            <wp:effectExtent l="0" t="0" r="0" b="0"/>
            <wp:wrapTopAndBottom/>
            <wp:docPr id="30" name="Picture 3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text, application&#10;&#10;Description automatically generated"/>
                    <pic:cNvPicPr/>
                  </pic:nvPicPr>
                  <pic:blipFill rotWithShape="1">
                    <a:blip r:embed="rId91">
                      <a:extLst>
                        <a:ext uri="{28A0092B-C50C-407E-A947-70E740481C1C}">
                          <a14:useLocalDpi xmlns:a14="http://schemas.microsoft.com/office/drawing/2010/main" val="0"/>
                        </a:ext>
                      </a:extLst>
                    </a:blip>
                    <a:srcRect l="47314" t="19083" r="12804" b="26594"/>
                    <a:stretch/>
                  </pic:blipFill>
                  <pic:spPr bwMode="auto">
                    <a:xfrm>
                      <a:off x="0" y="0"/>
                      <a:ext cx="5928360" cy="4540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508D1DD" w14:textId="77777777" w:rsidR="00DB422E" w:rsidRDefault="00DB422E" w:rsidP="00DB422E"/>
    <w:p w14:paraId="6E67F1B6" w14:textId="77777777" w:rsidR="00DB422E" w:rsidRDefault="00DB422E" w:rsidP="00DB422E"/>
    <w:p w14:paraId="24B0B8A6" w14:textId="77777777" w:rsidR="00DB422E" w:rsidRDefault="00DB422E" w:rsidP="00DB422E">
      <w:pPr>
        <w:rPr>
          <w:i/>
          <w:iCs/>
        </w:rPr>
      </w:pPr>
    </w:p>
    <w:p w14:paraId="2AA87094" w14:textId="77777777" w:rsidR="00DB422E" w:rsidRDefault="00DB422E" w:rsidP="00DB422E">
      <w:pPr>
        <w:rPr>
          <w:i/>
          <w:iCs/>
        </w:rPr>
      </w:pPr>
    </w:p>
    <w:p w14:paraId="1AF3A10E" w14:textId="77777777" w:rsidR="00DB422E" w:rsidRDefault="00DB422E" w:rsidP="00DB422E">
      <w:pPr>
        <w:rPr>
          <w:i/>
          <w:iCs/>
        </w:rPr>
      </w:pPr>
    </w:p>
    <w:p w14:paraId="0F764DE9" w14:textId="77777777" w:rsidR="00DB422E" w:rsidRDefault="00DB422E" w:rsidP="00DB422E">
      <w:pPr>
        <w:rPr>
          <w:i/>
          <w:iCs/>
        </w:rPr>
      </w:pPr>
    </w:p>
    <w:p w14:paraId="4897A37C" w14:textId="77777777" w:rsidR="00DB422E" w:rsidRDefault="00DB422E" w:rsidP="00DB422E">
      <w:pPr>
        <w:rPr>
          <w:i/>
          <w:iCs/>
        </w:rPr>
      </w:pPr>
    </w:p>
    <w:p w14:paraId="7C679C97" w14:textId="77777777" w:rsidR="00DB422E" w:rsidRDefault="00DB422E" w:rsidP="00DB422E">
      <w:pPr>
        <w:rPr>
          <w:i/>
          <w:iCs/>
        </w:rPr>
      </w:pPr>
    </w:p>
    <w:p w14:paraId="2DEF572D" w14:textId="77777777" w:rsidR="00DB422E" w:rsidRDefault="00DB422E" w:rsidP="00DB422E">
      <w:pPr>
        <w:rPr>
          <w:i/>
          <w:iCs/>
        </w:rPr>
      </w:pPr>
    </w:p>
    <w:p w14:paraId="51F018D0" w14:textId="77777777" w:rsidR="00DB422E" w:rsidRDefault="00DB422E" w:rsidP="00DB422E">
      <w:pPr>
        <w:rPr>
          <w:i/>
          <w:iCs/>
        </w:rPr>
      </w:pPr>
    </w:p>
    <w:p w14:paraId="33D38860" w14:textId="3F66ABE2" w:rsidR="00DB422E" w:rsidRDefault="00DB422E" w:rsidP="00DB422E">
      <w:pPr>
        <w:pStyle w:val="NormalWeb"/>
        <w:shd w:val="clear" w:color="auto" w:fill="FFFFFF"/>
        <w:spacing w:before="0" w:beforeAutospacing="0" w:after="0" w:afterAutospacing="0" w:line="276" w:lineRule="auto"/>
        <w:ind w:left="360"/>
        <w:rPr>
          <w:rFonts w:asciiTheme="minorHAnsi" w:hAnsiTheme="minorHAnsi" w:cstheme="minorHAnsi"/>
          <w:color w:val="000000"/>
        </w:rPr>
      </w:pPr>
    </w:p>
    <w:p w14:paraId="60DCD597" w14:textId="12FAFB05" w:rsidR="00DB422E" w:rsidRDefault="00DB422E" w:rsidP="00DB422E">
      <w:pPr>
        <w:pStyle w:val="NormalWeb"/>
        <w:shd w:val="clear" w:color="auto" w:fill="FFFFFF"/>
        <w:spacing w:before="0" w:beforeAutospacing="0" w:after="0" w:afterAutospacing="0" w:line="276" w:lineRule="auto"/>
        <w:ind w:left="360"/>
        <w:rPr>
          <w:rFonts w:asciiTheme="minorHAnsi" w:hAnsiTheme="minorHAnsi" w:cstheme="minorHAnsi"/>
          <w:color w:val="000000"/>
        </w:rPr>
      </w:pPr>
    </w:p>
    <w:p w14:paraId="417C9747" w14:textId="63C45BED" w:rsidR="00DB422E" w:rsidRDefault="00DB422E" w:rsidP="00DB422E">
      <w:pPr>
        <w:pStyle w:val="NormalWeb"/>
        <w:shd w:val="clear" w:color="auto" w:fill="FFFFFF"/>
        <w:spacing w:before="0" w:beforeAutospacing="0" w:after="0" w:afterAutospacing="0" w:line="276" w:lineRule="auto"/>
        <w:ind w:left="360"/>
        <w:rPr>
          <w:rFonts w:asciiTheme="minorHAnsi" w:hAnsiTheme="minorHAnsi" w:cstheme="minorHAnsi"/>
          <w:color w:val="000000"/>
        </w:rPr>
      </w:pPr>
    </w:p>
    <w:p w14:paraId="7F078AD4" w14:textId="5F65F142" w:rsidR="00DB422E" w:rsidRDefault="00DB422E" w:rsidP="00DB422E">
      <w:pPr>
        <w:pStyle w:val="NormalWeb"/>
        <w:shd w:val="clear" w:color="auto" w:fill="FFFFFF"/>
        <w:spacing w:before="0" w:beforeAutospacing="0" w:after="0" w:afterAutospacing="0" w:line="276" w:lineRule="auto"/>
        <w:ind w:left="360"/>
        <w:rPr>
          <w:rFonts w:asciiTheme="minorHAnsi" w:hAnsiTheme="minorHAnsi" w:cstheme="minorHAnsi"/>
          <w:color w:val="000000"/>
        </w:rPr>
      </w:pPr>
    </w:p>
    <w:p w14:paraId="64E54FC2" w14:textId="4C31BD10" w:rsidR="00DB422E" w:rsidRDefault="00DB422E" w:rsidP="00DB422E">
      <w:pPr>
        <w:pStyle w:val="NormalWeb"/>
        <w:shd w:val="clear" w:color="auto" w:fill="FFFFFF"/>
        <w:spacing w:before="0" w:beforeAutospacing="0" w:after="0" w:afterAutospacing="0" w:line="276" w:lineRule="auto"/>
        <w:ind w:left="360"/>
        <w:rPr>
          <w:rFonts w:asciiTheme="minorHAnsi" w:hAnsiTheme="minorHAnsi" w:cstheme="minorHAnsi"/>
          <w:color w:val="000000"/>
        </w:rPr>
      </w:pPr>
    </w:p>
    <w:p w14:paraId="3B83940A" w14:textId="1B4325E8" w:rsidR="00D4663A" w:rsidRPr="007D6924" w:rsidRDefault="00DB422E" w:rsidP="007D6924">
      <w:r>
        <w:rPr>
          <w:noProof/>
        </w:rPr>
        <w:lastRenderedPageBreak/>
        <w:drawing>
          <wp:anchor distT="0" distB="0" distL="114300" distR="114300" simplePos="0" relativeHeight="251700224" behindDoc="0" locked="0" layoutInCell="1" allowOverlap="1" wp14:anchorId="527E0A35" wp14:editId="485A752F">
            <wp:simplePos x="0" y="0"/>
            <wp:positionH relativeFrom="margin">
              <wp:align>center</wp:align>
            </wp:positionH>
            <wp:positionV relativeFrom="paragraph">
              <wp:posOffset>6840855</wp:posOffset>
            </wp:positionV>
            <wp:extent cx="3533775" cy="2012315"/>
            <wp:effectExtent l="0" t="0" r="9525" b="6985"/>
            <wp:wrapTopAndBottom/>
            <wp:docPr id="31" name="Picture 31"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 table, Excel&#10;&#10;Description automatically generated"/>
                    <pic:cNvPicPr/>
                  </pic:nvPicPr>
                  <pic:blipFill rotWithShape="1">
                    <a:blip r:embed="rId92">
                      <a:extLst>
                        <a:ext uri="{28A0092B-C50C-407E-A947-70E740481C1C}">
                          <a14:useLocalDpi xmlns:a14="http://schemas.microsoft.com/office/drawing/2010/main" val="0"/>
                        </a:ext>
                      </a:extLst>
                    </a:blip>
                    <a:srcRect l="30079" t="25714" r="31699" b="35566"/>
                    <a:stretch/>
                  </pic:blipFill>
                  <pic:spPr bwMode="auto">
                    <a:xfrm>
                      <a:off x="0" y="0"/>
                      <a:ext cx="3533775" cy="20123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9200" behindDoc="0" locked="0" layoutInCell="1" allowOverlap="1" wp14:anchorId="514E756C" wp14:editId="49FB98E9">
            <wp:simplePos x="0" y="0"/>
            <wp:positionH relativeFrom="margin">
              <wp:align>center</wp:align>
            </wp:positionH>
            <wp:positionV relativeFrom="paragraph">
              <wp:posOffset>5360035</wp:posOffset>
            </wp:positionV>
            <wp:extent cx="6558915" cy="1419225"/>
            <wp:effectExtent l="0" t="0" r="0" b="9525"/>
            <wp:wrapTopAndBottom/>
            <wp:docPr id="128" name="Picture 128"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table, Excel&#10;&#10;Description automatically generated"/>
                    <pic:cNvPicPr/>
                  </pic:nvPicPr>
                  <pic:blipFill rotWithShape="1">
                    <a:blip r:embed="rId93">
                      <a:extLst>
                        <a:ext uri="{28A0092B-C50C-407E-A947-70E740481C1C}">
                          <a14:useLocalDpi xmlns:a14="http://schemas.microsoft.com/office/drawing/2010/main" val="0"/>
                        </a:ext>
                      </a:extLst>
                    </a:blip>
                    <a:srcRect t="55567" r="14746" b="11625"/>
                    <a:stretch/>
                  </pic:blipFill>
                  <pic:spPr bwMode="auto">
                    <a:xfrm>
                      <a:off x="0" y="0"/>
                      <a:ext cx="6558915" cy="1419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8176" behindDoc="0" locked="0" layoutInCell="1" allowOverlap="1" wp14:anchorId="5425F2F7" wp14:editId="4EE6E324">
            <wp:simplePos x="0" y="0"/>
            <wp:positionH relativeFrom="margin">
              <wp:align>center</wp:align>
            </wp:positionH>
            <wp:positionV relativeFrom="paragraph">
              <wp:posOffset>2779395</wp:posOffset>
            </wp:positionV>
            <wp:extent cx="6562725" cy="2438400"/>
            <wp:effectExtent l="0" t="0" r="9525" b="0"/>
            <wp:wrapTopAndBottom/>
            <wp:docPr id="129" name="Picture 129"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table, Excel&#10;&#10;Description automatically generated"/>
                    <pic:cNvPicPr/>
                  </pic:nvPicPr>
                  <pic:blipFill rotWithShape="1">
                    <a:blip r:embed="rId94">
                      <a:extLst>
                        <a:ext uri="{28A0092B-C50C-407E-A947-70E740481C1C}">
                          <a14:useLocalDpi xmlns:a14="http://schemas.microsoft.com/office/drawing/2010/main" val="0"/>
                        </a:ext>
                      </a:extLst>
                    </a:blip>
                    <a:srcRect l="333" t="25714" r="15125" b="18424"/>
                    <a:stretch/>
                  </pic:blipFill>
                  <pic:spPr bwMode="auto">
                    <a:xfrm>
                      <a:off x="0" y="0"/>
                      <a:ext cx="6562725" cy="2438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7152" behindDoc="0" locked="0" layoutInCell="1" allowOverlap="1" wp14:anchorId="0AA4CE1F" wp14:editId="6F844045">
            <wp:simplePos x="0" y="0"/>
            <wp:positionH relativeFrom="margin">
              <wp:align>center</wp:align>
            </wp:positionH>
            <wp:positionV relativeFrom="paragraph">
              <wp:posOffset>294640</wp:posOffset>
            </wp:positionV>
            <wp:extent cx="6626860" cy="2428875"/>
            <wp:effectExtent l="0" t="0" r="2540" b="9525"/>
            <wp:wrapTopAndBottom/>
            <wp:docPr id="130" name="Picture 130"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table, Excel&#10;&#10;Description automatically generated"/>
                    <pic:cNvPicPr/>
                  </pic:nvPicPr>
                  <pic:blipFill rotWithShape="1">
                    <a:blip r:embed="rId95">
                      <a:extLst>
                        <a:ext uri="{28A0092B-C50C-407E-A947-70E740481C1C}">
                          <a14:useLocalDpi xmlns:a14="http://schemas.microsoft.com/office/drawing/2010/main" val="0"/>
                        </a:ext>
                      </a:extLst>
                    </a:blip>
                    <a:srcRect t="26306" r="14746" b="18128"/>
                    <a:stretch/>
                  </pic:blipFill>
                  <pic:spPr bwMode="auto">
                    <a:xfrm>
                      <a:off x="0" y="0"/>
                      <a:ext cx="6626860" cy="2428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F2E96">
        <w:rPr>
          <w:i/>
          <w:iCs/>
        </w:rPr>
        <w:t xml:space="preserve">Appendix </w:t>
      </w:r>
      <w:r w:rsidR="00273791">
        <w:rPr>
          <w:i/>
          <w:iCs/>
        </w:rPr>
        <w:t>D</w:t>
      </w:r>
      <w:r>
        <w:rPr>
          <w:i/>
          <w:iCs/>
        </w:rPr>
        <w:t xml:space="preserve"> – Data Analysis </w:t>
      </w:r>
      <w:r>
        <w:t xml:space="preserve">Excel Sheet </w:t>
      </w:r>
    </w:p>
    <w:p w14:paraId="4B08DC8E" w14:textId="3D97FC6D" w:rsidR="00DB422E" w:rsidRDefault="00DB422E" w:rsidP="00DB422E">
      <w:pPr>
        <w:tabs>
          <w:tab w:val="left" w:pos="1523"/>
        </w:tabs>
      </w:pPr>
      <w:r>
        <w:rPr>
          <w:i/>
          <w:iCs/>
        </w:rPr>
        <w:lastRenderedPageBreak/>
        <w:t xml:space="preserve">Appendix </w:t>
      </w:r>
      <w:r w:rsidR="007D6924">
        <w:rPr>
          <w:i/>
          <w:iCs/>
        </w:rPr>
        <w:t>E</w:t>
      </w:r>
      <w:r w:rsidRPr="00F02B06">
        <w:rPr>
          <w:i/>
          <w:iCs/>
        </w:rPr>
        <w:t xml:space="preserve"> </w:t>
      </w:r>
      <w:r>
        <w:t>– Additional data from the primary research</w:t>
      </w:r>
    </w:p>
    <w:p w14:paraId="2E020EED" w14:textId="77777777" w:rsidR="00DB422E" w:rsidRDefault="00DB422E" w:rsidP="00DB422E">
      <w:pPr>
        <w:tabs>
          <w:tab w:val="left" w:pos="1523"/>
        </w:tabs>
      </w:pPr>
    </w:p>
    <w:p w14:paraId="20035DAF" w14:textId="77777777" w:rsidR="00DB422E" w:rsidRPr="002927A4" w:rsidRDefault="00DB422E" w:rsidP="00DB422E">
      <w:pPr>
        <w:tabs>
          <w:tab w:val="left" w:pos="1523"/>
        </w:tabs>
      </w:pPr>
      <w:r>
        <w:rPr>
          <w:noProof/>
        </w:rPr>
        <w:drawing>
          <wp:anchor distT="0" distB="0" distL="114300" distR="114300" simplePos="0" relativeHeight="251702272" behindDoc="0" locked="0" layoutInCell="1" allowOverlap="1" wp14:anchorId="37A93CD2" wp14:editId="728F27B7">
            <wp:simplePos x="0" y="0"/>
            <wp:positionH relativeFrom="margin">
              <wp:align>center</wp:align>
            </wp:positionH>
            <wp:positionV relativeFrom="paragraph">
              <wp:posOffset>279090</wp:posOffset>
            </wp:positionV>
            <wp:extent cx="4740089" cy="2905872"/>
            <wp:effectExtent l="0" t="0" r="3810" b="8890"/>
            <wp:wrapTopAndBottom/>
            <wp:docPr id="131" name="Chart 131">
              <a:extLst xmlns:a="http://schemas.openxmlformats.org/drawingml/2006/main">
                <a:ext uri="{FF2B5EF4-FFF2-40B4-BE49-F238E27FC236}">
                  <a16:creationId xmlns:a16="http://schemas.microsoft.com/office/drawing/2014/main" id="{0C4B6633-7080-439F-9215-4319CCEEEB7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6"/>
              </a:graphicData>
            </a:graphic>
          </wp:anchor>
        </w:drawing>
      </w:r>
    </w:p>
    <w:p w14:paraId="3C2DD645" w14:textId="77777777" w:rsidR="00DB422E" w:rsidRPr="002927A4" w:rsidRDefault="00DB422E" w:rsidP="00DB422E"/>
    <w:p w14:paraId="4581EAC9" w14:textId="77777777" w:rsidR="00DB422E" w:rsidRPr="002927A4" w:rsidRDefault="00DB422E" w:rsidP="00DB422E"/>
    <w:p w14:paraId="2418F311" w14:textId="77777777" w:rsidR="00DB422E" w:rsidRPr="002927A4" w:rsidRDefault="00DB422E" w:rsidP="00DB422E">
      <w:r>
        <w:rPr>
          <w:noProof/>
        </w:rPr>
        <w:drawing>
          <wp:anchor distT="0" distB="0" distL="114300" distR="114300" simplePos="0" relativeHeight="251703296" behindDoc="0" locked="0" layoutInCell="1" allowOverlap="1" wp14:anchorId="78F3991A" wp14:editId="344583F1">
            <wp:simplePos x="0" y="0"/>
            <wp:positionH relativeFrom="margin">
              <wp:align>center</wp:align>
            </wp:positionH>
            <wp:positionV relativeFrom="paragraph">
              <wp:posOffset>180340</wp:posOffset>
            </wp:positionV>
            <wp:extent cx="4189095" cy="2498090"/>
            <wp:effectExtent l="0" t="0" r="1905" b="16510"/>
            <wp:wrapTopAndBottom/>
            <wp:docPr id="132" name="Chart 132">
              <a:extLst xmlns:a="http://schemas.openxmlformats.org/drawingml/2006/main">
                <a:ext uri="{FF2B5EF4-FFF2-40B4-BE49-F238E27FC236}">
                  <a16:creationId xmlns:a16="http://schemas.microsoft.com/office/drawing/2014/main" id="{9D3A7B3B-DB5D-4009-B142-CB320ED4145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7"/>
              </a:graphicData>
            </a:graphic>
            <wp14:sizeRelH relativeFrom="margin">
              <wp14:pctWidth>0</wp14:pctWidth>
            </wp14:sizeRelH>
            <wp14:sizeRelV relativeFrom="margin">
              <wp14:pctHeight>0</wp14:pctHeight>
            </wp14:sizeRelV>
          </wp:anchor>
        </w:drawing>
      </w:r>
    </w:p>
    <w:p w14:paraId="6C31A90B" w14:textId="77777777" w:rsidR="00DB422E" w:rsidRPr="002927A4" w:rsidRDefault="00DB422E" w:rsidP="00DB422E"/>
    <w:p w14:paraId="482EEAFB" w14:textId="77777777" w:rsidR="00DB422E" w:rsidRPr="002927A4" w:rsidRDefault="00DB422E" w:rsidP="00DB422E">
      <w:r>
        <w:rPr>
          <w:noProof/>
        </w:rPr>
        <w:lastRenderedPageBreak/>
        <w:drawing>
          <wp:anchor distT="0" distB="0" distL="114300" distR="114300" simplePos="0" relativeHeight="251704320" behindDoc="0" locked="0" layoutInCell="1" allowOverlap="1" wp14:anchorId="69E37403" wp14:editId="55E69186">
            <wp:simplePos x="0" y="0"/>
            <wp:positionH relativeFrom="margin">
              <wp:align>center</wp:align>
            </wp:positionH>
            <wp:positionV relativeFrom="paragraph">
              <wp:posOffset>198194</wp:posOffset>
            </wp:positionV>
            <wp:extent cx="4497070" cy="2487930"/>
            <wp:effectExtent l="0" t="0" r="17780" b="7620"/>
            <wp:wrapTopAndBottom/>
            <wp:docPr id="133" name="Chart 133">
              <a:extLst xmlns:a="http://schemas.openxmlformats.org/drawingml/2006/main">
                <a:ext uri="{FF2B5EF4-FFF2-40B4-BE49-F238E27FC236}">
                  <a16:creationId xmlns:a16="http://schemas.microsoft.com/office/drawing/2014/main" id="{F62B6D1F-EC29-4CDE-9F11-9BC7F8F9349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8"/>
              </a:graphicData>
            </a:graphic>
            <wp14:sizeRelH relativeFrom="margin">
              <wp14:pctWidth>0</wp14:pctWidth>
            </wp14:sizeRelH>
            <wp14:sizeRelV relativeFrom="margin">
              <wp14:pctHeight>0</wp14:pctHeight>
            </wp14:sizeRelV>
          </wp:anchor>
        </w:drawing>
      </w:r>
    </w:p>
    <w:p w14:paraId="4AF96CE2" w14:textId="0ED1ECA4" w:rsidR="00DB422E" w:rsidRPr="002927A4" w:rsidRDefault="00DB422E" w:rsidP="00DB422E">
      <w:r>
        <w:rPr>
          <w:noProof/>
        </w:rPr>
        <w:drawing>
          <wp:anchor distT="0" distB="0" distL="114300" distR="114300" simplePos="0" relativeHeight="251705344" behindDoc="0" locked="0" layoutInCell="1" allowOverlap="1" wp14:anchorId="096993E1" wp14:editId="57411A23">
            <wp:simplePos x="0" y="0"/>
            <wp:positionH relativeFrom="margin">
              <wp:posOffset>532130</wp:posOffset>
            </wp:positionH>
            <wp:positionV relativeFrom="paragraph">
              <wp:posOffset>2772467</wp:posOffset>
            </wp:positionV>
            <wp:extent cx="4656455" cy="2721610"/>
            <wp:effectExtent l="0" t="0" r="10795" b="2540"/>
            <wp:wrapTopAndBottom/>
            <wp:docPr id="134" name="Chart 134">
              <a:extLst xmlns:a="http://schemas.openxmlformats.org/drawingml/2006/main">
                <a:ext uri="{FF2B5EF4-FFF2-40B4-BE49-F238E27FC236}">
                  <a16:creationId xmlns:a16="http://schemas.microsoft.com/office/drawing/2014/main" id="{19EF0CF8-5240-4616-9497-542A196F1F4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9"/>
              </a:graphicData>
            </a:graphic>
            <wp14:sizeRelH relativeFrom="margin">
              <wp14:pctWidth>0</wp14:pctWidth>
            </wp14:sizeRelH>
            <wp14:sizeRelV relativeFrom="margin">
              <wp14:pctHeight>0</wp14:pctHeight>
            </wp14:sizeRelV>
          </wp:anchor>
        </w:drawing>
      </w:r>
    </w:p>
    <w:p w14:paraId="5DD301CD" w14:textId="266FFD36" w:rsidR="00DB422E" w:rsidRPr="002927A4" w:rsidRDefault="00B551F8" w:rsidP="00DB422E">
      <w:r>
        <w:rPr>
          <w:noProof/>
        </w:rPr>
        <w:drawing>
          <wp:anchor distT="0" distB="0" distL="114300" distR="114300" simplePos="0" relativeHeight="251706368" behindDoc="0" locked="0" layoutInCell="1" allowOverlap="1" wp14:anchorId="62BDA873" wp14:editId="083EA3C4">
            <wp:simplePos x="0" y="0"/>
            <wp:positionH relativeFrom="margin">
              <wp:align>center</wp:align>
            </wp:positionH>
            <wp:positionV relativeFrom="paragraph">
              <wp:posOffset>3137634</wp:posOffset>
            </wp:positionV>
            <wp:extent cx="5292612" cy="2743200"/>
            <wp:effectExtent l="0" t="0" r="3810" b="0"/>
            <wp:wrapTopAndBottom/>
            <wp:docPr id="135" name="Chart 135">
              <a:extLst xmlns:a="http://schemas.openxmlformats.org/drawingml/2006/main">
                <a:ext uri="{FF2B5EF4-FFF2-40B4-BE49-F238E27FC236}">
                  <a16:creationId xmlns:a16="http://schemas.microsoft.com/office/drawing/2014/main" id="{2EA8675E-D301-43B9-A1AC-7EC715472D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0"/>
              </a:graphicData>
            </a:graphic>
          </wp:anchor>
        </w:drawing>
      </w:r>
    </w:p>
    <w:p w14:paraId="30E0B7CC" w14:textId="4DF38F18" w:rsidR="00D4663A" w:rsidRDefault="007D6924" w:rsidP="007D6924">
      <w:r>
        <w:rPr>
          <w:noProof/>
        </w:rPr>
        <w:lastRenderedPageBreak/>
        <w:drawing>
          <wp:anchor distT="0" distB="0" distL="114300" distR="114300" simplePos="0" relativeHeight="251707392" behindDoc="0" locked="0" layoutInCell="1" allowOverlap="1" wp14:anchorId="5428F9A4" wp14:editId="6C9C9456">
            <wp:simplePos x="0" y="0"/>
            <wp:positionH relativeFrom="margin">
              <wp:align>center</wp:align>
            </wp:positionH>
            <wp:positionV relativeFrom="paragraph">
              <wp:posOffset>-57</wp:posOffset>
            </wp:positionV>
            <wp:extent cx="7145020" cy="3252470"/>
            <wp:effectExtent l="0" t="0" r="0" b="5080"/>
            <wp:wrapTopAndBottom/>
            <wp:docPr id="136" name="Picture 13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pic:nvPicPr>
                  <pic:blipFill rotWithShape="1">
                    <a:blip r:embed="rId101">
                      <a:extLst>
                        <a:ext uri="{28A0092B-C50C-407E-A947-70E740481C1C}">
                          <a14:useLocalDpi xmlns:a14="http://schemas.microsoft.com/office/drawing/2010/main" val="0"/>
                        </a:ext>
                      </a:extLst>
                    </a:blip>
                    <a:srcRect t="3457" b="15558"/>
                    <a:stretch/>
                  </pic:blipFill>
                  <pic:spPr bwMode="auto">
                    <a:xfrm>
                      <a:off x="0" y="0"/>
                      <a:ext cx="7145020" cy="32524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54087DF" w14:textId="154EC517" w:rsidR="00DB422E" w:rsidRDefault="00DB422E" w:rsidP="00DB422E">
      <w:pPr>
        <w:jc w:val="center"/>
      </w:pPr>
      <w:r>
        <w:t xml:space="preserve">URL Link: </w:t>
      </w:r>
      <w:hyperlink r:id="rId102" w:history="1">
        <w:r w:rsidRPr="00DC6A04">
          <w:rPr>
            <w:rStyle w:val="Hyperlink"/>
          </w:rPr>
          <w:t>https://padlet.com/jackbalwen251/tyse7jd2t66q5twf</w:t>
        </w:r>
      </w:hyperlink>
    </w:p>
    <w:p w14:paraId="15DC1010" w14:textId="77777777" w:rsidR="007D6924" w:rsidRDefault="007D6924" w:rsidP="007D6924">
      <w:pPr>
        <w:rPr>
          <w:i/>
          <w:iCs/>
        </w:rPr>
      </w:pPr>
    </w:p>
    <w:p w14:paraId="13C55C45" w14:textId="610992BA" w:rsidR="007D6924" w:rsidRDefault="007D6924" w:rsidP="007D6924">
      <w:r w:rsidRPr="00107FFB">
        <w:rPr>
          <w:i/>
          <w:iCs/>
          <w:noProof/>
        </w:rPr>
        <w:drawing>
          <wp:anchor distT="0" distB="0" distL="114300" distR="114300" simplePos="0" relativeHeight="251709440" behindDoc="0" locked="0" layoutInCell="1" allowOverlap="1" wp14:anchorId="40461640" wp14:editId="5BD06FB0">
            <wp:simplePos x="0" y="0"/>
            <wp:positionH relativeFrom="margin">
              <wp:align>center</wp:align>
            </wp:positionH>
            <wp:positionV relativeFrom="paragraph">
              <wp:posOffset>390525</wp:posOffset>
            </wp:positionV>
            <wp:extent cx="6829425" cy="3183890"/>
            <wp:effectExtent l="0" t="0" r="9525" b="0"/>
            <wp:wrapTopAndBottom/>
            <wp:docPr id="137" name="Picture 137"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imeline&#10;&#10;Description automatically generated with medium confidence"/>
                    <pic:cNvPicPr/>
                  </pic:nvPicPr>
                  <pic:blipFill rotWithShape="1">
                    <a:blip r:embed="rId103">
                      <a:extLst>
                        <a:ext uri="{28A0092B-C50C-407E-A947-70E740481C1C}">
                          <a14:useLocalDpi xmlns:a14="http://schemas.microsoft.com/office/drawing/2010/main" val="0"/>
                        </a:ext>
                      </a:extLst>
                    </a:blip>
                    <a:srcRect l="3136" t="3609" b="19469"/>
                    <a:stretch/>
                  </pic:blipFill>
                  <pic:spPr bwMode="auto">
                    <a:xfrm>
                      <a:off x="0" y="0"/>
                      <a:ext cx="6829425" cy="31838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07FFB">
        <w:rPr>
          <w:i/>
          <w:iCs/>
        </w:rPr>
        <w:t xml:space="preserve">Appendix </w:t>
      </w:r>
      <w:r>
        <w:rPr>
          <w:i/>
          <w:iCs/>
        </w:rPr>
        <w:t>F</w:t>
      </w:r>
      <w:r>
        <w:t xml:space="preserve"> – Mind Map results of Open Question 12 </w:t>
      </w:r>
    </w:p>
    <w:p w14:paraId="157180A9" w14:textId="77777777" w:rsidR="007D6924" w:rsidRDefault="007D6924" w:rsidP="007D6924">
      <w:pPr>
        <w:tabs>
          <w:tab w:val="left" w:pos="1523"/>
        </w:tabs>
        <w:jc w:val="center"/>
      </w:pPr>
    </w:p>
    <w:p w14:paraId="3E6192B6" w14:textId="77777777" w:rsidR="007D6924" w:rsidRDefault="007D6924" w:rsidP="007D6924">
      <w:pPr>
        <w:tabs>
          <w:tab w:val="left" w:pos="1523"/>
        </w:tabs>
        <w:jc w:val="center"/>
      </w:pPr>
      <w:r>
        <w:t xml:space="preserve">URL Link: </w:t>
      </w:r>
      <w:hyperlink r:id="rId104" w:history="1">
        <w:r w:rsidRPr="00B42E36">
          <w:rPr>
            <w:rStyle w:val="Hyperlink"/>
          </w:rPr>
          <w:t>https://padlet.com/jackbalwen251/mp6fqkxc02pr09qy</w:t>
        </w:r>
      </w:hyperlink>
    </w:p>
    <w:p w14:paraId="2B2EE4C2" w14:textId="52E29336" w:rsidR="00DB422E" w:rsidRPr="00DB422E" w:rsidRDefault="00DB422E" w:rsidP="00DB422E">
      <w:pPr>
        <w:pStyle w:val="NormalWeb"/>
        <w:shd w:val="clear" w:color="auto" w:fill="FFFFFF"/>
        <w:spacing w:before="0" w:beforeAutospacing="0" w:after="0" w:afterAutospacing="0" w:line="276" w:lineRule="auto"/>
        <w:ind w:left="360"/>
        <w:rPr>
          <w:rFonts w:asciiTheme="minorHAnsi" w:hAnsiTheme="minorHAnsi" w:cstheme="minorHAnsi"/>
          <w:color w:val="000000"/>
        </w:rPr>
      </w:pPr>
    </w:p>
    <w:sectPr w:rsidR="00DB422E" w:rsidRPr="00DB422E" w:rsidSect="00682A65">
      <w:type w:val="continuous"/>
      <w:pgSz w:w="11906" w:h="16838"/>
      <w:pgMar w:top="1440" w:right="1440" w:bottom="1440" w:left="1440" w:header="680" w:footer="68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5BFF6E" w14:textId="77777777" w:rsidR="00E506C4" w:rsidRDefault="00E506C4" w:rsidP="00AB0960">
      <w:pPr>
        <w:spacing w:after="0" w:line="240" w:lineRule="auto"/>
      </w:pPr>
      <w:r>
        <w:separator/>
      </w:r>
    </w:p>
  </w:endnote>
  <w:endnote w:type="continuationSeparator" w:id="0">
    <w:p w14:paraId="4E00C152" w14:textId="77777777" w:rsidR="00E506C4" w:rsidRDefault="00E506C4" w:rsidP="00AB09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22CF32" w14:textId="77777777" w:rsidR="00E506C4" w:rsidRDefault="00E506C4" w:rsidP="00AB0960">
      <w:pPr>
        <w:spacing w:after="0" w:line="240" w:lineRule="auto"/>
      </w:pPr>
      <w:r>
        <w:separator/>
      </w:r>
    </w:p>
  </w:footnote>
  <w:footnote w:type="continuationSeparator" w:id="0">
    <w:p w14:paraId="06443296" w14:textId="77777777" w:rsidR="00E506C4" w:rsidRDefault="00E506C4" w:rsidP="00AB09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9296020"/>
      <w:docPartObj>
        <w:docPartGallery w:val="Page Numbers (Top of Page)"/>
        <w:docPartUnique/>
      </w:docPartObj>
    </w:sdtPr>
    <w:sdtEndPr>
      <w:rPr>
        <w:b/>
        <w:bCs/>
        <w:noProof/>
        <w:color w:val="auto"/>
        <w:spacing w:val="0"/>
      </w:rPr>
    </w:sdtEndPr>
    <w:sdtContent>
      <w:p w14:paraId="1778DDF9" w14:textId="0E507F3C" w:rsidR="00187C4B" w:rsidRDefault="00187C4B">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3503A4A0" w14:textId="77777777" w:rsidR="00AB0960" w:rsidRDefault="00AB09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205EFC"/>
    <w:multiLevelType w:val="hybridMultilevel"/>
    <w:tmpl w:val="E5DCA84C"/>
    <w:lvl w:ilvl="0" w:tplc="A9046F72">
      <w:start w:val="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5B977311"/>
    <w:multiLevelType w:val="hybridMultilevel"/>
    <w:tmpl w:val="5B9AA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50B7965"/>
    <w:multiLevelType w:val="hybridMultilevel"/>
    <w:tmpl w:val="701C40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10628997">
    <w:abstractNumId w:val="2"/>
  </w:num>
  <w:num w:numId="2" w16cid:durableId="1141969883">
    <w:abstractNumId w:val="0"/>
  </w:num>
  <w:num w:numId="3" w16cid:durableId="15138821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169"/>
    <w:rsid w:val="00005ABC"/>
    <w:rsid w:val="00005B15"/>
    <w:rsid w:val="00040F62"/>
    <w:rsid w:val="0004293E"/>
    <w:rsid w:val="00050938"/>
    <w:rsid w:val="0006442A"/>
    <w:rsid w:val="000668B4"/>
    <w:rsid w:val="0007585C"/>
    <w:rsid w:val="00080547"/>
    <w:rsid w:val="00086BC4"/>
    <w:rsid w:val="000A208D"/>
    <w:rsid w:val="000A6528"/>
    <w:rsid w:val="000C2703"/>
    <w:rsid w:val="000C7065"/>
    <w:rsid w:val="000D5B61"/>
    <w:rsid w:val="000E1888"/>
    <w:rsid w:val="000E6AA1"/>
    <w:rsid w:val="00106E93"/>
    <w:rsid w:val="001110AF"/>
    <w:rsid w:val="00116EA2"/>
    <w:rsid w:val="0011784C"/>
    <w:rsid w:val="001354A6"/>
    <w:rsid w:val="00187C4B"/>
    <w:rsid w:val="00187CAF"/>
    <w:rsid w:val="001A61FE"/>
    <w:rsid w:val="001A7C39"/>
    <w:rsid w:val="001B1913"/>
    <w:rsid w:val="001C09C2"/>
    <w:rsid w:val="001C69BB"/>
    <w:rsid w:val="001D5321"/>
    <w:rsid w:val="00223F03"/>
    <w:rsid w:val="00236814"/>
    <w:rsid w:val="00246177"/>
    <w:rsid w:val="00253A2F"/>
    <w:rsid w:val="00266CB2"/>
    <w:rsid w:val="002670A1"/>
    <w:rsid w:val="00273791"/>
    <w:rsid w:val="002A029A"/>
    <w:rsid w:val="002B092D"/>
    <w:rsid w:val="002B1104"/>
    <w:rsid w:val="002E543A"/>
    <w:rsid w:val="002F3004"/>
    <w:rsid w:val="00311BBA"/>
    <w:rsid w:val="00333C2C"/>
    <w:rsid w:val="00340F41"/>
    <w:rsid w:val="0034156A"/>
    <w:rsid w:val="00364AB3"/>
    <w:rsid w:val="003879E4"/>
    <w:rsid w:val="00390757"/>
    <w:rsid w:val="00392A18"/>
    <w:rsid w:val="00395871"/>
    <w:rsid w:val="003970B6"/>
    <w:rsid w:val="003A2882"/>
    <w:rsid w:val="003B3048"/>
    <w:rsid w:val="003C0D2D"/>
    <w:rsid w:val="003D2545"/>
    <w:rsid w:val="003D4E19"/>
    <w:rsid w:val="003F0135"/>
    <w:rsid w:val="003F08DE"/>
    <w:rsid w:val="00416B86"/>
    <w:rsid w:val="004254FD"/>
    <w:rsid w:val="00430909"/>
    <w:rsid w:val="00432230"/>
    <w:rsid w:val="00452E09"/>
    <w:rsid w:val="00474A3D"/>
    <w:rsid w:val="00474FFA"/>
    <w:rsid w:val="00481F3F"/>
    <w:rsid w:val="00497DC7"/>
    <w:rsid w:val="004A0CDB"/>
    <w:rsid w:val="004C24B8"/>
    <w:rsid w:val="004C2FD6"/>
    <w:rsid w:val="004C3A68"/>
    <w:rsid w:val="004D3276"/>
    <w:rsid w:val="004E341D"/>
    <w:rsid w:val="004E54A7"/>
    <w:rsid w:val="004F18FE"/>
    <w:rsid w:val="004F766F"/>
    <w:rsid w:val="00507E2C"/>
    <w:rsid w:val="00516BFD"/>
    <w:rsid w:val="00536FA8"/>
    <w:rsid w:val="005564A1"/>
    <w:rsid w:val="00567BEB"/>
    <w:rsid w:val="00574782"/>
    <w:rsid w:val="00574B92"/>
    <w:rsid w:val="00574DB9"/>
    <w:rsid w:val="00584412"/>
    <w:rsid w:val="005A0C9E"/>
    <w:rsid w:val="005B4A7B"/>
    <w:rsid w:val="005D7B67"/>
    <w:rsid w:val="0060218F"/>
    <w:rsid w:val="00615478"/>
    <w:rsid w:val="0062223F"/>
    <w:rsid w:val="00654B2F"/>
    <w:rsid w:val="00654D97"/>
    <w:rsid w:val="0067038B"/>
    <w:rsid w:val="00672AB6"/>
    <w:rsid w:val="006806D9"/>
    <w:rsid w:val="00682896"/>
    <w:rsid w:val="00682A65"/>
    <w:rsid w:val="006856F5"/>
    <w:rsid w:val="00685CBE"/>
    <w:rsid w:val="00693BFB"/>
    <w:rsid w:val="006A17C6"/>
    <w:rsid w:val="006A6B0E"/>
    <w:rsid w:val="006B0E6B"/>
    <w:rsid w:val="006B19EF"/>
    <w:rsid w:val="006D3F16"/>
    <w:rsid w:val="006F1594"/>
    <w:rsid w:val="007047DC"/>
    <w:rsid w:val="0072316A"/>
    <w:rsid w:val="007343D1"/>
    <w:rsid w:val="0073473E"/>
    <w:rsid w:val="00737A3E"/>
    <w:rsid w:val="00753D17"/>
    <w:rsid w:val="00762265"/>
    <w:rsid w:val="00787B74"/>
    <w:rsid w:val="007A1AC2"/>
    <w:rsid w:val="007D4256"/>
    <w:rsid w:val="007D6924"/>
    <w:rsid w:val="007E78A4"/>
    <w:rsid w:val="007F2925"/>
    <w:rsid w:val="008052E0"/>
    <w:rsid w:val="00815209"/>
    <w:rsid w:val="00820A7A"/>
    <w:rsid w:val="00830F55"/>
    <w:rsid w:val="00846056"/>
    <w:rsid w:val="00851D48"/>
    <w:rsid w:val="008745BE"/>
    <w:rsid w:val="008820C2"/>
    <w:rsid w:val="00886AA7"/>
    <w:rsid w:val="00887DD0"/>
    <w:rsid w:val="00894A28"/>
    <w:rsid w:val="00894BF2"/>
    <w:rsid w:val="008B6AEE"/>
    <w:rsid w:val="008C347C"/>
    <w:rsid w:val="008C5790"/>
    <w:rsid w:val="008D4BF7"/>
    <w:rsid w:val="008D64E7"/>
    <w:rsid w:val="00902A46"/>
    <w:rsid w:val="00903747"/>
    <w:rsid w:val="00912EE2"/>
    <w:rsid w:val="009226F9"/>
    <w:rsid w:val="00927B3D"/>
    <w:rsid w:val="009341B7"/>
    <w:rsid w:val="0094461B"/>
    <w:rsid w:val="00965F1E"/>
    <w:rsid w:val="00976D37"/>
    <w:rsid w:val="009800FE"/>
    <w:rsid w:val="00980287"/>
    <w:rsid w:val="00986CC6"/>
    <w:rsid w:val="00987F87"/>
    <w:rsid w:val="00995D44"/>
    <w:rsid w:val="00997D31"/>
    <w:rsid w:val="009A5C51"/>
    <w:rsid w:val="009B0009"/>
    <w:rsid w:val="009B4699"/>
    <w:rsid w:val="009C1E78"/>
    <w:rsid w:val="009C6F03"/>
    <w:rsid w:val="009C7C8B"/>
    <w:rsid w:val="009D2777"/>
    <w:rsid w:val="009E2F41"/>
    <w:rsid w:val="009E49D3"/>
    <w:rsid w:val="00A30D1C"/>
    <w:rsid w:val="00A82ECF"/>
    <w:rsid w:val="00A85C5B"/>
    <w:rsid w:val="00AA1AE2"/>
    <w:rsid w:val="00AA21EE"/>
    <w:rsid w:val="00AA61EC"/>
    <w:rsid w:val="00AB0960"/>
    <w:rsid w:val="00AB0FEE"/>
    <w:rsid w:val="00AC2B67"/>
    <w:rsid w:val="00AC6E6D"/>
    <w:rsid w:val="00AC75D4"/>
    <w:rsid w:val="00AE3F5F"/>
    <w:rsid w:val="00AF17A5"/>
    <w:rsid w:val="00AF2B2E"/>
    <w:rsid w:val="00AF3E9A"/>
    <w:rsid w:val="00AF41F2"/>
    <w:rsid w:val="00AF5A63"/>
    <w:rsid w:val="00B04903"/>
    <w:rsid w:val="00B4229E"/>
    <w:rsid w:val="00B551F8"/>
    <w:rsid w:val="00B5601A"/>
    <w:rsid w:val="00B7781D"/>
    <w:rsid w:val="00B82FC4"/>
    <w:rsid w:val="00BA338B"/>
    <w:rsid w:val="00BA4018"/>
    <w:rsid w:val="00BE5C9D"/>
    <w:rsid w:val="00BE7643"/>
    <w:rsid w:val="00C040CF"/>
    <w:rsid w:val="00C14832"/>
    <w:rsid w:val="00C21E84"/>
    <w:rsid w:val="00C4425D"/>
    <w:rsid w:val="00C67906"/>
    <w:rsid w:val="00C7022E"/>
    <w:rsid w:val="00C95104"/>
    <w:rsid w:val="00CE1D25"/>
    <w:rsid w:val="00CE36BA"/>
    <w:rsid w:val="00CF01E3"/>
    <w:rsid w:val="00D04225"/>
    <w:rsid w:val="00D179D4"/>
    <w:rsid w:val="00D20BCC"/>
    <w:rsid w:val="00D4663A"/>
    <w:rsid w:val="00D5159E"/>
    <w:rsid w:val="00D54303"/>
    <w:rsid w:val="00D54F29"/>
    <w:rsid w:val="00D618F8"/>
    <w:rsid w:val="00D67743"/>
    <w:rsid w:val="00D85527"/>
    <w:rsid w:val="00DA3528"/>
    <w:rsid w:val="00DB3C2F"/>
    <w:rsid w:val="00DB422E"/>
    <w:rsid w:val="00DC1D52"/>
    <w:rsid w:val="00DC6826"/>
    <w:rsid w:val="00DD0461"/>
    <w:rsid w:val="00DE2E5C"/>
    <w:rsid w:val="00DF0A1D"/>
    <w:rsid w:val="00E0668D"/>
    <w:rsid w:val="00E12169"/>
    <w:rsid w:val="00E227B0"/>
    <w:rsid w:val="00E255FC"/>
    <w:rsid w:val="00E27490"/>
    <w:rsid w:val="00E37CDB"/>
    <w:rsid w:val="00E506C4"/>
    <w:rsid w:val="00E57634"/>
    <w:rsid w:val="00E632D5"/>
    <w:rsid w:val="00E64385"/>
    <w:rsid w:val="00E74E1E"/>
    <w:rsid w:val="00E85C99"/>
    <w:rsid w:val="00EA3757"/>
    <w:rsid w:val="00EA5986"/>
    <w:rsid w:val="00EB0F2D"/>
    <w:rsid w:val="00EE4076"/>
    <w:rsid w:val="00EF475C"/>
    <w:rsid w:val="00F00D48"/>
    <w:rsid w:val="00F01ECF"/>
    <w:rsid w:val="00F13F17"/>
    <w:rsid w:val="00F151C0"/>
    <w:rsid w:val="00F25394"/>
    <w:rsid w:val="00F25510"/>
    <w:rsid w:val="00F25C7D"/>
    <w:rsid w:val="00F327ED"/>
    <w:rsid w:val="00F35475"/>
    <w:rsid w:val="00F43101"/>
    <w:rsid w:val="00F45449"/>
    <w:rsid w:val="00F51823"/>
    <w:rsid w:val="00F57B05"/>
    <w:rsid w:val="00F725EE"/>
    <w:rsid w:val="00F976AF"/>
    <w:rsid w:val="00FA3A3E"/>
    <w:rsid w:val="00FA5B91"/>
    <w:rsid w:val="00FC325F"/>
    <w:rsid w:val="00FC4D35"/>
    <w:rsid w:val="00FD0883"/>
    <w:rsid w:val="00FE5CC9"/>
    <w:rsid w:val="00FF30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88F1D7"/>
  <w15:chartTrackingRefBased/>
  <w15:docId w15:val="{0CF24412-30CC-4C01-8F7D-363B7B8F4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4F29"/>
    <w:pPr>
      <w:ind w:left="720"/>
      <w:contextualSpacing/>
    </w:pPr>
  </w:style>
  <w:style w:type="table" w:styleId="TableGrid">
    <w:name w:val="Table Grid"/>
    <w:basedOn w:val="TableNormal"/>
    <w:uiPriority w:val="39"/>
    <w:rsid w:val="00040F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F51823"/>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F518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Emphasis">
    <w:name w:val="Emphasis"/>
    <w:basedOn w:val="DefaultParagraphFont"/>
    <w:uiPriority w:val="20"/>
    <w:qFormat/>
    <w:rsid w:val="00903747"/>
    <w:rPr>
      <w:i/>
      <w:iCs/>
    </w:rPr>
  </w:style>
  <w:style w:type="paragraph" w:styleId="NoSpacing">
    <w:name w:val="No Spacing"/>
    <w:link w:val="NoSpacingChar"/>
    <w:uiPriority w:val="1"/>
    <w:qFormat/>
    <w:rsid w:val="00536FA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36FA8"/>
    <w:rPr>
      <w:rFonts w:eastAsiaTheme="minorEastAsia"/>
      <w:lang w:val="en-US"/>
    </w:rPr>
  </w:style>
  <w:style w:type="paragraph" w:styleId="Header">
    <w:name w:val="header"/>
    <w:basedOn w:val="Normal"/>
    <w:link w:val="HeaderChar"/>
    <w:uiPriority w:val="99"/>
    <w:unhideWhenUsed/>
    <w:rsid w:val="00AB09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0960"/>
  </w:style>
  <w:style w:type="paragraph" w:styleId="Footer">
    <w:name w:val="footer"/>
    <w:basedOn w:val="Normal"/>
    <w:link w:val="FooterChar"/>
    <w:uiPriority w:val="99"/>
    <w:unhideWhenUsed/>
    <w:rsid w:val="00AB09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0960"/>
  </w:style>
  <w:style w:type="paragraph" w:styleId="NormalWeb">
    <w:name w:val="Normal (Web)"/>
    <w:basedOn w:val="Normal"/>
    <w:uiPriority w:val="99"/>
    <w:unhideWhenUsed/>
    <w:rsid w:val="00B7781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7781D"/>
    <w:rPr>
      <w:color w:val="0563C1" w:themeColor="hyperlink"/>
      <w:u w:val="single"/>
    </w:rPr>
  </w:style>
  <w:style w:type="character" w:styleId="UnresolvedMention">
    <w:name w:val="Unresolved Mention"/>
    <w:basedOn w:val="DefaultParagraphFont"/>
    <w:uiPriority w:val="99"/>
    <w:semiHidden/>
    <w:unhideWhenUsed/>
    <w:rsid w:val="00B778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822227">
      <w:bodyDiv w:val="1"/>
      <w:marLeft w:val="0"/>
      <w:marRight w:val="0"/>
      <w:marTop w:val="0"/>
      <w:marBottom w:val="0"/>
      <w:divBdr>
        <w:top w:val="none" w:sz="0" w:space="0" w:color="auto"/>
        <w:left w:val="none" w:sz="0" w:space="0" w:color="auto"/>
        <w:bottom w:val="none" w:sz="0" w:space="0" w:color="auto"/>
        <w:right w:val="none" w:sz="0" w:space="0" w:color="auto"/>
      </w:divBdr>
    </w:div>
    <w:div w:id="578565779">
      <w:bodyDiv w:val="1"/>
      <w:marLeft w:val="0"/>
      <w:marRight w:val="0"/>
      <w:marTop w:val="0"/>
      <w:marBottom w:val="0"/>
      <w:divBdr>
        <w:top w:val="none" w:sz="0" w:space="0" w:color="auto"/>
        <w:left w:val="none" w:sz="0" w:space="0" w:color="auto"/>
        <w:bottom w:val="none" w:sz="0" w:space="0" w:color="auto"/>
        <w:right w:val="none" w:sz="0" w:space="0" w:color="auto"/>
      </w:divBdr>
    </w:div>
    <w:div w:id="718826953">
      <w:bodyDiv w:val="1"/>
      <w:marLeft w:val="0"/>
      <w:marRight w:val="0"/>
      <w:marTop w:val="0"/>
      <w:marBottom w:val="0"/>
      <w:divBdr>
        <w:top w:val="none" w:sz="0" w:space="0" w:color="auto"/>
        <w:left w:val="none" w:sz="0" w:space="0" w:color="auto"/>
        <w:bottom w:val="none" w:sz="0" w:space="0" w:color="auto"/>
        <w:right w:val="none" w:sz="0" w:space="0" w:color="auto"/>
      </w:divBdr>
    </w:div>
    <w:div w:id="914238358">
      <w:bodyDiv w:val="1"/>
      <w:marLeft w:val="0"/>
      <w:marRight w:val="0"/>
      <w:marTop w:val="0"/>
      <w:marBottom w:val="0"/>
      <w:divBdr>
        <w:top w:val="none" w:sz="0" w:space="0" w:color="auto"/>
        <w:left w:val="none" w:sz="0" w:space="0" w:color="auto"/>
        <w:bottom w:val="none" w:sz="0" w:space="0" w:color="auto"/>
        <w:right w:val="none" w:sz="0" w:space="0" w:color="auto"/>
      </w:divBdr>
    </w:div>
    <w:div w:id="1190950239">
      <w:bodyDiv w:val="1"/>
      <w:marLeft w:val="0"/>
      <w:marRight w:val="0"/>
      <w:marTop w:val="0"/>
      <w:marBottom w:val="0"/>
      <w:divBdr>
        <w:top w:val="none" w:sz="0" w:space="0" w:color="auto"/>
        <w:left w:val="none" w:sz="0" w:space="0" w:color="auto"/>
        <w:bottom w:val="none" w:sz="0" w:space="0" w:color="auto"/>
        <w:right w:val="none" w:sz="0" w:space="0" w:color="auto"/>
      </w:divBdr>
    </w:div>
    <w:div w:id="1825390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asbhelp.co.uk/wp-content/uploads/2014/11/ASB-Help-Report-Effective-Support-November-2014.pdf" TargetMode="External"/><Relationship Id="rId21" Type="http://schemas.openxmlformats.org/officeDocument/2006/relationships/image" Target="media/image7.png"/><Relationship Id="rId42" Type="http://schemas.openxmlformats.org/officeDocument/2006/relationships/hyperlink" Target="https://www.dyfed-powys.police.uk/news/dyfed-powys/news/2021/march-2021/antisocial-behaviour-the-seemingly-minor-issues-that-can-have-devastating-effects-on-communities/" TargetMode="External"/><Relationship Id="rId47" Type="http://schemas.openxmlformats.org/officeDocument/2006/relationships/hyperlink" Target="https://core.ac.uk/download/pdf/56362402.pdf" TargetMode="External"/><Relationship Id="rId63" Type="http://schemas.openxmlformats.org/officeDocument/2006/relationships/hyperlink" Target="https://lawenforcementactionpartnership.org/peel-policing-principles/" TargetMode="External"/><Relationship Id="rId68" Type="http://schemas.openxmlformats.org/officeDocument/2006/relationships/hyperlink" Target="https://www.microsoft.com/en-us/microsoft-365/excel" TargetMode="External"/><Relationship Id="rId84" Type="http://schemas.openxmlformats.org/officeDocument/2006/relationships/hyperlink" Target="https://www.ncjrs.gov/ovc_archives/ncvrw/2005/pg4c.html" TargetMode="External"/><Relationship Id="rId89" Type="http://schemas.openxmlformats.org/officeDocument/2006/relationships/image" Target="media/image12.png"/><Relationship Id="rId7" Type="http://schemas.openxmlformats.org/officeDocument/2006/relationships/endnotes" Target="endnotes.xml"/><Relationship Id="rId71" Type="http://schemas.openxmlformats.org/officeDocument/2006/relationships/hyperlink" Target="https://www.nhs.uk/mental-health/conditions/antisocial-personality-disorder/" TargetMode="External"/><Relationship Id="rId92" Type="http://schemas.openxmlformats.org/officeDocument/2006/relationships/image" Target="media/image15.png"/><Relationship Id="rId2" Type="http://schemas.openxmlformats.org/officeDocument/2006/relationships/numbering" Target="numbering.xml"/><Relationship Id="rId16" Type="http://schemas.openxmlformats.org/officeDocument/2006/relationships/chart" Target="charts/chart2.xml"/><Relationship Id="rId29" Type="http://schemas.openxmlformats.org/officeDocument/2006/relationships/hyperlink" Target="http://www.bristol.ac.uk/staff/researchers/data/dealing-with-sensitive-data/" TargetMode="External"/><Relationship Id="rId107" Type="http://schemas.openxmlformats.org/officeDocument/2006/relationships/theme" Target="theme/theme1.xml"/><Relationship Id="rId11" Type="http://schemas.openxmlformats.org/officeDocument/2006/relationships/header" Target="header1.xml"/><Relationship Id="rId24" Type="http://schemas.openxmlformats.org/officeDocument/2006/relationships/hyperlink" Target="https://aceawarewales.com/knowledge-base-1/" TargetMode="External"/><Relationship Id="rId32" Type="http://schemas.openxmlformats.org/officeDocument/2006/relationships/hyperlink" Target="https://www.centerforchildcounseling.org/programs/fightingaces/" TargetMode="External"/><Relationship Id="rId37" Type="http://schemas.openxmlformats.org/officeDocument/2006/relationships/hyperlink" Target="https://www.justiceinspectorates.gov.uk/hmicfrs/our-work/article/hate-crime/" TargetMode="External"/><Relationship Id="rId40" Type="http://schemas.openxmlformats.org/officeDocument/2006/relationships/hyperlink" Target="https://research-methodology.net/research-philosophy/interpretivism/" TargetMode="External"/><Relationship Id="rId45" Type="http://schemas.openxmlformats.org/officeDocument/2006/relationships/hyperlink" Target="https://deborahgabriel.com/2013/03/17/inductive-and-deductive-approaches-to-research/" TargetMode="External"/><Relationship Id="rId53" Type="http://schemas.openxmlformats.org/officeDocument/2006/relationships/hyperlink" Target="https://assets.publishing.service.gov.uk/government/uploads/system/uploads/attachment_data/file/210685/asb-consultation-document.pdf" TargetMode="External"/><Relationship Id="rId58" Type="http://schemas.openxmlformats.org/officeDocument/2006/relationships/hyperlink" Target="https://www.legislation.gov.uk/ukpga/2003/38/contents" TargetMode="External"/><Relationship Id="rId66" Type="http://schemas.openxmlformats.org/officeDocument/2006/relationships/hyperlink" Target="https://www.disabilityrightsuk.org/about-us/ourteam/smt" TargetMode="External"/><Relationship Id="rId74" Type="http://schemas.openxmlformats.org/officeDocument/2006/relationships/hyperlink" Target="https://www.ons.gov.uk/peoplepopulationandcommunity/crimeandjustice/adhocs/007254csewperceptionandasbdatabypoliceforceareayearendingmarch2017" TargetMode="External"/><Relationship Id="rId79" Type="http://schemas.openxmlformats.org/officeDocument/2006/relationships/hyperlink" Target="https://www.statista.com/statistics/298637/united-kingdom-uk-public-sector-expenditure-police-services/" TargetMode="External"/><Relationship Id="rId87" Type="http://schemas.openxmlformats.org/officeDocument/2006/relationships/image" Target="media/image10.png"/><Relationship Id="rId102" Type="http://schemas.openxmlformats.org/officeDocument/2006/relationships/hyperlink" Target="https://padlet.com/jackbalwen251/tyse7jd2t66q5twf" TargetMode="External"/><Relationship Id="rId5" Type="http://schemas.openxmlformats.org/officeDocument/2006/relationships/webSettings" Target="webSettings.xml"/><Relationship Id="rId61" Type="http://schemas.openxmlformats.org/officeDocument/2006/relationships/hyperlink" Target="https://www.grin.com/document/280648" TargetMode="External"/><Relationship Id="rId82" Type="http://schemas.openxmlformats.org/officeDocument/2006/relationships/hyperlink" Target="https://academicguides.waldenu.edu/writingcenter/assignments/literaturereview/matrix" TargetMode="External"/><Relationship Id="rId90" Type="http://schemas.openxmlformats.org/officeDocument/2006/relationships/image" Target="media/image13.png"/><Relationship Id="rId95" Type="http://schemas.openxmlformats.org/officeDocument/2006/relationships/image" Target="media/image18.png"/><Relationship Id="rId19" Type="http://schemas.openxmlformats.org/officeDocument/2006/relationships/chart" Target="charts/chart3.xml"/><Relationship Id="rId14" Type="http://schemas.microsoft.com/office/2014/relationships/chartEx" Target="charts/chartEx1.xml"/><Relationship Id="rId22" Type="http://schemas.openxmlformats.org/officeDocument/2006/relationships/chart" Target="charts/chart4.xml"/><Relationship Id="rId27" Type="http://schemas.openxmlformats.org/officeDocument/2006/relationships/hyperlink" Target="https://bmcmedresmethodol.biomedcentral.com/articles/10.1186/s12874-018-0594" TargetMode="External"/><Relationship Id="rId30" Type="http://schemas.openxmlformats.org/officeDocument/2006/relationships/hyperlink" Target="https://research-methodology.net/research-philosophy/positivism/" TargetMode="External"/><Relationship Id="rId35" Type="http://schemas.openxmlformats.org/officeDocument/2006/relationships/hyperlink" Target="https://whatworks.college.police.uk/toolkit/Pages/Intervention.aspx?InterventionID=1" TargetMode="External"/><Relationship Id="rId43" Type="http://schemas.openxmlformats.org/officeDocument/2006/relationships/hyperlink" Target="https://www.dyfedpowys-pcc.org.uk/en/news/press-releases/grant-scheme-opens-to-support-those-impacted-by-adverse-childhood-experiences-aces/" TargetMode="External"/><Relationship Id="rId48" Type="http://schemas.openxmlformats.org/officeDocument/2006/relationships/hyperlink" Target="https://uk.linkedin.com/in/darren-goddard-46456468" TargetMode="External"/><Relationship Id="rId56" Type="http://schemas.openxmlformats.org/officeDocument/2006/relationships/hyperlink" Target="https://www.ethnicity-facts-figures.service.gov.uk/crime-justice-and-the-law/crime-and-reoffending/victims-of-crime/latest" TargetMode="External"/><Relationship Id="rId64" Type="http://schemas.openxmlformats.org/officeDocument/2006/relationships/hyperlink" Target="https://www.history.com/news/born-criminal-theory-criminology" TargetMode="External"/><Relationship Id="rId69" Type="http://schemas.openxmlformats.org/officeDocument/2006/relationships/hyperlink" Target="https://www.scribbr.com/citing-sources/primary-and-secondary-sources/" TargetMode="External"/><Relationship Id="rId77" Type="http://schemas.openxmlformats.org/officeDocument/2006/relationships/hyperlink" Target="https://www.surveymonkey.co.uk/curiosity/open-response-question-types/" TargetMode="External"/><Relationship Id="rId100" Type="http://schemas.openxmlformats.org/officeDocument/2006/relationships/chart" Target="charts/chart10.xml"/><Relationship Id="rId105"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eprints.hud.ac.uk/9209/" TargetMode="External"/><Relationship Id="rId72" Type="http://schemas.openxmlformats.org/officeDocument/2006/relationships/hyperlink" Target="http://www.healthscotland.scot/population-groups/children/adverse-childhood-experiences-aces/overview-of-aces" TargetMode="External"/><Relationship Id="rId80" Type="http://schemas.openxmlformats.org/officeDocument/2006/relationships/hyperlink" Target="https://myheartsisters.org/2018/10/07/ace-test-adverse-childhood-experiences/" TargetMode="External"/><Relationship Id="rId85" Type="http://schemas.openxmlformats.org/officeDocument/2006/relationships/image" Target="media/image8.png"/><Relationship Id="rId93" Type="http://schemas.openxmlformats.org/officeDocument/2006/relationships/image" Target="media/image16.png"/><Relationship Id="rId98" Type="http://schemas.openxmlformats.org/officeDocument/2006/relationships/chart" Target="charts/chart8.xml"/><Relationship Id="rId3" Type="http://schemas.openxmlformats.org/officeDocument/2006/relationships/styles" Target="styles.xml"/><Relationship Id="rId12" Type="http://schemas.openxmlformats.org/officeDocument/2006/relationships/image" Target="media/image4.jpeg"/><Relationship Id="rId17" Type="http://schemas.microsoft.com/office/2014/relationships/chartEx" Target="charts/chartEx2.xml"/><Relationship Id="rId25" Type="http://schemas.openxmlformats.org/officeDocument/2006/relationships/hyperlink" Target="https://www.walesonline.co.uk/news/uk-news/how-much-costs-nhs-you-17677461" TargetMode="External"/><Relationship Id="rId33" Type="http://schemas.openxmlformats.org/officeDocument/2006/relationships/hyperlink" Target="https://www.smartsurvey.co.uk/blog/the-pros-and-cons%20of-using-open-ended-questions" TargetMode="External"/><Relationship Id="rId38" Type="http://schemas.openxmlformats.org/officeDocument/2006/relationships/hyperlink" Target="https://www.ourwatch.org.uk/crime-prevention/crime-prevention/crime-map" TargetMode="External"/><Relationship Id="rId46" Type="http://schemas.openxmlformats.org/officeDocument/2006/relationships/hyperlink" Target="https://www.alcoholrehabguide.org/alcohol/crimes/" TargetMode="External"/><Relationship Id="rId59" Type="http://schemas.openxmlformats.org/officeDocument/2006/relationships/hyperlink" Target="https://assets.publishing.service.gov.uk/government/uploads/system/uploads/attachment_data/file/732110/the-economic-and-social-costs-of-crime-horr99.pdf" TargetMode="External"/><Relationship Id="rId67" Type="http://schemas.openxmlformats.org/officeDocument/2006/relationships/hyperlink" Target="https://www.met.police.uk/sd/stats-and-data/met/crime-type-definitions/" TargetMode="External"/><Relationship Id="rId103" Type="http://schemas.openxmlformats.org/officeDocument/2006/relationships/image" Target="media/image20.png"/><Relationship Id="rId20" Type="http://schemas.microsoft.com/office/2014/relationships/chartEx" Target="charts/chartEx3.xml"/><Relationship Id="rId41" Type="http://schemas.openxmlformats.org/officeDocument/2006/relationships/hyperlink" Target="https://www.dyfed-powys.police.uk/police-forces/dyfed-powys-police/areas/about-us/about-us/our-priorities-and-progress/" TargetMode="External"/><Relationship Id="rId54" Type="http://schemas.openxmlformats.org/officeDocument/2006/relationships/hyperlink" Target="https://www.gov.uk/rights-disabled-person/police" TargetMode="External"/><Relationship Id="rId62" Type="http://schemas.openxmlformats.org/officeDocument/2006/relationships/hyperlink" Target="https://repository.ihu.edu.gr/xmlui/handle/11544/29896" TargetMode="External"/><Relationship Id="rId70" Type="http://schemas.openxmlformats.org/officeDocument/2006/relationships/hyperlink" Target="https://www.independent.co.uk/news/uk/crime/pilkington-deaths-could-happen-again-because-police-failure-8543040.html" TargetMode="External"/><Relationship Id="rId75" Type="http://schemas.openxmlformats.org/officeDocument/2006/relationships/hyperlink" Target="https://www.ons.gov.uk/peoplepopulationandcommunity/crimeandjustice/datasets/crimeinenglandandwalescoronavirusandcrimetables" TargetMode="External"/><Relationship Id="rId83" Type="http://schemas.openxmlformats.org/officeDocument/2006/relationships/hyperlink" Target="http://library.npia.police.uk/docs/hordsolr/rdsolr2106.pdf" TargetMode="External"/><Relationship Id="rId88" Type="http://schemas.openxmlformats.org/officeDocument/2006/relationships/image" Target="media/image11.png"/><Relationship Id="rId91" Type="http://schemas.openxmlformats.org/officeDocument/2006/relationships/image" Target="media/image14.png"/><Relationship Id="rId96" Type="http://schemas.openxmlformats.org/officeDocument/2006/relationships/chart" Target="charts/chart6.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chart" Target="charts/chart5.xml"/><Relationship Id="rId28" Type="http://schemas.openxmlformats.org/officeDocument/2006/relationships/hyperlink" Target="https://www.britannica.com/biography/William-Sheldon" TargetMode="External"/><Relationship Id="rId36" Type="http://schemas.openxmlformats.org/officeDocument/2006/relationships/hyperlink" Target="https://www.justiceinspectorates.gov.uk/hmicfrs/our-work/article/hate-crime/" TargetMode="External"/><Relationship Id="rId49" Type="http://schemas.openxmlformats.org/officeDocument/2006/relationships/hyperlink" Target="https://elischolar.library.yale.edu/cgi/viewcontent.cgi?article=1047&amp;context=yurj" TargetMode="External"/><Relationship Id="rId57" Type="http://schemas.openxmlformats.org/officeDocument/2006/relationships/hyperlink" Target="https://www.legislation.gov.uk/ukpga/1998/37/contents" TargetMode="External"/><Relationship Id="rId106" Type="http://schemas.openxmlformats.org/officeDocument/2006/relationships/glossaryDocument" Target="glossary/document.xml"/><Relationship Id="rId10" Type="http://schemas.openxmlformats.org/officeDocument/2006/relationships/image" Target="media/image3.png"/><Relationship Id="rId31" Type="http://schemas.openxmlformats.org/officeDocument/2006/relationships/hyperlink" Target="https://scientificinquiryinsocialwork.pressbooks.com/chapter/6-3-inductive-and-deductive-reasoning/" TargetMode="External"/><Relationship Id="rId44" Type="http://schemas.openxmlformats.org/officeDocument/2006/relationships/hyperlink" Target="https://www.jstor.org/stable/1147454" TargetMode="External"/><Relationship Id="rId52" Type="http://schemas.openxmlformats.org/officeDocument/2006/relationships/hyperlink" Target="https://www.legislation.gov.uk/ukpga/1998/37" TargetMode="External"/><Relationship Id="rId60" Type="http://schemas.openxmlformats.org/officeDocument/2006/relationships/hyperlink" Target="https://www.ukcrimestats.com/Police_Force/Dyfed-Powys_Police" TargetMode="External"/><Relationship Id="rId65" Type="http://schemas.openxmlformats.org/officeDocument/2006/relationships/hyperlink" Target="https://heinonline.org/HOL/LandingPage?handle=hein.journals/jclc5&amp;div=24&amp;id=&amp;page=" TargetMode="External"/><Relationship Id="rId73" Type="http://schemas.openxmlformats.org/officeDocument/2006/relationships/hyperlink" Target="https://learning.nspcc.org.uk/safeguarding-child-protection/early-help-early-intervention" TargetMode="External"/><Relationship Id="rId78" Type="http://schemas.openxmlformats.org/officeDocument/2006/relationships/hyperlink" Target="https://explorable.com/advantages-and-disadvantages-of-surveys" TargetMode="External"/><Relationship Id="rId81" Type="http://schemas.openxmlformats.org/officeDocument/2006/relationships/hyperlink" Target="https://www.victimsupport.org.uk/category/2021/" TargetMode="External"/><Relationship Id="rId86" Type="http://schemas.openxmlformats.org/officeDocument/2006/relationships/image" Target="media/image9.png"/><Relationship Id="rId94" Type="http://schemas.openxmlformats.org/officeDocument/2006/relationships/image" Target="media/image17.png"/><Relationship Id="rId99" Type="http://schemas.openxmlformats.org/officeDocument/2006/relationships/chart" Target="charts/chart9.xml"/><Relationship Id="rId101" Type="http://schemas.openxmlformats.org/officeDocument/2006/relationships/image" Target="media/image19.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chart" Target="charts/chart1.xml"/><Relationship Id="rId18" Type="http://schemas.openxmlformats.org/officeDocument/2006/relationships/image" Target="media/image6.png"/><Relationship Id="rId39" Type="http://schemas.openxmlformats.org/officeDocument/2006/relationships/hyperlink" Target="https://www.leicestermercury.co.uk/news/local-news/leicestershire-police-how-things-changed-669880" TargetMode="External"/><Relationship Id="rId34" Type="http://schemas.openxmlformats.org/officeDocument/2006/relationships/hyperlink" Target="https://www.learn.college.police.uk/coursecontent/39649/assets/pdf/JoDavies_transcript.pdf" TargetMode="External"/><Relationship Id="rId50" Type="http://schemas.openxmlformats.org/officeDocument/2006/relationships/hyperlink" Target="https://www.harrogate.gov.uk/downloads/file/36/reducing-the-impact-of-anti-social-behaviour" TargetMode="External"/><Relationship Id="rId55" Type="http://schemas.openxmlformats.org/officeDocument/2006/relationships/hyperlink" Target="https://www.legislation.gov.uk/ukpga/2014/12/contents/enacted" TargetMode="External"/><Relationship Id="rId76" Type="http://schemas.openxmlformats.org/officeDocument/2006/relationships/hyperlink" Target="https://www.oxfordreference.com/view/10.1093/oi/authority.20110803100153801" TargetMode="External"/><Relationship Id="rId97" Type="http://schemas.openxmlformats.org/officeDocument/2006/relationships/chart" Target="charts/chart7.xml"/><Relationship Id="rId104" Type="http://schemas.openxmlformats.org/officeDocument/2006/relationships/hyperlink" Target="https://padlet.com/jackbalwen251/mp6fqkxc02pr09qy"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Jack\Documents\Uni%20Work\Dissertation\Main%20Doc\Remaining%20Graph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Jack\Documents\Uni%20Work\Dissertation\Main%20Doc\Graphs.xlsx" TargetMode="External"/><Relationship Id="rId2" Type="http://schemas.microsoft.com/office/2011/relationships/chartColorStyle" Target="colors3.xml"/><Relationship Id="rId1" Type="http://schemas.microsoft.com/office/2011/relationships/chartStyle" Target="style3.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Jack\Documents\Uni%20Work\Dissertation\Main%20Doc\Graphs.xlsx" TargetMode="External"/><Relationship Id="rId2" Type="http://schemas.microsoft.com/office/2011/relationships/chartColorStyle" Target="colors5.xml"/><Relationship Id="rId1" Type="http://schemas.microsoft.com/office/2011/relationships/chartStyle" Target="style5.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Jack\Documents\Uni%20Work\Dissertation\Main%20Doc\Remaining%20Graphs.xlsx" TargetMode="External"/><Relationship Id="rId2" Type="http://schemas.microsoft.com/office/2011/relationships/chartColorStyle" Target="colors7.xml"/><Relationship Id="rId1" Type="http://schemas.microsoft.com/office/2011/relationships/chartStyle" Target="style7.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Jack\Documents\Uni%20Work\Dissertation\Main%20Doc\Graphs.xlsx" TargetMode="External"/><Relationship Id="rId2" Type="http://schemas.microsoft.com/office/2011/relationships/chartColorStyle" Target="colors8.xml"/><Relationship Id="rId1" Type="http://schemas.microsoft.com/office/2011/relationships/chartStyle" Target="style8.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Jack\Documents\Uni%20Work\Dissertation\Main%20Doc\Remaining%20Graphs.xlsx" TargetMode="External"/><Relationship Id="rId2" Type="http://schemas.microsoft.com/office/2011/relationships/chartColorStyle" Target="colors9.xml"/><Relationship Id="rId1" Type="http://schemas.microsoft.com/office/2011/relationships/chartStyle" Target="style9.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Jack\Documents\Uni%20Work\Dissertation\Main%20Doc\Remaining%20Graphs.xlsx" TargetMode="External"/><Relationship Id="rId2" Type="http://schemas.microsoft.com/office/2011/relationships/chartColorStyle" Target="colors10.xml"/><Relationship Id="rId1" Type="http://schemas.microsoft.com/office/2011/relationships/chartStyle" Target="style10.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Jack\Documents\Uni%20Work\Dissertation\Main%20Doc\Remaining%20Graphs.xlsx" TargetMode="External"/><Relationship Id="rId2" Type="http://schemas.microsoft.com/office/2011/relationships/chartColorStyle" Target="colors11.xml"/><Relationship Id="rId1" Type="http://schemas.microsoft.com/office/2011/relationships/chartStyle" Target="style11.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Jack\Documents\Uni%20Work\Dissertation\Main%20Doc\Remaining%20Graphs.xlsx" TargetMode="External"/><Relationship Id="rId2" Type="http://schemas.microsoft.com/office/2011/relationships/chartColorStyle" Target="colors12.xml"/><Relationship Id="rId1" Type="http://schemas.microsoft.com/office/2011/relationships/chartStyle" Target="style12.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Jack\Documents\Uni%20Work\Dissertation\Main%20Doc\Remaining%20Graphs.xlsx" TargetMode="External"/><Relationship Id="rId2" Type="http://schemas.microsoft.com/office/2011/relationships/chartColorStyle" Target="colors13.xml"/><Relationship Id="rId1" Type="http://schemas.microsoft.com/office/2011/relationships/chartStyle" Target="style13.xml"/></Relationships>
</file>

<file path=word/charts/_rels/chartEx1.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C:\Users\Jack\Documents\Uni%20Work\Dissertation\Main%20Doc\Graphs.xlsx" TargetMode="External"/></Relationships>
</file>

<file path=word/charts/_rels/chartEx2.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file:///C:\Users\Jack\Documents\Uni%20Work\Dissertation\Main%20Doc\Graphs.xlsx" TargetMode="External"/></Relationships>
</file>

<file path=word/charts/_rels/chartEx3.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oleObject" Target="file:///C:\Users\Jack\Documents\Uni%20Work\Dissertation\Main%20Doc\Graph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900" b="0" i="0" u="none" strike="noStrike" kern="1200" spc="0" baseline="0">
                <a:solidFill>
                  <a:sysClr val="windowText" lastClr="000000">
                    <a:lumMod val="65000"/>
                    <a:lumOff val="35000"/>
                  </a:sysClr>
                </a:solidFill>
                <a:latin typeface="+mn-lt"/>
                <a:ea typeface="+mn-ea"/>
                <a:cs typeface="+mn-cs"/>
              </a:defRPr>
            </a:pPr>
            <a:r>
              <a:rPr lang="en-GB" sz="900" b="1" u="sng">
                <a:solidFill>
                  <a:sysClr val="windowText" lastClr="000000"/>
                </a:solidFill>
                <a:effectLst/>
              </a:rPr>
              <a:t>A Stacked Column</a:t>
            </a:r>
            <a:r>
              <a:rPr lang="en-GB" sz="900" b="1" u="sng" baseline="0">
                <a:solidFill>
                  <a:sysClr val="windowText" lastClr="000000"/>
                </a:solidFill>
                <a:effectLst/>
              </a:rPr>
              <a:t> Graph to show the Satisfaction Percentage with the following statement; </a:t>
            </a:r>
          </a:p>
          <a:p>
            <a:pPr marL="0" marR="0" lvl="0" indent="0" algn="ctr" defTabSz="914400" rtl="0" eaLnBrk="1" fontAlgn="auto" latinLnBrk="0" hangingPunct="1">
              <a:lnSpc>
                <a:spcPct val="100000"/>
              </a:lnSpc>
              <a:spcBef>
                <a:spcPts val="0"/>
              </a:spcBef>
              <a:spcAft>
                <a:spcPts val="0"/>
              </a:spcAft>
              <a:buClrTx/>
              <a:buSzTx/>
              <a:buFontTx/>
              <a:buNone/>
              <a:tabLst/>
              <a:defRPr sz="900" b="0" i="0" u="none" strike="noStrike" kern="1200" spc="0" baseline="0">
                <a:solidFill>
                  <a:sysClr val="windowText" lastClr="000000">
                    <a:lumMod val="65000"/>
                    <a:lumOff val="35000"/>
                  </a:sysClr>
                </a:solidFill>
                <a:latin typeface="+mn-lt"/>
                <a:ea typeface="+mn-ea"/>
                <a:cs typeface="+mn-cs"/>
              </a:defRPr>
            </a:pPr>
            <a:r>
              <a:rPr lang="en-GB" sz="900" b="0" u="none" baseline="0">
                <a:solidFill>
                  <a:sysClr val="windowText" lastClr="000000"/>
                </a:solidFill>
                <a:effectLst/>
              </a:rPr>
              <a:t>"</a:t>
            </a:r>
            <a:r>
              <a:rPr lang="en-GB" sz="900" b="0" u="none">
                <a:solidFill>
                  <a:sysClr val="windowText" lastClr="000000"/>
                </a:solidFill>
                <a:effectLst/>
              </a:rPr>
              <a:t>From Childhood, a person's Criminal Personality is influenced by their Environment"</a:t>
            </a:r>
          </a:p>
        </c:rich>
      </c:tx>
      <c:layout>
        <c:manualLayout>
          <c:xMode val="edge"/>
          <c:yMode val="edge"/>
          <c:x val="0.15495227892481495"/>
          <c:y val="4.6296296296296294E-2"/>
        </c:manualLayout>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9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manualLayout>
          <c:layoutTarget val="inner"/>
          <c:xMode val="edge"/>
          <c:yMode val="edge"/>
          <c:x val="0.14425980595693438"/>
          <c:y val="0.28212962962962962"/>
          <c:w val="0.82620583482238374"/>
          <c:h val="0.42409594634004083"/>
        </c:manualLayout>
      </c:layout>
      <c:barChart>
        <c:barDir val="col"/>
        <c:grouping val="percentStacked"/>
        <c:varyColors val="0"/>
        <c:ser>
          <c:idx val="0"/>
          <c:order val="0"/>
          <c:tx>
            <c:strRef>
              <c:f>Sheet1!$A$1</c:f>
              <c:strCache>
                <c:ptCount val="1"/>
                <c:pt idx="0">
                  <c:v>Strongy Agree</c:v>
                </c:pt>
              </c:strCache>
            </c:strRef>
          </c:tx>
          <c:spPr>
            <a:solidFill>
              <a:schemeClr val="accent1"/>
            </a:solidFill>
            <a:ln>
              <a:noFill/>
            </a:ln>
            <a:effectLst/>
          </c:spPr>
          <c:invertIfNegative val="0"/>
          <c:dLbls>
            <c:dLbl>
              <c:idx val="0"/>
              <c:layout>
                <c:manualLayout>
                  <c:x val="0.23627487376545533"/>
                  <c:y val="1.8518518518518434E-2"/>
                </c:manualLayout>
              </c:layout>
              <c:tx>
                <c:rich>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fld id="{54A3FCC9-AB86-4999-B6D9-0062CB719D52}" type="VALUE">
                      <a:rPr lang="en-US" baseline="0"/>
                      <a:pPr>
                        <a:defRPr sz="900" b="0" i="0" u="none" strike="noStrike" kern="1200" baseline="0">
                          <a:solidFill>
                            <a:schemeClr val="dk1">
                              <a:lumMod val="65000"/>
                              <a:lumOff val="35000"/>
                            </a:schemeClr>
                          </a:solidFill>
                          <a:latin typeface="+mn-lt"/>
                          <a:ea typeface="+mn-ea"/>
                          <a:cs typeface="+mn-cs"/>
                        </a:defRPr>
                      </a:pPr>
                      <a:t>[VALUE]</a:t>
                    </a:fld>
                    <a:r>
                      <a:rPr lang="en-US" baseline="0"/>
                      <a:t>%</a:t>
                    </a:r>
                  </a:p>
                </c:rich>
              </c:tx>
              <c:spPr>
                <a:solidFill>
                  <a:sysClr val="window" lastClr="FFFFFF"/>
                </a:solidFill>
                <a:ln w="9525" cap="flat" cmpd="sng" algn="ctr">
                  <a:solidFill>
                    <a:sysClr val="windowText" lastClr="000000">
                      <a:lumMod val="25000"/>
                      <a:lumOff val="75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1"/>
              <c:showSerName val="0"/>
              <c:showPercent val="0"/>
              <c:showBubbleSize val="0"/>
              <c:extLst>
                <c:ext xmlns:c15="http://schemas.microsoft.com/office/drawing/2012/chart" uri="{CE6537A1-D6FC-4f65-9D91-7224C49458BB}">
                  <c15:spPr xmlns:c15="http://schemas.microsoft.com/office/drawing/2012/chart">
                    <a:prstGeom prst="wedgeRectCallout">
                      <a:avLst>
                        <a:gd name="adj1" fmla="val -124669"/>
                        <a:gd name="adj2" fmla="val -19917"/>
                      </a:avLst>
                    </a:prstGeom>
                    <a:noFill/>
                    <a:ln>
                      <a:noFill/>
                    </a:ln>
                  </c15:spPr>
                  <c15:dlblFieldTable/>
                  <c15:showDataLabelsRange val="0"/>
                </c:ext>
                <c:ext xmlns:c16="http://schemas.microsoft.com/office/drawing/2014/chart" uri="{C3380CC4-5D6E-409C-BE32-E72D297353CC}">
                  <c16:uniqueId val="{00000000-D8B3-4A20-A30D-92AFF2343309}"/>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val>
            <c:numRef>
              <c:f>Sheet1!$A$2</c:f>
              <c:numCache>
                <c:formatCode>General</c:formatCode>
                <c:ptCount val="1"/>
                <c:pt idx="0">
                  <c:v>32</c:v>
                </c:pt>
              </c:numCache>
            </c:numRef>
          </c:val>
          <c:extLst>
            <c:ext xmlns:c16="http://schemas.microsoft.com/office/drawing/2014/chart" uri="{C3380CC4-5D6E-409C-BE32-E72D297353CC}">
              <c16:uniqueId val="{00000001-D8B3-4A20-A30D-92AFF2343309}"/>
            </c:ext>
          </c:extLst>
        </c:ser>
        <c:ser>
          <c:idx val="1"/>
          <c:order val="1"/>
          <c:tx>
            <c:strRef>
              <c:f>Sheet1!$B$1</c:f>
              <c:strCache>
                <c:ptCount val="1"/>
                <c:pt idx="0">
                  <c:v>Agree</c:v>
                </c:pt>
              </c:strCache>
            </c:strRef>
          </c:tx>
          <c:spPr>
            <a:solidFill>
              <a:schemeClr val="accent2"/>
            </a:solidFill>
            <a:ln>
              <a:noFill/>
            </a:ln>
            <a:effectLst/>
          </c:spPr>
          <c:invertIfNegative val="0"/>
          <c:dLbls>
            <c:dLbl>
              <c:idx val="0"/>
              <c:layout>
                <c:manualLayout>
                  <c:x val="0.24701464075479421"/>
                  <c:y val="3.7037037037037035E-2"/>
                </c:manualLayout>
              </c:layout>
              <c:tx>
                <c:rich>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fld id="{9507F6F5-2407-42C7-9D80-A197D8610EB0}" type="VALUE">
                      <a:rPr lang="en-US" baseline="0"/>
                      <a:pPr>
                        <a:defRPr sz="900" b="0" i="0" u="none" strike="noStrike" kern="1200" baseline="0">
                          <a:solidFill>
                            <a:schemeClr val="dk1">
                              <a:lumMod val="65000"/>
                              <a:lumOff val="35000"/>
                            </a:schemeClr>
                          </a:solidFill>
                          <a:latin typeface="+mn-lt"/>
                          <a:ea typeface="+mn-ea"/>
                          <a:cs typeface="+mn-cs"/>
                        </a:defRPr>
                      </a:pPr>
                      <a:t>[VALUE]</a:t>
                    </a:fld>
                    <a:r>
                      <a:rPr lang="en-US" baseline="0"/>
                      <a:t>%</a:t>
                    </a:r>
                  </a:p>
                </c:rich>
              </c:tx>
              <c:spPr>
                <a:solidFill>
                  <a:sysClr val="window" lastClr="FFFFFF"/>
                </a:solidFill>
                <a:ln w="9525" cap="flat" cmpd="sng" algn="ctr">
                  <a:solidFill>
                    <a:sysClr val="windowText" lastClr="000000">
                      <a:lumMod val="25000"/>
                      <a:lumOff val="75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1"/>
              <c:showSerName val="0"/>
              <c:showPercent val="0"/>
              <c:showBubbleSize val="0"/>
              <c:extLst>
                <c:ext xmlns:c15="http://schemas.microsoft.com/office/drawing/2012/chart" uri="{CE6537A1-D6FC-4f65-9D91-7224C49458BB}">
                  <c15:spPr xmlns:c15="http://schemas.microsoft.com/office/drawing/2012/chart">
                    <a:prstGeom prst="wedgeRectCallout">
                      <a:avLst>
                        <a:gd name="adj1" fmla="val -131075"/>
                        <a:gd name="adj2" fmla="val 2023"/>
                      </a:avLst>
                    </a:prstGeom>
                    <a:noFill/>
                    <a:ln>
                      <a:noFill/>
                    </a:ln>
                  </c15:spPr>
                  <c15:dlblFieldTable/>
                  <c15:showDataLabelsRange val="0"/>
                </c:ext>
                <c:ext xmlns:c16="http://schemas.microsoft.com/office/drawing/2014/chart" uri="{C3380CC4-5D6E-409C-BE32-E72D297353CC}">
                  <c16:uniqueId val="{00000002-D8B3-4A20-A30D-92AFF2343309}"/>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val>
            <c:numRef>
              <c:f>Sheet1!$B$2</c:f>
              <c:numCache>
                <c:formatCode>General</c:formatCode>
                <c:ptCount val="1"/>
                <c:pt idx="0">
                  <c:v>48</c:v>
                </c:pt>
              </c:numCache>
            </c:numRef>
          </c:val>
          <c:extLst>
            <c:ext xmlns:c16="http://schemas.microsoft.com/office/drawing/2014/chart" uri="{C3380CC4-5D6E-409C-BE32-E72D297353CC}">
              <c16:uniqueId val="{00000003-D8B3-4A20-A30D-92AFF2343309}"/>
            </c:ext>
          </c:extLst>
        </c:ser>
        <c:ser>
          <c:idx val="2"/>
          <c:order val="2"/>
          <c:tx>
            <c:strRef>
              <c:f>Sheet1!$C$1</c:f>
              <c:strCache>
                <c:ptCount val="1"/>
                <c:pt idx="0">
                  <c:v>Neither Agree or Disagree </c:v>
                </c:pt>
              </c:strCache>
            </c:strRef>
          </c:tx>
          <c:spPr>
            <a:solidFill>
              <a:schemeClr val="accent6"/>
            </a:solidFill>
            <a:ln>
              <a:noFill/>
            </a:ln>
            <a:effectLst/>
          </c:spPr>
          <c:invertIfNegative val="0"/>
          <c:dLbls>
            <c:dLbl>
              <c:idx val="0"/>
              <c:layout>
                <c:manualLayout>
                  <c:x val="0.24701464075479421"/>
                  <c:y val="3.7037037037036993E-2"/>
                </c:manualLayout>
              </c:layout>
              <c:tx>
                <c:rich>
                  <a:bodyPr/>
                  <a:lstStyle/>
                  <a:p>
                    <a:fld id="{95A2894A-D4A6-42DA-8D73-BF358EBE5AF1}" type="VALUE">
                      <a:rPr lang="en-US" baseline="0"/>
                      <a:pPr/>
                      <a:t>[VALUE]</a:t>
                    </a:fld>
                    <a:r>
                      <a:rPr lang="en-US" baseline="0"/>
                      <a:t>%</a:t>
                    </a:r>
                  </a:p>
                </c:rich>
              </c:tx>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4-D8B3-4A20-A30D-92AFF2343309}"/>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val>
            <c:numRef>
              <c:f>Sheet1!$C$2</c:f>
              <c:numCache>
                <c:formatCode>General</c:formatCode>
                <c:ptCount val="1"/>
                <c:pt idx="0">
                  <c:v>16</c:v>
                </c:pt>
              </c:numCache>
            </c:numRef>
          </c:val>
          <c:extLst>
            <c:ext xmlns:c16="http://schemas.microsoft.com/office/drawing/2014/chart" uri="{C3380CC4-5D6E-409C-BE32-E72D297353CC}">
              <c16:uniqueId val="{00000005-D8B3-4A20-A30D-92AFF2343309}"/>
            </c:ext>
          </c:extLst>
        </c:ser>
        <c:ser>
          <c:idx val="3"/>
          <c:order val="3"/>
          <c:tx>
            <c:strRef>
              <c:f>Sheet1!$D$1</c:f>
              <c:strCache>
                <c:ptCount val="1"/>
                <c:pt idx="0">
                  <c:v>Disagree</c:v>
                </c:pt>
              </c:strCache>
            </c:strRef>
          </c:tx>
          <c:spPr>
            <a:solidFill>
              <a:schemeClr val="accent4"/>
            </a:solidFill>
            <a:ln>
              <a:noFill/>
            </a:ln>
            <a:effectLst/>
          </c:spPr>
          <c:invertIfNegative val="0"/>
          <c:dLbls>
            <c:dLbl>
              <c:idx val="0"/>
              <c:layout>
                <c:manualLayout>
                  <c:x val="0.26580923298613723"/>
                  <c:y val="-3.7037037037037035E-2"/>
                </c:manualLayout>
              </c:layout>
              <c:tx>
                <c:rich>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fld id="{21497FBD-8FEF-4E39-9322-ABEE4F8ADF55}" type="VALUE">
                      <a:rPr lang="en-US" baseline="0"/>
                      <a:pPr>
                        <a:defRPr sz="900" b="0" i="0" u="none" strike="noStrike" kern="1200" baseline="0">
                          <a:solidFill>
                            <a:schemeClr val="dk1">
                              <a:lumMod val="65000"/>
                              <a:lumOff val="35000"/>
                            </a:schemeClr>
                          </a:solidFill>
                          <a:latin typeface="+mn-lt"/>
                          <a:ea typeface="+mn-ea"/>
                          <a:cs typeface="+mn-cs"/>
                        </a:defRPr>
                      </a:pPr>
                      <a:t>[VALUE]</a:t>
                    </a:fld>
                    <a:r>
                      <a:rPr lang="en-US" baseline="0"/>
                      <a:t>%</a:t>
                    </a:r>
                  </a:p>
                </c:rich>
              </c:tx>
              <c:spPr>
                <a:solidFill>
                  <a:sysClr val="window" lastClr="FFFFFF"/>
                </a:solidFill>
                <a:ln w="9525" cap="flat" cmpd="sng" algn="ctr">
                  <a:solidFill>
                    <a:sysClr val="windowText" lastClr="000000">
                      <a:lumMod val="25000"/>
                      <a:lumOff val="75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1"/>
              <c:showSerName val="0"/>
              <c:showPercent val="0"/>
              <c:showBubbleSize val="0"/>
              <c:extLst>
                <c:ext xmlns:c15="http://schemas.microsoft.com/office/drawing/2012/chart" uri="{CE6537A1-D6FC-4f65-9D91-7224C49458BB}">
                  <c15:spPr xmlns:c15="http://schemas.microsoft.com/office/drawing/2012/chart">
                    <a:prstGeom prst="wedgeRectCallout">
                      <a:avLst>
                        <a:gd name="adj1" fmla="val -210733"/>
                        <a:gd name="adj2" fmla="val 42198"/>
                      </a:avLst>
                    </a:prstGeom>
                    <a:noFill/>
                    <a:ln>
                      <a:noFill/>
                    </a:ln>
                  </c15:spPr>
                  <c15:dlblFieldTable/>
                  <c15:showDataLabelsRange val="0"/>
                </c:ext>
                <c:ext xmlns:c16="http://schemas.microsoft.com/office/drawing/2014/chart" uri="{C3380CC4-5D6E-409C-BE32-E72D297353CC}">
                  <c16:uniqueId val="{00000006-D8B3-4A20-A30D-92AFF2343309}"/>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val>
            <c:numRef>
              <c:f>Sheet1!$D$2</c:f>
              <c:numCache>
                <c:formatCode>General</c:formatCode>
                <c:ptCount val="1"/>
                <c:pt idx="0">
                  <c:v>4</c:v>
                </c:pt>
              </c:numCache>
            </c:numRef>
          </c:val>
          <c:extLst>
            <c:ext xmlns:c16="http://schemas.microsoft.com/office/drawing/2014/chart" uri="{C3380CC4-5D6E-409C-BE32-E72D297353CC}">
              <c16:uniqueId val="{00000007-D8B3-4A20-A30D-92AFF2343309}"/>
            </c:ext>
          </c:extLst>
        </c:ser>
        <c:ser>
          <c:idx val="4"/>
          <c:order val="4"/>
          <c:tx>
            <c:strRef>
              <c:f>Sheet1!$E$1</c:f>
              <c:strCache>
                <c:ptCount val="1"/>
                <c:pt idx="0">
                  <c:v>Strongly Disagree </c:v>
                </c:pt>
              </c:strCache>
            </c:strRef>
          </c:tx>
          <c:spPr>
            <a:solidFill>
              <a:srgbClr val="7030A0"/>
            </a:solidFill>
            <a:ln>
              <a:noFill/>
            </a:ln>
            <a:effectLst/>
          </c:spPr>
          <c:invertIfNegative val="0"/>
          <c:val>
            <c:numRef>
              <c:f>Sheet1!$E$2</c:f>
              <c:numCache>
                <c:formatCode>General</c:formatCode>
                <c:ptCount val="1"/>
                <c:pt idx="0">
                  <c:v>0</c:v>
                </c:pt>
              </c:numCache>
            </c:numRef>
          </c:val>
          <c:extLst>
            <c:ext xmlns:c16="http://schemas.microsoft.com/office/drawing/2014/chart" uri="{C3380CC4-5D6E-409C-BE32-E72D297353CC}">
              <c16:uniqueId val="{00000008-D8B3-4A20-A30D-92AFF2343309}"/>
            </c:ext>
          </c:extLst>
        </c:ser>
        <c:ser>
          <c:idx val="5"/>
          <c:order val="5"/>
          <c:tx>
            <c:strRef>
              <c:f>Sheet1!$F$1</c:f>
              <c:strCache>
                <c:ptCount val="1"/>
                <c:pt idx="0">
                  <c:v>Prefer Not to Say </c:v>
                </c:pt>
              </c:strCache>
            </c:strRef>
          </c:tx>
          <c:spPr>
            <a:solidFill>
              <a:srgbClr val="FFFF00"/>
            </a:solidFill>
            <a:ln>
              <a:noFill/>
            </a:ln>
            <a:effectLst/>
          </c:spPr>
          <c:invertIfNegative val="0"/>
          <c:val>
            <c:numRef>
              <c:f>Sheet1!$F$2</c:f>
              <c:numCache>
                <c:formatCode>General</c:formatCode>
                <c:ptCount val="1"/>
                <c:pt idx="0">
                  <c:v>0</c:v>
                </c:pt>
              </c:numCache>
            </c:numRef>
          </c:val>
          <c:extLst>
            <c:ext xmlns:c16="http://schemas.microsoft.com/office/drawing/2014/chart" uri="{C3380CC4-5D6E-409C-BE32-E72D297353CC}">
              <c16:uniqueId val="{00000009-D8B3-4A20-A30D-92AFF2343309}"/>
            </c:ext>
          </c:extLst>
        </c:ser>
        <c:dLbls>
          <c:showLegendKey val="0"/>
          <c:showVal val="0"/>
          <c:showCatName val="0"/>
          <c:showSerName val="0"/>
          <c:showPercent val="0"/>
          <c:showBubbleSize val="0"/>
        </c:dLbls>
        <c:gapWidth val="150"/>
        <c:overlap val="100"/>
        <c:axId val="411880944"/>
        <c:axId val="411881928"/>
      </c:barChart>
      <c:catAx>
        <c:axId val="411880944"/>
        <c:scaling>
          <c:orientation val="minMax"/>
        </c:scaling>
        <c:delete val="1"/>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i="1">
                    <a:solidFill>
                      <a:sysClr val="windowText" lastClr="000000"/>
                    </a:solidFill>
                  </a:rPr>
                  <a:t>Satisfaction</a:t>
                </a:r>
                <a:r>
                  <a:rPr lang="en-GB" sz="1000" baseline="0"/>
                  <a:t> </a:t>
                </a:r>
                <a:endParaRPr lang="en-GB" sz="1000"/>
              </a:p>
            </c:rich>
          </c:tx>
          <c:layout>
            <c:manualLayout>
              <c:xMode val="edge"/>
              <c:yMode val="edge"/>
              <c:x val="0.46978810646555696"/>
              <c:y val="0.72011446485855934"/>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crossAx val="411881928"/>
        <c:crosses val="autoZero"/>
        <c:auto val="1"/>
        <c:lblAlgn val="ctr"/>
        <c:lblOffset val="100"/>
        <c:noMultiLvlLbl val="0"/>
      </c:catAx>
      <c:valAx>
        <c:axId val="4118819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800" b="0" i="1" u="none" strike="noStrike" kern="1200" baseline="0">
                    <a:solidFill>
                      <a:sysClr val="windowText" lastClr="000000"/>
                    </a:solidFill>
                    <a:latin typeface="+mn-lt"/>
                    <a:ea typeface="+mn-ea"/>
                    <a:cs typeface="+mn-cs"/>
                  </a:defRPr>
                </a:pPr>
                <a:r>
                  <a:rPr lang="en-GB" sz="800" i="1">
                    <a:solidFill>
                      <a:sysClr val="windowText" lastClr="000000"/>
                    </a:solidFill>
                  </a:rPr>
                  <a:t>Number</a:t>
                </a:r>
                <a:r>
                  <a:rPr lang="en-GB" sz="800" i="1" baseline="0">
                    <a:solidFill>
                      <a:sysClr val="windowText" lastClr="000000"/>
                    </a:solidFill>
                  </a:rPr>
                  <a:t> of </a:t>
                </a:r>
                <a:r>
                  <a:rPr lang="en-GB" sz="800" i="1">
                    <a:solidFill>
                      <a:sysClr val="windowText" lastClr="000000"/>
                    </a:solidFill>
                  </a:rPr>
                  <a:t>Partiicipants %</a:t>
                </a:r>
              </a:p>
            </c:rich>
          </c:tx>
          <c:layout>
            <c:manualLayout>
              <c:xMode val="edge"/>
              <c:yMode val="edge"/>
              <c:x val="2.5000000000000001E-2"/>
              <c:y val="0.2669437153689122"/>
            </c:manualLayout>
          </c:layout>
          <c:overlay val="0"/>
          <c:spPr>
            <a:noFill/>
            <a:ln>
              <a:noFill/>
            </a:ln>
            <a:effectLst/>
          </c:spPr>
          <c:txPr>
            <a:bodyPr rot="-5400000" spcFirstLastPara="1" vertOverflow="ellipsis" vert="horz" wrap="square" anchor="ctr" anchorCtr="1"/>
            <a:lstStyle/>
            <a:p>
              <a:pPr>
                <a:defRPr sz="800" b="0" i="1" u="none" strike="noStrike" kern="1200" baseline="0">
                  <a:solidFill>
                    <a:sysClr val="windowText" lastClr="000000"/>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411880944"/>
        <c:crosses val="autoZero"/>
        <c:crossBetween val="between"/>
      </c:valAx>
      <c:spPr>
        <a:noFill/>
        <a:ln>
          <a:noFill/>
        </a:ln>
        <a:effectLst/>
      </c:spPr>
    </c:plotArea>
    <c:legend>
      <c:legendPos val="b"/>
      <c:overlay val="0"/>
      <c:spPr>
        <a:solidFill>
          <a:schemeClr val="lt1"/>
        </a:solidFill>
        <a:ln w="12700" cap="flat" cmpd="sng" algn="ctr">
          <a:solidFill>
            <a:schemeClr val="dk1"/>
          </a:solidFill>
          <a:prstDash val="solid"/>
          <a:miter lim="800000"/>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900" b="0" i="0" u="none" strike="noStrike" kern="1200" spc="0" baseline="0">
                <a:solidFill>
                  <a:sysClr val="windowText" lastClr="000000">
                    <a:lumMod val="65000"/>
                    <a:lumOff val="35000"/>
                  </a:sysClr>
                </a:solidFill>
                <a:latin typeface="+mn-lt"/>
                <a:ea typeface="+mn-ea"/>
                <a:cs typeface="+mn-cs"/>
              </a:defRPr>
            </a:pPr>
            <a:r>
              <a:rPr lang="en-GB" sz="900" b="1" u="sng">
                <a:solidFill>
                  <a:sysClr val="windowText" lastClr="000000"/>
                </a:solidFill>
              </a:rPr>
              <a:t>A Bar of Pie to represent the participants' perceptions on a person's body type in relation to the likelihood that they will commit ASB?</a:t>
            </a:r>
            <a:r>
              <a:rPr lang="en-GB" sz="900" b="1" u="sng" baseline="0">
                <a:solidFill>
                  <a:sysClr val="windowText" lastClr="000000"/>
                </a:solidFill>
              </a:rPr>
              <a:t> </a:t>
            </a:r>
            <a:endParaRPr lang="en-GB" sz="900" b="1" u="sng">
              <a:solidFill>
                <a:sysClr val="windowText" lastClr="000000"/>
              </a:solidFill>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9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manualLayout>
          <c:layoutTarget val="inner"/>
          <c:xMode val="edge"/>
          <c:yMode val="edge"/>
          <c:x val="5.9821349856390628E-2"/>
          <c:y val="0.16907972734185736"/>
          <c:w val="0.81388888888888888"/>
          <c:h val="0.55502588218139404"/>
        </c:manualLayout>
      </c:layout>
      <c:ofPieChart>
        <c:ofPieType val="bar"/>
        <c:varyColors val="1"/>
        <c:ser>
          <c:idx val="0"/>
          <c:order val="0"/>
          <c:dPt>
            <c:idx val="0"/>
            <c:bubble3D val="0"/>
            <c:spPr>
              <a:solidFill>
                <a:srgbClr val="FF0000">
                  <a:alpha val="68000"/>
                </a:srgbClr>
              </a:solidFill>
              <a:ln w="19050">
                <a:solidFill>
                  <a:sysClr val="windowText" lastClr="000000">
                    <a:lumMod val="50000"/>
                    <a:lumOff val="50000"/>
                  </a:sysClr>
                </a:solidFill>
              </a:ln>
              <a:effectLst/>
            </c:spPr>
            <c:extLst>
              <c:ext xmlns:c16="http://schemas.microsoft.com/office/drawing/2014/chart" uri="{C3380CC4-5D6E-409C-BE32-E72D297353CC}">
                <c16:uniqueId val="{00000001-BFCD-4B7E-8643-E20A04AB109B}"/>
              </c:ext>
            </c:extLst>
          </c:dPt>
          <c:dPt>
            <c:idx val="1"/>
            <c:bubble3D val="0"/>
            <c:spPr>
              <a:solidFill>
                <a:srgbClr val="92D050">
                  <a:alpha val="67000"/>
                </a:srgbClr>
              </a:solidFill>
              <a:ln w="19050">
                <a:solidFill>
                  <a:sysClr val="windowText" lastClr="000000">
                    <a:lumMod val="50000"/>
                    <a:lumOff val="50000"/>
                  </a:sysClr>
                </a:solidFill>
              </a:ln>
              <a:effectLst/>
            </c:spPr>
            <c:extLst>
              <c:ext xmlns:c16="http://schemas.microsoft.com/office/drawing/2014/chart" uri="{C3380CC4-5D6E-409C-BE32-E72D297353CC}">
                <c16:uniqueId val="{00000003-BFCD-4B7E-8643-E20A04AB109B}"/>
              </c:ext>
            </c:extLst>
          </c:dPt>
          <c:dPt>
            <c:idx val="2"/>
            <c:bubble3D val="0"/>
            <c:spPr>
              <a:solidFill>
                <a:srgbClr val="FFC000">
                  <a:alpha val="81000"/>
                </a:srgbClr>
              </a:solidFill>
              <a:ln w="19050">
                <a:solidFill>
                  <a:sysClr val="windowText" lastClr="000000">
                    <a:lumMod val="50000"/>
                    <a:lumOff val="50000"/>
                  </a:sysClr>
                </a:solidFill>
              </a:ln>
              <a:effectLst/>
            </c:spPr>
            <c:extLst>
              <c:ext xmlns:c16="http://schemas.microsoft.com/office/drawing/2014/chart" uri="{C3380CC4-5D6E-409C-BE32-E72D297353CC}">
                <c16:uniqueId val="{00000005-BFCD-4B7E-8643-E20A04AB109B}"/>
              </c:ext>
            </c:extLst>
          </c:dPt>
          <c:dPt>
            <c:idx val="3"/>
            <c:bubble3D val="0"/>
            <c:explosion val="6"/>
            <c:spPr>
              <a:solidFill>
                <a:srgbClr val="0AE0F6">
                  <a:alpha val="69000"/>
                </a:srgbClr>
              </a:solidFill>
              <a:ln w="19050">
                <a:solidFill>
                  <a:schemeClr val="tx1"/>
                </a:solidFill>
              </a:ln>
              <a:effectLst/>
            </c:spPr>
            <c:extLst>
              <c:ext xmlns:c16="http://schemas.microsoft.com/office/drawing/2014/chart" uri="{C3380CC4-5D6E-409C-BE32-E72D297353CC}">
                <c16:uniqueId val="{00000007-BFCD-4B7E-8643-E20A04AB109B}"/>
              </c:ext>
            </c:extLst>
          </c:dPt>
          <c:dPt>
            <c:idx val="4"/>
            <c:bubble3D val="0"/>
            <c:spPr>
              <a:solidFill>
                <a:srgbClr val="FFFF00">
                  <a:alpha val="94000"/>
                </a:srgbClr>
              </a:solidFill>
              <a:ln w="19050">
                <a:solidFill>
                  <a:schemeClr val="tx1"/>
                </a:solidFill>
              </a:ln>
              <a:effectLst/>
            </c:spPr>
            <c:extLst>
              <c:ext xmlns:c16="http://schemas.microsoft.com/office/drawing/2014/chart" uri="{C3380CC4-5D6E-409C-BE32-E72D297353CC}">
                <c16:uniqueId val="{00000009-BFCD-4B7E-8643-E20A04AB109B}"/>
              </c:ext>
            </c:extLst>
          </c:dPt>
          <c:dPt>
            <c:idx val="5"/>
            <c:bubble3D val="0"/>
            <c:spPr>
              <a:solidFill>
                <a:srgbClr val="7030A0">
                  <a:alpha val="62000"/>
                </a:srgbClr>
              </a:solidFill>
              <a:ln w="19050">
                <a:solidFill>
                  <a:sysClr val="windowText" lastClr="000000">
                    <a:lumMod val="50000"/>
                    <a:lumOff val="50000"/>
                  </a:sysClr>
                </a:solidFill>
              </a:ln>
              <a:effectLst/>
            </c:spPr>
            <c:extLst>
              <c:ext xmlns:c16="http://schemas.microsoft.com/office/drawing/2014/chart" uri="{C3380CC4-5D6E-409C-BE32-E72D297353CC}">
                <c16:uniqueId val="{0000000B-BFCD-4B7E-8643-E20A04AB109B}"/>
              </c:ext>
            </c:extLst>
          </c:dPt>
          <c:dLbls>
            <c:dLbl>
              <c:idx val="0"/>
              <c:layout>
                <c:manualLayout>
                  <c:x val="-2.7777777777777779E-3"/>
                  <c:y val="6.9444444444444448E-2"/>
                </c:manualLayout>
              </c:layout>
              <c:spPr>
                <a:solidFill>
                  <a:sysClr val="window" lastClr="FFFFFF"/>
                </a:solidFill>
                <a:ln w="9525" cap="flat" cmpd="sng" algn="ctr">
                  <a:solidFill>
                    <a:sysClr val="windowText" lastClr="000000">
                      <a:lumMod val="50000"/>
                      <a:lumOff val="50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c:spPr>
              <c:txPr>
                <a:bodyPr rot="0" spcFirstLastPara="1" vertOverflow="clip" horzOverflow="clip" vert="horz" wrap="square" lIns="38100" tIns="19050" rIns="38100" bIns="19050" anchor="ctr" anchorCtr="1">
                  <a:spAutoFit/>
                </a:bodyPr>
                <a:lstStyle/>
                <a:p>
                  <a:pPr>
                    <a:defRPr sz="900" b="0" i="1" u="none" strike="noStrike" kern="1200" baseline="0">
                      <a:solidFill>
                        <a:sysClr val="windowText" lastClr="000000"/>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gd name="adj1" fmla="val -80922"/>
                        <a:gd name="adj2" fmla="val -168154"/>
                      </a:avLst>
                    </a:prstGeom>
                    <a:noFill/>
                    <a:ln>
                      <a:noFill/>
                    </a:ln>
                  </c15:spPr>
                </c:ext>
                <c:ext xmlns:c16="http://schemas.microsoft.com/office/drawing/2014/chart" uri="{C3380CC4-5D6E-409C-BE32-E72D297353CC}">
                  <c16:uniqueId val="{00000001-BFCD-4B7E-8643-E20A04AB109B}"/>
                </c:ext>
              </c:extLst>
            </c:dLbl>
            <c:dLbl>
              <c:idx val="1"/>
              <c:layout>
                <c:manualLayout>
                  <c:x val="-7.2023822831296005E-2"/>
                  <c:y val="1.1960506945020615E-2"/>
                </c:manualLayout>
              </c:layout>
              <c:spPr>
                <a:solidFill>
                  <a:sysClr val="window" lastClr="FFFFFF"/>
                </a:solidFill>
                <a:ln w="9525" cap="flat" cmpd="sng" algn="ctr">
                  <a:solidFill>
                    <a:sysClr val="windowText" lastClr="000000">
                      <a:lumMod val="50000"/>
                      <a:lumOff val="50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c:spPr>
              <c:txPr>
                <a:bodyPr rot="0" spcFirstLastPara="1" vertOverflow="clip" horzOverflow="clip" vert="horz" wrap="square" lIns="38100" tIns="19050" rIns="38100" bIns="19050" anchor="ctr" anchorCtr="1">
                  <a:spAutoFit/>
                </a:bodyPr>
                <a:lstStyle/>
                <a:p>
                  <a:pPr>
                    <a:defRPr sz="900" b="0" i="1" u="none" strike="noStrike" kern="1200" baseline="0">
                      <a:solidFill>
                        <a:sysClr val="windowText" lastClr="000000"/>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gd name="adj1" fmla="val 40501"/>
                        <a:gd name="adj2" fmla="val -150309"/>
                      </a:avLst>
                    </a:prstGeom>
                    <a:noFill/>
                    <a:ln>
                      <a:noFill/>
                    </a:ln>
                  </c15:spPr>
                </c:ext>
                <c:ext xmlns:c16="http://schemas.microsoft.com/office/drawing/2014/chart" uri="{C3380CC4-5D6E-409C-BE32-E72D297353CC}">
                  <c16:uniqueId val="{00000003-BFCD-4B7E-8643-E20A04AB109B}"/>
                </c:ext>
              </c:extLst>
            </c:dLbl>
            <c:dLbl>
              <c:idx val="2"/>
              <c:layout>
                <c:manualLayout>
                  <c:x val="-7.2391229978735941E-2"/>
                  <c:y val="0.16716390687494295"/>
                </c:manualLayout>
              </c:layout>
              <c:spPr>
                <a:solidFill>
                  <a:sysClr val="window" lastClr="FFFFFF"/>
                </a:solidFill>
                <a:ln w="9525" cap="flat" cmpd="sng" algn="ctr">
                  <a:solidFill>
                    <a:sysClr val="windowText" lastClr="000000">
                      <a:lumMod val="50000"/>
                      <a:lumOff val="50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c:spPr>
              <c:txPr>
                <a:bodyPr rot="0" spcFirstLastPara="1" vertOverflow="clip" horzOverflow="clip" vert="horz" wrap="square" lIns="38100" tIns="19050" rIns="38100" bIns="19050" anchor="ctr" anchorCtr="1">
                  <a:spAutoFit/>
                </a:bodyPr>
                <a:lstStyle/>
                <a:p>
                  <a:pPr>
                    <a:defRPr sz="900" b="0" i="1" u="none" strike="noStrike" kern="1200" baseline="0">
                      <a:solidFill>
                        <a:sysClr val="windowText" lastClr="000000"/>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gd name="adj1" fmla="val 104438"/>
                        <a:gd name="adj2" fmla="val 166403"/>
                      </a:avLst>
                    </a:prstGeom>
                    <a:noFill/>
                    <a:ln>
                      <a:noFill/>
                    </a:ln>
                  </c15:spPr>
                </c:ext>
                <c:ext xmlns:c16="http://schemas.microsoft.com/office/drawing/2014/chart" uri="{C3380CC4-5D6E-409C-BE32-E72D297353CC}">
                  <c16:uniqueId val="{00000005-BFCD-4B7E-8643-E20A04AB109B}"/>
                </c:ext>
              </c:extLst>
            </c:dLbl>
            <c:dLbl>
              <c:idx val="3"/>
              <c:layout>
                <c:manualLayout>
                  <c:x val="2.4999999999999897E-2"/>
                  <c:y val="-0.14351851851851857"/>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BFCD-4B7E-8643-E20A04AB109B}"/>
                </c:ext>
              </c:extLst>
            </c:dLbl>
            <c:dLbl>
              <c:idx val="4"/>
              <c:layout>
                <c:manualLayout>
                  <c:x val="1.3888888888888788E-2"/>
                  <c:y val="0.13888888888888881"/>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BFCD-4B7E-8643-E20A04AB109B}"/>
                </c:ext>
              </c:extLst>
            </c:dLbl>
            <c:dLbl>
              <c:idx val="5"/>
              <c:layout>
                <c:manualLayout>
                  <c:x val="1.3698630136986301E-2"/>
                  <c:y val="0"/>
                </c:manualLayout>
              </c:layout>
              <c:spPr>
                <a:solidFill>
                  <a:sysClr val="window" lastClr="FFFFFF"/>
                </a:solidFill>
                <a:ln w="9525" cap="flat" cmpd="sng" algn="ctr">
                  <a:solidFill>
                    <a:sysClr val="windowText" lastClr="000000">
                      <a:lumMod val="50000"/>
                      <a:lumOff val="50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c:spPr>
              <c:txPr>
                <a:bodyPr rot="0" spcFirstLastPara="1" vertOverflow="clip" horzOverflow="clip" vert="horz" wrap="square" lIns="38100" tIns="19050" rIns="38100" bIns="19050" anchor="ctr" anchorCtr="1">
                  <a:spAutoFit/>
                </a:bodyPr>
                <a:lstStyle/>
                <a:p>
                  <a:pPr>
                    <a:defRPr sz="900" b="0" i="1" u="none" strike="noStrike" kern="1200" baseline="0">
                      <a:solidFill>
                        <a:sysClr val="windowText" lastClr="000000"/>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gd name="adj1" fmla="val -141261"/>
                        <a:gd name="adj2" fmla="val 9915"/>
                      </a:avLst>
                    </a:prstGeom>
                    <a:noFill/>
                    <a:ln>
                      <a:noFill/>
                    </a:ln>
                  </c15:spPr>
                </c:ext>
                <c:ext xmlns:c16="http://schemas.microsoft.com/office/drawing/2014/chart" uri="{C3380CC4-5D6E-409C-BE32-E72D297353CC}">
                  <c16:uniqueId val="{0000000B-BFCD-4B7E-8643-E20A04AB109B}"/>
                </c:ext>
              </c:extLst>
            </c:dLbl>
            <c:spPr>
              <a:solidFill>
                <a:sysClr val="window" lastClr="FFFFFF"/>
              </a:solidFill>
              <a:ln>
                <a:solidFill>
                  <a:sysClr val="windowText" lastClr="000000">
                    <a:lumMod val="50000"/>
                    <a:lumOff val="50000"/>
                  </a:sysClr>
                </a:solidFill>
              </a:ln>
              <a:effectLst/>
            </c:spPr>
            <c:txPr>
              <a:bodyPr rot="0" spcFirstLastPara="1" vertOverflow="clip" horzOverflow="clip" vert="horz" wrap="square" lIns="38100" tIns="19050" rIns="38100" bIns="19050" anchor="ctr" anchorCtr="1">
                <a:spAutoFit/>
              </a:bodyPr>
              <a:lstStyle/>
              <a:p>
                <a:pPr>
                  <a:defRPr sz="900" b="0" i="1" u="none" strike="noStrike" kern="1200" baseline="0">
                    <a:solidFill>
                      <a:sysClr val="windowText" lastClr="000000"/>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Sheet1!$P$1:$T$1</c:f>
              <c:strCache>
                <c:ptCount val="5"/>
                <c:pt idx="0">
                  <c:v>Endomorph</c:v>
                </c:pt>
                <c:pt idx="1">
                  <c:v>Ectomorph</c:v>
                </c:pt>
                <c:pt idx="2">
                  <c:v>Mesomorph</c:v>
                </c:pt>
                <c:pt idx="3">
                  <c:v>Has No Affect </c:v>
                </c:pt>
                <c:pt idx="4">
                  <c:v>Prefer Not Say </c:v>
                </c:pt>
              </c:strCache>
            </c:strRef>
          </c:cat>
          <c:val>
            <c:numRef>
              <c:f>Sheet1!$P$2:$T$2</c:f>
              <c:numCache>
                <c:formatCode>General</c:formatCode>
                <c:ptCount val="5"/>
                <c:pt idx="0">
                  <c:v>10</c:v>
                </c:pt>
                <c:pt idx="1">
                  <c:v>18</c:v>
                </c:pt>
                <c:pt idx="2">
                  <c:v>62</c:v>
                </c:pt>
                <c:pt idx="3">
                  <c:v>8</c:v>
                </c:pt>
                <c:pt idx="4">
                  <c:v>2</c:v>
                </c:pt>
              </c:numCache>
            </c:numRef>
          </c:val>
          <c:extLst>
            <c:ext xmlns:c16="http://schemas.microsoft.com/office/drawing/2014/chart" uri="{C3380CC4-5D6E-409C-BE32-E72D297353CC}">
              <c16:uniqueId val="{0000000C-BFCD-4B7E-8643-E20A04AB109B}"/>
            </c:ext>
          </c:extLst>
        </c:ser>
        <c:dLbls>
          <c:showLegendKey val="0"/>
          <c:showVal val="0"/>
          <c:showCatName val="0"/>
          <c:showSerName val="0"/>
          <c:showPercent val="0"/>
          <c:showBubbleSize val="0"/>
          <c:showLeaderLines val="0"/>
        </c:dLbls>
        <c:gapWidth val="136"/>
        <c:secondPieSize val="63"/>
      </c:ofPieChart>
      <c:spPr>
        <a:noFill/>
        <a:ln>
          <a:noFill/>
        </a:ln>
        <a:effectLst/>
      </c:spPr>
    </c:plotArea>
    <c:legend>
      <c:legendPos val="b"/>
      <c:legendEntry>
        <c:idx val="3"/>
        <c:txPr>
          <a:bodyPr rot="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en-US"/>
          </a:p>
        </c:txPr>
      </c:legendEntry>
      <c:layout>
        <c:manualLayout>
          <c:xMode val="edge"/>
          <c:yMode val="edge"/>
          <c:x val="2.5342465753424654E-2"/>
          <c:y val="0.91346092767815767"/>
          <c:w val="0.95"/>
          <c:h val="8.6538995586207465E-2"/>
        </c:manualLayout>
      </c:layout>
      <c:overlay val="0"/>
      <c:spPr>
        <a:solidFill>
          <a:schemeClr val="lt1"/>
        </a:solidFill>
        <a:ln w="12700" cap="flat" cmpd="sng" algn="ctr">
          <a:solidFill>
            <a:schemeClr val="dk1"/>
          </a:solidFill>
          <a:prstDash val="solid"/>
          <a:miter lim="800000"/>
        </a:ln>
        <a:effectLst/>
      </c:spPr>
      <c:txPr>
        <a:bodyPr rot="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000" b="1" u="sng">
                <a:solidFill>
                  <a:sysClr val="windowText" lastClr="000000"/>
                </a:solidFill>
              </a:rPr>
              <a:t>A</a:t>
            </a:r>
            <a:r>
              <a:rPr lang="en-GB" sz="1000" b="1" u="sng" baseline="0">
                <a:solidFill>
                  <a:sysClr val="windowText" lastClr="000000"/>
                </a:solidFill>
              </a:rPr>
              <a:t> Line Graph to show the Facial Characteristics that Corrolate with ASB</a:t>
            </a:r>
            <a:endParaRPr lang="en-GB" sz="1000" b="1" u="sng">
              <a:solidFill>
                <a:sysClr val="windowText" lastClr="000000"/>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dPt>
            <c:idx val="4"/>
            <c:marker>
              <c:symbol val="none"/>
            </c:marker>
            <c:bubble3D val="0"/>
            <c:spPr>
              <a:ln w="28575" cap="rnd">
                <a:solidFill>
                  <a:srgbClr val="4DC610"/>
                </a:solidFill>
                <a:round/>
              </a:ln>
              <a:effectLst/>
            </c:spPr>
            <c:extLst>
              <c:ext xmlns:c16="http://schemas.microsoft.com/office/drawing/2014/chart" uri="{C3380CC4-5D6E-409C-BE32-E72D297353CC}">
                <c16:uniqueId val="{00000001-10AC-4D2C-B5E1-5D5FC2BCE699}"/>
              </c:ext>
            </c:extLst>
          </c:dPt>
          <c:dPt>
            <c:idx val="5"/>
            <c:marker>
              <c:symbol val="none"/>
            </c:marker>
            <c:bubble3D val="0"/>
            <c:spPr>
              <a:ln w="28575" cap="rnd">
                <a:solidFill>
                  <a:srgbClr val="FF0000"/>
                </a:solidFill>
                <a:round/>
              </a:ln>
              <a:effectLst/>
            </c:spPr>
            <c:extLst>
              <c:ext xmlns:c16="http://schemas.microsoft.com/office/drawing/2014/chart" uri="{C3380CC4-5D6E-409C-BE32-E72D297353CC}">
                <c16:uniqueId val="{00000003-10AC-4D2C-B5E1-5D5FC2BCE699}"/>
              </c:ext>
            </c:extLst>
          </c:dPt>
          <c:dPt>
            <c:idx val="6"/>
            <c:marker>
              <c:symbol val="none"/>
            </c:marker>
            <c:bubble3D val="0"/>
            <c:spPr>
              <a:ln w="28575" cap="rnd">
                <a:solidFill>
                  <a:srgbClr val="FF0000"/>
                </a:solidFill>
                <a:round/>
              </a:ln>
              <a:effectLst/>
            </c:spPr>
            <c:extLst>
              <c:ext xmlns:c16="http://schemas.microsoft.com/office/drawing/2014/chart" uri="{C3380CC4-5D6E-409C-BE32-E72D297353CC}">
                <c16:uniqueId val="{00000005-10AC-4D2C-B5E1-5D5FC2BCE699}"/>
              </c:ext>
            </c:extLst>
          </c:dPt>
          <c:dPt>
            <c:idx val="7"/>
            <c:marker>
              <c:symbol val="none"/>
            </c:marker>
            <c:bubble3D val="0"/>
            <c:spPr>
              <a:ln w="28575" cap="rnd">
                <a:solidFill>
                  <a:srgbClr val="FF0000"/>
                </a:solidFill>
                <a:round/>
              </a:ln>
              <a:effectLst/>
            </c:spPr>
            <c:extLst>
              <c:ext xmlns:c16="http://schemas.microsoft.com/office/drawing/2014/chart" uri="{C3380CC4-5D6E-409C-BE32-E72D297353CC}">
                <c16:uniqueId val="{00000007-10AC-4D2C-B5E1-5D5FC2BCE699}"/>
              </c:ext>
            </c:extLst>
          </c:dPt>
          <c:trendline>
            <c:spPr>
              <a:ln w="19050" cap="flat" cmpd="sng" algn="ctr">
                <a:solidFill>
                  <a:schemeClr val="dk1"/>
                </a:solidFill>
                <a:prstDash val="solid"/>
                <a:miter lim="800000"/>
              </a:ln>
              <a:effectLst/>
            </c:spPr>
            <c:trendlineType val="linear"/>
            <c:dispRSqr val="0"/>
            <c:dispEq val="0"/>
          </c:trendline>
          <c:cat>
            <c:strRef>
              <c:f>Sheet1!$H$41:$O$41</c:f>
              <c:strCache>
                <c:ptCount val="8"/>
                <c:pt idx="0">
                  <c:v>Hair</c:v>
                </c:pt>
                <c:pt idx="1">
                  <c:v>Forehead</c:v>
                </c:pt>
                <c:pt idx="2">
                  <c:v>Eyes </c:v>
                </c:pt>
                <c:pt idx="3">
                  <c:v>Nose</c:v>
                </c:pt>
                <c:pt idx="4">
                  <c:v>Mouth</c:v>
                </c:pt>
                <c:pt idx="5">
                  <c:v>Jawline</c:v>
                </c:pt>
                <c:pt idx="6">
                  <c:v>Chin</c:v>
                </c:pt>
                <c:pt idx="7">
                  <c:v>Other </c:v>
                </c:pt>
              </c:strCache>
            </c:strRef>
          </c:cat>
          <c:val>
            <c:numRef>
              <c:f>Sheet1!$H$42:$O$42</c:f>
              <c:numCache>
                <c:formatCode>General</c:formatCode>
                <c:ptCount val="8"/>
                <c:pt idx="0">
                  <c:v>13</c:v>
                </c:pt>
                <c:pt idx="1">
                  <c:v>0</c:v>
                </c:pt>
                <c:pt idx="2">
                  <c:v>8</c:v>
                </c:pt>
                <c:pt idx="3">
                  <c:v>0</c:v>
                </c:pt>
                <c:pt idx="4">
                  <c:v>0</c:v>
                </c:pt>
                <c:pt idx="5">
                  <c:v>8</c:v>
                </c:pt>
                <c:pt idx="6">
                  <c:v>4</c:v>
                </c:pt>
                <c:pt idx="7">
                  <c:v>0</c:v>
                </c:pt>
              </c:numCache>
            </c:numRef>
          </c:val>
          <c:smooth val="0"/>
          <c:extLst>
            <c:ext xmlns:c16="http://schemas.microsoft.com/office/drawing/2014/chart" uri="{C3380CC4-5D6E-409C-BE32-E72D297353CC}">
              <c16:uniqueId val="{00000009-10AC-4D2C-B5E1-5D5FC2BCE699}"/>
            </c:ext>
          </c:extLst>
        </c:ser>
        <c:dLbls>
          <c:showLegendKey val="0"/>
          <c:showVal val="0"/>
          <c:showCatName val="0"/>
          <c:showSerName val="0"/>
          <c:showPercent val="0"/>
          <c:showBubbleSize val="0"/>
        </c:dLbls>
        <c:smooth val="0"/>
        <c:axId val="853363848"/>
        <c:axId val="853362536"/>
      </c:lineChart>
      <c:catAx>
        <c:axId val="853363848"/>
        <c:scaling>
          <c:orientation val="minMax"/>
        </c:scaling>
        <c:delete val="0"/>
        <c:axPos val="b"/>
        <c:title>
          <c:tx>
            <c:rich>
              <a:bodyPr rot="0" spcFirstLastPara="1" vertOverflow="ellipsis" vert="horz" wrap="square" anchor="ctr" anchorCtr="1"/>
              <a:lstStyle/>
              <a:p>
                <a:pPr>
                  <a:defRPr sz="1000" b="0" i="1" u="none" strike="noStrike" kern="1200" baseline="0">
                    <a:solidFill>
                      <a:sysClr val="windowText" lastClr="000000"/>
                    </a:solidFill>
                    <a:latin typeface="+mn-lt"/>
                    <a:ea typeface="+mn-ea"/>
                    <a:cs typeface="+mn-cs"/>
                  </a:defRPr>
                </a:pPr>
                <a:r>
                  <a:rPr lang="en-GB" i="1" baseline="0">
                    <a:solidFill>
                      <a:sysClr val="windowText" lastClr="000000"/>
                    </a:solidFill>
                  </a:rPr>
                  <a:t>Facial Characteristic </a:t>
                </a:r>
                <a:endParaRPr lang="en-GB" i="1">
                  <a:solidFill>
                    <a:sysClr val="windowText" lastClr="000000"/>
                  </a:solidFill>
                </a:endParaRPr>
              </a:p>
            </c:rich>
          </c:tx>
          <c:layout>
            <c:manualLayout>
              <c:xMode val="edge"/>
              <c:yMode val="edge"/>
              <c:x val="0.39472788581028989"/>
              <c:y val="0.88793963254593178"/>
            </c:manualLayout>
          </c:layout>
          <c:overlay val="0"/>
          <c:spPr>
            <a:noFill/>
            <a:ln>
              <a:noFill/>
            </a:ln>
            <a:effectLst/>
          </c:spPr>
          <c:txPr>
            <a:bodyPr rot="0" spcFirstLastPara="1" vertOverflow="ellipsis" vert="horz" wrap="square" anchor="ctr" anchorCtr="1"/>
            <a:lstStyle/>
            <a:p>
              <a:pPr>
                <a:defRPr sz="1000" b="0" i="1" u="none" strike="noStrike" kern="1200" baseline="0">
                  <a:solidFill>
                    <a:sysClr val="windowText" lastClr="000000"/>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1" i="0" u="none" strike="noStrike" kern="1200" baseline="0">
                <a:solidFill>
                  <a:sysClr val="windowText" lastClr="000000"/>
                </a:solidFill>
                <a:latin typeface="+mn-lt"/>
                <a:ea typeface="+mn-ea"/>
                <a:cs typeface="+mn-cs"/>
              </a:defRPr>
            </a:pPr>
            <a:endParaRPr lang="en-US"/>
          </a:p>
        </c:txPr>
        <c:crossAx val="853362536"/>
        <c:crosses val="autoZero"/>
        <c:auto val="1"/>
        <c:lblAlgn val="ctr"/>
        <c:lblOffset val="100"/>
        <c:noMultiLvlLbl val="0"/>
      </c:catAx>
      <c:valAx>
        <c:axId val="8533625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1" u="none" strike="noStrike" kern="1200" baseline="0">
                    <a:solidFill>
                      <a:sysClr val="windowText" lastClr="000000"/>
                    </a:solidFill>
                    <a:latin typeface="+mn-lt"/>
                    <a:ea typeface="+mn-ea"/>
                    <a:cs typeface="+mn-cs"/>
                  </a:defRPr>
                </a:pPr>
                <a:r>
                  <a:rPr lang="en-GB" sz="900" i="1">
                    <a:solidFill>
                      <a:sysClr val="windowText" lastClr="000000"/>
                    </a:solidFill>
                  </a:rPr>
                  <a:t>Number</a:t>
                </a:r>
                <a:r>
                  <a:rPr lang="en-GB" sz="900" i="1" baseline="0">
                    <a:solidFill>
                      <a:sysClr val="windowText" lastClr="000000"/>
                    </a:solidFill>
                  </a:rPr>
                  <a:t> of Participants</a:t>
                </a:r>
                <a:endParaRPr lang="en-GB" sz="900" i="1">
                  <a:solidFill>
                    <a:sysClr val="windowText" lastClr="000000"/>
                  </a:solidFill>
                </a:endParaRPr>
              </a:p>
            </c:rich>
          </c:tx>
          <c:layout>
            <c:manualLayout>
              <c:xMode val="edge"/>
              <c:yMode val="edge"/>
              <c:x val="1.1538462237338717E-2"/>
              <c:y val="0.25271216097987753"/>
            </c:manualLayout>
          </c:layout>
          <c:overlay val="0"/>
          <c:spPr>
            <a:noFill/>
            <a:ln>
              <a:noFill/>
            </a:ln>
            <a:effectLst/>
          </c:spPr>
          <c:txPr>
            <a:bodyPr rot="-5400000" spcFirstLastPara="1" vertOverflow="ellipsis" vert="horz" wrap="square" anchor="ctr" anchorCtr="1"/>
            <a:lstStyle/>
            <a:p>
              <a:pPr>
                <a:defRPr sz="900" b="0" i="1" u="none" strike="noStrike" kern="1200" baseline="0">
                  <a:solidFill>
                    <a:sysClr val="windowText" lastClr="000000"/>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crossAx val="85336384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050" b="1" u="sng">
                <a:solidFill>
                  <a:sysClr val="windowText" lastClr="000000"/>
                </a:solidFill>
              </a:rPr>
              <a:t>A Bar Chart to show </a:t>
            </a:r>
            <a:r>
              <a:rPr lang="en-GB" sz="1050" b="1" i="0" u="sng" strike="noStrike" baseline="0">
                <a:solidFill>
                  <a:sysClr val="windowText" lastClr="000000"/>
                </a:solidFill>
                <a:effectLst/>
              </a:rPr>
              <a:t>actions wanted by Police Oficers in Dyfed Powys to minimise ASB</a:t>
            </a:r>
            <a:endParaRPr lang="en-GB" sz="1050" b="1" u="sng">
              <a:solidFill>
                <a:sysClr val="windowText" lastClr="000000"/>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1-70A7-4690-928E-F5DDBFB9DFC2}"/>
              </c:ext>
            </c:extLst>
          </c:dPt>
          <c:dPt>
            <c:idx val="1"/>
            <c:invertIfNegative val="0"/>
            <c:bubble3D val="0"/>
            <c:spPr>
              <a:solidFill>
                <a:srgbClr val="FFFF00"/>
              </a:solidFill>
              <a:ln>
                <a:noFill/>
              </a:ln>
              <a:effectLst/>
            </c:spPr>
            <c:extLst>
              <c:ext xmlns:c16="http://schemas.microsoft.com/office/drawing/2014/chart" uri="{C3380CC4-5D6E-409C-BE32-E72D297353CC}">
                <c16:uniqueId val="{00000003-70A7-4690-928E-F5DDBFB9DFC2}"/>
              </c:ext>
            </c:extLst>
          </c:dPt>
          <c:dPt>
            <c:idx val="2"/>
            <c:invertIfNegative val="0"/>
            <c:bubble3D val="0"/>
            <c:spPr>
              <a:solidFill>
                <a:srgbClr val="4DC610"/>
              </a:solidFill>
              <a:ln>
                <a:noFill/>
              </a:ln>
              <a:effectLst/>
            </c:spPr>
            <c:extLst>
              <c:ext xmlns:c16="http://schemas.microsoft.com/office/drawing/2014/chart" uri="{C3380CC4-5D6E-409C-BE32-E72D297353CC}">
                <c16:uniqueId val="{00000005-70A7-4690-928E-F5DDBFB9DFC2}"/>
              </c:ext>
            </c:extLst>
          </c:dPt>
          <c:cat>
            <c:strRef>
              <c:f>Sheet1!$Y$43:$AD$43</c:f>
              <c:strCache>
                <c:ptCount val="6"/>
                <c:pt idx="0">
                  <c:v>More street lighting </c:v>
                </c:pt>
                <c:pt idx="1">
                  <c:v>More CCTV</c:v>
                </c:pt>
                <c:pt idx="2">
                  <c:v>More Police Personnel</c:v>
                </c:pt>
                <c:pt idx="3">
                  <c:v>Close off / Restrict public access </c:v>
                </c:pt>
                <c:pt idx="4">
                  <c:v>Nothing is need </c:v>
                </c:pt>
                <c:pt idx="5">
                  <c:v>Other</c:v>
                </c:pt>
              </c:strCache>
            </c:strRef>
          </c:cat>
          <c:val>
            <c:numRef>
              <c:f>Sheet1!$Y$44:$AD$44</c:f>
              <c:numCache>
                <c:formatCode>General</c:formatCode>
                <c:ptCount val="6"/>
                <c:pt idx="0">
                  <c:v>22</c:v>
                </c:pt>
                <c:pt idx="1">
                  <c:v>42</c:v>
                </c:pt>
                <c:pt idx="2">
                  <c:v>32</c:v>
                </c:pt>
                <c:pt idx="3">
                  <c:v>4</c:v>
                </c:pt>
                <c:pt idx="4">
                  <c:v>0</c:v>
                </c:pt>
                <c:pt idx="5">
                  <c:v>0</c:v>
                </c:pt>
              </c:numCache>
            </c:numRef>
          </c:val>
          <c:extLst>
            <c:ext xmlns:c16="http://schemas.microsoft.com/office/drawing/2014/chart" uri="{C3380CC4-5D6E-409C-BE32-E72D297353CC}">
              <c16:uniqueId val="{00000006-70A7-4690-928E-F5DDBFB9DFC2}"/>
            </c:ext>
          </c:extLst>
        </c:ser>
        <c:dLbls>
          <c:showLegendKey val="0"/>
          <c:showVal val="0"/>
          <c:showCatName val="0"/>
          <c:showSerName val="0"/>
          <c:showPercent val="0"/>
          <c:showBubbleSize val="0"/>
        </c:dLbls>
        <c:gapWidth val="219"/>
        <c:overlap val="-27"/>
        <c:axId val="548271640"/>
        <c:axId val="548272296"/>
      </c:barChart>
      <c:catAx>
        <c:axId val="548271640"/>
        <c:scaling>
          <c:orientation val="minMax"/>
        </c:scaling>
        <c:delete val="0"/>
        <c:axPos val="b"/>
        <c:title>
          <c:tx>
            <c:rich>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r>
                  <a:rPr lang="en-GB" sz="800" i="1">
                    <a:solidFill>
                      <a:sysClr val="windowText" lastClr="000000"/>
                    </a:solidFill>
                  </a:rPr>
                  <a:t>Preventative</a:t>
                </a:r>
                <a:r>
                  <a:rPr lang="en-GB" sz="800" i="1" baseline="0">
                    <a:solidFill>
                      <a:sysClr val="windowText" lastClr="000000"/>
                    </a:solidFill>
                  </a:rPr>
                  <a:t> Strategies</a:t>
                </a:r>
                <a:endParaRPr lang="en-GB" sz="800" i="1">
                  <a:solidFill>
                    <a:sysClr val="windowText" lastClr="000000"/>
                  </a:solidFill>
                </a:endParaRPr>
              </a:p>
            </c:rich>
          </c:tx>
          <c:layout>
            <c:manualLayout>
              <c:xMode val="edge"/>
              <c:yMode val="edge"/>
              <c:x val="0.41628760757924116"/>
              <c:y val="0.90326196743514409"/>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ysClr val="windowText" lastClr="000000"/>
                </a:solidFill>
                <a:latin typeface="+mn-lt"/>
                <a:ea typeface="+mn-ea"/>
                <a:cs typeface="+mn-cs"/>
              </a:defRPr>
            </a:pPr>
            <a:endParaRPr lang="en-US"/>
          </a:p>
        </c:txPr>
        <c:crossAx val="548272296"/>
        <c:crosses val="autoZero"/>
        <c:auto val="1"/>
        <c:lblAlgn val="ctr"/>
        <c:lblOffset val="100"/>
        <c:noMultiLvlLbl val="0"/>
      </c:catAx>
      <c:valAx>
        <c:axId val="5482722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800" b="0" i="1" u="none" strike="noStrike" kern="1200" baseline="0">
                    <a:solidFill>
                      <a:sysClr val="windowText" lastClr="000000"/>
                    </a:solidFill>
                    <a:latin typeface="+mn-lt"/>
                    <a:ea typeface="+mn-ea"/>
                    <a:cs typeface="+mn-cs"/>
                  </a:defRPr>
                </a:pPr>
                <a:r>
                  <a:rPr lang="en-GB" sz="800" i="1">
                    <a:solidFill>
                      <a:sysClr val="windowText" lastClr="000000"/>
                    </a:solidFill>
                  </a:rPr>
                  <a:t>Number</a:t>
                </a:r>
                <a:r>
                  <a:rPr lang="en-GB" sz="800" i="1" baseline="0">
                    <a:solidFill>
                      <a:sysClr val="windowText" lastClr="000000"/>
                    </a:solidFill>
                  </a:rPr>
                  <a:t> of Participants</a:t>
                </a:r>
                <a:endParaRPr lang="en-GB" sz="800" i="1">
                  <a:solidFill>
                    <a:sysClr val="windowText" lastClr="000000"/>
                  </a:solidFill>
                </a:endParaRPr>
              </a:p>
            </c:rich>
          </c:tx>
          <c:layout>
            <c:manualLayout>
              <c:xMode val="edge"/>
              <c:yMode val="edge"/>
              <c:x val="1.3297869555648024E-2"/>
              <c:y val="0.20822980994369444"/>
            </c:manualLayout>
          </c:layout>
          <c:overlay val="0"/>
          <c:spPr>
            <a:noFill/>
            <a:ln>
              <a:noFill/>
            </a:ln>
            <a:effectLst/>
          </c:spPr>
          <c:txPr>
            <a:bodyPr rot="-5400000" spcFirstLastPara="1" vertOverflow="ellipsis" vert="horz" wrap="square" anchor="ctr" anchorCtr="1"/>
            <a:lstStyle/>
            <a:p>
              <a:pPr>
                <a:defRPr sz="800" b="0" i="1" u="none" strike="noStrike" kern="1200" baseline="0">
                  <a:solidFill>
                    <a:sysClr val="windowText" lastClr="000000"/>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en-US"/>
          </a:p>
        </c:txPr>
        <c:crossAx val="5482716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sng" strike="noStrike" kern="1200" spc="0" baseline="0">
                <a:solidFill>
                  <a:sysClr val="windowText" lastClr="000000"/>
                </a:solidFill>
                <a:latin typeface="+mn-lt"/>
                <a:ea typeface="+mn-ea"/>
                <a:cs typeface="+mn-cs"/>
              </a:defRPr>
            </a:pPr>
            <a:r>
              <a:rPr lang="en-GB" sz="1200" b="1" u="sng">
                <a:solidFill>
                  <a:sysClr val="windowText" lastClr="000000"/>
                </a:solidFill>
              </a:rPr>
              <a:t>A Pie Chart displaying Police Officers' beliefs about whether it is possible to predict and prevent ASB based on the theory that criminals are 'Born or Made.'</a:t>
            </a:r>
          </a:p>
        </c:rich>
      </c:tx>
      <c:overlay val="0"/>
      <c:spPr>
        <a:noFill/>
        <a:ln>
          <a:noFill/>
        </a:ln>
        <a:effectLst/>
      </c:spPr>
      <c:txPr>
        <a:bodyPr rot="0" spcFirstLastPara="1" vertOverflow="ellipsis" vert="horz" wrap="square" anchor="ctr" anchorCtr="1"/>
        <a:lstStyle/>
        <a:p>
          <a:pPr>
            <a:defRPr sz="1200" b="1" i="0" u="sng" strike="noStrike" kern="1200" spc="0" baseline="0">
              <a:solidFill>
                <a:sysClr val="windowText" lastClr="000000"/>
              </a:solidFill>
              <a:latin typeface="+mn-lt"/>
              <a:ea typeface="+mn-ea"/>
              <a:cs typeface="+mn-cs"/>
            </a:defRPr>
          </a:pPr>
          <a:endParaRPr lang="en-US"/>
        </a:p>
      </c:txPr>
    </c:title>
    <c:autoTitleDeleted val="0"/>
    <c:plotArea>
      <c:layout/>
      <c:pieChart>
        <c:varyColors val="1"/>
        <c:ser>
          <c:idx val="0"/>
          <c:order val="0"/>
          <c:dPt>
            <c:idx val="0"/>
            <c:bubble3D val="0"/>
            <c:spPr>
              <a:solidFill>
                <a:srgbClr val="4DC610"/>
              </a:solidFill>
              <a:ln w="19050">
                <a:solidFill>
                  <a:schemeClr val="lt1"/>
                </a:solidFill>
              </a:ln>
              <a:effectLst/>
            </c:spPr>
            <c:extLst>
              <c:ext xmlns:c16="http://schemas.microsoft.com/office/drawing/2014/chart" uri="{C3380CC4-5D6E-409C-BE32-E72D297353CC}">
                <c16:uniqueId val="{00000001-0587-4AD7-A420-1305C9933733}"/>
              </c:ext>
            </c:extLst>
          </c:dPt>
          <c:dPt>
            <c:idx val="1"/>
            <c:bubble3D val="0"/>
            <c:spPr>
              <a:solidFill>
                <a:srgbClr val="00B0F0"/>
              </a:solidFill>
              <a:ln w="19050">
                <a:solidFill>
                  <a:schemeClr val="lt1"/>
                </a:solidFill>
              </a:ln>
              <a:effectLst/>
            </c:spPr>
            <c:extLst>
              <c:ext xmlns:c16="http://schemas.microsoft.com/office/drawing/2014/chart" uri="{C3380CC4-5D6E-409C-BE32-E72D297353CC}">
                <c16:uniqueId val="{00000003-0587-4AD7-A420-1305C9933733}"/>
              </c:ext>
            </c:extLst>
          </c:dPt>
          <c:dPt>
            <c:idx val="2"/>
            <c:bubble3D val="0"/>
            <c:spPr>
              <a:solidFill>
                <a:srgbClr val="FFFF00"/>
              </a:solidFill>
              <a:ln w="19050">
                <a:solidFill>
                  <a:schemeClr val="lt1"/>
                </a:solidFill>
              </a:ln>
              <a:effectLst/>
            </c:spPr>
            <c:extLst>
              <c:ext xmlns:c16="http://schemas.microsoft.com/office/drawing/2014/chart" uri="{C3380CC4-5D6E-409C-BE32-E72D297353CC}">
                <c16:uniqueId val="{00000005-0587-4AD7-A420-1305C9933733}"/>
              </c:ext>
            </c:extLst>
          </c:dPt>
          <c:dPt>
            <c:idx val="3"/>
            <c:bubble3D val="0"/>
            <c:spPr>
              <a:solidFill>
                <a:srgbClr val="FF0000"/>
              </a:solidFill>
              <a:ln w="19050">
                <a:solidFill>
                  <a:schemeClr val="lt1"/>
                </a:solidFill>
              </a:ln>
              <a:effectLst/>
            </c:spPr>
            <c:extLst>
              <c:ext xmlns:c16="http://schemas.microsoft.com/office/drawing/2014/chart" uri="{C3380CC4-5D6E-409C-BE32-E72D297353CC}">
                <c16:uniqueId val="{00000007-0587-4AD7-A420-1305C9933733}"/>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0587-4AD7-A420-1305C9933733}"/>
              </c:ext>
            </c:extLst>
          </c:dPt>
          <c:dLbls>
            <c:dLbl>
              <c:idx val="0"/>
              <c:layout>
                <c:manualLayout>
                  <c:x val="0.12670281151654289"/>
                  <c:y val="6.5147484066929023E-2"/>
                </c:manualLayout>
              </c:layout>
              <c:dLblPos val="bestFit"/>
              <c:showLegendKey val="0"/>
              <c:showVal val="0"/>
              <c:showCatName val="1"/>
              <c:showSerName val="0"/>
              <c:showPercent val="1"/>
              <c:showBubbleSize val="0"/>
              <c:extLst>
                <c:ext xmlns:c15="http://schemas.microsoft.com/office/drawing/2012/chart" uri="{CE6537A1-D6FC-4f65-9D91-7224C49458BB}">
                  <c15:layout>
                    <c:manualLayout>
                      <c:w val="0.22485218005323071"/>
                      <c:h val="0.13913257588444727"/>
                    </c:manualLayout>
                  </c15:layout>
                </c:ext>
                <c:ext xmlns:c16="http://schemas.microsoft.com/office/drawing/2014/chart" uri="{C3380CC4-5D6E-409C-BE32-E72D297353CC}">
                  <c16:uniqueId val="{00000001-0587-4AD7-A420-1305C9933733}"/>
                </c:ext>
              </c:extLst>
            </c:dLbl>
            <c:dLbl>
              <c:idx val="1"/>
              <c:layout>
                <c:manualLayout>
                  <c:x val="6.8630689571460721E-2"/>
                  <c:y val="-1.9161024725567497E-2"/>
                </c:manualLayout>
              </c:layout>
              <c:dLblPos val="bestFit"/>
              <c:showLegendKey val="0"/>
              <c:showVal val="0"/>
              <c:showCatName val="1"/>
              <c:showSerName val="0"/>
              <c:showPercent val="1"/>
              <c:showBubbleSize val="0"/>
              <c:extLst>
                <c:ext xmlns:c15="http://schemas.microsoft.com/office/drawing/2012/chart" uri="{CE6537A1-D6FC-4f65-9D91-7224C49458BB}">
                  <c15:layout>
                    <c:manualLayout>
                      <c:w val="0.21323401443946477"/>
                      <c:h val="0.13913257588444727"/>
                    </c:manualLayout>
                  </c15:layout>
                </c:ext>
                <c:ext xmlns:c16="http://schemas.microsoft.com/office/drawing/2014/chart" uri="{C3380CC4-5D6E-409C-BE32-E72D297353CC}">
                  <c16:uniqueId val="{00000003-0587-4AD7-A420-1305C9933733}"/>
                </c:ext>
              </c:extLst>
            </c:dLbl>
            <c:dLbl>
              <c:idx val="2"/>
              <c:layout>
                <c:manualLayout>
                  <c:x val="-5.2792768849953084E-2"/>
                  <c:y val="7.6644098902269421E-3"/>
                </c:manualLayout>
              </c:layout>
              <c:dLblPos val="bestFit"/>
              <c:showLegendKey val="0"/>
              <c:showVal val="0"/>
              <c:showCatName val="1"/>
              <c:showSerName val="0"/>
              <c:showPercent val="1"/>
              <c:showBubbleSize val="0"/>
              <c:extLst>
                <c:ext xmlns:c15="http://schemas.microsoft.com/office/drawing/2012/chart" uri="{CE6537A1-D6FC-4f65-9D91-7224C49458BB}">
                  <c15:layout>
                    <c:manualLayout>
                      <c:w val="6.6190579651506293E-2"/>
                      <c:h val="9.6624672338933487E-2"/>
                    </c:manualLayout>
                  </c15:layout>
                </c:ext>
                <c:ext xmlns:c16="http://schemas.microsoft.com/office/drawing/2014/chart" uri="{C3380CC4-5D6E-409C-BE32-E72D297353CC}">
                  <c16:uniqueId val="{00000005-0587-4AD7-A420-1305C9933733}"/>
                </c:ext>
              </c:extLst>
            </c:dLbl>
            <c:dLbl>
              <c:idx val="3"/>
              <c:layout>
                <c:manualLayout>
                  <c:x val="-7.7693737245194919E-2"/>
                  <c:y val="1.8530068777517571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0587-4AD7-A420-1305C9933733}"/>
                </c:ext>
              </c:extLst>
            </c:dLbl>
            <c:dLbl>
              <c:idx val="4"/>
              <c:delete val="1"/>
              <c:extLst>
                <c:ext xmlns:c15="http://schemas.microsoft.com/office/drawing/2012/chart" uri="{CE6537A1-D6FC-4f65-9D91-7224C49458BB}"/>
                <c:ext xmlns:c16="http://schemas.microsoft.com/office/drawing/2014/chart" uri="{C3380CC4-5D6E-409C-BE32-E72D297353CC}">
                  <c16:uniqueId val="{00000009-0587-4AD7-A420-1305C9933733}"/>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Sheet1!$AG$2:$AK$2</c:f>
              <c:strCache>
                <c:ptCount val="5"/>
                <c:pt idx="0">
                  <c:v>Yes, a child is born to be a criminal </c:v>
                </c:pt>
                <c:pt idx="1">
                  <c:v>Yes, a child is made to be a criminal </c:v>
                </c:pt>
                <c:pt idx="2">
                  <c:v>Both</c:v>
                </c:pt>
                <c:pt idx="3">
                  <c:v>Neither</c:v>
                </c:pt>
                <c:pt idx="4">
                  <c:v>Prefer Not to Say </c:v>
                </c:pt>
              </c:strCache>
            </c:strRef>
          </c:cat>
          <c:val>
            <c:numRef>
              <c:f>Sheet1!$AG$3:$AK$3</c:f>
              <c:numCache>
                <c:formatCode>General</c:formatCode>
                <c:ptCount val="5"/>
                <c:pt idx="0">
                  <c:v>12</c:v>
                </c:pt>
                <c:pt idx="1">
                  <c:v>44</c:v>
                </c:pt>
                <c:pt idx="2">
                  <c:v>20</c:v>
                </c:pt>
                <c:pt idx="3">
                  <c:v>24</c:v>
                </c:pt>
                <c:pt idx="4">
                  <c:v>0</c:v>
                </c:pt>
              </c:numCache>
            </c:numRef>
          </c:val>
          <c:extLst>
            <c:ext xmlns:c16="http://schemas.microsoft.com/office/drawing/2014/chart" uri="{C3380CC4-5D6E-409C-BE32-E72D297353CC}">
              <c16:uniqueId val="{0000000A-0587-4AD7-A420-1305C9933733}"/>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050" b="0" i="0" u="none" strike="noStrike" kern="1200" baseline="0">
              <a:solidFill>
                <a:sysClr val="windowText" lastClr="000000"/>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900" b="1" i="0" u="sng" baseline="0">
                <a:solidFill>
                  <a:sysClr val="windowText" lastClr="000000"/>
                </a:solidFill>
                <a:effectLst/>
              </a:rPr>
              <a:t>A Stacked Column Graph to show the Satisfaction Percentage with the following statement; </a:t>
            </a:r>
            <a:endParaRPr lang="en-GB" sz="900">
              <a:solidFill>
                <a:sysClr val="windowText" lastClr="000000"/>
              </a:solidFill>
              <a:effectLst/>
            </a:endParaRPr>
          </a:p>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900" b="0" u="none">
                <a:solidFill>
                  <a:sysClr val="windowText" lastClr="000000"/>
                </a:solidFill>
                <a:effectLst/>
              </a:rPr>
              <a:t>"There is a Strong Relationship between Parent Criminality and a Child's Behaviour"</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barChart>
        <c:barDir val="col"/>
        <c:grouping val="percentStacked"/>
        <c:varyColors val="0"/>
        <c:ser>
          <c:idx val="0"/>
          <c:order val="0"/>
          <c:tx>
            <c:strRef>
              <c:f>Sheet1!$A$20</c:f>
              <c:strCache>
                <c:ptCount val="1"/>
                <c:pt idx="0">
                  <c:v>Strongy Agree</c:v>
                </c:pt>
              </c:strCache>
            </c:strRef>
          </c:tx>
          <c:spPr>
            <a:solidFill>
              <a:schemeClr val="accent1"/>
            </a:solidFill>
            <a:ln>
              <a:noFill/>
            </a:ln>
            <a:effectLst/>
          </c:spPr>
          <c:invertIfNegative val="0"/>
          <c:dLbls>
            <c:dLbl>
              <c:idx val="0"/>
              <c:layout>
                <c:manualLayout>
                  <c:x val="0.25380246153677855"/>
                  <c:y val="2.1920740127036729E-2"/>
                </c:manualLayout>
              </c:layout>
              <c:tx>
                <c:rich>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fld id="{2912278C-4B08-48CB-A4C4-71ACD3AB4C11}" type="VALUE">
                      <a:rPr lang="en-US" baseline="0"/>
                      <a:pPr>
                        <a:defRPr sz="900" b="0" i="0" u="none" strike="noStrike" kern="1200" baseline="0">
                          <a:solidFill>
                            <a:schemeClr val="dk1">
                              <a:lumMod val="65000"/>
                              <a:lumOff val="35000"/>
                            </a:schemeClr>
                          </a:solidFill>
                          <a:latin typeface="+mn-lt"/>
                          <a:ea typeface="+mn-ea"/>
                          <a:cs typeface="+mn-cs"/>
                        </a:defRPr>
                      </a:pPr>
                      <a:t>[VALUE]</a:t>
                    </a:fld>
                    <a:r>
                      <a:rPr lang="en-US" baseline="0"/>
                      <a:t>%</a:t>
                    </a:r>
                  </a:p>
                </c:rich>
              </c:tx>
              <c:spPr>
                <a:solidFill>
                  <a:sysClr val="window" lastClr="FFFFFF"/>
                </a:solidFill>
                <a:ln w="9525" cap="flat" cmpd="sng" algn="ctr">
                  <a:solidFill>
                    <a:sysClr val="windowText" lastClr="000000">
                      <a:lumMod val="25000"/>
                      <a:lumOff val="75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1"/>
              <c:showSerName val="0"/>
              <c:showPercent val="0"/>
              <c:showBubbleSize val="0"/>
              <c:extLst>
                <c:ext xmlns:c15="http://schemas.microsoft.com/office/drawing/2012/chart" uri="{CE6537A1-D6FC-4f65-9D91-7224C49458BB}">
                  <c15:spPr xmlns:c15="http://schemas.microsoft.com/office/drawing/2012/chart">
                    <a:prstGeom prst="wedgeRectCallout">
                      <a:avLst>
                        <a:gd name="adj1" fmla="val -138080"/>
                        <a:gd name="adj2" fmla="val 3794"/>
                      </a:avLst>
                    </a:prstGeom>
                    <a:noFill/>
                    <a:ln>
                      <a:noFill/>
                    </a:ln>
                  </c15:spPr>
                  <c15:dlblFieldTable/>
                  <c15:showDataLabelsRange val="0"/>
                </c:ext>
                <c:ext xmlns:c16="http://schemas.microsoft.com/office/drawing/2014/chart" uri="{C3380CC4-5D6E-409C-BE32-E72D297353CC}">
                  <c16:uniqueId val="{00000000-29D2-4EF7-BBFA-81F6B095F10B}"/>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val>
            <c:numRef>
              <c:f>Sheet1!$A$21</c:f>
              <c:numCache>
                <c:formatCode>General</c:formatCode>
                <c:ptCount val="1"/>
                <c:pt idx="0">
                  <c:v>36</c:v>
                </c:pt>
              </c:numCache>
            </c:numRef>
          </c:val>
          <c:extLst>
            <c:ext xmlns:c16="http://schemas.microsoft.com/office/drawing/2014/chart" uri="{C3380CC4-5D6E-409C-BE32-E72D297353CC}">
              <c16:uniqueId val="{00000001-29D2-4EF7-BBFA-81F6B095F10B}"/>
            </c:ext>
          </c:extLst>
        </c:ser>
        <c:ser>
          <c:idx val="1"/>
          <c:order val="1"/>
          <c:tx>
            <c:strRef>
              <c:f>Sheet1!$B$20</c:f>
              <c:strCache>
                <c:ptCount val="1"/>
                <c:pt idx="0">
                  <c:v>Agree</c:v>
                </c:pt>
              </c:strCache>
            </c:strRef>
          </c:tx>
          <c:spPr>
            <a:solidFill>
              <a:schemeClr val="accent2"/>
            </a:solidFill>
            <a:ln>
              <a:noFill/>
            </a:ln>
            <a:effectLst/>
          </c:spPr>
          <c:invertIfNegative val="0"/>
          <c:dLbls>
            <c:dLbl>
              <c:idx val="0"/>
              <c:layout>
                <c:manualLayout>
                  <c:x val="0.26983209068646985"/>
                  <c:y val="5.2609776304888153E-2"/>
                </c:manualLayout>
              </c:layout>
              <c:tx>
                <c:rich>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fld id="{17B95D06-0018-42EF-8458-4B5AEEC7434F}" type="VALUE">
                      <a:rPr lang="en-US" baseline="0"/>
                      <a:pPr>
                        <a:defRPr sz="900" b="0" i="0" u="none" strike="noStrike" kern="1200" baseline="0">
                          <a:solidFill>
                            <a:schemeClr val="dk1">
                              <a:lumMod val="65000"/>
                              <a:lumOff val="35000"/>
                            </a:schemeClr>
                          </a:solidFill>
                          <a:latin typeface="+mn-lt"/>
                          <a:ea typeface="+mn-ea"/>
                          <a:cs typeface="+mn-cs"/>
                        </a:defRPr>
                      </a:pPr>
                      <a:t>[VALUE]</a:t>
                    </a:fld>
                    <a:r>
                      <a:rPr lang="en-US" baseline="0"/>
                      <a:t>%</a:t>
                    </a:r>
                  </a:p>
                </c:rich>
              </c:tx>
              <c:spPr>
                <a:solidFill>
                  <a:sysClr val="window" lastClr="FFFFFF"/>
                </a:solidFill>
                <a:ln w="9525" cap="flat" cmpd="sng" algn="ctr">
                  <a:solidFill>
                    <a:sysClr val="windowText" lastClr="000000">
                      <a:lumMod val="25000"/>
                      <a:lumOff val="75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1"/>
              <c:showSerName val="0"/>
              <c:showPercent val="0"/>
              <c:showBubbleSize val="0"/>
              <c:extLst>
                <c:ext xmlns:c15="http://schemas.microsoft.com/office/drawing/2012/chart" uri="{CE6537A1-D6FC-4f65-9D91-7224C49458BB}">
                  <c15:spPr xmlns:c15="http://schemas.microsoft.com/office/drawing/2012/chart">
                    <a:prstGeom prst="wedgeRectCallout">
                      <a:avLst>
                        <a:gd name="adj1" fmla="val -184770"/>
                        <a:gd name="adj2" fmla="val -5564"/>
                      </a:avLst>
                    </a:prstGeom>
                    <a:noFill/>
                    <a:ln>
                      <a:noFill/>
                    </a:ln>
                  </c15:spPr>
                  <c15:dlblFieldTable/>
                  <c15:showDataLabelsRange val="0"/>
                </c:ext>
                <c:ext xmlns:c16="http://schemas.microsoft.com/office/drawing/2014/chart" uri="{C3380CC4-5D6E-409C-BE32-E72D297353CC}">
                  <c16:uniqueId val="{00000002-29D2-4EF7-BBFA-81F6B095F10B}"/>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val>
            <c:numRef>
              <c:f>Sheet1!$B$21</c:f>
              <c:numCache>
                <c:formatCode>General</c:formatCode>
                <c:ptCount val="1"/>
                <c:pt idx="0">
                  <c:v>46</c:v>
                </c:pt>
              </c:numCache>
            </c:numRef>
          </c:val>
          <c:extLst>
            <c:ext xmlns:c16="http://schemas.microsoft.com/office/drawing/2014/chart" uri="{C3380CC4-5D6E-409C-BE32-E72D297353CC}">
              <c16:uniqueId val="{00000003-29D2-4EF7-BBFA-81F6B095F10B}"/>
            </c:ext>
          </c:extLst>
        </c:ser>
        <c:ser>
          <c:idx val="2"/>
          <c:order val="2"/>
          <c:tx>
            <c:strRef>
              <c:f>Sheet1!$C$20</c:f>
              <c:strCache>
                <c:ptCount val="1"/>
                <c:pt idx="0">
                  <c:v>Neither Agree or Disagree </c:v>
                </c:pt>
              </c:strCache>
            </c:strRef>
          </c:tx>
          <c:spPr>
            <a:solidFill>
              <a:schemeClr val="accent6"/>
            </a:solidFill>
            <a:ln>
              <a:noFill/>
            </a:ln>
            <a:effectLst/>
          </c:spPr>
          <c:invertIfNegative val="0"/>
          <c:dLbls>
            <c:dLbl>
              <c:idx val="0"/>
              <c:layout>
                <c:manualLayout>
                  <c:x val="0.28051851011959744"/>
                  <c:y val="2.6304888152444077E-2"/>
                </c:manualLayout>
              </c:layout>
              <c:tx>
                <c:rich>
                  <a:bodyPr/>
                  <a:lstStyle/>
                  <a:p>
                    <a:fld id="{596143C9-A39E-46C4-8C34-F78BC7B471E5}" type="VALUE">
                      <a:rPr lang="en-US" baseline="0"/>
                      <a:pPr/>
                      <a:t>[VALUE]</a:t>
                    </a:fld>
                    <a:r>
                      <a:rPr lang="en-US" baseline="0"/>
                      <a:t>%</a:t>
                    </a:r>
                  </a:p>
                </c:rich>
              </c:tx>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4-29D2-4EF7-BBFA-81F6B095F10B}"/>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val>
            <c:numRef>
              <c:f>Sheet1!$C$21</c:f>
              <c:numCache>
                <c:formatCode>General</c:formatCode>
                <c:ptCount val="1"/>
                <c:pt idx="0">
                  <c:v>4</c:v>
                </c:pt>
              </c:numCache>
            </c:numRef>
          </c:val>
          <c:extLst>
            <c:ext xmlns:c16="http://schemas.microsoft.com/office/drawing/2014/chart" uri="{C3380CC4-5D6E-409C-BE32-E72D297353CC}">
              <c16:uniqueId val="{00000005-29D2-4EF7-BBFA-81F6B095F10B}"/>
            </c:ext>
          </c:extLst>
        </c:ser>
        <c:ser>
          <c:idx val="3"/>
          <c:order val="3"/>
          <c:tx>
            <c:strRef>
              <c:f>Sheet1!$D$20</c:f>
              <c:strCache>
                <c:ptCount val="1"/>
                <c:pt idx="0">
                  <c:v>Disagree</c:v>
                </c:pt>
              </c:strCache>
            </c:strRef>
          </c:tx>
          <c:spPr>
            <a:solidFill>
              <a:schemeClr val="accent4"/>
            </a:solidFill>
            <a:ln>
              <a:noFill/>
            </a:ln>
            <a:effectLst/>
          </c:spPr>
          <c:invertIfNegative val="0"/>
          <c:dLbls>
            <c:dLbl>
              <c:idx val="0"/>
              <c:layout>
                <c:manualLayout>
                  <c:x val="0.26983209068646985"/>
                  <c:y val="-3.9457332228666153E-2"/>
                </c:manualLayout>
              </c:layout>
              <c:tx>
                <c:rich>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fld id="{575A5D7F-9681-4812-B406-237DC47FBEF1}" type="VALUE">
                      <a:rPr lang="en-US" baseline="0"/>
                      <a:pPr>
                        <a:defRPr sz="900" b="0" i="0" u="none" strike="noStrike" kern="1200" baseline="0">
                          <a:solidFill>
                            <a:schemeClr val="dk1">
                              <a:lumMod val="65000"/>
                              <a:lumOff val="35000"/>
                            </a:schemeClr>
                          </a:solidFill>
                          <a:latin typeface="+mn-lt"/>
                          <a:ea typeface="+mn-ea"/>
                          <a:cs typeface="+mn-cs"/>
                        </a:defRPr>
                      </a:pPr>
                      <a:t>[VALUE]</a:t>
                    </a:fld>
                    <a:r>
                      <a:rPr lang="en-US" baseline="0"/>
                      <a:t>%</a:t>
                    </a:r>
                  </a:p>
                </c:rich>
              </c:tx>
              <c:spPr>
                <a:solidFill>
                  <a:sysClr val="window" lastClr="FFFFFF"/>
                </a:solidFill>
                <a:ln w="9525" cap="flat" cmpd="sng" algn="ctr">
                  <a:solidFill>
                    <a:sysClr val="windowText" lastClr="000000">
                      <a:lumMod val="25000"/>
                      <a:lumOff val="75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1"/>
              <c:showSerName val="0"/>
              <c:showPercent val="0"/>
              <c:showBubbleSize val="0"/>
              <c:extLst>
                <c:ext xmlns:c15="http://schemas.microsoft.com/office/drawing/2012/chart" uri="{CE6537A1-D6FC-4f65-9D91-7224C49458BB}">
                  <c15:spPr xmlns:c15="http://schemas.microsoft.com/office/drawing/2012/chart">
                    <a:prstGeom prst="wedgeRectCallout">
                      <a:avLst>
                        <a:gd name="adj1" fmla="val -173603"/>
                        <a:gd name="adj2" fmla="val 60804"/>
                      </a:avLst>
                    </a:prstGeom>
                    <a:noFill/>
                    <a:ln>
                      <a:noFill/>
                    </a:ln>
                  </c15:spPr>
                  <c15:dlblFieldTable/>
                  <c15:showDataLabelsRange val="0"/>
                </c:ext>
                <c:ext xmlns:c16="http://schemas.microsoft.com/office/drawing/2014/chart" uri="{C3380CC4-5D6E-409C-BE32-E72D297353CC}">
                  <c16:uniqueId val="{00000006-29D2-4EF7-BBFA-81F6B095F10B}"/>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val>
            <c:numRef>
              <c:f>Sheet1!$D$21</c:f>
              <c:numCache>
                <c:formatCode>General</c:formatCode>
                <c:ptCount val="1"/>
                <c:pt idx="0">
                  <c:v>14</c:v>
                </c:pt>
              </c:numCache>
            </c:numRef>
          </c:val>
          <c:extLst>
            <c:ext xmlns:c16="http://schemas.microsoft.com/office/drawing/2014/chart" uri="{C3380CC4-5D6E-409C-BE32-E72D297353CC}">
              <c16:uniqueId val="{00000007-29D2-4EF7-BBFA-81F6B095F10B}"/>
            </c:ext>
          </c:extLst>
        </c:ser>
        <c:ser>
          <c:idx val="4"/>
          <c:order val="4"/>
          <c:tx>
            <c:strRef>
              <c:f>Sheet1!$E$20</c:f>
              <c:strCache>
                <c:ptCount val="1"/>
                <c:pt idx="0">
                  <c:v>Strongly Disagree </c:v>
                </c:pt>
              </c:strCache>
            </c:strRef>
          </c:tx>
          <c:spPr>
            <a:solidFill>
              <a:srgbClr val="7030A0"/>
            </a:solidFill>
            <a:ln>
              <a:noFill/>
            </a:ln>
            <a:effectLst/>
          </c:spPr>
          <c:invertIfNegative val="0"/>
          <c:val>
            <c:numRef>
              <c:f>Sheet1!$E$21</c:f>
              <c:numCache>
                <c:formatCode>General</c:formatCode>
                <c:ptCount val="1"/>
                <c:pt idx="0">
                  <c:v>0</c:v>
                </c:pt>
              </c:numCache>
            </c:numRef>
          </c:val>
          <c:extLst>
            <c:ext xmlns:c16="http://schemas.microsoft.com/office/drawing/2014/chart" uri="{C3380CC4-5D6E-409C-BE32-E72D297353CC}">
              <c16:uniqueId val="{00000008-29D2-4EF7-BBFA-81F6B095F10B}"/>
            </c:ext>
          </c:extLst>
        </c:ser>
        <c:ser>
          <c:idx val="5"/>
          <c:order val="5"/>
          <c:tx>
            <c:strRef>
              <c:f>Sheet1!$F$20</c:f>
              <c:strCache>
                <c:ptCount val="1"/>
                <c:pt idx="0">
                  <c:v>Prefer Not to Say </c:v>
                </c:pt>
              </c:strCache>
            </c:strRef>
          </c:tx>
          <c:spPr>
            <a:solidFill>
              <a:srgbClr val="FFFF00"/>
            </a:solidFill>
            <a:ln>
              <a:noFill/>
            </a:ln>
            <a:effectLst/>
          </c:spPr>
          <c:invertIfNegative val="0"/>
          <c:val>
            <c:numRef>
              <c:f>Sheet1!$F$21</c:f>
              <c:numCache>
                <c:formatCode>General</c:formatCode>
                <c:ptCount val="1"/>
                <c:pt idx="0">
                  <c:v>0</c:v>
                </c:pt>
              </c:numCache>
            </c:numRef>
          </c:val>
          <c:extLst>
            <c:ext xmlns:c16="http://schemas.microsoft.com/office/drawing/2014/chart" uri="{C3380CC4-5D6E-409C-BE32-E72D297353CC}">
              <c16:uniqueId val="{00000009-29D2-4EF7-BBFA-81F6B095F10B}"/>
            </c:ext>
          </c:extLst>
        </c:ser>
        <c:dLbls>
          <c:showLegendKey val="0"/>
          <c:showVal val="0"/>
          <c:showCatName val="0"/>
          <c:showSerName val="0"/>
          <c:showPercent val="0"/>
          <c:showBubbleSize val="0"/>
        </c:dLbls>
        <c:gapWidth val="150"/>
        <c:overlap val="100"/>
        <c:axId val="545381496"/>
        <c:axId val="545382480"/>
      </c:barChart>
      <c:catAx>
        <c:axId val="545381496"/>
        <c:scaling>
          <c:orientation val="minMax"/>
        </c:scaling>
        <c:delete val="1"/>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i="1">
                    <a:solidFill>
                      <a:sysClr val="windowText" lastClr="000000"/>
                    </a:solidFill>
                  </a:rPr>
                  <a:t>Satisfaction</a:t>
                </a:r>
              </a:p>
            </c:rich>
          </c:tx>
          <c:layout>
            <c:manualLayout>
              <c:xMode val="edge"/>
              <c:yMode val="edge"/>
              <c:x val="0.48564150391555111"/>
              <c:y val="0.74312014856762831"/>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crossAx val="545382480"/>
        <c:crosses val="autoZero"/>
        <c:auto val="1"/>
        <c:lblAlgn val="ctr"/>
        <c:lblOffset val="100"/>
        <c:noMultiLvlLbl val="0"/>
      </c:catAx>
      <c:valAx>
        <c:axId val="5453824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800" b="0" i="1" u="none" strike="noStrike" kern="1200" baseline="0">
                    <a:solidFill>
                      <a:sysClr val="windowText" lastClr="000000"/>
                    </a:solidFill>
                    <a:latin typeface="+mn-lt"/>
                    <a:ea typeface="+mn-ea"/>
                    <a:cs typeface="+mn-cs"/>
                  </a:defRPr>
                </a:pPr>
                <a:r>
                  <a:rPr lang="en-GB" sz="800" i="1">
                    <a:solidFill>
                      <a:sysClr val="windowText" lastClr="000000"/>
                    </a:solidFill>
                  </a:rPr>
                  <a:t>Number</a:t>
                </a:r>
                <a:r>
                  <a:rPr lang="en-GB" sz="800" i="1" baseline="0">
                    <a:solidFill>
                      <a:sysClr val="windowText" lastClr="000000"/>
                    </a:solidFill>
                  </a:rPr>
                  <a:t> of Participants %</a:t>
                </a:r>
                <a:endParaRPr lang="en-GB" sz="800" i="1">
                  <a:solidFill>
                    <a:sysClr val="windowText" lastClr="000000"/>
                  </a:solidFill>
                </a:endParaRPr>
              </a:p>
            </c:rich>
          </c:tx>
          <c:layout>
            <c:manualLayout>
              <c:xMode val="edge"/>
              <c:yMode val="edge"/>
              <c:x val="1.8732779118408864E-2"/>
              <c:y val="0.26626844249319293"/>
            </c:manualLayout>
          </c:layout>
          <c:overlay val="0"/>
          <c:spPr>
            <a:noFill/>
            <a:ln>
              <a:noFill/>
            </a:ln>
            <a:effectLst/>
          </c:spPr>
          <c:txPr>
            <a:bodyPr rot="-5400000" spcFirstLastPara="1" vertOverflow="ellipsis" vert="horz" wrap="square" anchor="ctr" anchorCtr="1"/>
            <a:lstStyle/>
            <a:p>
              <a:pPr>
                <a:defRPr sz="800" b="0" i="1" u="none" strike="noStrike" kern="1200" baseline="0">
                  <a:solidFill>
                    <a:sysClr val="windowText" lastClr="000000"/>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545381496"/>
        <c:crosses val="autoZero"/>
        <c:crossBetween val="between"/>
      </c:valAx>
      <c:spPr>
        <a:noFill/>
        <a:ln>
          <a:noFill/>
        </a:ln>
        <a:effectLst/>
      </c:spPr>
    </c:plotArea>
    <c:legend>
      <c:legendPos val="b"/>
      <c:overlay val="0"/>
      <c:spPr>
        <a:solidFill>
          <a:schemeClr val="lt1"/>
        </a:solidFill>
        <a:ln w="12700" cap="flat" cmpd="sng" algn="ctr">
          <a:solidFill>
            <a:schemeClr val="dk1"/>
          </a:solidFill>
          <a:prstDash val="solid"/>
          <a:miter lim="800000"/>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050" b="1" u="sng">
                <a:solidFill>
                  <a:sysClr val="windowText" lastClr="000000"/>
                </a:solidFill>
              </a:rPr>
              <a:t>A Pie Chart Displaying the Gender Discrepancy among ASB Offenders.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rgbClr val="FF0000">
                  <a:alpha val="74000"/>
                </a:srgbClr>
              </a:solidFill>
              <a:ln w="19050">
                <a:solidFill>
                  <a:schemeClr val="lt1"/>
                </a:solidFill>
              </a:ln>
              <a:effectLst/>
            </c:spPr>
            <c:extLst>
              <c:ext xmlns:c16="http://schemas.microsoft.com/office/drawing/2014/chart" uri="{C3380CC4-5D6E-409C-BE32-E72D297353CC}">
                <c16:uniqueId val="{00000001-CB66-4200-8B8C-CC79A0148AF8}"/>
              </c:ext>
            </c:extLst>
          </c:dPt>
          <c:dPt>
            <c:idx val="1"/>
            <c:bubble3D val="0"/>
            <c:spPr>
              <a:solidFill>
                <a:srgbClr val="7030A0">
                  <a:alpha val="66000"/>
                </a:srgbClr>
              </a:solidFill>
              <a:ln w="19050">
                <a:solidFill>
                  <a:schemeClr val="lt1"/>
                </a:solidFill>
              </a:ln>
              <a:effectLst/>
            </c:spPr>
            <c:extLst>
              <c:ext xmlns:c16="http://schemas.microsoft.com/office/drawing/2014/chart" uri="{C3380CC4-5D6E-409C-BE32-E72D297353CC}">
                <c16:uniqueId val="{00000003-CB66-4200-8B8C-CC79A0148AF8}"/>
              </c:ext>
            </c:extLst>
          </c:dPt>
          <c:dPt>
            <c:idx val="2"/>
            <c:bubble3D val="0"/>
            <c:spPr>
              <a:solidFill>
                <a:srgbClr val="FFFF00"/>
              </a:solidFill>
              <a:ln w="19050">
                <a:solidFill>
                  <a:schemeClr val="lt1"/>
                </a:solidFill>
              </a:ln>
              <a:effectLst/>
            </c:spPr>
            <c:extLst>
              <c:ext xmlns:c16="http://schemas.microsoft.com/office/drawing/2014/chart" uri="{C3380CC4-5D6E-409C-BE32-E72D297353CC}">
                <c16:uniqueId val="{00000005-CB66-4200-8B8C-CC79A0148AF8}"/>
              </c:ext>
            </c:extLst>
          </c:dPt>
          <c:dPt>
            <c:idx val="3"/>
            <c:bubble3D val="0"/>
            <c:spPr>
              <a:solidFill>
                <a:srgbClr val="00B050"/>
              </a:solidFill>
              <a:ln w="19050">
                <a:solidFill>
                  <a:schemeClr val="lt1"/>
                </a:solidFill>
              </a:ln>
              <a:effectLst/>
            </c:spPr>
            <c:extLst>
              <c:ext xmlns:c16="http://schemas.microsoft.com/office/drawing/2014/chart" uri="{C3380CC4-5D6E-409C-BE32-E72D297353CC}">
                <c16:uniqueId val="{00000007-CB66-4200-8B8C-CC79A0148AF8}"/>
              </c:ext>
            </c:extLst>
          </c:dPt>
          <c:dLbls>
            <c:dLbl>
              <c:idx val="0"/>
              <c:tx>
                <c:rich>
                  <a:bodyPr/>
                  <a:lstStyle/>
                  <a:p>
                    <a:fld id="{3C5EC035-F0AF-464E-B1A5-F1B055755C36}" type="VALUE">
                      <a:rPr lang="en-US"/>
                      <a:pPr/>
                      <a:t>[VALUE]</a:t>
                    </a:fld>
                    <a:r>
                      <a:rPr lang="en-US"/>
                      <a:t>%</a:t>
                    </a:r>
                  </a:p>
                </c:rich>
              </c:tx>
              <c:dLblPos val="bestFit"/>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CB66-4200-8B8C-CC79A0148AF8}"/>
                </c:ext>
              </c:extLst>
            </c:dLbl>
            <c:dLbl>
              <c:idx val="1"/>
              <c:tx>
                <c:rich>
                  <a:bodyPr/>
                  <a:lstStyle/>
                  <a:p>
                    <a:fld id="{9F6C1602-65E9-4D6B-936D-1D4D03F1AB15}" type="VALUE">
                      <a:rPr lang="en-US"/>
                      <a:pPr/>
                      <a:t>[VALUE]</a:t>
                    </a:fld>
                    <a:r>
                      <a:rPr lang="en-US"/>
                      <a:t>%</a:t>
                    </a:r>
                  </a:p>
                </c:rich>
              </c:tx>
              <c:dLblPos val="bestFit"/>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CB66-4200-8B8C-CC79A0148AF8}"/>
                </c:ext>
              </c:extLst>
            </c:dLbl>
            <c:dLbl>
              <c:idx val="2"/>
              <c:delete val="1"/>
              <c:extLst>
                <c:ext xmlns:c15="http://schemas.microsoft.com/office/drawing/2012/chart" uri="{CE6537A1-D6FC-4f65-9D91-7224C49458BB}"/>
                <c:ext xmlns:c16="http://schemas.microsoft.com/office/drawing/2014/chart" uri="{C3380CC4-5D6E-409C-BE32-E72D297353CC}">
                  <c16:uniqueId val="{00000005-CB66-4200-8B8C-CC79A0148AF8}"/>
                </c:ext>
              </c:extLst>
            </c:dLbl>
            <c:dLbl>
              <c:idx val="3"/>
              <c:delete val="1"/>
              <c:extLst>
                <c:ext xmlns:c15="http://schemas.microsoft.com/office/drawing/2012/chart" uri="{CE6537A1-D6FC-4f65-9D91-7224C49458BB}"/>
                <c:ext xmlns:c16="http://schemas.microsoft.com/office/drawing/2014/chart" uri="{C3380CC4-5D6E-409C-BE32-E72D297353CC}">
                  <c16:uniqueId val="{00000007-CB66-4200-8B8C-CC79A0148AF8}"/>
                </c:ext>
              </c:extLst>
            </c:dLbl>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ysClr val="windowText" lastClr="000000"/>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Sheet1!$Q$24:$T$24</c:f>
              <c:strCache>
                <c:ptCount val="4"/>
                <c:pt idx="0">
                  <c:v>Male </c:v>
                </c:pt>
                <c:pt idx="1">
                  <c:v>Female</c:v>
                </c:pt>
                <c:pt idx="2">
                  <c:v>Other</c:v>
                </c:pt>
                <c:pt idx="3">
                  <c:v>Prefer Not to Say</c:v>
                </c:pt>
              </c:strCache>
            </c:strRef>
          </c:cat>
          <c:val>
            <c:numRef>
              <c:f>Sheet1!$Q$25:$T$25</c:f>
              <c:numCache>
                <c:formatCode>General</c:formatCode>
                <c:ptCount val="4"/>
                <c:pt idx="0">
                  <c:v>92</c:v>
                </c:pt>
                <c:pt idx="1">
                  <c:v>8</c:v>
                </c:pt>
                <c:pt idx="2">
                  <c:v>0</c:v>
                </c:pt>
                <c:pt idx="3">
                  <c:v>0</c:v>
                </c:pt>
              </c:numCache>
            </c:numRef>
          </c:val>
          <c:extLst>
            <c:ext xmlns:c16="http://schemas.microsoft.com/office/drawing/2014/chart" uri="{C3380CC4-5D6E-409C-BE32-E72D297353CC}">
              <c16:uniqueId val="{00000008-CB66-4200-8B8C-CC79A0148AF8}"/>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400" b="1" i="0" u="none" strike="noStrike" kern="1200" baseline="0">
              <a:solidFill>
                <a:sysClr val="windowText" lastClr="000000"/>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b="1" u="sng">
                <a:solidFill>
                  <a:sysClr val="windowText" lastClr="000000"/>
                </a:solidFill>
              </a:rPr>
              <a:t>A</a:t>
            </a:r>
            <a:r>
              <a:rPr lang="en-GB" sz="1200" b="1" u="sng" baseline="0">
                <a:solidFill>
                  <a:sysClr val="windowText" lastClr="000000"/>
                </a:solidFill>
              </a:rPr>
              <a:t> Pie Chart to show the most common external impact upon ASB</a:t>
            </a:r>
            <a:endParaRPr lang="en-GB" sz="1200" b="1" u="sng">
              <a:solidFill>
                <a:sysClr val="windowText" lastClr="000000"/>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rgbClr val="00B0F0"/>
              </a:solidFill>
              <a:ln w="19050">
                <a:solidFill>
                  <a:schemeClr val="lt1"/>
                </a:solidFill>
              </a:ln>
              <a:effectLst/>
            </c:spPr>
            <c:extLst>
              <c:ext xmlns:c16="http://schemas.microsoft.com/office/drawing/2014/chart" uri="{C3380CC4-5D6E-409C-BE32-E72D297353CC}">
                <c16:uniqueId val="{00000001-69C6-4527-80D8-BE214E4AE0A8}"/>
              </c:ext>
            </c:extLst>
          </c:dPt>
          <c:dPt>
            <c:idx val="1"/>
            <c:bubble3D val="0"/>
            <c:spPr>
              <a:solidFill>
                <a:srgbClr val="4DC610"/>
              </a:solidFill>
              <a:ln w="19050">
                <a:solidFill>
                  <a:schemeClr val="lt1"/>
                </a:solidFill>
              </a:ln>
              <a:effectLst/>
            </c:spPr>
            <c:extLst>
              <c:ext xmlns:c16="http://schemas.microsoft.com/office/drawing/2014/chart" uri="{C3380CC4-5D6E-409C-BE32-E72D297353CC}">
                <c16:uniqueId val="{00000003-69C6-4527-80D8-BE214E4AE0A8}"/>
              </c:ext>
            </c:extLst>
          </c:dPt>
          <c:dPt>
            <c:idx val="2"/>
            <c:bubble3D val="0"/>
            <c:spPr>
              <a:solidFill>
                <a:srgbClr val="FFC000"/>
              </a:solidFill>
              <a:ln w="19050">
                <a:solidFill>
                  <a:schemeClr val="lt1"/>
                </a:solidFill>
              </a:ln>
              <a:effectLst/>
            </c:spPr>
            <c:extLst>
              <c:ext xmlns:c16="http://schemas.microsoft.com/office/drawing/2014/chart" uri="{C3380CC4-5D6E-409C-BE32-E72D297353CC}">
                <c16:uniqueId val="{00000005-69C6-4527-80D8-BE214E4AE0A8}"/>
              </c:ext>
            </c:extLst>
          </c:dPt>
          <c:dPt>
            <c:idx val="3"/>
            <c:bubble3D val="0"/>
            <c:spPr>
              <a:solidFill>
                <a:srgbClr val="FF0000"/>
              </a:solidFill>
              <a:ln w="19050">
                <a:solidFill>
                  <a:schemeClr val="lt1"/>
                </a:solidFill>
              </a:ln>
              <a:effectLst/>
            </c:spPr>
            <c:extLst>
              <c:ext xmlns:c16="http://schemas.microsoft.com/office/drawing/2014/chart" uri="{C3380CC4-5D6E-409C-BE32-E72D297353CC}">
                <c16:uniqueId val="{00000007-69C6-4527-80D8-BE214E4AE0A8}"/>
              </c:ext>
            </c:extLst>
          </c:dPt>
          <c:dLbls>
            <c:dLbl>
              <c:idx val="0"/>
              <c:tx>
                <c:rich>
                  <a:bodyPr/>
                  <a:lstStyle/>
                  <a:p>
                    <a:fld id="{D1B561E5-E949-4912-9BF3-156628A62230}" type="VALUE">
                      <a:rPr lang="en-US"/>
                      <a:pPr/>
                      <a:t>[VALUE]</a:t>
                    </a:fld>
                    <a:r>
                      <a:rPr lang="en-US"/>
                      <a:t>%</a:t>
                    </a:r>
                  </a:p>
                </c:rich>
              </c:tx>
              <c:dLblPos val="ctr"/>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69C6-4527-80D8-BE214E4AE0A8}"/>
                </c:ext>
              </c:extLst>
            </c:dLbl>
            <c:dLbl>
              <c:idx val="1"/>
              <c:tx>
                <c:rich>
                  <a:bodyPr/>
                  <a:lstStyle/>
                  <a:p>
                    <a:fld id="{B7A0098A-D882-41F9-A1F2-9578B026AE49}" type="VALUE">
                      <a:rPr lang="en-US"/>
                      <a:pPr/>
                      <a:t>[VALUE]</a:t>
                    </a:fld>
                    <a:r>
                      <a:rPr lang="en-US"/>
                      <a:t>%</a:t>
                    </a:r>
                  </a:p>
                </c:rich>
              </c:tx>
              <c:dLblPos val="ctr"/>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69C6-4527-80D8-BE214E4AE0A8}"/>
                </c:ext>
              </c:extLst>
            </c:dLbl>
            <c:dLbl>
              <c:idx val="2"/>
              <c:delete val="1"/>
              <c:extLst>
                <c:ext xmlns:c15="http://schemas.microsoft.com/office/drawing/2012/chart" uri="{CE6537A1-D6FC-4f65-9D91-7224C49458BB}"/>
                <c:ext xmlns:c16="http://schemas.microsoft.com/office/drawing/2014/chart" uri="{C3380CC4-5D6E-409C-BE32-E72D297353CC}">
                  <c16:uniqueId val="{00000005-69C6-4527-80D8-BE214E4AE0A8}"/>
                </c:ext>
              </c:extLst>
            </c:dLbl>
            <c:dLbl>
              <c:idx val="3"/>
              <c:delete val="1"/>
              <c:extLst>
                <c:ext xmlns:c15="http://schemas.microsoft.com/office/drawing/2012/chart" uri="{CE6537A1-D6FC-4f65-9D91-7224C49458BB}"/>
                <c:ext xmlns:c16="http://schemas.microsoft.com/office/drawing/2014/chart" uri="{C3380CC4-5D6E-409C-BE32-E72D297353CC}">
                  <c16:uniqueId val="{00000007-69C6-4527-80D8-BE214E4AE0A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Sheet1!$W$24:$Z$24</c:f>
              <c:strCache>
                <c:ptCount val="4"/>
                <c:pt idx="0">
                  <c:v>Alcohol</c:v>
                </c:pt>
                <c:pt idx="1">
                  <c:v>Drugs</c:v>
                </c:pt>
                <c:pt idx="2">
                  <c:v>Neither has an effect on ASB </c:v>
                </c:pt>
                <c:pt idx="3">
                  <c:v>Prefer Not Say </c:v>
                </c:pt>
              </c:strCache>
            </c:strRef>
          </c:cat>
          <c:val>
            <c:numRef>
              <c:f>Sheet1!$W$25:$Z$25</c:f>
              <c:numCache>
                <c:formatCode>General</c:formatCode>
                <c:ptCount val="4"/>
                <c:pt idx="0">
                  <c:v>70</c:v>
                </c:pt>
                <c:pt idx="1">
                  <c:v>30</c:v>
                </c:pt>
                <c:pt idx="2">
                  <c:v>0</c:v>
                </c:pt>
                <c:pt idx="3">
                  <c:v>0</c:v>
                </c:pt>
              </c:numCache>
            </c:numRef>
          </c:val>
          <c:extLst>
            <c:ext xmlns:c16="http://schemas.microsoft.com/office/drawing/2014/chart" uri="{C3380CC4-5D6E-409C-BE32-E72D297353CC}">
              <c16:uniqueId val="{00000008-69C6-4527-80D8-BE214E4AE0A8}"/>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sng" strike="noStrike" kern="1200" spc="0" baseline="0">
                <a:solidFill>
                  <a:sysClr val="windowText" lastClr="000000"/>
                </a:solidFill>
                <a:latin typeface="+mn-lt"/>
                <a:ea typeface="+mn-ea"/>
                <a:cs typeface="+mn-cs"/>
              </a:defRPr>
            </a:pPr>
            <a:r>
              <a:rPr lang="en-GB" sz="1200" b="1" u="sng">
                <a:solidFill>
                  <a:sysClr val="windowText" lastClr="000000"/>
                </a:solidFill>
              </a:rPr>
              <a:t>A Pie Chart to show</a:t>
            </a:r>
            <a:r>
              <a:rPr lang="en-GB" sz="1200" b="1" i="0" u="sng" strike="noStrike" baseline="0">
                <a:solidFill>
                  <a:sysClr val="windowText" lastClr="000000"/>
                </a:solidFill>
                <a:effectLst/>
              </a:rPr>
              <a:t> at what Age is ASB More Common</a:t>
            </a:r>
            <a:r>
              <a:rPr lang="en-GB" sz="1200" b="1" u="sng">
                <a:solidFill>
                  <a:sysClr val="windowText" lastClr="000000"/>
                </a:solidFill>
              </a:rPr>
              <a:t> </a:t>
            </a:r>
          </a:p>
        </c:rich>
      </c:tx>
      <c:overlay val="0"/>
      <c:spPr>
        <a:noFill/>
        <a:ln>
          <a:noFill/>
        </a:ln>
        <a:effectLst/>
      </c:spPr>
      <c:txPr>
        <a:bodyPr rot="0" spcFirstLastPara="1" vertOverflow="ellipsis" vert="horz" wrap="square" anchor="ctr" anchorCtr="1"/>
        <a:lstStyle/>
        <a:p>
          <a:pPr>
            <a:defRPr sz="1200" b="1" i="0" u="sng" strike="noStrike" kern="1200" spc="0" baseline="0">
              <a:solidFill>
                <a:sysClr val="windowText" lastClr="000000"/>
              </a:solidFill>
              <a:latin typeface="+mn-lt"/>
              <a:ea typeface="+mn-ea"/>
              <a:cs typeface="+mn-cs"/>
            </a:defRPr>
          </a:pPr>
          <a:endParaRPr lang="en-US"/>
        </a:p>
      </c:txPr>
    </c:title>
    <c:autoTitleDeleted val="0"/>
    <c:plotArea>
      <c:layout/>
      <c:pieChart>
        <c:varyColors val="1"/>
        <c:ser>
          <c:idx val="0"/>
          <c:order val="0"/>
          <c:dPt>
            <c:idx val="0"/>
            <c:bubble3D val="0"/>
            <c:spPr>
              <a:solidFill>
                <a:schemeClr val="accent6"/>
              </a:solidFill>
              <a:ln w="19050">
                <a:solidFill>
                  <a:schemeClr val="lt1"/>
                </a:solidFill>
              </a:ln>
              <a:effectLst/>
            </c:spPr>
            <c:extLst>
              <c:ext xmlns:c16="http://schemas.microsoft.com/office/drawing/2014/chart" uri="{C3380CC4-5D6E-409C-BE32-E72D297353CC}">
                <c16:uniqueId val="{00000001-FC27-4F62-B491-0453E72FD9FE}"/>
              </c:ext>
            </c:extLst>
          </c:dPt>
          <c:dPt>
            <c:idx val="1"/>
            <c:bubble3D val="0"/>
            <c:spPr>
              <a:solidFill>
                <a:schemeClr val="accent5"/>
              </a:solidFill>
              <a:ln w="19050">
                <a:solidFill>
                  <a:schemeClr val="lt1"/>
                </a:solidFill>
              </a:ln>
              <a:effectLst/>
            </c:spPr>
            <c:extLst>
              <c:ext xmlns:c16="http://schemas.microsoft.com/office/drawing/2014/chart" uri="{C3380CC4-5D6E-409C-BE32-E72D297353CC}">
                <c16:uniqueId val="{00000003-FC27-4F62-B491-0453E72FD9FE}"/>
              </c:ext>
            </c:extLst>
          </c:dPt>
          <c:dPt>
            <c:idx val="2"/>
            <c:bubble3D val="0"/>
            <c:spPr>
              <a:solidFill>
                <a:schemeClr val="accent4"/>
              </a:solidFill>
              <a:ln w="19050">
                <a:solidFill>
                  <a:schemeClr val="lt1"/>
                </a:solidFill>
              </a:ln>
              <a:effectLst/>
            </c:spPr>
            <c:extLst>
              <c:ext xmlns:c16="http://schemas.microsoft.com/office/drawing/2014/chart" uri="{C3380CC4-5D6E-409C-BE32-E72D297353CC}">
                <c16:uniqueId val="{00000005-FC27-4F62-B491-0453E72FD9FE}"/>
              </c:ext>
            </c:extLst>
          </c:dPt>
          <c:dPt>
            <c:idx val="3"/>
            <c:bubble3D val="0"/>
            <c:spPr>
              <a:solidFill>
                <a:srgbClr val="FF0000"/>
              </a:solidFill>
              <a:ln w="19050">
                <a:solidFill>
                  <a:schemeClr val="lt1"/>
                </a:solidFill>
              </a:ln>
              <a:effectLst/>
            </c:spPr>
            <c:extLst>
              <c:ext xmlns:c16="http://schemas.microsoft.com/office/drawing/2014/chart" uri="{C3380CC4-5D6E-409C-BE32-E72D297353CC}">
                <c16:uniqueId val="{00000007-FC27-4F62-B491-0453E72FD9FE}"/>
              </c:ext>
            </c:extLst>
          </c:dPt>
          <c:dLbls>
            <c:dLbl>
              <c:idx val="0"/>
              <c:layout>
                <c:manualLayout>
                  <c:x val="0.13171800143730281"/>
                  <c:y val="8.4926392089333294E-2"/>
                </c:manualLayout>
              </c:layout>
              <c:spPr>
                <a:solidFill>
                  <a:sysClr val="window" lastClr="FFFFFF"/>
                </a:solidFill>
                <a:ln w="9525" cap="flat" cmpd="sng" algn="ctr">
                  <a:solidFill>
                    <a:sysClr val="windowText" lastClr="000000">
                      <a:lumMod val="25000"/>
                      <a:lumOff val="75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c:spPr>
              <c:txPr>
                <a:bodyPr rot="0" spcFirstLastPara="1" vertOverflow="clip" horzOverflow="clip" vert="horz" wrap="square" lIns="38100" tIns="19050" rIns="38100" bIns="19050" anchor="ctr" anchorCtr="1">
                  <a:spAutoFit/>
                </a:bodyPr>
                <a:lstStyle/>
                <a:p>
                  <a:pPr>
                    <a:defRPr sz="1050" b="0" i="0" u="none" strike="noStrike" kern="1200" baseline="0">
                      <a:solidFill>
                        <a:schemeClr val="dk1">
                          <a:lumMod val="65000"/>
                          <a:lumOff val="35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gd name="adj1" fmla="val -274547"/>
                        <a:gd name="adj2" fmla="val 70591"/>
                      </a:avLst>
                    </a:prstGeom>
                    <a:noFill/>
                    <a:ln>
                      <a:noFill/>
                    </a:ln>
                  </c15:spPr>
                </c:ext>
                <c:ext xmlns:c16="http://schemas.microsoft.com/office/drawing/2014/chart" uri="{C3380CC4-5D6E-409C-BE32-E72D297353CC}">
                  <c16:uniqueId val="{00000001-FC27-4F62-B491-0453E72FD9FE}"/>
                </c:ext>
              </c:extLst>
            </c:dLbl>
            <c:dLbl>
              <c:idx val="1"/>
              <c:layout>
                <c:manualLayout>
                  <c:x val="-0.22454724232871362"/>
                  <c:y val="-0.18276016493496042"/>
                </c:manualLayout>
              </c:layout>
              <c:spPr>
                <a:solidFill>
                  <a:sysClr val="window" lastClr="FFFFFF"/>
                </a:solidFill>
                <a:ln w="9525" cap="flat" cmpd="sng" algn="ctr">
                  <a:solidFill>
                    <a:sysClr val="windowText" lastClr="000000">
                      <a:lumMod val="25000"/>
                      <a:lumOff val="75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c:spPr>
              <c:txPr>
                <a:bodyPr rot="0" spcFirstLastPara="1" vertOverflow="clip" horzOverflow="clip" vert="horz" wrap="square" lIns="38100" tIns="19050" rIns="38100" bIns="19050" anchor="ctr" anchorCtr="1">
                  <a:spAutoFit/>
                </a:bodyPr>
                <a:lstStyle/>
                <a:p>
                  <a:pPr>
                    <a:defRPr sz="1050" b="0" i="0" u="none" strike="noStrike" kern="1200" baseline="0">
                      <a:solidFill>
                        <a:schemeClr val="dk1">
                          <a:lumMod val="65000"/>
                          <a:lumOff val="35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gd name="adj1" fmla="val 276478"/>
                        <a:gd name="adj2" fmla="val -29058"/>
                      </a:avLst>
                    </a:prstGeom>
                    <a:noFill/>
                    <a:ln>
                      <a:noFill/>
                    </a:ln>
                  </c15:spPr>
                </c:ext>
                <c:ext xmlns:c16="http://schemas.microsoft.com/office/drawing/2014/chart" uri="{C3380CC4-5D6E-409C-BE32-E72D297353CC}">
                  <c16:uniqueId val="{00000003-FC27-4F62-B491-0453E72FD9FE}"/>
                </c:ext>
              </c:extLst>
            </c:dLbl>
            <c:dLbl>
              <c:idx val="2"/>
              <c:layout>
                <c:manualLayout>
                  <c:x val="-0.18611115100150202"/>
                  <c:y val="5.9047159530484367E-2"/>
                </c:manualLayout>
              </c:layout>
              <c:spPr>
                <a:solidFill>
                  <a:sysClr val="window" lastClr="FFFFFF"/>
                </a:solidFill>
                <a:ln w="9525" cap="flat" cmpd="sng" algn="ctr">
                  <a:solidFill>
                    <a:sysClr val="windowText" lastClr="000000">
                      <a:lumMod val="25000"/>
                      <a:lumOff val="75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c:spPr>
              <c:txPr>
                <a:bodyPr rot="0" spcFirstLastPara="1" vertOverflow="clip" horzOverflow="clip" vert="horz" wrap="square" lIns="38100" tIns="19050" rIns="38100" bIns="19050" anchor="ctr" anchorCtr="1">
                  <a:spAutoFit/>
                </a:bodyPr>
                <a:lstStyle/>
                <a:p>
                  <a:pPr>
                    <a:defRPr sz="1050" b="0" i="0" u="none" strike="noStrike" kern="1200" baseline="0">
                      <a:solidFill>
                        <a:schemeClr val="dk1">
                          <a:lumMod val="65000"/>
                          <a:lumOff val="35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gd name="adj1" fmla="val 307674"/>
                        <a:gd name="adj2" fmla="val 117439"/>
                      </a:avLst>
                    </a:prstGeom>
                    <a:noFill/>
                    <a:ln>
                      <a:noFill/>
                    </a:ln>
                  </c15:spPr>
                </c:ext>
                <c:ext xmlns:c16="http://schemas.microsoft.com/office/drawing/2014/chart" uri="{C3380CC4-5D6E-409C-BE32-E72D297353CC}">
                  <c16:uniqueId val="{00000005-FC27-4F62-B491-0453E72FD9FE}"/>
                </c:ext>
              </c:extLst>
            </c:dLbl>
            <c:dLbl>
              <c:idx val="3"/>
              <c:delete val="1"/>
              <c:extLst>
                <c:ext xmlns:c15="http://schemas.microsoft.com/office/drawing/2012/chart" uri="{CE6537A1-D6FC-4f65-9D91-7224C49458BB}"/>
                <c:ext xmlns:c16="http://schemas.microsoft.com/office/drawing/2014/chart" uri="{C3380CC4-5D6E-409C-BE32-E72D297353CC}">
                  <c16:uniqueId val="{00000007-FC27-4F62-B491-0453E72FD9FE}"/>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Sheet1!$Q$43:$T$43</c:f>
              <c:strCache>
                <c:ptCount val="4"/>
                <c:pt idx="0">
                  <c:v>10 – 13 </c:v>
                </c:pt>
                <c:pt idx="1">
                  <c:v>14 – 17 </c:v>
                </c:pt>
                <c:pt idx="2">
                  <c:v>18 – 21</c:v>
                </c:pt>
                <c:pt idx="3">
                  <c:v>Prefer Not Say </c:v>
                </c:pt>
              </c:strCache>
            </c:strRef>
          </c:cat>
          <c:val>
            <c:numRef>
              <c:f>Sheet1!$Q$44:$T$44</c:f>
              <c:numCache>
                <c:formatCode>General</c:formatCode>
                <c:ptCount val="4"/>
                <c:pt idx="0">
                  <c:v>28</c:v>
                </c:pt>
                <c:pt idx="1">
                  <c:v>54</c:v>
                </c:pt>
                <c:pt idx="2">
                  <c:v>18</c:v>
                </c:pt>
                <c:pt idx="3">
                  <c:v>0</c:v>
                </c:pt>
              </c:numCache>
            </c:numRef>
          </c:val>
          <c:extLst>
            <c:ext xmlns:c16="http://schemas.microsoft.com/office/drawing/2014/chart" uri="{C3380CC4-5D6E-409C-BE32-E72D297353CC}">
              <c16:uniqueId val="{00000008-FC27-4F62-B491-0453E72FD9FE}"/>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400" b="0" i="0" u="none" strike="noStrike" kern="1200" baseline="0">
              <a:solidFill>
                <a:sysClr val="windowText" lastClr="000000"/>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en-GB" sz="1200" b="1" i="0" u="sng">
                <a:solidFill>
                  <a:sysClr val="windowText" lastClr="000000"/>
                </a:solidFill>
              </a:rPr>
              <a:t>A Bar Graph to show police opinions when asked the following;</a:t>
            </a:r>
            <a:r>
              <a:rPr lang="en-GB" sz="1200" b="1" i="0" u="sng" baseline="0">
                <a:solidFill>
                  <a:sysClr val="windowText" lastClr="000000"/>
                </a:solidFill>
              </a:rPr>
              <a:t> </a:t>
            </a:r>
          </a:p>
          <a:p>
            <a:pPr algn="ctr">
              <a:defRPr sz="1400" b="0" i="0" u="none" strike="noStrike" kern="1200" spc="0" baseline="0">
                <a:solidFill>
                  <a:schemeClr val="tx1">
                    <a:lumMod val="65000"/>
                    <a:lumOff val="35000"/>
                  </a:schemeClr>
                </a:solidFill>
                <a:latin typeface="+mn-lt"/>
                <a:ea typeface="+mn-ea"/>
                <a:cs typeface="+mn-cs"/>
              </a:defRPr>
            </a:pPr>
            <a:r>
              <a:rPr lang="en-GB" sz="1200" b="0" i="0" u="none" strike="noStrike" baseline="0">
                <a:solidFill>
                  <a:sysClr val="windowText" lastClr="000000"/>
                </a:solidFill>
                <a:effectLst/>
              </a:rPr>
              <a:t>"Are other authorities doing enough to prevent youth crime in a criminal environment?" </a:t>
            </a:r>
            <a:endParaRPr lang="en-GB" sz="1200" b="0" i="0" u="none">
              <a:solidFill>
                <a:sysClr val="windowText" lastClr="000000"/>
              </a:solidFill>
            </a:endParaRPr>
          </a:p>
        </c:rich>
      </c:tx>
      <c:overlay val="0"/>
      <c:spPr>
        <a:noFill/>
        <a:ln>
          <a:noFill/>
        </a:ln>
        <a:effectLst/>
      </c:spPr>
      <c:txPr>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Pt>
            <c:idx val="0"/>
            <c:invertIfNegative val="0"/>
            <c:bubble3D val="0"/>
            <c:spPr>
              <a:solidFill>
                <a:srgbClr val="4DC610"/>
              </a:solidFill>
              <a:ln>
                <a:noFill/>
              </a:ln>
              <a:effectLst/>
            </c:spPr>
            <c:extLst>
              <c:ext xmlns:c16="http://schemas.microsoft.com/office/drawing/2014/chart" uri="{C3380CC4-5D6E-409C-BE32-E72D297353CC}">
                <c16:uniqueId val="{00000001-2F89-4AC1-86A9-555FD7914E4B}"/>
              </c:ext>
            </c:extLst>
          </c:dPt>
          <c:dPt>
            <c:idx val="1"/>
            <c:invertIfNegative val="0"/>
            <c:bubble3D val="0"/>
            <c:spPr>
              <a:solidFill>
                <a:srgbClr val="FF0000"/>
              </a:solidFill>
              <a:ln>
                <a:noFill/>
              </a:ln>
              <a:effectLst/>
            </c:spPr>
            <c:extLst>
              <c:ext xmlns:c16="http://schemas.microsoft.com/office/drawing/2014/chart" uri="{C3380CC4-5D6E-409C-BE32-E72D297353CC}">
                <c16:uniqueId val="{00000003-2F89-4AC1-86A9-555FD7914E4B}"/>
              </c:ext>
            </c:extLst>
          </c:dPt>
          <c:cat>
            <c:strRef>
              <c:f>Sheet1!$Y$63:$AA$63</c:f>
              <c:strCache>
                <c:ptCount val="3"/>
                <c:pt idx="0">
                  <c:v>Yes</c:v>
                </c:pt>
                <c:pt idx="1">
                  <c:v>No </c:v>
                </c:pt>
                <c:pt idx="2">
                  <c:v>Prefer Not Say </c:v>
                </c:pt>
              </c:strCache>
            </c:strRef>
          </c:cat>
          <c:val>
            <c:numRef>
              <c:f>Sheet1!$Y$64:$AA$64</c:f>
              <c:numCache>
                <c:formatCode>General</c:formatCode>
                <c:ptCount val="3"/>
                <c:pt idx="0">
                  <c:v>36</c:v>
                </c:pt>
                <c:pt idx="1">
                  <c:v>62</c:v>
                </c:pt>
                <c:pt idx="2">
                  <c:v>2</c:v>
                </c:pt>
              </c:numCache>
            </c:numRef>
          </c:val>
          <c:extLst>
            <c:ext xmlns:c16="http://schemas.microsoft.com/office/drawing/2014/chart" uri="{C3380CC4-5D6E-409C-BE32-E72D297353CC}">
              <c16:uniqueId val="{00000004-2F89-4AC1-86A9-555FD7914E4B}"/>
            </c:ext>
          </c:extLst>
        </c:ser>
        <c:dLbls>
          <c:showLegendKey val="0"/>
          <c:showVal val="0"/>
          <c:showCatName val="0"/>
          <c:showSerName val="0"/>
          <c:showPercent val="0"/>
          <c:showBubbleSize val="0"/>
        </c:dLbls>
        <c:gapWidth val="219"/>
        <c:overlap val="-27"/>
        <c:axId val="547032448"/>
        <c:axId val="547038680"/>
      </c:barChart>
      <c:catAx>
        <c:axId val="547032448"/>
        <c:scaling>
          <c:orientation val="minMax"/>
        </c:scaling>
        <c:delete val="0"/>
        <c:axPos val="b"/>
        <c:title>
          <c:tx>
            <c:rich>
              <a:bodyPr rot="0" spcFirstLastPara="1" vertOverflow="ellipsis" vert="horz" wrap="square" anchor="ctr" anchorCtr="1"/>
              <a:lstStyle/>
              <a:p>
                <a:pPr>
                  <a:defRPr sz="1000" b="0" i="1" u="none" strike="noStrike" kern="1200" baseline="0">
                    <a:solidFill>
                      <a:sysClr val="windowText" lastClr="000000"/>
                    </a:solidFill>
                    <a:latin typeface="+mn-lt"/>
                    <a:ea typeface="+mn-ea"/>
                    <a:cs typeface="+mn-cs"/>
                  </a:defRPr>
                </a:pPr>
                <a:r>
                  <a:rPr lang="en-GB" i="1">
                    <a:solidFill>
                      <a:sysClr val="windowText" lastClr="000000"/>
                    </a:solidFill>
                  </a:rPr>
                  <a:t>Answer</a:t>
                </a:r>
              </a:p>
            </c:rich>
          </c:tx>
          <c:layout>
            <c:manualLayout>
              <c:xMode val="edge"/>
              <c:yMode val="edge"/>
              <c:x val="0.50236370848605383"/>
              <c:y val="0.90182852143482062"/>
            </c:manualLayout>
          </c:layout>
          <c:overlay val="0"/>
          <c:spPr>
            <a:noFill/>
            <a:ln>
              <a:noFill/>
            </a:ln>
            <a:effectLst/>
          </c:spPr>
          <c:txPr>
            <a:bodyPr rot="0" spcFirstLastPara="1" vertOverflow="ellipsis" vert="horz" wrap="square" anchor="ctr" anchorCtr="1"/>
            <a:lstStyle/>
            <a:p>
              <a:pPr>
                <a:defRPr sz="1000" b="0" i="1" u="none" strike="noStrike" kern="1200" baseline="0">
                  <a:solidFill>
                    <a:sysClr val="windowText" lastClr="000000"/>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en-US"/>
          </a:p>
        </c:txPr>
        <c:crossAx val="547038680"/>
        <c:crosses val="autoZero"/>
        <c:auto val="1"/>
        <c:lblAlgn val="ctr"/>
        <c:lblOffset val="100"/>
        <c:noMultiLvlLbl val="0"/>
      </c:catAx>
      <c:valAx>
        <c:axId val="5470386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r>
                  <a:rPr lang="en-GB" sz="1000" b="0" i="1" baseline="0">
                    <a:solidFill>
                      <a:sysClr val="windowText" lastClr="000000"/>
                    </a:solidFill>
                    <a:effectLst/>
                  </a:rPr>
                  <a:t>Number of Participants</a:t>
                </a:r>
                <a:endParaRPr lang="en-GB" sz="1000">
                  <a:solidFill>
                    <a:sysClr val="windowText" lastClr="000000"/>
                  </a:solidFill>
                  <a:effectLst/>
                </a:endParaRPr>
              </a:p>
            </c:rich>
          </c:tx>
          <c:layout>
            <c:manualLayout>
              <c:xMode val="edge"/>
              <c:yMode val="edge"/>
              <c:x val="1.4993306138125734E-2"/>
              <c:y val="0.30442512394284049"/>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en-US"/>
          </a:p>
        </c:txPr>
        <c:crossAx val="5470324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 dir="row">Sheet1!$H$1:$J$1</cx:f>
        <cx:lvl ptCount="3">
          <cx:pt idx="0">Yes</cx:pt>
          <cx:pt idx="1">No</cx:pt>
          <cx:pt idx="2">Prefer Not to Say</cx:pt>
        </cx:lvl>
      </cx:strDim>
      <cx:numDim type="val">
        <cx:f dir="row">Sheet1!$H$2:$J$2</cx:f>
        <cx:lvl ptCount="3" formatCode="General">
          <cx:pt idx="0">72</cx:pt>
          <cx:pt idx="1">26</cx:pt>
          <cx:pt idx="2">2</cx:pt>
        </cx:lvl>
      </cx:numDim>
    </cx:data>
  </cx:chartData>
  <cx:chart>
    <cx:title pos="t" align="ctr" overlay="0">
      <cx:tx>
        <cx:rich>
          <a:bodyPr spcFirstLastPara="1" vertOverflow="ellipsis" horzOverflow="overflow" wrap="square" lIns="0" tIns="0" rIns="0" bIns="0" anchor="ctr" anchorCtr="1"/>
          <a:lstStyle/>
          <a:p>
            <a:pPr algn="ctr" rtl="0">
              <a:defRPr sz="900"/>
            </a:pPr>
            <a:r>
              <a:rPr lang="en-US" sz="900" b="1" i="0" u="sng" strike="noStrike" baseline="0">
                <a:solidFill>
                  <a:sysClr val="windowText" lastClr="000000"/>
                </a:solidFill>
                <a:latin typeface="Calibri" panose="020F0502020204030204"/>
              </a:rPr>
              <a:t>A Funnel Chart to show the decreasing progression in corrolation with the following; </a:t>
            </a:r>
          </a:p>
          <a:p>
            <a:pPr algn="ctr" rtl="0">
              <a:defRPr sz="900"/>
            </a:pPr>
            <a:r>
              <a:rPr lang="en-GB" sz="900" b="0" i="0" u="none" strike="noStrike" baseline="0">
                <a:solidFill>
                  <a:sysClr val="windowText" lastClr="000000"/>
                </a:solidFill>
                <a:effectLst/>
                <a:latin typeface="Calibri" panose="020F0502020204030204"/>
                <a:ea typeface="Calibri" panose="020F0502020204030204" pitchFamily="34" charset="0"/>
                <a:cs typeface="Calibri" panose="020F0502020204030204" pitchFamily="34" charset="0"/>
              </a:rPr>
              <a:t>"In relation to a child’s environment, do the police implement sufficient aftercare or procedures for people whom you suspected have endured adverse childhood experiences (ACEs)? "</a:t>
            </a:r>
            <a:endParaRPr lang="en-US" sz="900" b="0" i="0" u="none" strike="noStrike" baseline="0">
              <a:solidFill>
                <a:sysClr val="windowText" lastClr="000000"/>
              </a:solidFill>
              <a:latin typeface="Calibri" panose="020F0502020204030204"/>
            </a:endParaRPr>
          </a:p>
        </cx:rich>
      </cx:tx>
    </cx:title>
    <cx:plotArea>
      <cx:plotAreaRegion>
        <cx:series layoutId="funnel" uniqueId="{2021B6B2-D476-4766-8D1B-9E6362A5F0A1}">
          <cx:dataPt idx="0">
            <cx:spPr>
              <a:solidFill>
                <a:srgbClr val="4DC610">
                  <a:alpha val="71000"/>
                </a:srgbClr>
              </a:solidFill>
            </cx:spPr>
          </cx:dataPt>
          <cx:dataPt idx="1">
            <cx:spPr>
              <a:solidFill>
                <a:srgbClr val="FF0000">
                  <a:alpha val="58000"/>
                </a:srgbClr>
              </a:solidFill>
            </cx:spPr>
          </cx:dataPt>
          <cx:dataPt idx="2">
            <cx:spPr>
              <a:solidFill>
                <a:srgbClr val="00B0F0">
                  <a:alpha val="55000"/>
                </a:srgbClr>
              </a:solidFill>
            </cx:spPr>
          </cx:dataPt>
          <cx:dataLabels>
            <cx:txPr>
              <a:bodyPr spcFirstLastPara="1" vertOverflow="ellipsis" horzOverflow="overflow" wrap="square" lIns="0" tIns="0" rIns="0" bIns="0" anchor="ctr" anchorCtr="1"/>
              <a:lstStyle/>
              <a:p>
                <a:pPr algn="ctr" rtl="0">
                  <a:defRPr sz="1600">
                    <a:solidFill>
                      <a:sysClr val="windowText" lastClr="000000"/>
                    </a:solidFill>
                  </a:defRPr>
                </a:pPr>
                <a:endParaRPr lang="en-US" sz="1600" b="0" i="0" u="none" strike="noStrike" baseline="0">
                  <a:solidFill>
                    <a:sysClr val="windowText" lastClr="000000"/>
                  </a:solidFill>
                  <a:latin typeface="Calibri" panose="020F0502020204030204"/>
                </a:endParaRPr>
              </a:p>
            </cx:txPr>
            <cx:visibility seriesName="0" categoryName="0" value="1"/>
          </cx:dataLabels>
          <cx:dataId val="0"/>
        </cx:series>
      </cx:plotAreaRegion>
      <cx:axis id="0">
        <cx:catScaling gapWidth="0.0399999991"/>
        <cx:tickLabels/>
        <cx:txPr>
          <a:bodyPr spcFirstLastPara="1" vertOverflow="ellipsis" horzOverflow="overflow" wrap="square" lIns="0" tIns="0" rIns="0" bIns="0" anchor="ctr" anchorCtr="1"/>
          <a:lstStyle/>
          <a:p>
            <a:pPr algn="ctr" rtl="0">
              <a:defRPr sz="900" b="1" i="1">
                <a:solidFill>
                  <a:sysClr val="windowText" lastClr="000000"/>
                </a:solidFill>
              </a:defRPr>
            </a:pPr>
            <a:endParaRPr lang="en-US" sz="900" b="1" i="1" u="none" strike="noStrike" baseline="0">
              <a:solidFill>
                <a:sysClr val="windowText" lastClr="000000"/>
              </a:solidFill>
              <a:latin typeface="Calibri" panose="020F0502020204030204"/>
            </a:endParaRPr>
          </a:p>
        </cx:txPr>
      </cx:axis>
    </cx:plotArea>
  </cx:chart>
</cx:chartSpace>
</file>

<file path=word/charts/chartEx2.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 dir="row">Sheet1!$H$20:$J$20</cx:f>
        <cx:lvl ptCount="3">
          <cx:pt idx="0">Yes</cx:pt>
          <cx:pt idx="1">No</cx:pt>
          <cx:pt idx="2">Prefer Not to Say</cx:pt>
        </cx:lvl>
      </cx:strDim>
      <cx:numDim type="size">
        <cx:f dir="row">Sheet1!$H$21:$J$21</cx:f>
        <cx:lvl ptCount="3" formatCode="General">
          <cx:pt idx="0">33</cx:pt>
          <cx:pt idx="1">67</cx:pt>
          <cx:pt idx="2">0</cx:pt>
        </cx:lvl>
      </cx:numDim>
    </cx:data>
  </cx:chartData>
  <cx:chart>
    <cx:title pos="t" align="ctr" overlay="0">
      <cx:tx>
        <cx:rich>
          <a:bodyPr spcFirstLastPara="1" vertOverflow="ellipsis" horzOverflow="overflow" wrap="square" lIns="0" tIns="0" rIns="0" bIns="0"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a:pPr>
            <a:r>
              <a:rPr lang="en-US" sz="1100" b="1" i="0" u="sng" strike="noStrike" baseline="0">
                <a:solidFill>
                  <a:sysClr val="windowText" lastClr="000000"/>
                </a:solidFill>
                <a:latin typeface="Calibri" panose="020F0502020204030204"/>
              </a:rPr>
              <a:t>A Treemap Chart to show if a person's facial characteristics and appearance may be predicted in connection to ASB</a:t>
            </a:r>
            <a:endParaRPr lang="en-GB" sz="1100" b="1" i="0" u="sng" strike="noStrike" baseline="0">
              <a:solidFill>
                <a:sysClr val="windowText" lastClr="000000"/>
              </a:solidFill>
              <a:effectLst/>
              <a:latin typeface="Calibri" panose="020F0502020204030204"/>
              <a:ea typeface="Calibri" panose="020F0502020204030204" pitchFamily="34" charset="0"/>
              <a:cs typeface="Calibri" panose="020F0502020204030204" pitchFamily="34" charset="0"/>
            </a:endParaRPr>
          </a:p>
        </cx:rich>
      </cx:tx>
    </cx:title>
    <cx:plotArea>
      <cx:plotAreaRegion>
        <cx:series layoutId="treemap" uniqueId="{21E983E5-A6E2-4428-8A6A-69EC983656E8}">
          <cx:dataPt idx="0">
            <cx:spPr>
              <a:solidFill>
                <a:srgbClr val="4DC610">
                  <a:alpha val="87000"/>
                </a:srgbClr>
              </a:solidFill>
            </cx:spPr>
          </cx:dataPt>
          <cx:dataPt idx="1">
            <cx:spPr>
              <a:solidFill>
                <a:srgbClr val="FF0000">
                  <a:alpha val="82000"/>
                </a:srgbClr>
              </a:solidFill>
            </cx:spPr>
          </cx:dataPt>
          <cx:dataPt idx="2">
            <cx:spPr>
              <a:solidFill>
                <a:srgbClr val="00B0F0"/>
              </a:solidFill>
            </cx:spPr>
          </cx:dataPt>
          <cx:dataLabels pos="inEnd">
            <cx:numFmt formatCode="0.00%" sourceLinked="0"/>
            <cx:txPr>
              <a:bodyPr spcFirstLastPara="1" vertOverflow="ellipsis" horzOverflow="overflow" wrap="square" lIns="0" tIns="0" rIns="0" bIns="0" anchor="ctr" anchorCtr="1"/>
              <a:lstStyle/>
              <a:p>
                <a:pPr algn="ctr" rtl="0">
                  <a:defRPr sz="2000" b="1">
                    <a:solidFill>
                      <a:sysClr val="windowText" lastClr="000000"/>
                    </a:solidFill>
                  </a:defRPr>
                </a:pPr>
                <a:endParaRPr lang="en-US" sz="2000" b="1" i="0" u="none" strike="noStrike" baseline="0">
                  <a:solidFill>
                    <a:sysClr val="windowText" lastClr="000000"/>
                  </a:solidFill>
                  <a:latin typeface="Calibri" panose="020F0502020204030204"/>
                </a:endParaRPr>
              </a:p>
            </cx:txPr>
            <cx:visibility seriesName="0" categoryName="1" value="0"/>
            <cx:separator>. </cx:separator>
            <cx:dataLabel idx="0">
              <cx:numFmt formatCode="0.00%" sourceLinked="0"/>
              <cx:txPr>
                <a:bodyPr spcFirstLastPara="1" vertOverflow="ellipsis" horzOverflow="overflow" wrap="square" lIns="0" tIns="0" rIns="0" bIns="0" anchor="ctr" anchorCtr="1"/>
                <a:lstStyle/>
                <a:p>
                  <a:pPr algn="ctr" rtl="0">
                    <a:defRPr/>
                  </a:pPr>
                  <a:r>
                    <a:rPr lang="en-US" sz="2000" b="1" i="0" u="none" strike="noStrike" baseline="0">
                      <a:solidFill>
                        <a:sysClr val="windowText" lastClr="000000"/>
                      </a:solidFill>
                      <a:latin typeface="Calibri" panose="020F0502020204030204"/>
                    </a:rPr>
                    <a:t>Yes</a:t>
                  </a:r>
                </a:p>
              </cx:txPr>
              <cx:visibility seriesName="0" categoryName="1" value="0"/>
              <cx:separator>. </cx:separator>
            </cx:dataLabel>
          </cx:dataLabels>
          <cx:dataId val="0"/>
          <cx:layoutPr>
            <cx:parentLabelLayout val="overlapping"/>
          </cx:layoutPr>
        </cx:series>
      </cx:plotAreaRegion>
    </cx:plotArea>
    <cx:legend pos="t" align="ctr" overlay="0">
      <cx:txPr>
        <a:bodyPr spcFirstLastPara="1" vertOverflow="ellipsis" horzOverflow="overflow" wrap="square" lIns="0" tIns="0" rIns="0" bIns="0" anchor="ctr" anchorCtr="1"/>
        <a:lstStyle/>
        <a:p>
          <a:pPr algn="ctr" rtl="0">
            <a:defRPr sz="1400" b="1">
              <a:solidFill>
                <a:sysClr val="windowText" lastClr="000000"/>
              </a:solidFill>
            </a:defRPr>
          </a:pPr>
          <a:endParaRPr lang="en-US" sz="1400" b="1" i="0" u="none" strike="noStrike" baseline="0">
            <a:solidFill>
              <a:sysClr val="windowText" lastClr="000000"/>
            </a:solidFill>
            <a:latin typeface="Calibri" panose="020F0502020204030204"/>
          </a:endParaRPr>
        </a:p>
      </cx:txPr>
    </cx:legend>
  </cx:chart>
</cx:chartSpace>
</file>

<file path=word/charts/chartEx3.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 dir="row">Sheet1!$W$1:$AD$1</cx:f>
        <cx:lvl ptCount="8">
          <cx:pt idx="0">Age</cx:pt>
          <cx:pt idx="1">Disability</cx:pt>
          <cx:pt idx="2">Gender</cx:pt>
          <cx:pt idx="3">Race </cx:pt>
          <cx:pt idx="4">Religion</cx:pt>
        </cx:lvl>
      </cx:strDim>
      <cx:numDim type="size">
        <cx:f dir="row">Sheet1!$W$2:$AD$2</cx:f>
        <cx:lvl ptCount="8" formatCode="General">
          <cx:pt idx="0">42</cx:pt>
          <cx:pt idx="1">30</cx:pt>
          <cx:pt idx="2">8</cx:pt>
          <cx:pt idx="3">10</cx:pt>
          <cx:pt idx="4">10</cx:pt>
        </cx:lvl>
      </cx:numDim>
    </cx:data>
  </cx:chartData>
  <cx:chart>
    <cx:title pos="t" align="ctr" overlay="0">
      <cx:tx>
        <cx:rich>
          <a:bodyPr spcFirstLastPara="1" vertOverflow="ellipsis" horzOverflow="overflow" wrap="square" lIns="0" tIns="0" rIns="0" bIns="0" anchor="ctr" anchorCtr="1"/>
          <a:lstStyle/>
          <a:p>
            <a:pPr algn="ctr" rtl="0">
              <a:defRPr/>
            </a:pPr>
            <a:r>
              <a:rPr lang="en-US" sz="1200" b="1" i="0" u="sng" strike="noStrike" baseline="0">
                <a:solidFill>
                  <a:sysClr val="windowText" lastClr="000000"/>
                </a:solidFill>
                <a:latin typeface="Calibri" panose="020F0502020204030204"/>
              </a:rPr>
              <a:t>A Doughnut Graph to show the </a:t>
            </a:r>
            <a:r>
              <a:rPr lang="en-GB" sz="1200" b="1" i="0" u="sng" strike="noStrike" baseline="0">
                <a:solidFill>
                  <a:sysClr val="windowText" lastClr="000000"/>
                </a:solidFill>
                <a:effectLst/>
                <a:latin typeface="Calibri" panose="020F0502020204030204"/>
                <a:ea typeface="Calibri" panose="020F0502020204030204" pitchFamily="34" charset="0"/>
                <a:cs typeface="Calibri" panose="020F0502020204030204" pitchFamily="34" charset="0"/>
              </a:rPr>
              <a:t>protected characteristics from the Equality Act which are the most susceptible to ASB </a:t>
            </a:r>
          </a:p>
          <a:p>
            <a:pPr algn="ctr" rtl="0">
              <a:defRPr/>
            </a:pPr>
            <a:endParaRPr lang="en-US" sz="1200" b="1" i="0" u="sng" strike="noStrike" baseline="0">
              <a:solidFill>
                <a:sysClr val="windowText" lastClr="000000"/>
              </a:solidFill>
              <a:latin typeface="Calibri" panose="020F0502020204030204"/>
            </a:endParaRPr>
          </a:p>
        </cx:rich>
      </cx:tx>
    </cx:title>
    <cx:plotArea>
      <cx:plotAreaRegion>
        <cx:series layoutId="sunburst" uniqueId="{35132027-07DD-41FB-9DAE-9553BCF4FD33}">
          <cx:dataPt idx="0">
            <cx:spPr>
              <a:solidFill>
                <a:srgbClr val="FFC000"/>
              </a:solidFill>
            </cx:spPr>
          </cx:dataPt>
          <cx:dataPt idx="1">
            <cx:spPr>
              <a:solidFill>
                <a:srgbClr val="00B0F0"/>
              </a:solidFill>
            </cx:spPr>
          </cx:dataPt>
          <cx:dataPt idx="2">
            <cx:spPr>
              <a:solidFill>
                <a:srgbClr val="7030A0">
                  <a:alpha val="74000"/>
                </a:srgbClr>
              </a:solidFill>
            </cx:spPr>
          </cx:dataPt>
          <cx:dataPt idx="3">
            <cx:spPr>
              <a:solidFill>
                <a:srgbClr val="FF0000"/>
              </a:solidFill>
            </cx:spPr>
          </cx:dataPt>
          <cx:dataPt idx="4">
            <cx:spPr>
              <a:solidFill>
                <a:srgbClr val="4DC610"/>
              </a:solidFill>
            </cx:spPr>
          </cx:dataPt>
          <cx:dataPt idx="5">
            <cx:spPr>
              <a:solidFill>
                <a:srgbClr val="7030A0"/>
              </a:solidFill>
            </cx:spPr>
          </cx:dataPt>
          <cx:dataLabels pos="ctr">
            <cx:txPr>
              <a:bodyPr spcFirstLastPara="1" vertOverflow="ellipsis" horzOverflow="overflow" wrap="square" lIns="0" tIns="0" rIns="0" bIns="0" anchor="ctr" anchorCtr="1"/>
              <a:lstStyle/>
              <a:p>
                <a:pPr algn="ctr" rtl="0">
                  <a:defRPr sz="1100" b="0"/>
                </a:pPr>
                <a:endParaRPr lang="en-US" sz="1100" b="0" i="0" u="none" strike="noStrike" baseline="0">
                  <a:solidFill>
                    <a:sysClr val="window" lastClr="FFFFFF"/>
                  </a:solidFill>
                  <a:latin typeface="Calibri" panose="020F0502020204030204"/>
                </a:endParaRPr>
              </a:p>
            </cx:txPr>
            <cx:visibility seriesName="0" categoryName="1" value="0"/>
            <cx:dataLabel idx="0">
              <cx:txPr>
                <a:bodyPr spcFirstLastPara="1" vertOverflow="ellipsis" horzOverflow="overflow" wrap="square" lIns="0" tIns="0" rIns="0" bIns="0" anchor="ctr" anchorCtr="1"/>
                <a:lstStyle/>
                <a:p>
                  <a:pPr algn="ctr" rtl="0">
                    <a:defRPr sz="1400">
                      <a:solidFill>
                        <a:schemeClr val="bg1"/>
                      </a:solidFill>
                    </a:defRPr>
                  </a:pPr>
                  <a:r>
                    <a:rPr lang="en-US" sz="1400" b="0" i="0" u="none" strike="noStrike" baseline="0">
                      <a:solidFill>
                        <a:schemeClr val="bg1"/>
                      </a:solidFill>
                      <a:latin typeface="Calibri" panose="020F0502020204030204"/>
                    </a:rPr>
                    <a:t>Age</a:t>
                  </a:r>
                </a:p>
              </cx:txPr>
              <cx:visibility seriesName="0" categoryName="1" value="0"/>
            </cx:dataLabel>
          </cx:dataLabels>
          <cx:dataId val="0"/>
        </cx:series>
      </cx:plotAreaRegion>
    </cx:plotArea>
    <cx:legend pos="l" align="ctr" overlay="0">
      <cx:txPr>
        <a:bodyPr spcFirstLastPara="1" vertOverflow="ellipsis" horzOverflow="overflow" wrap="square" lIns="0" tIns="0" rIns="0" bIns="0" anchor="ctr" anchorCtr="1"/>
        <a:lstStyle/>
        <a:p>
          <a:pPr algn="ctr" rtl="0">
            <a:defRPr sz="1100" b="0" i="1">
              <a:solidFill>
                <a:sysClr val="windowText" lastClr="000000"/>
              </a:solidFill>
            </a:defRPr>
          </a:pPr>
          <a:endParaRPr lang="en-US" sz="1100" b="0" i="1" u="none" strike="noStrike" baseline="0">
            <a:solidFill>
              <a:sysClr val="windowText" lastClr="000000"/>
            </a:solidFill>
            <a:latin typeface="Calibri" panose="020F0502020204030204"/>
          </a:endParaRPr>
        </a:p>
      </cx:txPr>
    </cx:legend>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419">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333">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50000"/>
            <a:lumOff val="50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ln w="19050">
        <a:solidFill>
          <a:schemeClr val="lt1"/>
        </a:solidFill>
      </a:ln>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40" b="0" kern="1200" spc="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410">
  <cs:axisTitle>
    <cs:lnRef idx="0"/>
    <cs:fillRef idx="0"/>
    <cs:effectRef idx="0"/>
    <cs:fontRef idx="minor">
      <a:schemeClr val="tx1">
        <a:lumMod val="65000"/>
        <a:lumOff val="35000"/>
      </a:schemeClr>
    </cs:fontRef>
    <cs:spPr>
      <a:solidFill>
        <a:schemeClr val="bg1">
          <a:lumMod val="65000"/>
        </a:schemeClr>
      </a:solidFill>
      <a:ln w="19050">
        <a:solidFill>
          <a:schemeClr val="bg1"/>
        </a:solidFill>
      </a:ln>
    </cs:spPr>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lt1"/>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ln w="19050">
        <a:solidFill>
          <a:schemeClr val="lt1"/>
        </a:solidFill>
      </a:ln>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381">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lt1"/>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ln w="19050">
        <a:solidFill>
          <a:schemeClr val="lt1"/>
        </a:solidFill>
      </a:ln>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63CB99E09394B3FBCF5002E86713BAB"/>
        <w:category>
          <w:name w:val="General"/>
          <w:gallery w:val="placeholder"/>
        </w:category>
        <w:types>
          <w:type w:val="bbPlcHdr"/>
        </w:types>
        <w:behaviors>
          <w:behavior w:val="content"/>
        </w:behaviors>
        <w:guid w:val="{4052FA6C-8595-4C7B-9F7B-BF77105A46D9}"/>
      </w:docPartPr>
      <w:docPartBody>
        <w:p w:rsidR="00120628" w:rsidRDefault="00570D08" w:rsidP="00570D08">
          <w:pPr>
            <w:pStyle w:val="863CB99E09394B3FBCF5002E86713BAB"/>
          </w:pPr>
          <w:r>
            <w:rPr>
              <w:rFonts w:asciiTheme="majorHAnsi" w:eastAsiaTheme="majorEastAsia" w:hAnsiTheme="majorHAnsi" w:cstheme="majorBidi"/>
              <w:caps/>
              <w:color w:val="4472C4" w:themeColor="accent1"/>
              <w:sz w:val="80"/>
              <w:szCs w:val="80"/>
            </w:rPr>
            <w:t>[Document title]</w:t>
          </w:r>
        </w:p>
      </w:docPartBody>
    </w:docPart>
    <w:docPart>
      <w:docPartPr>
        <w:name w:val="863C5141F0F74CBBB82998B28B2CFD9C"/>
        <w:category>
          <w:name w:val="General"/>
          <w:gallery w:val="placeholder"/>
        </w:category>
        <w:types>
          <w:type w:val="bbPlcHdr"/>
        </w:types>
        <w:behaviors>
          <w:behavior w:val="content"/>
        </w:behaviors>
        <w:guid w:val="{D71FFA66-5E42-4D71-93D3-91F7F6D63D6D}"/>
      </w:docPartPr>
      <w:docPartBody>
        <w:p w:rsidR="00120628" w:rsidRDefault="00570D08" w:rsidP="00570D08">
          <w:pPr>
            <w:pStyle w:val="863C5141F0F74CBBB82998B28B2CFD9C"/>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D08"/>
    <w:rsid w:val="00057DD9"/>
    <w:rsid w:val="00120628"/>
    <w:rsid w:val="001C4999"/>
    <w:rsid w:val="00570D08"/>
    <w:rsid w:val="00676D7D"/>
    <w:rsid w:val="0067759F"/>
    <w:rsid w:val="006B48C6"/>
    <w:rsid w:val="00732B0A"/>
    <w:rsid w:val="007E2087"/>
    <w:rsid w:val="008952D6"/>
    <w:rsid w:val="008D2134"/>
    <w:rsid w:val="00941FC4"/>
    <w:rsid w:val="00A17907"/>
    <w:rsid w:val="00AE4FCC"/>
    <w:rsid w:val="00B75062"/>
    <w:rsid w:val="00C86A70"/>
    <w:rsid w:val="00D75E10"/>
    <w:rsid w:val="00ED0B7D"/>
    <w:rsid w:val="00ED127C"/>
    <w:rsid w:val="00F36D6E"/>
    <w:rsid w:val="00F750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63CB99E09394B3FBCF5002E86713BAB">
    <w:name w:val="863CB99E09394B3FBCF5002E86713BAB"/>
    <w:rsid w:val="00570D08"/>
  </w:style>
  <w:style w:type="paragraph" w:customStyle="1" w:styleId="863C5141F0F74CBBB82998B28B2CFD9C">
    <w:name w:val="863C5141F0F74CBBB82998B28B2CFD9C"/>
    <w:rsid w:val="00570D0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FB0AA4E-D7CD-4CB9-90D6-A1880F901373}">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3575F2-B43E-4297-9DA7-07DBBEEB66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720</TotalTime>
  <Pages>65</Pages>
  <Words>14761</Words>
  <Characters>84142</Characters>
  <Application>Microsoft Office Word</Application>
  <DocSecurity>0</DocSecurity>
  <Lines>701</Lines>
  <Paragraphs>197</Paragraphs>
  <ScaleCrop>false</ScaleCrop>
  <HeadingPairs>
    <vt:vector size="2" baseType="variant">
      <vt:variant>
        <vt:lpstr>Title</vt:lpstr>
      </vt:variant>
      <vt:variant>
        <vt:i4>1</vt:i4>
      </vt:variant>
    </vt:vector>
  </HeadingPairs>
  <TitlesOfParts>
    <vt:vector size="1" baseType="lpstr">
      <vt:lpstr>A Correlation between the Offenders ‘and Anti-Social Behaviour within Dyfed Powys in relation to Genetics and Social Constructionism Theories</vt:lpstr>
    </vt:vector>
  </TitlesOfParts>
  <Company/>
  <LinksUpToDate>false</LinksUpToDate>
  <CharactersWithSpaces>98706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Correlation between the Offenders ‘and Anti-Social Behaviour within Dyfed Powys in relation to Genetics and Social Constructionism Theories</dc:title>
  <dc:subject>Jack Jones</dc:subject>
  <dc:creator>Jack Jones (1902835)</dc:creator>
  <cp:keywords/>
  <dc:description/>
  <cp:lastModifiedBy>Jack Jones (1902835)</cp:lastModifiedBy>
  <cp:revision>179</cp:revision>
  <dcterms:created xsi:type="dcterms:W3CDTF">2021-11-10T13:05:00Z</dcterms:created>
  <dcterms:modified xsi:type="dcterms:W3CDTF">2022-05-04T14:28:00Z</dcterms:modified>
</cp:coreProperties>
</file>