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1E50C6" w14:textId="77777777" w:rsidR="00037DC3" w:rsidRDefault="00037DC3" w:rsidP="00037DC3">
      <w:pPr>
        <w:pStyle w:val="BodyA"/>
        <w:rPr>
          <w:sz w:val="32"/>
          <w:szCs w:val="32"/>
        </w:rPr>
      </w:pPr>
    </w:p>
    <w:p w14:paraId="1A35D481" w14:textId="73A72409" w:rsidR="00037DC3" w:rsidRDefault="00037DC3" w:rsidP="00037DC3">
      <w:pPr>
        <w:pStyle w:val="BodyA"/>
        <w:jc w:val="center"/>
        <w:rPr>
          <w:sz w:val="32"/>
          <w:szCs w:val="32"/>
        </w:rPr>
      </w:pPr>
      <w:r>
        <w:rPr>
          <w:sz w:val="32"/>
          <w:szCs w:val="32"/>
        </w:rPr>
        <w:t>ECAD6008 Assignment: Part 1</w:t>
      </w:r>
    </w:p>
    <w:p w14:paraId="5D2E2BB6" w14:textId="7B78610F" w:rsidR="00AE179A" w:rsidRDefault="00AE179A" w:rsidP="00E611D9">
      <w:pPr>
        <w:pStyle w:val="AssignBody"/>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037DC3" w14:paraId="36894870" w14:textId="77777777" w:rsidTr="00507C47">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1149E4" w14:textId="77777777" w:rsidR="00037DC3" w:rsidRDefault="00037DC3" w:rsidP="00507C47">
            <w:pPr>
              <w:pStyle w:val="Heading2"/>
              <w:jc w:val="center"/>
            </w:pPr>
            <w:r>
              <w:lastRenderedPageBreak/>
              <w:t>Professional Experience Template 1</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4C91FD" w14:textId="77777777" w:rsidR="00037DC3" w:rsidRDefault="00037DC3" w:rsidP="00507C47"/>
        </w:tc>
      </w:tr>
      <w:tr w:rsidR="00037DC3" w14:paraId="46D1E243" w14:textId="77777777" w:rsidTr="00507C47">
        <w:trPr>
          <w:trHeight w:val="86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ACCD00" w14:textId="77777777" w:rsidR="00037DC3" w:rsidRDefault="00037DC3" w:rsidP="00507C47">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414A73" w14:textId="77777777" w:rsidR="00037DC3" w:rsidRDefault="00037DC3" w:rsidP="00507C47">
            <w:pPr>
              <w:pStyle w:val="BodyA"/>
              <w:spacing w:after="0" w:line="240" w:lineRule="auto"/>
            </w:pPr>
            <w:r>
              <w:rPr>
                <w:rFonts w:ascii="Carlito" w:eastAsia="Carlito" w:hAnsi="Carlito" w:cs="Carlito"/>
                <w:b/>
                <w:bCs/>
                <w:color w:val="2E74B5"/>
                <w:sz w:val="28"/>
                <w:szCs w:val="28"/>
                <w:u w:color="2E74B5"/>
              </w:rPr>
              <w:t>Assessment for Learning</w:t>
            </w:r>
          </w:p>
        </w:tc>
      </w:tr>
      <w:tr w:rsidR="00037DC3" w14:paraId="1E104487" w14:textId="77777777" w:rsidTr="00507C47">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E1FEED" w14:textId="77777777" w:rsidR="00037DC3" w:rsidRDefault="00037DC3" w:rsidP="00507C47">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FDBB18" w14:textId="4A5FF255" w:rsidR="00037DC3" w:rsidRDefault="00037DC3" w:rsidP="00507C47">
            <w:pPr>
              <w:rPr>
                <w:lang w:eastAsia="en-GB"/>
              </w:rPr>
            </w:pPr>
            <w:r>
              <w:t>Following an Estyn inspection on my PTE 2 school, one recommendation that was identified was the need to improve students' ability to think for themselves, and reflect on learning (Estyn, 2022). In an attempt to address this, the school developed an Assessment for Learning (AFL) continuum, that was implemented throughout the school</w:t>
            </w:r>
            <w:r w:rsidR="00207953">
              <w:t>, from reception to year 6</w:t>
            </w:r>
            <w:r>
              <w:t xml:space="preserve">. The continuum included a range of activities including peer and self-assessment, </w:t>
            </w:r>
            <w:r w:rsidR="00C81F75">
              <w:t>success criteria</w:t>
            </w:r>
            <w:r>
              <w:t xml:space="preserve">, and encouraged the use of effective questioning. </w:t>
            </w:r>
            <w:r w:rsidR="00C81F75">
              <w:t>Some a</w:t>
            </w:r>
            <w:r>
              <w:t xml:space="preserve">ctivities included, 'traffic lights', 'two glows and a grow' and 'show me boards'. However, given the focus </w:t>
            </w:r>
            <w:r w:rsidR="00207953">
              <w:t>placed on</w:t>
            </w:r>
            <w:r>
              <w:t xml:space="preserve"> AFL, I decided to test and implement my own AFL strategies</w:t>
            </w:r>
            <w:r w:rsidR="00C81F75">
              <w:t xml:space="preserve"> when appropriate</w:t>
            </w:r>
            <w:r>
              <w:t xml:space="preserve">, such as, 'secret notes' and 'exit cards'. Exit cards were implemented following a research task on Martin Luther King jr., at the end of the lesson students were made to write down something that they had learnt on scrap paper, in an attempt to reflect upon their learning. </w:t>
            </w:r>
            <w:r w:rsidR="00C81F75">
              <w:t>Secret notes</w:t>
            </w:r>
            <w:r>
              <w:t xml:space="preserve"> </w:t>
            </w:r>
            <w:r w:rsidR="00C81F75">
              <w:t>were</w:t>
            </w:r>
            <w:r>
              <w:t xml:space="preserve"> an idea sharing activity, which needed students to write their ideas on scrap paper before moving around the class and swapping them with their peers, by the end of the activity students often changed their idea, or had develop their original idea, this strategy developed </w:t>
            </w:r>
            <w:r w:rsidR="00454EB2">
              <w:t>students’</w:t>
            </w:r>
            <w:r>
              <w:t xml:space="preserve"> cognitive skills and encouraged them to lead their learning. </w:t>
            </w:r>
          </w:p>
          <w:p w14:paraId="14FF37E7" w14:textId="77777777" w:rsidR="00037DC3" w:rsidRDefault="00037DC3" w:rsidP="00507C47"/>
        </w:tc>
      </w:tr>
      <w:tr w:rsidR="00037DC3" w14:paraId="3986FA69" w14:textId="77777777" w:rsidTr="00507C47">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21BDF1" w14:textId="77777777" w:rsidR="00037DC3" w:rsidRDefault="00037DC3" w:rsidP="00507C47">
            <w:pPr>
              <w:pStyle w:val="Heading3"/>
              <w:jc w:val="center"/>
            </w:pPr>
            <w: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1FBC49" w14:textId="2214D6C5" w:rsidR="00037DC3" w:rsidRDefault="00037DC3" w:rsidP="00507C47">
            <w:pPr>
              <w:rPr>
                <w:lang w:eastAsia="en-GB"/>
              </w:rPr>
            </w:pPr>
            <w:r>
              <w:t xml:space="preserve">In order for assessment to be effective it is important that the purpose of the assessment is completely understood, as well as developing a range of assessment strategies to be implemented. From the school's point of view AFL was needed to be implemented in an attempt to raise standards at the school, based on observations from an Estyn report. From the point of view of learners, I continuously ensured that the strategies in place were meaningful by making it clear to learners the purpose of the activities being carried out, whether that be to induce independent learning, or to reflect upon the information that they had received. By working in this way </w:t>
            </w:r>
            <w:r w:rsidR="00C81F75">
              <w:t>students</w:t>
            </w:r>
            <w:r>
              <w:t xml:space="preserve"> quickly developed these skills, and by consistently implementing AFL at the end of lessons, they quickly improved the cognitive skills needed to carry out effective AFL. This consistency also </w:t>
            </w:r>
            <w:r w:rsidR="00C81F75">
              <w:t>led</w:t>
            </w:r>
            <w:r>
              <w:t xml:space="preserve"> to students conducting self-directed AFL tasks, where I would prepare the resources needed (</w:t>
            </w:r>
            <w:proofErr w:type="spellStart"/>
            <w:r>
              <w:t>e.g</w:t>
            </w:r>
            <w:proofErr w:type="spellEnd"/>
            <w:r>
              <w:t xml:space="preserve"> two glows and a grow and traffic light sheets) and students would select the most appropriate strategy for the task they had just completed</w:t>
            </w:r>
            <w:r w:rsidR="00C81F75">
              <w:t>, in turn providing opportunities for students to lead learning. By working in this way and by consistently implementing a range of AFL strategies</w:t>
            </w:r>
            <w:r w:rsidR="001C6501">
              <w:t xml:space="preserve"> it can provide students with a sense of self-efficacy (Cambridge Education Team, N.D). </w:t>
            </w:r>
          </w:p>
        </w:tc>
      </w:tr>
      <w:tr w:rsidR="00037DC3" w14:paraId="4AD81071" w14:textId="77777777" w:rsidTr="00507C47">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416956" w14:textId="77777777" w:rsidR="00037DC3" w:rsidRDefault="00037DC3" w:rsidP="00507C47">
            <w:pPr>
              <w:pStyle w:val="Heading3"/>
              <w:jc w:val="center"/>
            </w:pPr>
            <w: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72C95C" w14:textId="4F93D25C" w:rsidR="00037DC3" w:rsidRDefault="00037DC3" w:rsidP="00507C47">
            <w:pPr>
              <w:rPr>
                <w:lang w:eastAsia="en-GB"/>
              </w:rPr>
            </w:pPr>
            <w:r>
              <w:t xml:space="preserve">This experience has highlighted the importance of implementing AFL in my lessons, and the benefits of AFL, including the reflection upon learning, as well as developing cognitive skills. In the future, I will continue to improve my implementation of AFL within my class. In order to do </w:t>
            </w:r>
            <w:r w:rsidR="001C6501">
              <w:t>this,</w:t>
            </w:r>
            <w:r>
              <w:t xml:space="preserve"> I will make sure that I continue my professional learning and consistently research different </w:t>
            </w:r>
            <w:r w:rsidR="001C6501">
              <w:t xml:space="preserve">teaching </w:t>
            </w:r>
            <w:r>
              <w:t xml:space="preserve">methods, in order to widen my range of </w:t>
            </w:r>
            <w:r w:rsidR="001C6501">
              <w:t>approaches</w:t>
            </w:r>
            <w:r>
              <w:t xml:space="preserve"> that I can confidently implement </w:t>
            </w:r>
            <w:r w:rsidR="001C6501">
              <w:t>within</w:t>
            </w:r>
            <w:r>
              <w:t xml:space="preserve"> the class. One document that I will use to aid me in completing this goal is 'How to develop thinking and assessment for learning in the classroom' (Welsh Government, 2010). Although this document was developed before the implementation of the </w:t>
            </w:r>
            <w:r w:rsidR="001C6501">
              <w:t>current Welsh C</w:t>
            </w:r>
            <w:r>
              <w:t xml:space="preserve">urriculum, the </w:t>
            </w:r>
            <w:proofErr w:type="gramStart"/>
            <w:r>
              <w:t>tools</w:t>
            </w:r>
            <w:proofErr w:type="gramEnd"/>
            <w:r>
              <w:t xml:space="preserve"> and strategies (found on page 36), are still relevant and can be used in today's lessons.</w:t>
            </w:r>
          </w:p>
          <w:p w14:paraId="70A37BFA" w14:textId="77777777" w:rsidR="00037DC3" w:rsidRDefault="00037DC3" w:rsidP="00507C47"/>
        </w:tc>
      </w:tr>
    </w:tbl>
    <w:p w14:paraId="5DFBAB2C" w14:textId="77777777" w:rsidR="00037DC3" w:rsidRDefault="00037DC3" w:rsidP="00037DC3">
      <w:pPr>
        <w:pStyle w:val="BodyA"/>
        <w:widowControl w:val="0"/>
        <w:spacing w:line="240" w:lineRule="auto"/>
        <w:ind w:left="108" w:hanging="108"/>
        <w:jc w:val="center"/>
        <w:rPr>
          <w:sz w:val="32"/>
          <w:szCs w:val="32"/>
        </w:rPr>
      </w:pPr>
    </w:p>
    <w:p w14:paraId="1AE294F2" w14:textId="77777777" w:rsidR="00037DC3" w:rsidRDefault="00037DC3" w:rsidP="00037DC3">
      <w:pPr>
        <w:pStyle w:val="BodyA"/>
        <w:spacing w:line="240" w:lineRule="auto"/>
        <w:jc w:val="center"/>
        <w:rPr>
          <w:sz w:val="32"/>
          <w:szCs w:val="32"/>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037DC3" w14:paraId="550D22E0" w14:textId="77777777" w:rsidTr="00507C47">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78D937" w14:textId="77777777" w:rsidR="00037DC3" w:rsidRDefault="00037DC3" w:rsidP="00507C47">
            <w:pPr>
              <w:pStyle w:val="Heading2"/>
              <w:jc w:val="center"/>
            </w:pPr>
            <w:r>
              <w:lastRenderedPageBreak/>
              <w:t>Professional Experience Template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31C988" w14:textId="77777777" w:rsidR="00037DC3" w:rsidRDefault="00037DC3" w:rsidP="00507C47"/>
        </w:tc>
      </w:tr>
      <w:tr w:rsidR="00037DC3" w14:paraId="513434AA" w14:textId="77777777" w:rsidTr="00507C47">
        <w:trPr>
          <w:trHeight w:val="103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FFC0C1" w14:textId="77777777" w:rsidR="00037DC3" w:rsidRDefault="00037DC3" w:rsidP="00507C47">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929850" w14:textId="77777777" w:rsidR="00037DC3" w:rsidRDefault="00037DC3" w:rsidP="00507C47">
            <w:pPr>
              <w:pStyle w:val="BodyA"/>
              <w:spacing w:after="0" w:line="240" w:lineRule="auto"/>
              <w:rPr>
                <w:rFonts w:ascii="Carlito" w:eastAsia="Carlito" w:hAnsi="Carlito" w:cs="Carlito"/>
                <w:b/>
                <w:bCs/>
                <w:color w:val="2E74B5"/>
                <w:sz w:val="28"/>
                <w:szCs w:val="28"/>
                <w:u w:color="2E74B5"/>
              </w:rPr>
            </w:pPr>
            <w:r>
              <w:rPr>
                <w:rFonts w:ascii="Carlito" w:eastAsia="Carlito" w:hAnsi="Carlito" w:cs="Carlito"/>
                <w:b/>
                <w:bCs/>
                <w:color w:val="2E74B5"/>
                <w:sz w:val="28"/>
                <w:szCs w:val="28"/>
                <w:u w:color="2E74B5"/>
              </w:rPr>
              <w:t xml:space="preserve">Employing a broad repertoire of teaching </w:t>
            </w:r>
          </w:p>
          <w:p w14:paraId="53E9F3A0" w14:textId="77777777" w:rsidR="00037DC3" w:rsidRDefault="00037DC3" w:rsidP="00507C47">
            <w:pPr>
              <w:pStyle w:val="BodyA"/>
              <w:spacing w:after="0" w:line="240" w:lineRule="auto"/>
            </w:pPr>
            <w:r>
              <w:rPr>
                <w:rFonts w:ascii="Carlito" w:eastAsia="Carlito" w:hAnsi="Carlito" w:cs="Carlito"/>
                <w:b/>
                <w:bCs/>
                <w:color w:val="2E74B5"/>
                <w:sz w:val="28"/>
                <w:szCs w:val="28"/>
                <w:u w:color="2E74B5"/>
              </w:rPr>
              <w:t xml:space="preserve">Approaches </w:t>
            </w:r>
          </w:p>
        </w:tc>
      </w:tr>
      <w:tr w:rsidR="00037DC3" w14:paraId="5A4BF495" w14:textId="77777777" w:rsidTr="00507C47">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D53B0B" w14:textId="77777777" w:rsidR="00037DC3" w:rsidRDefault="00037DC3" w:rsidP="00507C47">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46F44E" w14:textId="77777777" w:rsidR="00037DC3" w:rsidRDefault="00037DC3" w:rsidP="00507C47">
            <w:pPr>
              <w:pStyle w:val="NormalWeb"/>
            </w:pPr>
            <w:r>
              <w:t>The aim of this activity was to provide learners who had not attended a residential trip with a 'stand-alone' project that could be completed over two days. This enabled learners to complete work that was relevant and worthwhile, whilst also ensuring that it was fun and engaging. It was decided that the students will complete research and carry out tasks that related to the Lunar New Year. By learning about cultures and customs that some students were not familiar with or had experienced before. A key aim for this project was to make students aware of the four purposes of learners and more specifically, develop ethical, informed citizens. </w:t>
            </w:r>
          </w:p>
          <w:p w14:paraId="5A172FF9" w14:textId="344AF7D6" w:rsidR="00037DC3" w:rsidRDefault="00037DC3" w:rsidP="00507C47">
            <w:pPr>
              <w:pStyle w:val="NormalWeb"/>
            </w:pPr>
            <w:r>
              <w:t xml:space="preserve">The project began by introducing the students to the story of the lunar new year, the meanings behind the animals and </w:t>
            </w:r>
            <w:r w:rsidR="00F24045">
              <w:t xml:space="preserve">introducing the idea of the lunar zodiac, </w:t>
            </w:r>
            <w:r>
              <w:t>before comparing the accuracies of their zodiac and the traits that were different. Next, we completed a differentiated scavenger hunt. With one group being given question sheets before searching the school for the answers. Whereas the second group were given the answers and would have to look for the questions, in an attempt to promote problem-solving skills</w:t>
            </w:r>
            <w:r w:rsidR="00F24045">
              <w:t>, and provide effective challenge through effective differentiation</w:t>
            </w:r>
            <w:r>
              <w:t xml:space="preserve">. Then, we completed mathematical equations </w:t>
            </w:r>
            <w:r w:rsidR="00F24045">
              <w:t>whilst learning, and using</w:t>
            </w:r>
            <w:r>
              <w:t xml:space="preserve"> mandarin numbers. The next day we carried out an art-based carousel, where students wrote their name in mandarin, created red money envelopes using origami before decorating them, designed their own lanterns and created dragon hand puppets. Before advancing to researching </w:t>
            </w:r>
            <w:r w:rsidR="00F24045">
              <w:t xml:space="preserve">and </w:t>
            </w:r>
            <w:r>
              <w:t>creating their own lunar new year PowerPoint presentations. </w:t>
            </w:r>
            <w:r w:rsidR="00F24045">
              <w:t xml:space="preserve">As is prevalent, during this activity I aimed to develop and use a broad repertoire of teaching approaches. </w:t>
            </w:r>
          </w:p>
          <w:p w14:paraId="469842EA" w14:textId="77777777" w:rsidR="00037DC3" w:rsidRDefault="00037DC3" w:rsidP="00507C47"/>
        </w:tc>
      </w:tr>
      <w:tr w:rsidR="00037DC3" w14:paraId="30EE1E59" w14:textId="77777777" w:rsidTr="00507C47">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F2CF59" w14:textId="77777777" w:rsidR="00037DC3" w:rsidRDefault="00037DC3" w:rsidP="00507C47">
            <w:pPr>
              <w:pStyle w:val="Heading3"/>
              <w:jc w:val="center"/>
            </w:pPr>
            <w: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094D4B" w14:textId="7AEF2EF0" w:rsidR="00037DC3" w:rsidRDefault="00037DC3" w:rsidP="00507C47">
            <w:pPr>
              <w:pStyle w:val="NormalWeb"/>
            </w:pPr>
            <w:r>
              <w:t xml:space="preserve">Developing a wide range of teaching techniques can make teaching more effective, engaging and fun for students.  I aim to produce innovative teaching which is the process of being proactive in the pursuit of introducing new teaching methods into the classroom (Thompson, 2023). </w:t>
            </w:r>
            <w:r w:rsidR="00F24045">
              <w:t>I</w:t>
            </w:r>
            <w:r>
              <w:t>n my experience,</w:t>
            </w:r>
            <w:r w:rsidR="00F24045">
              <w:t xml:space="preserve"> using a range of techniques</w:t>
            </w:r>
            <w:r>
              <w:t xml:space="preserve"> was a great tool in increasing student engagement, and ensured that lessons were consistently encouraging students to use a wide range of skills. By using techniques such as scavenger hunts, it ensured that students engaged with the new information, in a way that they found fun and encouraged participation. The use of carousels in this project was effective in presenting a wide range of activities to students. In turn this allowed students to be introduced to a wide range of tasks and new information, which allowed us to cover much of the topic in a time efficient manner, and ultimately meant students developed a broad range of skills</w:t>
            </w:r>
            <w:r w:rsidR="00F24045">
              <w:t>, whilst once again producing extremely high student engagement</w:t>
            </w:r>
            <w:r>
              <w:t>.</w:t>
            </w:r>
          </w:p>
          <w:p w14:paraId="63E7066B" w14:textId="77777777" w:rsidR="00037DC3" w:rsidRDefault="00037DC3" w:rsidP="00507C47"/>
        </w:tc>
      </w:tr>
      <w:tr w:rsidR="00037DC3" w14:paraId="7484D9C8" w14:textId="77777777" w:rsidTr="00507C47">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0F1041" w14:textId="77777777" w:rsidR="00037DC3" w:rsidRDefault="00037DC3" w:rsidP="00507C47">
            <w:pPr>
              <w:pStyle w:val="Heading3"/>
              <w:jc w:val="center"/>
            </w:pPr>
            <w: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EF51DF" w14:textId="2EAA0BE9" w:rsidR="00037DC3" w:rsidRDefault="00037DC3" w:rsidP="00507C47">
            <w:r>
              <w:t>This experience has had a great influence on my future practice, as it made it extremely clear the positive influence that the use of a wide range of techniques, and appropriate challenge can have on learner's experiences. In further researching the influence of the four purposes I have also become more aware of their importance and continue to use them to inspire my teaching in future. An area that has interested me and that I will aim to research further is creating ethical citizens, a journal article by Houser and Kuzmic (2012) suggested that creating ethical citizenship can lead to a more connected world, and also suggested the need for "social-education" in education. The idea of social education is something that I agree is necessary in schools, and in future I will aim to improve my students’ social skills</w:t>
            </w:r>
            <w:r w:rsidR="00F24045">
              <w:t xml:space="preserve"> and awareness</w:t>
            </w:r>
            <w:r>
              <w:t xml:space="preserve"> during my lessons.</w:t>
            </w:r>
          </w:p>
          <w:p w14:paraId="6E24C40E" w14:textId="77777777" w:rsidR="00037DC3" w:rsidRDefault="00037DC3" w:rsidP="00507C47"/>
          <w:p w14:paraId="13824A98" w14:textId="4E7A0537" w:rsidR="00037DC3" w:rsidRDefault="00037DC3" w:rsidP="00507C47">
            <w:pPr>
              <w:rPr>
                <w:lang w:eastAsia="en-GB"/>
              </w:rPr>
            </w:pPr>
            <w:r>
              <w:t>The introduction of a broad range of teaching approaches has encouraged me to further develop my practice and proficiency using many teaching techniques, as it had clear and obvious benefits to student learning, including but not limited to, increased creativity and problem-solving skills, and higher student engagement.</w:t>
            </w:r>
            <w:r w:rsidR="00F24045">
              <w:t xml:space="preserve"> Furthermore, being proactive in my use of techniques </w:t>
            </w:r>
            <w:r w:rsidR="000F0C07">
              <w:t xml:space="preserve">enabled me to introduce a vast topic, in a time efficient manner. </w:t>
            </w:r>
          </w:p>
          <w:p w14:paraId="0874664A" w14:textId="77777777" w:rsidR="00037DC3" w:rsidRDefault="00037DC3" w:rsidP="00507C47"/>
        </w:tc>
      </w:tr>
    </w:tbl>
    <w:p w14:paraId="27A3B0A3" w14:textId="77777777" w:rsidR="00037DC3" w:rsidRDefault="00037DC3" w:rsidP="00037DC3">
      <w:pPr>
        <w:pStyle w:val="BodyA"/>
        <w:widowControl w:val="0"/>
        <w:spacing w:line="240" w:lineRule="auto"/>
        <w:ind w:left="108" w:hanging="108"/>
        <w:jc w:val="center"/>
        <w:rPr>
          <w:sz w:val="32"/>
          <w:szCs w:val="32"/>
        </w:rPr>
      </w:pPr>
    </w:p>
    <w:p w14:paraId="4DBC351B" w14:textId="77777777" w:rsidR="00037DC3" w:rsidRDefault="00037DC3" w:rsidP="00037DC3">
      <w:pPr>
        <w:pStyle w:val="BodyA"/>
        <w:widowControl w:val="0"/>
        <w:spacing w:line="240" w:lineRule="auto"/>
        <w:jc w:val="center"/>
        <w:rPr>
          <w:sz w:val="32"/>
          <w:szCs w:val="32"/>
        </w:rPr>
      </w:pPr>
    </w:p>
    <w:p w14:paraId="484E291F" w14:textId="77777777" w:rsidR="00037DC3" w:rsidRDefault="00037DC3" w:rsidP="00037DC3">
      <w:pPr>
        <w:pStyle w:val="BodyA"/>
      </w:pPr>
    </w:p>
    <w:p w14:paraId="798C5BB5" w14:textId="77777777" w:rsidR="00037DC3" w:rsidRDefault="00037DC3" w:rsidP="00037DC3">
      <w:pPr>
        <w:pStyle w:val="BodyA"/>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037DC3" w14:paraId="2C302924" w14:textId="77777777" w:rsidTr="00507C47">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A7199B" w14:textId="77777777" w:rsidR="00037DC3" w:rsidRDefault="00037DC3" w:rsidP="00507C47">
            <w:pPr>
              <w:pStyle w:val="Heading2"/>
              <w:jc w:val="center"/>
            </w:pPr>
            <w:r>
              <w:lastRenderedPageBreak/>
              <w:t>Professional Experience Template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8E03AF" w14:textId="77777777" w:rsidR="00037DC3" w:rsidRDefault="00037DC3" w:rsidP="00507C47"/>
        </w:tc>
      </w:tr>
      <w:tr w:rsidR="00037DC3" w14:paraId="098D8C3A" w14:textId="77777777" w:rsidTr="00507C47">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A71861" w14:textId="77777777" w:rsidR="00037DC3" w:rsidRDefault="00037DC3" w:rsidP="00507C47">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5F13F5" w14:textId="77777777" w:rsidR="00037DC3" w:rsidRDefault="00037DC3" w:rsidP="00507C47">
            <w:pPr>
              <w:pStyle w:val="BodyA"/>
              <w:spacing w:after="0" w:line="240" w:lineRule="auto"/>
            </w:pPr>
            <w:r>
              <w:rPr>
                <w:rFonts w:ascii="Carlito" w:eastAsia="Carlito" w:hAnsi="Carlito" w:cs="Carlito"/>
                <w:b/>
                <w:bCs/>
                <w:color w:val="2E74B5"/>
                <w:sz w:val="28"/>
                <w:szCs w:val="28"/>
                <w:u w:color="2E74B5"/>
              </w:rPr>
              <w:t xml:space="preserve">Real life authentic contexts </w:t>
            </w:r>
          </w:p>
        </w:tc>
      </w:tr>
      <w:tr w:rsidR="00037DC3" w14:paraId="596E75E5" w14:textId="77777777" w:rsidTr="00507C47">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49480B" w14:textId="77777777" w:rsidR="00037DC3" w:rsidRDefault="00037DC3" w:rsidP="00507C47">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5D7F9A" w14:textId="19374867" w:rsidR="00037DC3" w:rsidRDefault="00037DC3" w:rsidP="00507C47">
            <w:pPr>
              <w:pStyle w:val="NormalWeb"/>
            </w:pPr>
            <w:r>
              <w:t xml:space="preserve">The Big </w:t>
            </w:r>
            <w:proofErr w:type="spellStart"/>
            <w:r>
              <w:t>Bocs</w:t>
            </w:r>
            <w:proofErr w:type="spellEnd"/>
            <w:r>
              <w:t xml:space="preserve"> </w:t>
            </w:r>
            <w:proofErr w:type="spellStart"/>
            <w:r>
              <w:t>Bwyd</w:t>
            </w:r>
            <w:proofErr w:type="spellEnd"/>
            <w:r>
              <w:t xml:space="preserve"> (BBB) scheme was introduced at my placement school as a means of improving well-being, allow opportunities for learning in authentic contexts, and can improve ties between a school and its community. The scheme also allows opportunities for AoLEs to be explored in different settings. This clearly provides links to the classroom, and we plan to expose the children to areas of learning such as mathematics and numeracy, as students need to check sell by dates and take payments</w:t>
            </w:r>
            <w:r w:rsidR="000F0C07">
              <w:t xml:space="preserve"> from customers</w:t>
            </w:r>
            <w:r>
              <w:t>.  </w:t>
            </w:r>
          </w:p>
          <w:p w14:paraId="61F4F3DC" w14:textId="77960991" w:rsidR="00037DC3" w:rsidRDefault="00037DC3" w:rsidP="00507C47">
            <w:pPr>
              <w:pStyle w:val="NormalWeb"/>
            </w:pPr>
            <w:r>
              <w:t>​​​​​​​I observed as three children in my teaching class took their turn to work in '</w:t>
            </w:r>
            <w:proofErr w:type="spellStart"/>
            <w:r>
              <w:t>Siop</w:t>
            </w:r>
            <w:proofErr w:type="spellEnd"/>
            <w:r>
              <w:t xml:space="preserve"> y </w:t>
            </w:r>
            <w:proofErr w:type="spellStart"/>
            <w:r>
              <w:t>Ddraig</w:t>
            </w:r>
            <w:proofErr w:type="spellEnd"/>
            <w:r>
              <w:t xml:space="preserve"> </w:t>
            </w:r>
            <w:proofErr w:type="spellStart"/>
            <w:r>
              <w:t>Coch</w:t>
            </w:r>
            <w:proofErr w:type="spellEnd"/>
            <w:r>
              <w:t xml:space="preserve">'. The shop is part of the Big </w:t>
            </w:r>
            <w:proofErr w:type="spellStart"/>
            <w:r>
              <w:t>Bocs</w:t>
            </w:r>
            <w:proofErr w:type="spellEnd"/>
            <w:r>
              <w:t xml:space="preserve"> </w:t>
            </w:r>
            <w:proofErr w:type="spellStart"/>
            <w:r>
              <w:t>Bwyd</w:t>
            </w:r>
            <w:proofErr w:type="spellEnd"/>
            <w:r>
              <w:t xml:space="preserve"> initiative, which looks to ensure that no child goes hungry, as well as acting similarly to a food bank, since it is 'pay as you feel', improving ties with the local community. A case study from </w:t>
            </w:r>
            <w:proofErr w:type="spellStart"/>
            <w:r>
              <w:t>Cadoxton</w:t>
            </w:r>
            <w:proofErr w:type="spellEnd"/>
            <w:r>
              <w:t xml:space="preserve"> Primary School found that the BBB improved the school's relationship with the community, aided food literacy as families developed a greater understanding of a healthy lifestyle and also up-skilled parents that volunteer at the shop which will support them </w:t>
            </w:r>
            <w:r w:rsidR="000F0C07">
              <w:t xml:space="preserve">find </w:t>
            </w:r>
            <w:r>
              <w:t>employment</w:t>
            </w:r>
            <w:r w:rsidR="000F0C07">
              <w:t xml:space="preserve"> opportunities</w:t>
            </w:r>
            <w:r>
              <w:t xml:space="preserve"> (</w:t>
            </w:r>
            <w:proofErr w:type="spellStart"/>
            <w:r>
              <w:rPr>
                <w:i/>
                <w:iCs/>
              </w:rPr>
              <w:t>Cadoxton</w:t>
            </w:r>
            <w:proofErr w:type="spellEnd"/>
            <w:r>
              <w:rPr>
                <w:i/>
                <w:iCs/>
              </w:rPr>
              <w:t xml:space="preserve"> Primary School, N.D).</w:t>
            </w:r>
          </w:p>
          <w:p w14:paraId="0D3C329D" w14:textId="77777777" w:rsidR="00037DC3" w:rsidRDefault="00037DC3" w:rsidP="00507C47"/>
        </w:tc>
      </w:tr>
      <w:tr w:rsidR="00037DC3" w14:paraId="298B2020" w14:textId="77777777" w:rsidTr="00507C47">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ADA941" w14:textId="77777777" w:rsidR="00037DC3" w:rsidRDefault="00037DC3" w:rsidP="00507C47">
            <w:pPr>
              <w:pStyle w:val="Heading3"/>
              <w:jc w:val="center"/>
            </w:pPr>
            <w: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43255E" w14:textId="53774135" w:rsidR="00037DC3" w:rsidRDefault="00037DC3" w:rsidP="00507C47">
            <w:pPr>
              <w:rPr>
                <w:lang w:eastAsia="en-GB"/>
              </w:rPr>
            </w:pPr>
            <w:r>
              <w:t xml:space="preserve">Good teaching and learning </w:t>
            </w:r>
            <w:proofErr w:type="gramStart"/>
            <w:r w:rsidR="000F0C07">
              <w:t>creates</w:t>
            </w:r>
            <w:proofErr w:type="gramEnd"/>
            <w:r w:rsidR="000F0C07">
              <w:t xml:space="preserve"> </w:t>
            </w:r>
            <w:r>
              <w:t xml:space="preserve">authentic contexts for learning (Donaldson, 2011). </w:t>
            </w:r>
            <w:r w:rsidR="000F0C07">
              <w:t xml:space="preserve">It is then </w:t>
            </w:r>
            <w:r>
              <w:t>suggest</w:t>
            </w:r>
            <w:r w:rsidR="000F0C07">
              <w:t xml:space="preserve">ed </w:t>
            </w:r>
            <w:r>
              <w:t xml:space="preserve">that good teaching makes students see the relevance in their learning, and forge links with the real world. I observed as students that found mathematics difficult, would be confident and comfortable in dealing with money, giving change and ordering products by their sell by date. This progression then correlated to classroom performance as I saw great development in students' capability in the mathematics AoLE. We saw an increase in academic attainment, especially during sessions relating to money recognition. These findings can also be supported by work by </w:t>
            </w:r>
            <w:proofErr w:type="spellStart"/>
            <w:r>
              <w:t>Osika</w:t>
            </w:r>
            <w:proofErr w:type="spellEnd"/>
            <w:r>
              <w:t xml:space="preserve"> et al. (2022), that states that contextual learning makes information relevant and </w:t>
            </w:r>
            <w:r w:rsidR="000F0C07">
              <w:t>memorable and</w:t>
            </w:r>
            <w:r>
              <w:t xml:space="preserve"> can reduce difficulty when applying new concepts to unfamiliar situations. </w:t>
            </w:r>
          </w:p>
          <w:p w14:paraId="4CFD3946" w14:textId="77777777" w:rsidR="00037DC3" w:rsidRPr="0038368F" w:rsidRDefault="00037DC3" w:rsidP="00507C47"/>
        </w:tc>
      </w:tr>
      <w:tr w:rsidR="00037DC3" w14:paraId="3DDA3F17" w14:textId="77777777" w:rsidTr="00507C47">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5C4277" w14:textId="77777777" w:rsidR="00037DC3" w:rsidRDefault="00037DC3" w:rsidP="00507C47">
            <w:pPr>
              <w:pStyle w:val="Heading3"/>
              <w:jc w:val="center"/>
            </w:pPr>
            <w: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5866AF" w14:textId="2BB0D5BF" w:rsidR="00037DC3" w:rsidRPr="00F8253D" w:rsidRDefault="00037DC3" w:rsidP="00507C47">
            <w:pPr>
              <w:pStyle w:val="NormalWeb"/>
              <w:rPr>
                <w:rFonts w:asciiTheme="minorHAnsi" w:hAnsiTheme="minorHAnsi" w:cstheme="minorHAnsi"/>
                <w:sz w:val="22"/>
                <w:szCs w:val="22"/>
              </w:rPr>
            </w:pPr>
            <w:r w:rsidRPr="00F8253D">
              <w:rPr>
                <w:rFonts w:asciiTheme="minorHAnsi" w:hAnsiTheme="minorHAnsi" w:cstheme="minorHAnsi"/>
                <w:sz w:val="22"/>
                <w:szCs w:val="22"/>
              </w:rPr>
              <w:t xml:space="preserve">With the new knowledge that I have discovered I will look to incorporate real world </w:t>
            </w:r>
            <w:r w:rsidR="00F8253D" w:rsidRPr="00F8253D">
              <w:rPr>
                <w:rFonts w:asciiTheme="minorHAnsi" w:hAnsiTheme="minorHAnsi" w:cstheme="minorHAnsi"/>
                <w:sz w:val="22"/>
                <w:szCs w:val="22"/>
              </w:rPr>
              <w:t>experiences and</w:t>
            </w:r>
            <w:r w:rsidRPr="00F8253D">
              <w:rPr>
                <w:rFonts w:asciiTheme="minorHAnsi" w:hAnsiTheme="minorHAnsi" w:cstheme="minorHAnsi"/>
                <w:sz w:val="22"/>
                <w:szCs w:val="22"/>
              </w:rPr>
              <w:t xml:space="preserve"> provide opportunities for my lessons to relate to authentic contexts as it evidently has a very positive effect on the pupils' schoolwork. Furthermore, I will aim to improve community links, and involve the community in my students' learning whenever possible.</w:t>
            </w:r>
            <w:r w:rsidR="00F8253D">
              <w:rPr>
                <w:rFonts w:asciiTheme="minorHAnsi" w:hAnsiTheme="minorHAnsi" w:cstheme="minorHAnsi"/>
                <w:sz w:val="22"/>
                <w:szCs w:val="22"/>
              </w:rPr>
              <w:t xml:space="preserve"> </w:t>
            </w:r>
            <w:r w:rsidRPr="00F8253D">
              <w:rPr>
                <w:rFonts w:asciiTheme="minorHAnsi" w:hAnsiTheme="minorHAnsi" w:cstheme="minorHAnsi"/>
                <w:sz w:val="22"/>
                <w:szCs w:val="22"/>
              </w:rPr>
              <w:t xml:space="preserve">To further improve my practice, I will look to read more into the topic, namely at work by </w:t>
            </w:r>
            <w:proofErr w:type="spellStart"/>
            <w:r w:rsidRPr="00F8253D">
              <w:rPr>
                <w:rFonts w:asciiTheme="minorHAnsi" w:hAnsiTheme="minorHAnsi" w:cstheme="minorHAnsi"/>
                <w:sz w:val="22"/>
                <w:szCs w:val="22"/>
              </w:rPr>
              <w:t>Yuwandra</w:t>
            </w:r>
            <w:proofErr w:type="spellEnd"/>
            <w:r w:rsidRPr="00F8253D">
              <w:rPr>
                <w:rFonts w:asciiTheme="minorHAnsi" w:hAnsiTheme="minorHAnsi" w:cstheme="minorHAnsi"/>
                <w:sz w:val="22"/>
                <w:szCs w:val="22"/>
              </w:rPr>
              <w:t xml:space="preserve"> and </w:t>
            </w:r>
            <w:proofErr w:type="spellStart"/>
            <w:r w:rsidRPr="00F8253D">
              <w:rPr>
                <w:rFonts w:asciiTheme="minorHAnsi" w:hAnsiTheme="minorHAnsi" w:cstheme="minorHAnsi"/>
                <w:sz w:val="22"/>
                <w:szCs w:val="22"/>
              </w:rPr>
              <w:t>Arnawa</w:t>
            </w:r>
            <w:proofErr w:type="spellEnd"/>
            <w:r w:rsidRPr="00F8253D">
              <w:rPr>
                <w:rFonts w:asciiTheme="minorHAnsi" w:hAnsiTheme="minorHAnsi" w:cstheme="minorHAnsi"/>
                <w:sz w:val="22"/>
                <w:szCs w:val="22"/>
              </w:rPr>
              <w:t xml:space="preserve"> (Title: Development of learning tools based on contextual teaching and learning in fifth grade of primary schools) which analyses learning tools in relation to contextual learning and mathematics, to discover which are most effective. </w:t>
            </w:r>
          </w:p>
          <w:p w14:paraId="7C6806CF" w14:textId="77777777" w:rsidR="00037DC3" w:rsidRDefault="00037DC3" w:rsidP="00507C47"/>
        </w:tc>
      </w:tr>
    </w:tbl>
    <w:p w14:paraId="78B333FD" w14:textId="77777777" w:rsidR="00037DC3" w:rsidRDefault="00037DC3" w:rsidP="00037DC3">
      <w:pPr>
        <w:pStyle w:val="BodyA"/>
        <w:widowControl w:val="0"/>
        <w:spacing w:line="240" w:lineRule="auto"/>
        <w:ind w:left="108" w:hanging="108"/>
      </w:pPr>
    </w:p>
    <w:p w14:paraId="0DDE5A90" w14:textId="77777777" w:rsidR="00037DC3" w:rsidRDefault="00037DC3" w:rsidP="00037DC3">
      <w:pPr>
        <w:pStyle w:val="BodyA"/>
        <w:widowControl w:val="0"/>
        <w:spacing w:line="240" w:lineRule="auto"/>
      </w:pPr>
    </w:p>
    <w:p w14:paraId="2644FE49" w14:textId="77777777" w:rsidR="00037DC3" w:rsidRDefault="00037DC3" w:rsidP="00037DC3">
      <w:pPr>
        <w:pStyle w:val="BodyA"/>
      </w:pPr>
    </w:p>
    <w:p w14:paraId="3FDC044C" w14:textId="77777777" w:rsidR="00037DC3" w:rsidRDefault="00037DC3" w:rsidP="00037DC3">
      <w:pPr>
        <w:pStyle w:val="BodyA"/>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037DC3" w14:paraId="3B16FCC1" w14:textId="77777777" w:rsidTr="00507C47">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9D9FEA" w14:textId="77777777" w:rsidR="00037DC3" w:rsidRDefault="00037DC3" w:rsidP="00507C47">
            <w:pPr>
              <w:pStyle w:val="Heading2"/>
              <w:jc w:val="center"/>
            </w:pPr>
            <w:r>
              <w:lastRenderedPageBreak/>
              <w:t>Professional Experience Template 4</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0CB8B7" w14:textId="77777777" w:rsidR="00037DC3" w:rsidRDefault="00037DC3" w:rsidP="00507C47"/>
        </w:tc>
      </w:tr>
      <w:tr w:rsidR="00037DC3" w14:paraId="1D5A8871" w14:textId="77777777" w:rsidTr="00507C47">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EB3B65" w14:textId="77777777" w:rsidR="00037DC3" w:rsidRDefault="00037DC3" w:rsidP="00507C47">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52963E" w14:textId="77777777" w:rsidR="00037DC3" w:rsidRDefault="00037DC3" w:rsidP="00507C47">
            <w:pPr>
              <w:pStyle w:val="BodyA"/>
              <w:spacing w:after="0" w:line="240" w:lineRule="auto"/>
            </w:pPr>
            <w:r>
              <w:rPr>
                <w:rFonts w:ascii="Carlito" w:eastAsia="Carlito" w:hAnsi="Carlito" w:cs="Carlito"/>
                <w:b/>
                <w:bCs/>
                <w:color w:val="2E74B5"/>
                <w:sz w:val="28"/>
                <w:szCs w:val="28"/>
                <w:u w:color="2E74B5"/>
              </w:rPr>
              <w:t>Cross-curricular themes</w:t>
            </w:r>
          </w:p>
        </w:tc>
      </w:tr>
      <w:tr w:rsidR="00037DC3" w14:paraId="49E09DC1" w14:textId="77777777" w:rsidTr="00507C47">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310834" w14:textId="77777777" w:rsidR="00037DC3" w:rsidRDefault="00037DC3" w:rsidP="00507C47">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4DA942" w14:textId="540CE06A" w:rsidR="00037DC3" w:rsidRDefault="00037DC3" w:rsidP="00507C47">
            <w:pPr>
              <w:pStyle w:val="NormalWeb"/>
            </w:pPr>
            <w:r>
              <w:t>At my third placement school, in an attempt to drive the Curriculum for Wales, instead of having topics to base lessons upon, they chose to focus</w:t>
            </w:r>
            <w:r w:rsidR="00657EE1">
              <w:t xml:space="preserve"> on a specific</w:t>
            </w:r>
            <w:r>
              <w:t xml:space="preserve"> area of learning and experience e</w:t>
            </w:r>
            <w:r w:rsidR="00657EE1">
              <w:t>ach</w:t>
            </w:r>
            <w:r>
              <w:t xml:space="preserve"> half term. For the winter term our focus was on Science and Technology, and within year 6 we placed an emphasis on 'change', firstly looking at change of state, before moving on to climate change and transition</w:t>
            </w:r>
            <w:r w:rsidR="00657EE1">
              <w:t xml:space="preserve"> (in preparation for their move to secondary school)</w:t>
            </w:r>
            <w:r>
              <w:t>. In order to still ensure balanced learning for students, each morning would include mathematics and English lessons, however these would often include cross-curricular links to Science and Technology. </w:t>
            </w:r>
          </w:p>
          <w:p w14:paraId="4B6331F3" w14:textId="63D24928" w:rsidR="00037DC3" w:rsidRDefault="00037DC3" w:rsidP="00507C47">
            <w:pPr>
              <w:pStyle w:val="NormalWeb"/>
            </w:pPr>
            <w:r>
              <w:t>One identified and important skill for development within Science and Technology for our students was data handling, such as creating graphs and tables, before analysing them. This was important since this was a skill that would enable engagement and access to many of the investigations that we planned on carrying out</w:t>
            </w:r>
            <w:r w:rsidR="00657EE1">
              <w:t>, during our afternoon ‘topic’ lessons</w:t>
            </w:r>
            <w:r>
              <w:t>. In order to improve this skill, data handling was used across all lessons, for example, mathematics lessons were often based on data handling and graph creation, as well as this, welsh lessons where students would ask each other "what is your favourite fruit", before plotting the answers on a graph.</w:t>
            </w:r>
          </w:p>
          <w:p w14:paraId="3780238D" w14:textId="77777777" w:rsidR="00037DC3" w:rsidRDefault="00037DC3" w:rsidP="00507C47"/>
        </w:tc>
      </w:tr>
      <w:tr w:rsidR="00037DC3" w14:paraId="1E2620C4" w14:textId="77777777" w:rsidTr="00507C47">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10E488" w14:textId="77777777" w:rsidR="00037DC3" w:rsidRDefault="00037DC3" w:rsidP="00507C47">
            <w:pPr>
              <w:pStyle w:val="Heading3"/>
              <w:jc w:val="center"/>
            </w:pPr>
            <w: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144EF6" w14:textId="0F7474FB" w:rsidR="00037DC3" w:rsidRDefault="00037DC3" w:rsidP="00507C47">
            <w:pPr>
              <w:rPr>
                <w:lang w:eastAsia="en-GB"/>
              </w:rPr>
            </w:pPr>
            <w:r>
              <w:t>Working across the curriculum allows students the opportunity to transport their knowledge from one area of learning to another, as well as developing skills that encourage greater independence and increase agency (</w:t>
            </w:r>
            <w:proofErr w:type="spellStart"/>
            <w:r>
              <w:t>Earley</w:t>
            </w:r>
            <w:proofErr w:type="spellEnd"/>
            <w:r>
              <w:t>, 2019). The theory of working across the curriculum means to include the implementation of different skills and patterns of information across different areas of learning. Working in this way means that students develop skills that enable them to both synthesis</w:t>
            </w:r>
            <w:r w:rsidR="00065E04">
              <w:t>e</w:t>
            </w:r>
            <w:r>
              <w:t xml:space="preserve"> and analyse information (Hwb, 2020), it can also deepen and extend learner's knowledge. Working in this way improved students class work, as it allowed them to consistently develop their data-handling skills, which in turn provided access to the whole curriculum, and especially allowed students who may have struggled with data handing prior, to take part and excel during science investigations. </w:t>
            </w:r>
          </w:p>
        </w:tc>
      </w:tr>
      <w:tr w:rsidR="00037DC3" w14:paraId="07D0FD5B" w14:textId="77777777" w:rsidTr="00507C47">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C3BA2C" w14:textId="77777777" w:rsidR="00037DC3" w:rsidRDefault="00037DC3" w:rsidP="00507C47">
            <w:pPr>
              <w:pStyle w:val="Heading3"/>
              <w:jc w:val="center"/>
            </w:pPr>
            <w: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CA01F3" w14:textId="01B8739D" w:rsidR="00037DC3" w:rsidRDefault="00037DC3" w:rsidP="00507C47">
            <w:pPr>
              <w:rPr>
                <w:lang w:eastAsia="en-GB"/>
              </w:rPr>
            </w:pPr>
            <w:r>
              <w:t>Based on my observations during this activity I will ensure that I promote cross-curricular working, whenever appropriate, as it allowed students to enhance their information deciphering skills and allowed them to create links across and throughout their learning experience. In future I will use cross-curricular themes to innovate my practice and consistently justify and provide links between and across AoLEs. As well as this I will continue to exploit subject disciplines by effectively planning my lessons, and employing a wide variety of resources and pedagogies, including worksheets, using technology, and by using a range of teaching methods. To do this I will also pursue my engagement with university module content (ECAD6008).  </w:t>
            </w:r>
          </w:p>
          <w:p w14:paraId="62B9AA8E" w14:textId="77777777" w:rsidR="00037DC3" w:rsidRDefault="00037DC3" w:rsidP="00507C47"/>
        </w:tc>
      </w:tr>
    </w:tbl>
    <w:p w14:paraId="54306546" w14:textId="5FAA0CC3" w:rsidR="00037DC3" w:rsidRDefault="00037DC3" w:rsidP="00E611D9">
      <w:pPr>
        <w:pStyle w:val="AssignBody"/>
      </w:pPr>
    </w:p>
    <w:p w14:paraId="19B888FB" w14:textId="576BCD7D" w:rsidR="00037DC3" w:rsidRDefault="00037DC3" w:rsidP="00E611D9">
      <w:pPr>
        <w:pStyle w:val="AssignBody"/>
      </w:pPr>
    </w:p>
    <w:p w14:paraId="5DB7191D" w14:textId="544B4C2B" w:rsidR="00037DC3" w:rsidRDefault="00037DC3" w:rsidP="00E611D9">
      <w:pPr>
        <w:pStyle w:val="AssignBody"/>
      </w:pPr>
    </w:p>
    <w:p w14:paraId="67B5F745" w14:textId="4ADBF040" w:rsidR="00037DC3" w:rsidRDefault="00037DC3" w:rsidP="00E611D9">
      <w:pPr>
        <w:pStyle w:val="AssignBody"/>
      </w:pPr>
    </w:p>
    <w:p w14:paraId="729CAD73" w14:textId="7FB70BAF" w:rsidR="00037DC3" w:rsidRDefault="00037DC3" w:rsidP="00E611D9">
      <w:pPr>
        <w:pStyle w:val="AssignBody"/>
      </w:pPr>
    </w:p>
    <w:p w14:paraId="2C4842F8" w14:textId="6B3DEA73" w:rsidR="00037DC3" w:rsidRDefault="00037DC3" w:rsidP="00E611D9">
      <w:pPr>
        <w:pStyle w:val="AssignBody"/>
      </w:pPr>
    </w:p>
    <w:p w14:paraId="41582D1F" w14:textId="6EC7D51A" w:rsidR="00037DC3" w:rsidRDefault="00037DC3" w:rsidP="00E611D9">
      <w:pPr>
        <w:pStyle w:val="AssignBody"/>
      </w:pPr>
    </w:p>
    <w:p w14:paraId="0347344B" w14:textId="5DADDFCF" w:rsidR="00037DC3" w:rsidRDefault="00037DC3" w:rsidP="00E611D9">
      <w:pPr>
        <w:pStyle w:val="AssignBody"/>
      </w:pPr>
    </w:p>
    <w:p w14:paraId="726FFBBD" w14:textId="4D1975F3" w:rsidR="00037DC3" w:rsidRDefault="00037DC3" w:rsidP="00E611D9">
      <w:pPr>
        <w:pStyle w:val="AssignBody"/>
      </w:pPr>
    </w:p>
    <w:p w14:paraId="64CEC185" w14:textId="6AE2E7C7" w:rsidR="00037DC3" w:rsidRDefault="00037DC3" w:rsidP="00E611D9">
      <w:pPr>
        <w:pStyle w:val="AssignBody"/>
      </w:pPr>
    </w:p>
    <w:p w14:paraId="1DE29CAE" w14:textId="19A17B88" w:rsidR="00037DC3" w:rsidRDefault="00037DC3" w:rsidP="00E611D9">
      <w:pPr>
        <w:pStyle w:val="AssignBody"/>
      </w:pPr>
    </w:p>
    <w:p w14:paraId="630CCC59" w14:textId="7D085828" w:rsidR="00037DC3" w:rsidRDefault="00037DC3" w:rsidP="00E611D9">
      <w:pPr>
        <w:pStyle w:val="AssignBody"/>
      </w:pPr>
    </w:p>
    <w:p w14:paraId="442AF0F7" w14:textId="3E6B0614" w:rsidR="00037DC3" w:rsidRDefault="00037DC3" w:rsidP="00E611D9">
      <w:pPr>
        <w:pStyle w:val="AssignBody"/>
      </w:pPr>
    </w:p>
    <w:p w14:paraId="4CBE4EC2" w14:textId="52D29E1A" w:rsidR="00037DC3" w:rsidRPr="00E977C0" w:rsidRDefault="00E977C0" w:rsidP="00E977C0">
      <w:pPr>
        <w:pStyle w:val="AssignBody"/>
        <w:jc w:val="center"/>
        <w:rPr>
          <w:rFonts w:asciiTheme="minorHAnsi" w:hAnsiTheme="minorHAnsi" w:cstheme="minorHAnsi"/>
          <w:sz w:val="32"/>
          <w:szCs w:val="32"/>
        </w:rPr>
      </w:pPr>
      <w:r w:rsidRPr="00E977C0">
        <w:rPr>
          <w:rFonts w:asciiTheme="minorHAnsi" w:hAnsiTheme="minorHAnsi" w:cstheme="minorHAnsi"/>
          <w:sz w:val="32"/>
          <w:szCs w:val="32"/>
        </w:rPr>
        <w:lastRenderedPageBreak/>
        <w:t>ECAD6008 – Assignment Part 2</w:t>
      </w:r>
    </w:p>
    <w:p w14:paraId="2434DC6C" w14:textId="77777777" w:rsidR="00037DC3" w:rsidRDefault="00037DC3" w:rsidP="00E611D9">
      <w:pPr>
        <w:pStyle w:val="AssignBody"/>
      </w:pPr>
    </w:p>
    <w:tbl>
      <w:tblPr>
        <w:tblStyle w:val="TableGrid"/>
        <w:tblW w:w="0" w:type="auto"/>
        <w:tblLook w:val="04A0" w:firstRow="1" w:lastRow="0" w:firstColumn="1" w:lastColumn="0" w:noHBand="0" w:noVBand="1"/>
      </w:tblPr>
      <w:tblGrid>
        <w:gridCol w:w="1838"/>
        <w:gridCol w:w="3589"/>
        <w:gridCol w:w="3589"/>
      </w:tblGrid>
      <w:tr w:rsidR="00105D46" w14:paraId="2AFD8B78" w14:textId="77777777" w:rsidTr="006A551C">
        <w:tc>
          <w:tcPr>
            <w:tcW w:w="1838" w:type="dxa"/>
          </w:tcPr>
          <w:p w14:paraId="3FCB60DD" w14:textId="5B2CF489" w:rsidR="00105D46" w:rsidRPr="00105D46" w:rsidRDefault="00105D46" w:rsidP="00AE1A4C">
            <w:pPr>
              <w:pStyle w:val="AssignBody"/>
              <w:rPr>
                <w:b/>
                <w:bCs/>
                <w:sz w:val="20"/>
                <w:szCs w:val="20"/>
              </w:rPr>
            </w:pPr>
            <w:proofErr w:type="spellStart"/>
            <w:r w:rsidRPr="00105D46">
              <w:rPr>
                <w:b/>
                <w:bCs/>
                <w:sz w:val="20"/>
                <w:szCs w:val="20"/>
              </w:rPr>
              <w:t>Targedau</w:t>
            </w:r>
            <w:proofErr w:type="spellEnd"/>
            <w:r w:rsidRPr="00105D46">
              <w:rPr>
                <w:b/>
                <w:bCs/>
                <w:sz w:val="20"/>
                <w:szCs w:val="20"/>
              </w:rPr>
              <w:t xml:space="preserve"> / Targets</w:t>
            </w:r>
          </w:p>
        </w:tc>
        <w:tc>
          <w:tcPr>
            <w:tcW w:w="3589" w:type="dxa"/>
          </w:tcPr>
          <w:p w14:paraId="00A78B62" w14:textId="6CD15404" w:rsidR="00105D46" w:rsidRPr="00105D46" w:rsidRDefault="00105D46" w:rsidP="00AE1A4C">
            <w:pPr>
              <w:pStyle w:val="AssignBody"/>
              <w:rPr>
                <w:b/>
                <w:bCs/>
                <w:sz w:val="20"/>
                <w:szCs w:val="20"/>
              </w:rPr>
            </w:pPr>
            <w:r w:rsidRPr="00105D46">
              <w:rPr>
                <w:b/>
                <w:bCs/>
                <w:sz w:val="20"/>
                <w:szCs w:val="20"/>
              </w:rPr>
              <w:t xml:space="preserve">Sut </w:t>
            </w:r>
            <w:proofErr w:type="spellStart"/>
            <w:r w:rsidRPr="00105D46">
              <w:rPr>
                <w:b/>
                <w:bCs/>
                <w:sz w:val="20"/>
                <w:szCs w:val="20"/>
              </w:rPr>
              <w:t>rydych</w:t>
            </w:r>
            <w:proofErr w:type="spellEnd"/>
            <w:r w:rsidRPr="00105D46">
              <w:rPr>
                <w:b/>
                <w:bCs/>
                <w:sz w:val="20"/>
                <w:szCs w:val="20"/>
              </w:rPr>
              <w:t xml:space="preserve"> </w:t>
            </w:r>
            <w:proofErr w:type="spellStart"/>
            <w:r w:rsidRPr="00105D46">
              <w:rPr>
                <w:b/>
                <w:bCs/>
                <w:sz w:val="20"/>
                <w:szCs w:val="20"/>
              </w:rPr>
              <w:t>wedi</w:t>
            </w:r>
            <w:proofErr w:type="spellEnd"/>
            <w:r w:rsidRPr="00105D46">
              <w:rPr>
                <w:b/>
                <w:bCs/>
                <w:sz w:val="20"/>
                <w:szCs w:val="20"/>
              </w:rPr>
              <w:t xml:space="preserve"> </w:t>
            </w:r>
            <w:proofErr w:type="spellStart"/>
            <w:r w:rsidRPr="00105D46">
              <w:rPr>
                <w:b/>
                <w:bCs/>
                <w:sz w:val="20"/>
                <w:szCs w:val="20"/>
              </w:rPr>
              <w:t>gweithio</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roofErr w:type="spellStart"/>
            <w:r w:rsidRPr="00105D46">
              <w:rPr>
                <w:b/>
                <w:bCs/>
                <w:sz w:val="20"/>
                <w:szCs w:val="20"/>
              </w:rPr>
              <w:t>hwn</w:t>
            </w:r>
            <w:proofErr w:type="spellEnd"/>
            <w:r w:rsidRPr="00105D46">
              <w:rPr>
                <w:b/>
                <w:bCs/>
                <w:sz w:val="20"/>
                <w:szCs w:val="20"/>
              </w:rPr>
              <w:t xml:space="preserve"> /</w:t>
            </w:r>
          </w:p>
          <w:p w14:paraId="68ABAA2D" w14:textId="73BA7593" w:rsidR="00105D46" w:rsidRPr="00105D46" w:rsidRDefault="00105D46" w:rsidP="00AE1A4C">
            <w:pPr>
              <w:pStyle w:val="AssignBody"/>
              <w:rPr>
                <w:b/>
                <w:bCs/>
                <w:sz w:val="20"/>
                <w:szCs w:val="20"/>
              </w:rPr>
            </w:pPr>
            <w:r w:rsidRPr="00105D46">
              <w:rPr>
                <w:b/>
                <w:bCs/>
                <w:sz w:val="20"/>
                <w:szCs w:val="20"/>
              </w:rPr>
              <w:t>How you have worked on this</w:t>
            </w:r>
          </w:p>
        </w:tc>
        <w:tc>
          <w:tcPr>
            <w:tcW w:w="3589" w:type="dxa"/>
          </w:tcPr>
          <w:p w14:paraId="5B76864F" w14:textId="21D918EA" w:rsidR="00105D46" w:rsidRPr="00105D46" w:rsidRDefault="00105D46" w:rsidP="00AE1A4C">
            <w:pPr>
              <w:pStyle w:val="AssignBody"/>
              <w:rPr>
                <w:b/>
                <w:bCs/>
                <w:sz w:val="20"/>
                <w:szCs w:val="20"/>
              </w:rPr>
            </w:pPr>
            <w:proofErr w:type="spellStart"/>
            <w:r w:rsidRPr="00105D46">
              <w:rPr>
                <w:b/>
                <w:bCs/>
                <w:sz w:val="20"/>
                <w:szCs w:val="20"/>
              </w:rPr>
              <w:t>Ceir</w:t>
            </w:r>
            <w:proofErr w:type="spellEnd"/>
            <w:r w:rsidRPr="00105D46">
              <w:rPr>
                <w:b/>
                <w:bCs/>
                <w:sz w:val="20"/>
                <w:szCs w:val="20"/>
              </w:rPr>
              <w:t xml:space="preserve"> </w:t>
            </w:r>
            <w:proofErr w:type="spellStart"/>
            <w:r w:rsidRPr="00105D46">
              <w:rPr>
                <w:b/>
                <w:bCs/>
                <w:sz w:val="20"/>
                <w:szCs w:val="20"/>
              </w:rPr>
              <w:t>enghraifft</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
          <w:p w14:paraId="784FDDD1" w14:textId="6442DA38" w:rsidR="00105D46" w:rsidRPr="00105D46" w:rsidRDefault="00105D46" w:rsidP="00AE1A4C">
            <w:pPr>
              <w:pStyle w:val="AssignBody"/>
              <w:rPr>
                <w:b/>
                <w:bCs/>
                <w:sz w:val="20"/>
                <w:szCs w:val="20"/>
              </w:rPr>
            </w:pPr>
            <w:r w:rsidRPr="00105D46">
              <w:rPr>
                <w:b/>
                <w:bCs/>
                <w:sz w:val="20"/>
                <w:szCs w:val="20"/>
              </w:rPr>
              <w:t>An example can be found on</w:t>
            </w:r>
          </w:p>
        </w:tc>
      </w:tr>
      <w:tr w:rsidR="00105D46" w14:paraId="4072E411" w14:textId="77777777" w:rsidTr="00C92C16">
        <w:trPr>
          <w:trHeight w:val="1078"/>
        </w:trPr>
        <w:tc>
          <w:tcPr>
            <w:tcW w:w="1838" w:type="dxa"/>
          </w:tcPr>
          <w:p w14:paraId="3BDD7132" w14:textId="2913DBD9" w:rsidR="00105D46" w:rsidRPr="00105D46" w:rsidRDefault="00C92C16" w:rsidP="00AE1A4C">
            <w:pPr>
              <w:pStyle w:val="AssignBody"/>
              <w:rPr>
                <w:b/>
                <w:bCs/>
                <w:sz w:val="20"/>
                <w:szCs w:val="20"/>
              </w:rPr>
            </w:pPr>
            <w:bookmarkStart w:id="0" w:name="cysill"/>
            <w:bookmarkEnd w:id="0"/>
            <w:r w:rsidRPr="00C92C16">
              <w:rPr>
                <w:b/>
                <w:bCs/>
                <w:sz w:val="18"/>
                <w:szCs w:val="18"/>
              </w:rPr>
              <w:t>Continue to revise referencing techniques</w:t>
            </w:r>
          </w:p>
        </w:tc>
        <w:tc>
          <w:tcPr>
            <w:tcW w:w="3589" w:type="dxa"/>
          </w:tcPr>
          <w:p w14:paraId="5072E6C7" w14:textId="62DE88CF" w:rsidR="00105D46" w:rsidRDefault="00C92C16" w:rsidP="00AE1A4C">
            <w:pPr>
              <w:pStyle w:val="AssignBody"/>
            </w:pPr>
            <w:r>
              <w:t>By consulting the university’s referencing handbook</w:t>
            </w:r>
            <w:r w:rsidR="00F4029C">
              <w:t>.</w:t>
            </w:r>
          </w:p>
        </w:tc>
        <w:tc>
          <w:tcPr>
            <w:tcW w:w="3589" w:type="dxa"/>
          </w:tcPr>
          <w:p w14:paraId="394C5558" w14:textId="081DACEE" w:rsidR="00105D46" w:rsidRDefault="00C92C16" w:rsidP="00AE1A4C">
            <w:pPr>
              <w:pStyle w:val="AssignBody"/>
            </w:pPr>
            <w:r>
              <w:t xml:space="preserve">In-text citations, and the reference list </w:t>
            </w:r>
          </w:p>
        </w:tc>
      </w:tr>
      <w:tr w:rsidR="00105D46" w14:paraId="73A65764" w14:textId="77777777" w:rsidTr="006A551C">
        <w:tc>
          <w:tcPr>
            <w:tcW w:w="1838" w:type="dxa"/>
          </w:tcPr>
          <w:p w14:paraId="12A42483" w14:textId="0147A27B" w:rsidR="00105D46" w:rsidRPr="00105D46" w:rsidRDefault="00C92C16" w:rsidP="00AE1A4C">
            <w:pPr>
              <w:pStyle w:val="AssignBody"/>
              <w:rPr>
                <w:b/>
                <w:bCs/>
                <w:sz w:val="20"/>
                <w:szCs w:val="20"/>
              </w:rPr>
            </w:pPr>
            <w:r w:rsidRPr="00C92C16">
              <w:rPr>
                <w:b/>
                <w:bCs/>
                <w:sz w:val="18"/>
                <w:szCs w:val="18"/>
              </w:rPr>
              <w:t>Continue to proof</w:t>
            </w:r>
            <w:r w:rsidR="00F4029C">
              <w:rPr>
                <w:b/>
                <w:bCs/>
                <w:sz w:val="18"/>
                <w:szCs w:val="18"/>
              </w:rPr>
              <w:t xml:space="preserve"> </w:t>
            </w:r>
            <w:r w:rsidRPr="00C92C16">
              <w:rPr>
                <w:b/>
                <w:bCs/>
                <w:sz w:val="18"/>
                <w:szCs w:val="18"/>
              </w:rPr>
              <w:t>read your work avoid written inaccuracies</w:t>
            </w:r>
          </w:p>
        </w:tc>
        <w:tc>
          <w:tcPr>
            <w:tcW w:w="3589" w:type="dxa"/>
          </w:tcPr>
          <w:p w14:paraId="0C205A83" w14:textId="72207968" w:rsidR="00105D46" w:rsidRDefault="00C92C16" w:rsidP="00AE1A4C">
            <w:pPr>
              <w:pStyle w:val="AssignBody"/>
            </w:pPr>
            <w:r>
              <w:t xml:space="preserve">Ensured I provided adequate time </w:t>
            </w:r>
            <w:r w:rsidR="00F4029C">
              <w:t>to revisit and proof read my work.</w:t>
            </w:r>
          </w:p>
        </w:tc>
        <w:tc>
          <w:tcPr>
            <w:tcW w:w="3589" w:type="dxa"/>
          </w:tcPr>
          <w:p w14:paraId="3E19823E" w14:textId="78275D3E" w:rsidR="00105D46" w:rsidRDefault="00F4029C" w:rsidP="00AE1A4C">
            <w:pPr>
              <w:pStyle w:val="AssignBody"/>
            </w:pPr>
            <w:r>
              <w:t>Accurate language and grammar throughout the piece</w:t>
            </w:r>
          </w:p>
        </w:tc>
      </w:tr>
    </w:tbl>
    <w:p w14:paraId="45E34BBD" w14:textId="77777777" w:rsidR="002229F0" w:rsidRDefault="002229F0" w:rsidP="00E611D9">
      <w:pPr>
        <w:pStyle w:val="AssignBody"/>
      </w:pPr>
    </w:p>
    <w:p w14:paraId="118CB437" w14:textId="223EE186" w:rsidR="006419C3" w:rsidRDefault="00004307" w:rsidP="00E611D9">
      <w:pPr>
        <w:pStyle w:val="AssignHeader"/>
      </w:pPr>
      <w:r>
        <w:t xml:space="preserve">Critically reflect on your progress in planning, </w:t>
      </w:r>
      <w:r w:rsidR="00454EB2">
        <w:t>preparing,</w:t>
      </w:r>
      <w:r>
        <w:t xml:space="preserve"> and teaching lessons that incorp</w:t>
      </w:r>
      <w:r w:rsidR="004674ED">
        <w:t>orate specific pedagogical principles as an area for development and justify the next steps in your development.</w:t>
      </w:r>
    </w:p>
    <w:p w14:paraId="30201BBB" w14:textId="77777777" w:rsidR="004674ED" w:rsidRDefault="004674ED" w:rsidP="00691A46">
      <w:pPr>
        <w:pStyle w:val="AssignSubHeader"/>
      </w:pPr>
    </w:p>
    <w:p w14:paraId="7118C396" w14:textId="5AD4AA6D" w:rsidR="004674ED" w:rsidRPr="006435B1" w:rsidRDefault="004674ED" w:rsidP="00691A46">
      <w:pPr>
        <w:pStyle w:val="AssignSubHeader"/>
        <w:rPr>
          <w:u w:val="single"/>
        </w:rPr>
      </w:pPr>
      <w:r w:rsidRPr="006435B1">
        <w:rPr>
          <w:u w:val="single"/>
        </w:rPr>
        <w:t>Introduction</w:t>
      </w:r>
    </w:p>
    <w:p w14:paraId="2B9AFB1B" w14:textId="2597DD19" w:rsidR="004674ED" w:rsidRDefault="004674ED" w:rsidP="004674ED">
      <w:pPr>
        <w:pStyle w:val="AssignBody"/>
      </w:pPr>
    </w:p>
    <w:p w14:paraId="4E09C17A" w14:textId="64C3DB45" w:rsidR="004674ED" w:rsidRDefault="00FE4D2A" w:rsidP="004674ED">
      <w:pPr>
        <w:pStyle w:val="AssignBody"/>
      </w:pPr>
      <w:r>
        <w:t xml:space="preserve">Progression in teaching and learning is a key </w:t>
      </w:r>
      <w:r w:rsidR="00454EB2">
        <w:t xml:space="preserve">aim </w:t>
      </w:r>
      <w:r>
        <w:t>of the Curriculum for Wales, this is evident through the implementation of</w:t>
      </w:r>
      <w:r w:rsidR="00F4029C">
        <w:t xml:space="preserve"> </w:t>
      </w:r>
      <w:r w:rsidR="00D20FB9">
        <w:t xml:space="preserve">supplementary </w:t>
      </w:r>
      <w:r w:rsidR="00F4029C">
        <w:t>government documents including</w:t>
      </w:r>
      <w:r w:rsidR="00454EB2">
        <w:t xml:space="preserve"> the</w:t>
      </w:r>
      <w:r>
        <w:t xml:space="preserve"> ‘principles of progression’ and the</w:t>
      </w:r>
      <w:r w:rsidR="00710E1B">
        <w:t xml:space="preserve"> development of the</w:t>
      </w:r>
      <w:r>
        <w:t xml:space="preserve"> </w:t>
      </w:r>
      <w:r w:rsidR="00710E1B">
        <w:t>‘P</w:t>
      </w:r>
      <w:r>
        <w:t xml:space="preserve">rogression </w:t>
      </w:r>
      <w:r w:rsidR="00710E1B">
        <w:t>C</w:t>
      </w:r>
      <w:r>
        <w:t>od</w:t>
      </w:r>
      <w:r w:rsidR="004D7317">
        <w:t>e</w:t>
      </w:r>
      <w:r w:rsidR="00710E1B">
        <w:t>’</w:t>
      </w:r>
      <w:r w:rsidR="004D7317">
        <w:t xml:space="preserve">, which states that any curriculum design cannot be put into practice unless the provisions accord with the code </w:t>
      </w:r>
      <w:sdt>
        <w:sdtPr>
          <w:id w:val="892939431"/>
          <w:citation/>
        </w:sdtPr>
        <w:sdtEndPr/>
        <w:sdtContent>
          <w:r w:rsidR="004D7317">
            <w:fldChar w:fldCharType="begin"/>
          </w:r>
          <w:r w:rsidR="004D7317">
            <w:instrText xml:space="preserve"> CITATION Wel213 \l 2057 </w:instrText>
          </w:r>
          <w:r w:rsidR="004D7317">
            <w:fldChar w:fldCharType="separate"/>
          </w:r>
          <w:r w:rsidR="000103C6" w:rsidRPr="000103C6">
            <w:rPr>
              <w:noProof/>
            </w:rPr>
            <w:t>(Welsh Government, 2021)</w:t>
          </w:r>
          <w:r w:rsidR="004D7317">
            <w:fldChar w:fldCharType="end"/>
          </w:r>
        </w:sdtContent>
      </w:sdt>
      <w:r w:rsidR="004D7317">
        <w:t xml:space="preserve">. </w:t>
      </w:r>
      <w:r w:rsidR="00C17972">
        <w:t xml:space="preserve">The code defines progression as a process of developing and improving </w:t>
      </w:r>
      <w:r w:rsidR="00454EB2">
        <w:t>students’</w:t>
      </w:r>
      <w:r w:rsidR="00D20FB9">
        <w:t xml:space="preserve"> </w:t>
      </w:r>
      <w:r w:rsidR="00C17972">
        <w:t>skills and knowledge over ti</w:t>
      </w:r>
      <w:r w:rsidR="000D48BC">
        <w:t>me, I strongly agree with this definition</w:t>
      </w:r>
      <w:r w:rsidR="00BF1F55">
        <w:t xml:space="preserve">, however I believe that it should </w:t>
      </w:r>
      <w:r w:rsidR="00C63F8F">
        <w:t xml:space="preserve">also </w:t>
      </w:r>
      <w:r w:rsidR="00BF1F55">
        <w:t xml:space="preserve">be </w:t>
      </w:r>
      <w:r w:rsidR="00C63F8F">
        <w:t xml:space="preserve">adopted by teachers in an attempt to improve pedagogy. </w:t>
      </w:r>
      <w:r w:rsidR="000103C6">
        <w:t xml:space="preserve">This idea of pedagogical progression can be further developed, and it is stated that to develop as a teacher, it is necessary to develop a </w:t>
      </w:r>
      <w:r w:rsidR="00F76D9C">
        <w:t>‘</w:t>
      </w:r>
      <w:r w:rsidR="000103C6">
        <w:t>teacher identity</w:t>
      </w:r>
      <w:r w:rsidR="00F76D9C">
        <w:t>’</w:t>
      </w:r>
      <w:r w:rsidR="000103C6">
        <w:t xml:space="preserve"> </w:t>
      </w:r>
      <w:sdt>
        <w:sdtPr>
          <w:id w:val="-1012763077"/>
          <w:citation/>
        </w:sdtPr>
        <w:sdtEndPr/>
        <w:sdtContent>
          <w:r w:rsidR="000103C6">
            <w:fldChar w:fldCharType="begin"/>
          </w:r>
          <w:r w:rsidR="000103C6">
            <w:instrText xml:space="preserve"> CITATION Wil14 \l 2057 </w:instrText>
          </w:r>
          <w:r w:rsidR="000103C6">
            <w:fldChar w:fldCharType="separate"/>
          </w:r>
          <w:r w:rsidR="000103C6" w:rsidRPr="000103C6">
            <w:rPr>
              <w:noProof/>
            </w:rPr>
            <w:t>(Williams, 2014)</w:t>
          </w:r>
          <w:r w:rsidR="000103C6">
            <w:fldChar w:fldCharType="end"/>
          </w:r>
        </w:sdtContent>
      </w:sdt>
      <w:r w:rsidR="000103C6">
        <w:t xml:space="preserve">. This refers to the idea that teachers should be aware of their </w:t>
      </w:r>
      <w:r w:rsidR="00F76D9C">
        <w:t xml:space="preserve">assumptions regarding teaching and be able to reflect critically upon them in an attempt to enhance learning. </w:t>
      </w:r>
    </w:p>
    <w:p w14:paraId="23500BF7" w14:textId="50E7D214" w:rsidR="00F76D9C" w:rsidRDefault="00F76D9C" w:rsidP="004674ED">
      <w:pPr>
        <w:pStyle w:val="AssignBody"/>
      </w:pPr>
    </w:p>
    <w:p w14:paraId="687330D0" w14:textId="78B3C763" w:rsidR="00F76D9C" w:rsidRDefault="00C04B6C" w:rsidP="004674ED">
      <w:pPr>
        <w:pStyle w:val="AssignBody"/>
      </w:pPr>
      <w:r>
        <w:lastRenderedPageBreak/>
        <w:t xml:space="preserve">To </w:t>
      </w:r>
      <w:r w:rsidR="001064C3">
        <w:t xml:space="preserve">further aid progression in </w:t>
      </w:r>
      <w:r w:rsidR="002468E8">
        <w:t>teaching and learning, practice should be drive</w:t>
      </w:r>
      <w:r w:rsidR="00D20FB9">
        <w:t>n</w:t>
      </w:r>
      <w:r w:rsidR="002468E8">
        <w:t xml:space="preserve"> by the pedagogical principles, these outline what good teaching and learning is, and they should underpin curriculum design </w:t>
      </w:r>
      <w:sdt>
        <w:sdtPr>
          <w:id w:val="-1753189701"/>
          <w:citation/>
        </w:sdtPr>
        <w:sdtEndPr/>
        <w:sdtContent>
          <w:r w:rsidR="002468E8">
            <w:fldChar w:fldCharType="begin"/>
          </w:r>
          <w:r w:rsidR="002468E8">
            <w:instrText xml:space="preserve"> CITATION Wel23 \l 2057 </w:instrText>
          </w:r>
          <w:r w:rsidR="002468E8">
            <w:fldChar w:fldCharType="separate"/>
          </w:r>
          <w:r w:rsidR="002468E8" w:rsidRPr="002468E8">
            <w:rPr>
              <w:noProof/>
            </w:rPr>
            <w:t>(Welsh Government , 2023)</w:t>
          </w:r>
          <w:r w:rsidR="002468E8">
            <w:fldChar w:fldCharType="end"/>
          </w:r>
        </w:sdtContent>
      </w:sdt>
      <w:r w:rsidR="002468E8">
        <w:t xml:space="preserve">. </w:t>
      </w:r>
      <w:r w:rsidR="002C6F92">
        <w:t>A key aspect of the implementation of the principles is to</w:t>
      </w:r>
      <w:r w:rsidR="00954378">
        <w:t xml:space="preserve"> support learning in relati</w:t>
      </w:r>
      <w:r w:rsidR="00454EB2">
        <w:t>on</w:t>
      </w:r>
      <w:r w:rsidR="00954378">
        <w:t xml:space="preserve"> to the four purposes for learners. </w:t>
      </w:r>
      <w:r w:rsidR="0035177A">
        <w:t xml:space="preserve">Furthermore, pedagogical principles enable students to think in different ways, enhance productivity, creativity and increase students’ critical thinking skills </w:t>
      </w:r>
      <w:sdt>
        <w:sdtPr>
          <w:id w:val="-50695292"/>
          <w:citation/>
        </w:sdtPr>
        <w:sdtEndPr/>
        <w:sdtContent>
          <w:r w:rsidR="0035177A">
            <w:fldChar w:fldCharType="begin"/>
          </w:r>
          <w:r w:rsidR="0035177A">
            <w:instrText xml:space="preserve"> CITATION Gup22 \l 2057 </w:instrText>
          </w:r>
          <w:r w:rsidR="0035177A">
            <w:fldChar w:fldCharType="separate"/>
          </w:r>
          <w:r w:rsidR="0035177A" w:rsidRPr="0035177A">
            <w:rPr>
              <w:noProof/>
            </w:rPr>
            <w:t>(Gupta &amp; Hayath, 2022)</w:t>
          </w:r>
          <w:r w:rsidR="0035177A">
            <w:fldChar w:fldCharType="end"/>
          </w:r>
        </w:sdtContent>
      </w:sdt>
      <w:r w:rsidR="00131918">
        <w:t>.</w:t>
      </w:r>
    </w:p>
    <w:p w14:paraId="74B47A41" w14:textId="6444726A" w:rsidR="00710E1B" w:rsidRDefault="00710E1B" w:rsidP="004674ED">
      <w:pPr>
        <w:pStyle w:val="AssignBody"/>
      </w:pPr>
    </w:p>
    <w:p w14:paraId="30E638C8" w14:textId="46F2D24C" w:rsidR="00710E1B" w:rsidRDefault="00D20FB9" w:rsidP="004674ED">
      <w:pPr>
        <w:pStyle w:val="AssignBody"/>
      </w:pPr>
      <w:r>
        <w:t xml:space="preserve">This paper </w:t>
      </w:r>
      <w:r w:rsidR="00710E1B">
        <w:t>will consider the principle</w:t>
      </w:r>
      <w:r w:rsidR="00036EC5">
        <w:t>s</w:t>
      </w:r>
      <w:r w:rsidR="00710E1B">
        <w:t xml:space="preserve"> of </w:t>
      </w:r>
      <w:r w:rsidR="00036EC5">
        <w:t xml:space="preserve">‘cross-curricular themes’, and ‘employing a broad repertoire of teaching </w:t>
      </w:r>
      <w:r w:rsidR="00F75896">
        <w:t>approaches’</w:t>
      </w:r>
      <w:r w:rsidR="00036EC5">
        <w:t xml:space="preserve">. </w:t>
      </w:r>
      <w:r w:rsidR="00F75896">
        <w:t>E</w:t>
      </w:r>
      <w:r w:rsidR="005545CB">
        <w:t>ngaging with</w:t>
      </w:r>
      <w:r w:rsidR="00F75896">
        <w:t xml:space="preserve"> cross-curricular themes in education means to integrate a variety of areas of learning into different learning opportunities, it allows opportunities for students to connect information from a variety of areas of learning </w:t>
      </w:r>
      <w:sdt>
        <w:sdtPr>
          <w:id w:val="1032382477"/>
          <w:citation/>
        </w:sdtPr>
        <w:sdtEndPr/>
        <w:sdtContent>
          <w:r w:rsidR="00F75896">
            <w:fldChar w:fldCharType="begin"/>
          </w:r>
          <w:r w:rsidR="00F75896">
            <w:instrText xml:space="preserve"> CITATION Yas16 \l 2057 </w:instrText>
          </w:r>
          <w:r w:rsidR="00F75896">
            <w:fldChar w:fldCharType="separate"/>
          </w:r>
          <w:r w:rsidR="00F75896" w:rsidRPr="00F75896">
            <w:rPr>
              <w:noProof/>
            </w:rPr>
            <w:t>(Aslan, 2016)</w:t>
          </w:r>
          <w:r w:rsidR="00F75896">
            <w:fldChar w:fldCharType="end"/>
          </w:r>
        </w:sdtContent>
      </w:sdt>
      <w:r w:rsidR="005545CB">
        <w:t xml:space="preserve">. Alternatively, developing a wide teaching repertoire means to develop a host of strategies and techniques towards teaching, and provides pupils with different ways of learning </w:t>
      </w:r>
      <w:sdt>
        <w:sdtPr>
          <w:id w:val="-594861847"/>
          <w:citation/>
        </w:sdtPr>
        <w:sdtEndPr/>
        <w:sdtContent>
          <w:r w:rsidR="005545CB">
            <w:fldChar w:fldCharType="begin"/>
          </w:r>
          <w:r w:rsidR="005545CB">
            <w:instrText xml:space="preserve"> CITATION Ger16 \l 2057 </w:instrText>
          </w:r>
          <w:r w:rsidR="005545CB">
            <w:fldChar w:fldCharType="separate"/>
          </w:r>
          <w:r w:rsidR="005545CB" w:rsidRPr="005545CB">
            <w:rPr>
              <w:noProof/>
            </w:rPr>
            <w:t>(Gershon, 2016)</w:t>
          </w:r>
          <w:r w:rsidR="005545CB">
            <w:fldChar w:fldCharType="end"/>
          </w:r>
        </w:sdtContent>
      </w:sdt>
      <w:r w:rsidR="005545CB">
        <w:t xml:space="preserve">. </w:t>
      </w:r>
      <w:r w:rsidR="002C5F7E">
        <w:t>I decided to further explore these principles since the implementation of a wide repertoire of teaching</w:t>
      </w:r>
      <w:r w:rsidR="00454EB2">
        <w:t xml:space="preserve"> approaches</w:t>
      </w:r>
      <w:r w:rsidR="002C5F7E">
        <w:t xml:space="preserve"> </w:t>
      </w:r>
      <w:r w:rsidR="00C247F3">
        <w:t>had a great impact on my teaching and professional development</w:t>
      </w:r>
      <w:r w:rsidR="006435B1">
        <w:t>. In my experience, it allowed me to create more engaging lessons, and provided opportunities for my students to connect with the four purposes for learners. When I put cross-curricular themes into practice it was apparent that it developed students’ cognitive and information deciphering skill</w:t>
      </w:r>
      <w:r w:rsidR="00B33070">
        <w:t>s</w:t>
      </w:r>
      <w:r w:rsidR="00FE49B7">
        <w:t xml:space="preserve">. Also, </w:t>
      </w:r>
      <w:r w:rsidR="00B33070">
        <w:t>t</w:t>
      </w:r>
      <w:r w:rsidR="00FE49B7">
        <w:t xml:space="preserve">he method </w:t>
      </w:r>
      <w:r w:rsidR="00B33070">
        <w:t>t</w:t>
      </w:r>
      <w:r w:rsidR="00FE49B7">
        <w:t>owards curriculum design that</w:t>
      </w:r>
      <w:r w:rsidR="00B33070">
        <w:t xml:space="preserve"> </w:t>
      </w:r>
      <w:r>
        <w:t>my PTE 3</w:t>
      </w:r>
      <w:r w:rsidR="00B33070">
        <w:t xml:space="preserve"> school had implemented (See Part 1) was also</w:t>
      </w:r>
      <w:r w:rsidR="00C247F3">
        <w:t xml:space="preserve"> int</w:t>
      </w:r>
      <w:r w:rsidR="00FE49B7">
        <w:t xml:space="preserve">riguing </w:t>
      </w:r>
      <w:r w:rsidR="00C247F3">
        <w:t>to me</w:t>
      </w:r>
      <w:r w:rsidR="00FE49B7">
        <w:t xml:space="preserve"> </w:t>
      </w:r>
      <w:r w:rsidR="00C247F3">
        <w:t>as a practitioner and provid</w:t>
      </w:r>
      <w:r w:rsidR="00FE49B7">
        <w:t>ed</w:t>
      </w:r>
      <w:r w:rsidR="00C247F3">
        <w:t xml:space="preserve"> </w:t>
      </w:r>
      <w:r w:rsidR="00B33070">
        <w:t xml:space="preserve">a </w:t>
      </w:r>
      <w:r>
        <w:t>contemporary</w:t>
      </w:r>
      <w:r w:rsidR="00B33070">
        <w:t xml:space="preserve"> way of en</w:t>
      </w:r>
      <w:r w:rsidR="00C247F3">
        <w:t xml:space="preserve">gaging with </w:t>
      </w:r>
      <w:r w:rsidR="00B33070">
        <w:t xml:space="preserve">cross-curricular practice, </w:t>
      </w:r>
      <w:r w:rsidR="00EC2AEA">
        <w:t>inspiring</w:t>
      </w:r>
      <w:r w:rsidR="00B33070">
        <w:t xml:space="preserve"> me to conduct further research into this specific principle</w:t>
      </w:r>
      <w:r w:rsidR="00EC2AEA">
        <w:t>.</w:t>
      </w:r>
    </w:p>
    <w:p w14:paraId="16A6BF22" w14:textId="56E69EB4" w:rsidR="00131918" w:rsidRDefault="00131918" w:rsidP="004674ED">
      <w:pPr>
        <w:pStyle w:val="AssignBody"/>
      </w:pPr>
    </w:p>
    <w:p w14:paraId="68633D6C" w14:textId="41AD3669" w:rsidR="00CD0EF7" w:rsidRDefault="0059191E" w:rsidP="004674ED">
      <w:pPr>
        <w:pStyle w:val="AssignBody"/>
        <w:rPr>
          <w:b/>
          <w:bCs/>
          <w:sz w:val="28"/>
          <w:szCs w:val="28"/>
          <w:u w:val="single"/>
        </w:rPr>
      </w:pPr>
      <w:r>
        <w:rPr>
          <w:b/>
          <w:bCs/>
          <w:sz w:val="28"/>
          <w:szCs w:val="28"/>
          <w:u w:val="single"/>
        </w:rPr>
        <w:t>Critical Discussion</w:t>
      </w:r>
    </w:p>
    <w:p w14:paraId="1B5D1F14" w14:textId="3876592E" w:rsidR="00CD0EF7" w:rsidRDefault="00CD0EF7" w:rsidP="004674ED">
      <w:pPr>
        <w:pStyle w:val="AssignBody"/>
      </w:pPr>
    </w:p>
    <w:p w14:paraId="2F4803BE" w14:textId="02D7F4B6" w:rsidR="00CD0EF7" w:rsidRDefault="00CD0EF7" w:rsidP="004674ED">
      <w:pPr>
        <w:pStyle w:val="AssignBody"/>
        <w:rPr>
          <w:b/>
          <w:bCs/>
        </w:rPr>
      </w:pPr>
      <w:r>
        <w:rPr>
          <w:b/>
          <w:bCs/>
        </w:rPr>
        <w:t>Principle 1 - Employing a broad repertoire of teaching approaches</w:t>
      </w:r>
    </w:p>
    <w:p w14:paraId="31D399B3" w14:textId="5845C134" w:rsidR="00CD0EF7" w:rsidRDefault="00CD0EF7" w:rsidP="004674ED">
      <w:pPr>
        <w:pStyle w:val="AssignBody"/>
        <w:rPr>
          <w:b/>
          <w:bCs/>
        </w:rPr>
      </w:pPr>
    </w:p>
    <w:p w14:paraId="0711BEBC" w14:textId="3C343BD1" w:rsidR="00EC2AEA" w:rsidRDefault="00AA6ACB" w:rsidP="004674ED">
      <w:pPr>
        <w:pStyle w:val="AssignBody"/>
      </w:pPr>
      <w:r>
        <w:t xml:space="preserve">For teachers, a repertoire consists of the techniques and activities that are used in the class </w:t>
      </w:r>
      <w:sdt>
        <w:sdtPr>
          <w:id w:val="1208301551"/>
          <w:citation/>
        </w:sdtPr>
        <w:sdtEndPr/>
        <w:sdtContent>
          <w:r>
            <w:fldChar w:fldCharType="begin"/>
          </w:r>
          <w:r>
            <w:instrText xml:space="preserve"> CITATION And24 \l 2057 </w:instrText>
          </w:r>
          <w:r>
            <w:fldChar w:fldCharType="separate"/>
          </w:r>
          <w:r w:rsidRPr="00AA6ACB">
            <w:rPr>
              <w:noProof/>
            </w:rPr>
            <w:t>(Baxter, n.d.)</w:t>
          </w:r>
          <w:r>
            <w:fldChar w:fldCharType="end"/>
          </w:r>
        </w:sdtContent>
      </w:sdt>
      <w:r>
        <w:t xml:space="preserve">. </w:t>
      </w:r>
      <w:r w:rsidR="00C87881">
        <w:t xml:space="preserve">Baxter develops </w:t>
      </w:r>
      <w:r w:rsidR="00F11C8B">
        <w:t xml:space="preserve">this view and states that a </w:t>
      </w:r>
      <w:r w:rsidR="00820AE3">
        <w:t>teacher’s</w:t>
      </w:r>
      <w:r w:rsidR="00F11C8B">
        <w:t xml:space="preserve"> repertoire may change and vary over years, as new techniques are </w:t>
      </w:r>
      <w:r w:rsidR="00167C79">
        <w:t>developed,</w:t>
      </w:r>
      <w:r w:rsidR="00F11C8B">
        <w:t xml:space="preserve"> and old techniques fall out of favour. </w:t>
      </w:r>
      <w:r w:rsidR="00820AE3">
        <w:t xml:space="preserve">It is agreed that a repertoire is a range of methods and techniques that are available to teachers </w:t>
      </w:r>
      <w:sdt>
        <w:sdtPr>
          <w:id w:val="-1749019972"/>
          <w:citation/>
        </w:sdtPr>
        <w:sdtEndPr/>
        <w:sdtContent>
          <w:r w:rsidR="00820AE3">
            <w:fldChar w:fldCharType="begin"/>
          </w:r>
          <w:r w:rsidR="00820AE3">
            <w:instrText xml:space="preserve"> CITATION Wel19 \l 2057 </w:instrText>
          </w:r>
          <w:r w:rsidR="00820AE3">
            <w:fldChar w:fldCharType="separate"/>
          </w:r>
          <w:r w:rsidR="00820AE3" w:rsidRPr="00820AE3">
            <w:rPr>
              <w:noProof/>
            </w:rPr>
            <w:t>(Welsh Government, 2019)</w:t>
          </w:r>
          <w:r w:rsidR="00820AE3">
            <w:fldChar w:fldCharType="end"/>
          </w:r>
        </w:sdtContent>
      </w:sdt>
      <w:r w:rsidR="00820AE3">
        <w:t xml:space="preserve">. </w:t>
      </w:r>
      <w:r w:rsidR="00167C79">
        <w:t>Contrarily however, the Welsh Government specify that for this to be effective it is necessary for these methods to be skilfully employed and should enable learners to bring discipline and</w:t>
      </w:r>
      <w:r w:rsidR="00FE49B7">
        <w:t xml:space="preserve"> to</w:t>
      </w:r>
      <w:r w:rsidR="00167C79">
        <w:t xml:space="preserve"> organise</w:t>
      </w:r>
      <w:r w:rsidR="00606B98">
        <w:t xml:space="preserve"> </w:t>
      </w:r>
      <w:r w:rsidR="00167C79">
        <w:t xml:space="preserve">their own learning. </w:t>
      </w:r>
      <w:r w:rsidR="0059191E">
        <w:t xml:space="preserve">This pedagogical principle is then supported by </w:t>
      </w:r>
      <w:r w:rsidR="00606B98">
        <w:t xml:space="preserve">the </w:t>
      </w:r>
      <w:r w:rsidR="0059191E">
        <w:t xml:space="preserve">professional standards for teaching and </w:t>
      </w:r>
      <w:r w:rsidR="0059191E">
        <w:lastRenderedPageBreak/>
        <w:t xml:space="preserve">learning, </w:t>
      </w:r>
      <w:r w:rsidR="00606B98">
        <w:t xml:space="preserve">specifically </w:t>
      </w:r>
      <w:r w:rsidR="0059191E">
        <w:t>‘blended learning experiences’ and ‘exploiting subject disciplines in areas of learning’</w:t>
      </w:r>
      <w:r w:rsidR="00C863D2">
        <w:t>.</w:t>
      </w:r>
      <w:r w:rsidR="00C95D0B">
        <w:t xml:space="preserve"> </w:t>
      </w:r>
    </w:p>
    <w:p w14:paraId="01ABF0EB" w14:textId="4A3BEB3D" w:rsidR="00C95D0B" w:rsidRDefault="00C95D0B" w:rsidP="004674ED">
      <w:pPr>
        <w:pStyle w:val="AssignBody"/>
      </w:pPr>
    </w:p>
    <w:p w14:paraId="23F84619" w14:textId="00BEF349" w:rsidR="00C863D2" w:rsidRDefault="00C95D0B" w:rsidP="004674ED">
      <w:pPr>
        <w:pStyle w:val="AssignBody"/>
      </w:pPr>
      <w:r>
        <w:t xml:space="preserve">It is stated that an effective teaching repertoire comprises three key modules, these are, questioning, explaining, and modelling </w:t>
      </w:r>
      <w:sdt>
        <w:sdtPr>
          <w:id w:val="-1767999470"/>
          <w:citation/>
        </w:sdtPr>
        <w:sdtEndPr/>
        <w:sdtContent>
          <w:r>
            <w:fldChar w:fldCharType="begin"/>
          </w:r>
          <w:r>
            <w:instrText xml:space="preserve">CITATION DER \l 2057 </w:instrText>
          </w:r>
          <w:r>
            <w:fldChar w:fldCharType="separate"/>
          </w:r>
          <w:r w:rsidRPr="00C95D0B">
            <w:rPr>
              <w:noProof/>
            </w:rPr>
            <w:t>(DERA, 2003)</w:t>
          </w:r>
          <w:r>
            <w:fldChar w:fldCharType="end"/>
          </w:r>
        </w:sdtContent>
      </w:sdt>
      <w:r>
        <w:t>.</w:t>
      </w:r>
      <w:r w:rsidR="00185DFF">
        <w:t xml:space="preserve"> Elaborating to say that questioning should allow students to train higher order thinking skills, explaining is defined as ‘giving understanding to another’ and says that teachers should </w:t>
      </w:r>
      <w:r w:rsidR="00597F5B">
        <w:t>identify types of explaining and develop techniques to prese</w:t>
      </w:r>
      <w:r w:rsidR="00650D3C">
        <w:t>nt ideas to students</w:t>
      </w:r>
      <w:r w:rsidR="00597F5B">
        <w:t xml:space="preserve">, and finally, modelling involves the teacher as ‘an expert’ </w:t>
      </w:r>
      <w:r w:rsidR="009D7FBF">
        <w:t xml:space="preserve">by demonstrating skills, and making the process explicit. </w:t>
      </w:r>
      <w:r w:rsidR="002C39F8">
        <w:t xml:space="preserve">It is challenged however that an effective teaching repertoire cannot be summarised into three simple points. </w:t>
      </w:r>
      <w:r w:rsidR="00B71A92">
        <w:t xml:space="preserve">Hattie </w:t>
      </w:r>
      <w:sdt>
        <w:sdtPr>
          <w:id w:val="1167671148"/>
          <w:citation/>
        </w:sdtPr>
        <w:sdtEndPr/>
        <w:sdtContent>
          <w:r w:rsidR="00B71A92">
            <w:fldChar w:fldCharType="begin"/>
          </w:r>
          <w:r w:rsidR="00B71A92">
            <w:instrText xml:space="preserve">CITATION Joh12 \n  \t  \l 2057 </w:instrText>
          </w:r>
          <w:r w:rsidR="00B71A92">
            <w:fldChar w:fldCharType="separate"/>
          </w:r>
          <w:r w:rsidR="00B71A92" w:rsidRPr="00B71A92">
            <w:rPr>
              <w:noProof/>
            </w:rPr>
            <w:t>(2012)</w:t>
          </w:r>
          <w:r w:rsidR="00B71A92">
            <w:fldChar w:fldCharType="end"/>
          </w:r>
        </w:sdtContent>
      </w:sdt>
      <w:r w:rsidR="00B71A92">
        <w:t xml:space="preserve"> su</w:t>
      </w:r>
      <w:r w:rsidR="00221D08">
        <w:t>ggests that there are 10 teaching approaches that have significant impact on student learning. Based on my experiences the three</w:t>
      </w:r>
      <w:r w:rsidR="00587A5B">
        <w:t xml:space="preserve"> </w:t>
      </w:r>
      <w:r w:rsidR="00650D3C">
        <w:t xml:space="preserve">of Hattie’s </w:t>
      </w:r>
      <w:r w:rsidR="00587A5B">
        <w:t>approaches</w:t>
      </w:r>
      <w:r w:rsidR="00221D08">
        <w:t xml:space="preserve"> that I best relate to include, differentiated instruction, direct instruction and building student-teacher relationships, however </w:t>
      </w:r>
      <w:r w:rsidR="002919C2">
        <w:t>his</w:t>
      </w:r>
      <w:r w:rsidR="00221D08">
        <w:t xml:space="preserve"> teaching approaches emphasize the importance of actively engaging students in their learning, providing meaningful feedback and creating a supportive learning environment</w:t>
      </w:r>
      <w:r w:rsidR="00587A5B">
        <w:t xml:space="preserve">. </w:t>
      </w:r>
    </w:p>
    <w:p w14:paraId="0C510063" w14:textId="7D44BA54" w:rsidR="006F003B" w:rsidRDefault="006F003B" w:rsidP="004674ED">
      <w:pPr>
        <w:pStyle w:val="AssignBody"/>
      </w:pPr>
    </w:p>
    <w:p w14:paraId="20B6F733" w14:textId="29A05CA9" w:rsidR="006F003B" w:rsidRDefault="00CB6734" w:rsidP="004674ED">
      <w:pPr>
        <w:pStyle w:val="AssignBody"/>
      </w:pPr>
      <w:r>
        <w:t xml:space="preserve">It is important </w:t>
      </w:r>
      <w:r w:rsidR="00F9397E">
        <w:t xml:space="preserve">for teachers to develop a range of teaching approaches for a multitude of reasons. Teachers must be ready to deal with the wide range of student attitudes and learning styles. The theory </w:t>
      </w:r>
      <w:r w:rsidR="00C672F0">
        <w:t xml:space="preserve">of multiple intelligences </w:t>
      </w:r>
      <w:sdt>
        <w:sdtPr>
          <w:id w:val="-1020006794"/>
          <w:citation/>
        </w:sdtPr>
        <w:sdtEndPr/>
        <w:sdtContent>
          <w:r w:rsidR="00C672F0">
            <w:fldChar w:fldCharType="begin"/>
          </w:r>
          <w:r w:rsidR="00C672F0">
            <w:instrText xml:space="preserve"> CITATION How83 \l 2057 </w:instrText>
          </w:r>
          <w:r w:rsidR="00C672F0">
            <w:fldChar w:fldCharType="separate"/>
          </w:r>
          <w:r w:rsidR="00C672F0" w:rsidRPr="00C672F0">
            <w:rPr>
              <w:noProof/>
            </w:rPr>
            <w:t>(Gardner, 1983)</w:t>
          </w:r>
          <w:r w:rsidR="00C672F0">
            <w:fldChar w:fldCharType="end"/>
          </w:r>
        </w:sdtContent>
      </w:sdt>
      <w:r w:rsidR="00C672F0">
        <w:t xml:space="preserve"> suggested that student</w:t>
      </w:r>
      <w:r w:rsidR="00BA78CD">
        <w:t xml:space="preserve">s </w:t>
      </w:r>
      <w:r w:rsidR="00C672F0">
        <w:t xml:space="preserve">absorb information through a range of </w:t>
      </w:r>
      <w:r w:rsidR="00BA78CD">
        <w:t>ways</w:t>
      </w:r>
      <w:r w:rsidR="00C672F0">
        <w:t xml:space="preserve">, and by integrating a range of approaches this will ensure that teachers are able to </w:t>
      </w:r>
      <w:r w:rsidR="00BA78CD">
        <w:t>respond</w:t>
      </w:r>
      <w:r w:rsidR="00C672F0">
        <w:t xml:space="preserve"> to student needs. Furthermore, a repertoire of teaching styles can </w:t>
      </w:r>
      <w:r w:rsidR="000E0F44">
        <w:t xml:space="preserve">induce higher order thinking within students, it is suggested that one way to achieve this </w:t>
      </w:r>
      <w:r w:rsidR="00160851">
        <w:t xml:space="preserve">is by using problem-based learning alongside the lesson content </w:t>
      </w:r>
      <w:sdt>
        <w:sdtPr>
          <w:id w:val="-1293366008"/>
          <w:citation/>
        </w:sdtPr>
        <w:sdtEndPr/>
        <w:sdtContent>
          <w:r w:rsidR="00160851">
            <w:fldChar w:fldCharType="begin"/>
          </w:r>
          <w:r w:rsidR="00160851">
            <w:instrText xml:space="preserve"> CITATION deO16 \l 2057 </w:instrText>
          </w:r>
          <w:r w:rsidR="00160851">
            <w:fldChar w:fldCharType="separate"/>
          </w:r>
          <w:r w:rsidR="00160851" w:rsidRPr="00160851">
            <w:rPr>
              <w:noProof/>
            </w:rPr>
            <w:t>(de Oliveira, et al., 2016)</w:t>
          </w:r>
          <w:r w:rsidR="00160851">
            <w:fldChar w:fldCharType="end"/>
          </w:r>
        </w:sdtContent>
      </w:sdt>
      <w:r w:rsidR="00160851">
        <w:t>.</w:t>
      </w:r>
      <w:r w:rsidR="000C0FB1">
        <w:t xml:space="preserve"> This is an aspect of pedagogy that I have consistently aimed to improve within my students’ </w:t>
      </w:r>
      <w:r w:rsidR="00E24D66">
        <w:t>skillset and</w:t>
      </w:r>
      <w:r w:rsidR="000C0FB1">
        <w:t xml:space="preserve"> would regularly carry out tasks with the purpose of developing </w:t>
      </w:r>
      <w:r w:rsidR="00AC2E75">
        <w:t>higher order</w:t>
      </w:r>
      <w:r w:rsidR="000C0FB1">
        <w:t xml:space="preserve"> thinking skills. </w:t>
      </w:r>
      <w:r w:rsidR="00E24D66">
        <w:t xml:space="preserve">Thirdly it has been </w:t>
      </w:r>
      <w:r w:rsidR="00854EA7">
        <w:t xml:space="preserve">suggested that employing different techniques can positively influence students’ academic achievements and knowledge retention </w:t>
      </w:r>
      <w:sdt>
        <w:sdtPr>
          <w:id w:val="-105506885"/>
          <w:citation/>
        </w:sdtPr>
        <w:sdtEndPr/>
        <w:sdtContent>
          <w:r w:rsidR="00854EA7">
            <w:fldChar w:fldCharType="begin"/>
          </w:r>
          <w:r w:rsidR="00854EA7">
            <w:instrText xml:space="preserve"> CITATION Guv16 \l 2057 </w:instrText>
          </w:r>
          <w:r w:rsidR="00854EA7">
            <w:fldChar w:fldCharType="separate"/>
          </w:r>
          <w:r w:rsidR="00854EA7" w:rsidRPr="00854EA7">
            <w:rPr>
              <w:noProof/>
            </w:rPr>
            <w:t>(Guven &amp; Ozyildrim, 2016)</w:t>
          </w:r>
          <w:r w:rsidR="00854EA7">
            <w:fldChar w:fldCharType="end"/>
          </w:r>
        </w:sdtContent>
      </w:sdt>
      <w:r w:rsidR="00854EA7">
        <w:t>.</w:t>
      </w:r>
      <w:r w:rsidR="00C54767">
        <w:t xml:space="preserve"> However, an argument can be made for the </w:t>
      </w:r>
      <w:r w:rsidR="001F022B">
        <w:t>restrai</w:t>
      </w:r>
      <w:r w:rsidR="006753DA">
        <w:t>nts</w:t>
      </w:r>
      <w:r w:rsidR="001F022B">
        <w:t xml:space="preserve"> placed upon school resources when</w:t>
      </w:r>
      <w:r w:rsidR="00C54767">
        <w:t xml:space="preserve"> implementing a wide range of teaching </w:t>
      </w:r>
      <w:r w:rsidR="001F022B">
        <w:t xml:space="preserve">approaches, which </w:t>
      </w:r>
      <w:r w:rsidR="00C73516">
        <w:t xml:space="preserve">could </w:t>
      </w:r>
      <w:r w:rsidR="001F022B">
        <w:t>prevent the</w:t>
      </w:r>
      <w:r w:rsidR="00C73516">
        <w:t xml:space="preserve"> approach</w:t>
      </w:r>
      <w:r w:rsidR="001F022B">
        <w:t xml:space="preserve"> from being executed effectively. </w:t>
      </w:r>
      <w:r w:rsidR="004C73D8">
        <w:t xml:space="preserve">Following a study which conducted semi-structured interviews with teachers and lecturers, barriers to implementing a range of teaching approaches </w:t>
      </w:r>
      <w:r w:rsidR="006753DA">
        <w:t>we</w:t>
      </w:r>
      <w:r w:rsidR="004C73D8">
        <w:t>re identified. One of these is th</w:t>
      </w:r>
      <w:r w:rsidR="006753DA">
        <w:t>e</w:t>
      </w:r>
      <w:r w:rsidR="004C73D8">
        <w:t xml:space="preserve"> lack of teaching assistants</w:t>
      </w:r>
      <w:r w:rsidR="006753DA">
        <w:t xml:space="preserve"> available</w:t>
      </w:r>
      <w:r w:rsidR="001068DC">
        <w:t xml:space="preserve">, the high number of students that are in classes, as well as the lack of interest and motivation among students </w:t>
      </w:r>
      <w:sdt>
        <w:sdtPr>
          <w:id w:val="-1310628688"/>
          <w:citation/>
        </w:sdtPr>
        <w:sdtEndPr/>
        <w:sdtContent>
          <w:r w:rsidR="001068DC">
            <w:fldChar w:fldCharType="begin"/>
          </w:r>
          <w:r w:rsidR="001068DC">
            <w:instrText xml:space="preserve"> CITATION Bid16 \l 2057 </w:instrText>
          </w:r>
          <w:r w:rsidR="001068DC">
            <w:fldChar w:fldCharType="separate"/>
          </w:r>
          <w:r w:rsidR="001068DC" w:rsidRPr="001068DC">
            <w:rPr>
              <w:noProof/>
            </w:rPr>
            <w:t>(Bidabadi, et al., 2016)</w:t>
          </w:r>
          <w:r w:rsidR="001068DC">
            <w:fldChar w:fldCharType="end"/>
          </w:r>
        </w:sdtContent>
      </w:sdt>
      <w:r w:rsidR="001068DC">
        <w:t xml:space="preserve">. </w:t>
      </w:r>
    </w:p>
    <w:p w14:paraId="03B40959" w14:textId="2CD7436C" w:rsidR="00326ABA" w:rsidRDefault="00326ABA" w:rsidP="004674ED">
      <w:pPr>
        <w:pStyle w:val="AssignBody"/>
      </w:pPr>
    </w:p>
    <w:p w14:paraId="59424087" w14:textId="0E1B6890" w:rsidR="00326ABA" w:rsidRDefault="00326ABA" w:rsidP="004674ED">
      <w:pPr>
        <w:pStyle w:val="AssignBody"/>
      </w:pPr>
      <w:r>
        <w:lastRenderedPageBreak/>
        <w:t>As mentioned, employing a broad repertoire of teaching approaches is necessary in</w:t>
      </w:r>
      <w:r w:rsidR="00A349AF">
        <w:t xml:space="preserve"> inducing good teaching and learning, </w:t>
      </w:r>
      <w:r w:rsidR="00790461">
        <w:t>namely through the use of</w:t>
      </w:r>
      <w:r w:rsidR="00A349AF">
        <w:t xml:space="preserve"> direct teaching, techniques that promote problem solving and creative and critical thinking </w:t>
      </w:r>
      <w:sdt>
        <w:sdtPr>
          <w:id w:val="474037699"/>
          <w:citation/>
        </w:sdtPr>
        <w:sdtEndPr/>
        <w:sdtContent>
          <w:r w:rsidR="00A349AF">
            <w:fldChar w:fldCharType="begin"/>
          </w:r>
          <w:r w:rsidR="00A349AF">
            <w:instrText xml:space="preserve">CITATION Gra155 \l 2057 </w:instrText>
          </w:r>
          <w:r w:rsidR="00A349AF">
            <w:fldChar w:fldCharType="separate"/>
          </w:r>
          <w:r w:rsidR="00A349AF" w:rsidRPr="00A349AF">
            <w:rPr>
              <w:noProof/>
            </w:rPr>
            <w:t>(Donaldson, 2015)</w:t>
          </w:r>
          <w:r w:rsidR="00A349AF">
            <w:fldChar w:fldCharType="end"/>
          </w:r>
        </w:sdtContent>
      </w:sdt>
      <w:r w:rsidR="00A349AF">
        <w:t>. Whe</w:t>
      </w:r>
      <w:r w:rsidR="00466739">
        <w:t xml:space="preserve">n specifically focusing on the induction of good learning, the use of a range of approaches can have numerous benefits on students’ learning. One benefit is that it allows students to experience </w:t>
      </w:r>
      <w:r w:rsidR="00E21CFE">
        <w:t>content</w:t>
      </w:r>
      <w:r w:rsidR="00466739">
        <w:t xml:space="preserve"> from </w:t>
      </w:r>
      <w:r w:rsidR="00E21CFE">
        <w:t xml:space="preserve">a range of sources, which is hypothesised can lead to deeper comprehension of information </w:t>
      </w:r>
      <w:sdt>
        <w:sdtPr>
          <w:id w:val="903642847"/>
          <w:citation/>
        </w:sdtPr>
        <w:sdtEndPr/>
        <w:sdtContent>
          <w:r w:rsidR="00E21CFE">
            <w:fldChar w:fldCharType="begin"/>
          </w:r>
          <w:r w:rsidR="00E21CFE">
            <w:instrText xml:space="preserve"> CITATION Ric04 \l 2057 </w:instrText>
          </w:r>
          <w:r w:rsidR="00E21CFE">
            <w:fldChar w:fldCharType="separate"/>
          </w:r>
          <w:r w:rsidR="00E21CFE" w:rsidRPr="00E21CFE">
            <w:rPr>
              <w:noProof/>
            </w:rPr>
            <w:t>(Mayer, 2004)</w:t>
          </w:r>
          <w:r w:rsidR="00E21CFE">
            <w:fldChar w:fldCharType="end"/>
          </w:r>
        </w:sdtContent>
      </w:sdt>
      <w:r w:rsidR="00E21CFE">
        <w:t>. Furthermore</w:t>
      </w:r>
      <w:r w:rsidR="00900E34">
        <w:t xml:space="preserve">, it is stated that a teaching repertoire can promote creativity and innovation within students </w:t>
      </w:r>
      <w:sdt>
        <w:sdtPr>
          <w:id w:val="-2141021745"/>
          <w:citation/>
        </w:sdtPr>
        <w:sdtEndPr/>
        <w:sdtContent>
          <w:r w:rsidR="00900E34">
            <w:fldChar w:fldCharType="begin"/>
          </w:r>
          <w:r w:rsidR="00900E34">
            <w:instrText xml:space="preserve"> CITATION Mar04 \l 2057 </w:instrText>
          </w:r>
          <w:r w:rsidR="00900E34">
            <w:fldChar w:fldCharType="separate"/>
          </w:r>
          <w:r w:rsidR="00900E34" w:rsidRPr="00900E34">
            <w:rPr>
              <w:noProof/>
            </w:rPr>
            <w:t>(Runco, 2004)</w:t>
          </w:r>
          <w:r w:rsidR="00900E34">
            <w:fldChar w:fldCharType="end"/>
          </w:r>
        </w:sdtContent>
      </w:sdt>
      <w:r w:rsidR="00900E34">
        <w:t>, this</w:t>
      </w:r>
      <w:r w:rsidR="00061899">
        <w:t xml:space="preserve"> further supports Donaldson’s suggestions for good teaching and learning. </w:t>
      </w:r>
    </w:p>
    <w:p w14:paraId="4C87212C" w14:textId="77106C0C" w:rsidR="00FC0EAF" w:rsidRDefault="00FC0EAF" w:rsidP="004674ED">
      <w:pPr>
        <w:pStyle w:val="AssignBody"/>
      </w:pPr>
    </w:p>
    <w:p w14:paraId="745B26D4" w14:textId="1635FE3F" w:rsidR="006F003B" w:rsidRDefault="00DF1C8F" w:rsidP="004674ED">
      <w:pPr>
        <w:pStyle w:val="AssignBody"/>
      </w:pPr>
      <w:r>
        <w:t>I implemented a</w:t>
      </w:r>
      <w:r w:rsidR="00FC0EAF">
        <w:t xml:space="preserve"> broad repertoire of teaching approaches</w:t>
      </w:r>
      <w:r>
        <w:t xml:space="preserve"> during a stand-alone project for students who had not attended a residential trip</w:t>
      </w:r>
      <w:r w:rsidR="00BD6F22">
        <w:t>, the project focused on the lunar new year</w:t>
      </w:r>
      <w:r>
        <w:t xml:space="preserve"> (See part 1). Some techniques that I used included direct teaching, student-led tasks, </w:t>
      </w:r>
      <w:r w:rsidR="00BD6F22">
        <w:t>carousels,</w:t>
      </w:r>
      <w:r>
        <w:t xml:space="preserve"> and scavenger hunt</w:t>
      </w:r>
      <w:r w:rsidR="00BD6F22">
        <w:t>s. Direct teaching came in the form of introducing students to the story of the lunar new year, before discussing the lunar year zodiac, and whether or not the descriptions were accurate to the students.</w:t>
      </w:r>
      <w:r w:rsidR="00C154AD">
        <w:t xml:space="preserve"> Following a meta-analysis of</w:t>
      </w:r>
      <w:r w:rsidR="0006769B">
        <w:t xml:space="preserve"> 328 studies, it was conclusively found that direct teaching improved students’ general attainment of knowledge </w:t>
      </w:r>
      <w:sdt>
        <w:sdtPr>
          <w:id w:val="-1270151109"/>
          <w:citation/>
        </w:sdtPr>
        <w:sdtEndPr/>
        <w:sdtContent>
          <w:r w:rsidR="0006769B">
            <w:fldChar w:fldCharType="begin"/>
          </w:r>
          <w:r w:rsidR="0006769B">
            <w:instrText xml:space="preserve"> CITATION Sto18 \l 2057 </w:instrText>
          </w:r>
          <w:r w:rsidR="0006769B">
            <w:fldChar w:fldCharType="separate"/>
          </w:r>
          <w:r w:rsidR="0006769B" w:rsidRPr="0006769B">
            <w:rPr>
              <w:noProof/>
            </w:rPr>
            <w:t>(Stockard, et al., 2018)</w:t>
          </w:r>
          <w:r w:rsidR="0006769B">
            <w:fldChar w:fldCharType="end"/>
          </w:r>
        </w:sdtContent>
      </w:sdt>
      <w:r w:rsidR="0006769B">
        <w:t xml:space="preserve">. Additionally, </w:t>
      </w:r>
      <w:r w:rsidR="00B45DDE">
        <w:t xml:space="preserve">the BBC launched a series (Chinese School: Are Our Kids Tough Enough?). The purpose of this show was to gauge the impact of Chinese teachers, who adopted a teacher-led approach, on the attainment of British students. Over a 4-week period, students scored 10% higher when compared to classes without Chinese teachers </w:t>
      </w:r>
      <w:sdt>
        <w:sdtPr>
          <w:id w:val="-1797124669"/>
          <w:citation/>
        </w:sdtPr>
        <w:sdtEndPr/>
        <w:sdtContent>
          <w:r w:rsidR="00B45DDE">
            <w:fldChar w:fldCharType="begin"/>
          </w:r>
          <w:r w:rsidR="00B45DDE">
            <w:instrText xml:space="preserve"> CITATION Wen22 \l 2057 </w:instrText>
          </w:r>
          <w:r w:rsidR="00B45DDE">
            <w:fldChar w:fldCharType="separate"/>
          </w:r>
          <w:r w:rsidR="00B45DDE" w:rsidRPr="00B45DDE">
            <w:rPr>
              <w:noProof/>
            </w:rPr>
            <w:t>(Wenxin &amp; Yue, 2022)</w:t>
          </w:r>
          <w:r w:rsidR="00B45DDE">
            <w:fldChar w:fldCharType="end"/>
          </w:r>
        </w:sdtContent>
      </w:sdt>
      <w:r w:rsidR="00B45DDE">
        <w:t>.</w:t>
      </w:r>
      <w:r w:rsidR="00661AAB">
        <w:t xml:space="preserve"> Contrarily, Sawant and Rizvi </w:t>
      </w:r>
      <w:sdt>
        <w:sdtPr>
          <w:id w:val="1115091085"/>
          <w:citation/>
        </w:sdtPr>
        <w:sdtEndPr/>
        <w:sdtContent>
          <w:r w:rsidR="00661AAB">
            <w:fldChar w:fldCharType="begin"/>
          </w:r>
          <w:r w:rsidR="00661AAB">
            <w:instrText xml:space="preserve">CITATION Saw15 \n  \l 2057 </w:instrText>
          </w:r>
          <w:r w:rsidR="00661AAB">
            <w:fldChar w:fldCharType="separate"/>
          </w:r>
          <w:r w:rsidR="00661AAB" w:rsidRPr="00661AAB">
            <w:rPr>
              <w:noProof/>
            </w:rPr>
            <w:t>(2015)</w:t>
          </w:r>
          <w:r w:rsidR="00661AAB">
            <w:fldChar w:fldCharType="end"/>
          </w:r>
        </w:sdtContent>
      </w:sdt>
      <w:r w:rsidR="00661AAB">
        <w:t xml:space="preserve">, state that direct teaching leads to students who are </w:t>
      </w:r>
      <w:r w:rsidR="008C4396">
        <w:t>passive, aren’t aware of context and argues that teacher accuracy is key. They instead suggest a student-centred approach, stating that this enables students to construct knowledge through synthesisation, create active learners and develops critical thinking and problem-solving. I put a student-centred approach into practice by directing students to complete further research into the lunar zodiac, and by</w:t>
      </w:r>
      <w:r w:rsidR="008F584E">
        <w:t xml:space="preserve"> creating their own Lunar New Year presentations. </w:t>
      </w:r>
      <w:r w:rsidR="003E0F84">
        <w:t>Indirect teaching can increase student participation and provide feedback of student understanding both during and after the activity has taken place</w:t>
      </w:r>
      <w:sdt>
        <w:sdtPr>
          <w:id w:val="938414437"/>
          <w:citation/>
        </w:sdtPr>
        <w:sdtEndPr/>
        <w:sdtContent>
          <w:r w:rsidR="003E0F84">
            <w:fldChar w:fldCharType="begin"/>
          </w:r>
          <w:r w:rsidR="003E0F84">
            <w:instrText xml:space="preserve"> CITATION Gar23 \l 2057 </w:instrText>
          </w:r>
          <w:r w:rsidR="003E0F84">
            <w:fldChar w:fldCharType="separate"/>
          </w:r>
          <w:r w:rsidR="003E0F84">
            <w:rPr>
              <w:noProof/>
            </w:rPr>
            <w:t xml:space="preserve"> </w:t>
          </w:r>
          <w:r w:rsidR="003E0F84" w:rsidRPr="003E0F84">
            <w:rPr>
              <w:noProof/>
            </w:rPr>
            <w:t>(Garcia, 2023)</w:t>
          </w:r>
          <w:r w:rsidR="003E0F84">
            <w:fldChar w:fldCharType="end"/>
          </w:r>
        </w:sdtContent>
      </w:sdt>
      <w:r w:rsidR="003E0F84">
        <w:t>. However, during my experiences</w:t>
      </w:r>
      <w:r w:rsidR="00B83725">
        <w:t xml:space="preserve"> it has been clear that in-direct teaching is often reliant on student engagement, therefore the role of the teacher as a facilitator</w:t>
      </w:r>
      <w:r w:rsidR="00B964DE">
        <w:t>,</w:t>
      </w:r>
      <w:r w:rsidR="00B83725">
        <w:t xml:space="preserve"> in making those lessons engaging cannot be understated. </w:t>
      </w:r>
    </w:p>
    <w:p w14:paraId="7AD1B0CE" w14:textId="4CA81E9E" w:rsidR="00C863D2" w:rsidRDefault="00B8584C" w:rsidP="004674ED">
      <w:pPr>
        <w:pStyle w:val="AssignBody"/>
      </w:pPr>
      <w:r>
        <w:t xml:space="preserve">Thirdly, I put a carousel of activities into practice which placed a focus on the expressive arts AoLE and the Lunar New Year, where students wrote their names in mandarin, </w:t>
      </w:r>
      <w:r w:rsidR="002632DC">
        <w:t>created,</w:t>
      </w:r>
      <w:r>
        <w:t xml:space="preserve"> and decorated red money envelopes, designed lanterns</w:t>
      </w:r>
      <w:r w:rsidR="002632DC">
        <w:t xml:space="preserve">, and created dragon puppets. Using a carousel of activities can increase engagement and participation as it ensures that students </w:t>
      </w:r>
      <w:r w:rsidR="002632DC">
        <w:lastRenderedPageBreak/>
        <w:t xml:space="preserve">are consistently involved in the activities, in turn promoting motivation </w:t>
      </w:r>
      <w:sdt>
        <w:sdtPr>
          <w:id w:val="920916430"/>
          <w:citation/>
        </w:sdtPr>
        <w:sdtEndPr/>
        <w:sdtContent>
          <w:r w:rsidR="002632DC">
            <w:fldChar w:fldCharType="begin"/>
          </w:r>
          <w:r w:rsidR="002632DC">
            <w:instrText xml:space="preserve"> CITATION Bae14 \l 2057 </w:instrText>
          </w:r>
          <w:r w:rsidR="002632DC">
            <w:fldChar w:fldCharType="separate"/>
          </w:r>
          <w:r w:rsidR="002632DC" w:rsidRPr="002632DC">
            <w:rPr>
              <w:noProof/>
            </w:rPr>
            <w:t>(Baepler &amp; Walker, 2014)</w:t>
          </w:r>
          <w:r w:rsidR="002632DC">
            <w:fldChar w:fldCharType="end"/>
          </w:r>
        </w:sdtContent>
      </w:sdt>
      <w:r w:rsidR="002632DC">
        <w:t xml:space="preserve">. </w:t>
      </w:r>
    </w:p>
    <w:p w14:paraId="68AB65BE" w14:textId="126B1BC5" w:rsidR="00291C71" w:rsidRDefault="00291C71" w:rsidP="004674ED">
      <w:pPr>
        <w:pStyle w:val="AssignBody"/>
      </w:pPr>
    </w:p>
    <w:p w14:paraId="3214FDB4" w14:textId="07F00CED" w:rsidR="00291C71" w:rsidRDefault="00291C71" w:rsidP="004674ED">
      <w:pPr>
        <w:pStyle w:val="AssignBody"/>
      </w:pPr>
      <w:r>
        <w:t xml:space="preserve">The execution of these strategies was extremely successful in engaging students and allowed them to engage with a new topic in a way that was both time-effective and allowed content to be </w:t>
      </w:r>
      <w:r w:rsidR="00B964DE">
        <w:t>received</w:t>
      </w:r>
      <w:r>
        <w:t xml:space="preserve">. </w:t>
      </w:r>
      <w:r w:rsidR="00FD189D">
        <w:t>However,</w:t>
      </w:r>
      <w:r>
        <w:t xml:space="preserve"> when</w:t>
      </w:r>
      <w:r w:rsidR="00FD189D">
        <w:t xml:space="preserve"> considering the possible constraints of a broad repertoire of teaching experiences discussed by Bidabadi, contextual factors on the class allowed these to be </w:t>
      </w:r>
      <w:r w:rsidR="00B964DE">
        <w:t>mitigated</w:t>
      </w:r>
      <w:r w:rsidR="00FD189D">
        <w:t xml:space="preserve">. For example, </w:t>
      </w:r>
      <w:r w:rsidR="00570BA4">
        <w:t>one</w:t>
      </w:r>
      <w:r w:rsidR="00FD189D">
        <w:t xml:space="preserve"> constraint suggested was the large</w:t>
      </w:r>
      <w:r w:rsidR="00570BA4">
        <w:t xml:space="preserve"> numbers</w:t>
      </w:r>
      <w:r w:rsidR="00FD189D">
        <w:t xml:space="preserve"> of pupils</w:t>
      </w:r>
      <w:r w:rsidR="00570BA4">
        <w:t xml:space="preserve"> within classes</w:t>
      </w:r>
      <w:r w:rsidR="00FD189D">
        <w:t xml:space="preserve"> and how this can </w:t>
      </w:r>
      <w:r w:rsidR="00B964DE">
        <w:t xml:space="preserve">make it </w:t>
      </w:r>
      <w:r w:rsidR="00FD189D">
        <w:t>difficult to implement many teaching strategies. During this experience, a large number of students were on a residential trip, and so the class was operating with smaller numbers. Another constraint is typically the need for teaching assistants. Luckily, during this activity, a teaching assistant was present in the class, as well as my classroom mentor, who, when needed could often provide support to students. Th</w:t>
      </w:r>
      <w:r w:rsidR="00B964DE">
        <w:t>erefore,</w:t>
      </w:r>
      <w:r w:rsidR="00FD189D">
        <w:t xml:space="preserve"> it should be understood that factors were almost ideal to carry out a broad range of teaching techniques</w:t>
      </w:r>
      <w:r w:rsidR="00570BA4">
        <w:t xml:space="preserve">, and therefore this experience may be difficult to relate to a typical classroom setting. </w:t>
      </w:r>
    </w:p>
    <w:p w14:paraId="29E443AA" w14:textId="79266050" w:rsidR="00B1343B" w:rsidRDefault="00B1343B" w:rsidP="004674ED">
      <w:pPr>
        <w:pStyle w:val="AssignBody"/>
      </w:pPr>
    </w:p>
    <w:p w14:paraId="5049DA1E" w14:textId="638AABD3" w:rsidR="00B1343B" w:rsidRDefault="00456062" w:rsidP="004674ED">
      <w:pPr>
        <w:pStyle w:val="AssignBody"/>
        <w:rPr>
          <w:b/>
          <w:bCs/>
        </w:rPr>
      </w:pPr>
      <w:r>
        <w:rPr>
          <w:b/>
          <w:bCs/>
        </w:rPr>
        <w:t>Principle 2 – Cross-curricular themes</w:t>
      </w:r>
    </w:p>
    <w:p w14:paraId="59EE9B16" w14:textId="31C0883D" w:rsidR="00456062" w:rsidRDefault="00456062" w:rsidP="004674ED">
      <w:pPr>
        <w:pStyle w:val="AssignBody"/>
        <w:rPr>
          <w:b/>
          <w:bCs/>
        </w:rPr>
      </w:pPr>
    </w:p>
    <w:p w14:paraId="04AFC275" w14:textId="43E0C5BD" w:rsidR="00BD1B8E" w:rsidRDefault="0071291C" w:rsidP="004674ED">
      <w:pPr>
        <w:pStyle w:val="AssignBody"/>
      </w:pPr>
      <w:r>
        <w:t xml:space="preserve">Within the Welsh Curriculum </w:t>
      </w:r>
      <w:r w:rsidR="00FF712B">
        <w:t xml:space="preserve">cross-curricular themes relates to the process of </w:t>
      </w:r>
      <w:r w:rsidR="0009215B">
        <w:t xml:space="preserve">combining </w:t>
      </w:r>
      <w:r w:rsidR="00F06BFA">
        <w:t xml:space="preserve">multiple subjects and skills across areas of learning and experiences, rather than teaching </w:t>
      </w:r>
      <w:r w:rsidR="00D32322">
        <w:t xml:space="preserve">a </w:t>
      </w:r>
      <w:r w:rsidR="00F06BFA">
        <w:t>subject</w:t>
      </w:r>
      <w:r w:rsidR="00D32322">
        <w:t xml:space="preserve"> in segregation </w:t>
      </w:r>
      <w:sdt>
        <w:sdtPr>
          <w:id w:val="-1893885736"/>
          <w:citation/>
        </w:sdtPr>
        <w:sdtEndPr/>
        <w:sdtContent>
          <w:r w:rsidR="00D32322">
            <w:fldChar w:fldCharType="begin"/>
          </w:r>
          <w:r w:rsidR="00D32322">
            <w:instrText xml:space="preserve"> CITATION Wel204 \l 2057 </w:instrText>
          </w:r>
          <w:r w:rsidR="00D32322">
            <w:fldChar w:fldCharType="separate"/>
          </w:r>
          <w:r w:rsidR="00D32322" w:rsidRPr="00D32322">
            <w:rPr>
              <w:noProof/>
            </w:rPr>
            <w:t>(Welsh Government, 2020)</w:t>
          </w:r>
          <w:r w:rsidR="00D32322">
            <w:fldChar w:fldCharType="end"/>
          </w:r>
        </w:sdtContent>
      </w:sdt>
      <w:r w:rsidR="00D32322">
        <w:t>.</w:t>
      </w:r>
      <w:r w:rsidR="00AB0E0B">
        <w:t xml:space="preserve"> The definition of cross-curricular learning is agreed upon to be the process of motivating learners through stimulating and interconnected </w:t>
      </w:r>
      <w:r w:rsidR="00D07274">
        <w:t>topics and</w:t>
      </w:r>
      <w:r w:rsidR="00225BAF">
        <w:t xml:space="preserve"> learning that crosses subject boundaries</w:t>
      </w:r>
      <w:r w:rsidR="00AB0E0B">
        <w:t xml:space="preserve"> </w:t>
      </w:r>
      <w:sdt>
        <w:sdtPr>
          <w:id w:val="1893072000"/>
          <w:citation/>
        </w:sdtPr>
        <w:sdtEndPr/>
        <w:sdtContent>
          <w:r w:rsidR="00AB0E0B">
            <w:fldChar w:fldCharType="begin"/>
          </w:r>
          <w:r w:rsidR="00225BAF">
            <w:instrText xml:space="preserve">CITATION His24 \l 2057 </w:instrText>
          </w:r>
          <w:r w:rsidR="00AB0E0B">
            <w:fldChar w:fldCharType="separate"/>
          </w:r>
          <w:r w:rsidR="00225BAF" w:rsidRPr="00225BAF">
            <w:rPr>
              <w:noProof/>
            </w:rPr>
            <w:t>(Historical Association, 2023)</w:t>
          </w:r>
          <w:r w:rsidR="00AB0E0B">
            <w:fldChar w:fldCharType="end"/>
          </w:r>
        </w:sdtContent>
      </w:sdt>
      <w:r w:rsidR="00225BAF">
        <w:t>.</w:t>
      </w:r>
    </w:p>
    <w:p w14:paraId="2D20E772" w14:textId="77777777" w:rsidR="00225BAF" w:rsidRDefault="00225BAF" w:rsidP="004674ED">
      <w:pPr>
        <w:pStyle w:val="AssignBody"/>
      </w:pPr>
    </w:p>
    <w:p w14:paraId="25B01900" w14:textId="2F27419E" w:rsidR="00CD0EF7" w:rsidRDefault="00FE5745" w:rsidP="004674ED">
      <w:pPr>
        <w:pStyle w:val="AssignBody"/>
      </w:pPr>
      <w:r>
        <w:t>It is proposed that by integrating a range of subjects</w:t>
      </w:r>
      <w:r w:rsidR="00D07274">
        <w:t xml:space="preserve">, </w:t>
      </w:r>
      <w:r>
        <w:t xml:space="preserve">students </w:t>
      </w:r>
      <w:r w:rsidR="00D07274">
        <w:t>f</w:t>
      </w:r>
      <w:r>
        <w:t xml:space="preserve">orge a deeper understanding of complex topics. It allows them to explore links between different concepts, in-turn leading to </w:t>
      </w:r>
      <w:r w:rsidR="00257182">
        <w:t xml:space="preserve">more abundant </w:t>
      </w:r>
      <w:r w:rsidR="00D07274">
        <w:t>attainment</w:t>
      </w:r>
      <w:r w:rsidR="00257182">
        <w:t xml:space="preserve"> of the subject knowledge </w:t>
      </w:r>
      <w:sdt>
        <w:sdtPr>
          <w:id w:val="-458024407"/>
          <w:citation/>
        </w:sdtPr>
        <w:sdtEndPr/>
        <w:sdtContent>
          <w:r w:rsidR="00257182">
            <w:fldChar w:fldCharType="begin"/>
          </w:r>
          <w:r w:rsidR="00257182">
            <w:instrText xml:space="preserve"> CITATION JAB97 \l 2057 </w:instrText>
          </w:r>
          <w:r w:rsidR="00257182">
            <w:fldChar w:fldCharType="separate"/>
          </w:r>
          <w:r w:rsidR="00257182" w:rsidRPr="00257182">
            <w:rPr>
              <w:noProof/>
            </w:rPr>
            <w:t>(Beane, 1997)</w:t>
          </w:r>
          <w:r w:rsidR="00257182">
            <w:fldChar w:fldCharType="end"/>
          </w:r>
        </w:sdtContent>
      </w:sdt>
      <w:r w:rsidR="00257182">
        <w:t xml:space="preserve">. </w:t>
      </w:r>
      <w:r w:rsidR="00C71006">
        <w:t xml:space="preserve">This is supported by Johnson </w:t>
      </w:r>
      <w:sdt>
        <w:sdtPr>
          <w:id w:val="512114230"/>
          <w:citation/>
        </w:sdtPr>
        <w:sdtEndPr/>
        <w:sdtContent>
          <w:r w:rsidR="00C71006">
            <w:fldChar w:fldCharType="begin"/>
          </w:r>
          <w:r w:rsidR="00C71006">
            <w:instrText xml:space="preserve">CITATION Ben13 \n  \l 2057 </w:instrText>
          </w:r>
          <w:r w:rsidR="00C71006">
            <w:fldChar w:fldCharType="separate"/>
          </w:r>
          <w:r w:rsidR="00C71006" w:rsidRPr="00C71006">
            <w:rPr>
              <w:noProof/>
            </w:rPr>
            <w:t>(2013)</w:t>
          </w:r>
          <w:r w:rsidR="00C71006">
            <w:fldChar w:fldCharType="end"/>
          </w:r>
        </w:sdtContent>
      </w:sdt>
      <w:r w:rsidR="00C71006">
        <w:t xml:space="preserve">, who stated that by combining curriculum content it can reinforce deep </w:t>
      </w:r>
      <w:r w:rsidR="00351B25">
        <w:t>learning and</w:t>
      </w:r>
      <w:r w:rsidR="00C71006">
        <w:t xml:space="preserve"> argues</w:t>
      </w:r>
      <w:r w:rsidR="00D07274">
        <w:t xml:space="preserve">, </w:t>
      </w:r>
      <w:r w:rsidR="00C71006">
        <w:t xml:space="preserve">this is because it can create a stream of clear information for students. </w:t>
      </w:r>
      <w:r w:rsidR="00351B25">
        <w:t>Furthermore, t</w:t>
      </w:r>
      <w:r w:rsidR="00C541BF">
        <w:t>he importance of cross-curricular learning is discuss</w:t>
      </w:r>
      <w:r w:rsidR="00BD1B8E">
        <w:t>ed as a necessary concept for</w:t>
      </w:r>
      <w:r w:rsidR="004519DC">
        <w:t xml:space="preserve"> children to understand as it relates well to the real-world,</w:t>
      </w:r>
      <w:r w:rsidR="00BD1B8E">
        <w:t xml:space="preserve"> since </w:t>
      </w:r>
      <w:r w:rsidR="004519DC">
        <w:t xml:space="preserve">the world we experience can be understood through the </w:t>
      </w:r>
      <w:r w:rsidR="00B844D8">
        <w:t>vocabulary</w:t>
      </w:r>
      <w:r w:rsidR="004519DC">
        <w:t xml:space="preserve"> of a range of </w:t>
      </w:r>
      <w:r w:rsidR="00B844D8">
        <w:t xml:space="preserve">school </w:t>
      </w:r>
      <w:r w:rsidR="004519DC">
        <w:t xml:space="preserve">subjects </w:t>
      </w:r>
      <w:sdt>
        <w:sdtPr>
          <w:id w:val="1491602072"/>
          <w:citation/>
        </w:sdtPr>
        <w:sdtEndPr/>
        <w:sdtContent>
          <w:r w:rsidR="004519DC">
            <w:fldChar w:fldCharType="begin"/>
          </w:r>
          <w:r w:rsidR="004519DC">
            <w:instrText xml:space="preserve"> CITATION Bar15 \l 2057 </w:instrText>
          </w:r>
          <w:r w:rsidR="004519DC">
            <w:fldChar w:fldCharType="separate"/>
          </w:r>
          <w:r w:rsidR="004519DC" w:rsidRPr="004519DC">
            <w:rPr>
              <w:noProof/>
            </w:rPr>
            <w:t>(Barnes, 2015)</w:t>
          </w:r>
          <w:r w:rsidR="004519DC">
            <w:fldChar w:fldCharType="end"/>
          </w:r>
        </w:sdtContent>
      </w:sdt>
      <w:r w:rsidR="00C541BF">
        <w:t xml:space="preserve">. </w:t>
      </w:r>
      <w:r w:rsidR="00351B25">
        <w:t xml:space="preserve">This is approved by studies from Aslan </w:t>
      </w:r>
      <w:sdt>
        <w:sdtPr>
          <w:id w:val="-1603252422"/>
          <w:citation/>
        </w:sdtPr>
        <w:sdtEndPr/>
        <w:sdtContent>
          <w:r w:rsidR="00351B25">
            <w:fldChar w:fldCharType="begin"/>
          </w:r>
          <w:r w:rsidR="00351B25">
            <w:instrText xml:space="preserve">CITATION Yas161 \n  \l 2057 </w:instrText>
          </w:r>
          <w:r w:rsidR="00351B25">
            <w:fldChar w:fldCharType="separate"/>
          </w:r>
          <w:r w:rsidR="00351B25" w:rsidRPr="00351B25">
            <w:rPr>
              <w:noProof/>
            </w:rPr>
            <w:t>(2016)</w:t>
          </w:r>
          <w:r w:rsidR="00351B25">
            <w:fldChar w:fldCharType="end"/>
          </w:r>
        </w:sdtContent>
      </w:sdt>
      <w:r w:rsidR="00351B25">
        <w:t xml:space="preserve">, who suggested </w:t>
      </w:r>
      <w:r w:rsidR="0025228E">
        <w:t xml:space="preserve">that this method of teaching allowed students to contemplate problems and situations that reflect the </w:t>
      </w:r>
      <w:r w:rsidR="00EE74D2">
        <w:t>world and</w:t>
      </w:r>
      <w:r w:rsidR="0025228E">
        <w:t xml:space="preserve"> </w:t>
      </w:r>
      <w:r w:rsidR="0025228E">
        <w:lastRenderedPageBreak/>
        <w:t xml:space="preserve">develop critical and problem-solving skills that are needed to be successful in today’s society. </w:t>
      </w:r>
    </w:p>
    <w:p w14:paraId="149CC421" w14:textId="5D1CF064" w:rsidR="00EE74D2" w:rsidRDefault="00EE74D2" w:rsidP="004674ED">
      <w:pPr>
        <w:pStyle w:val="AssignBody"/>
      </w:pPr>
    </w:p>
    <w:p w14:paraId="3A3F1454" w14:textId="24C5D7B5" w:rsidR="00EE74D2" w:rsidRDefault="00EE74D2" w:rsidP="004674ED">
      <w:pPr>
        <w:pStyle w:val="AssignBody"/>
      </w:pPr>
      <w:r>
        <w:t xml:space="preserve">Contrarily, issues with the integration of cross-curricular teaching have become prevalent. One of these issues was that ‘low-ability’ students sometimes lacked the </w:t>
      </w:r>
      <w:r w:rsidR="00D07274">
        <w:t xml:space="preserve">problem-solving </w:t>
      </w:r>
      <w:r>
        <w:t>skills and critical analysis skills to develop their own ideas, and create links between curriculum content, meaning the process of working across the curriculum, could become obsolete for these</w:t>
      </w:r>
      <w:r w:rsidR="00F3535D">
        <w:t xml:space="preserve"> students </w:t>
      </w:r>
      <w:sdt>
        <w:sdtPr>
          <w:id w:val="720481089"/>
          <w:citation/>
        </w:sdtPr>
        <w:sdtEndPr/>
        <w:sdtContent>
          <w:r w:rsidR="00F3535D">
            <w:fldChar w:fldCharType="begin"/>
          </w:r>
          <w:r w:rsidR="00F3535D">
            <w:instrText xml:space="preserve"> CITATION Avr14 \l 2057 </w:instrText>
          </w:r>
          <w:r w:rsidR="00F3535D">
            <w:fldChar w:fldCharType="separate"/>
          </w:r>
          <w:r w:rsidR="00F3535D" w:rsidRPr="00F3535D">
            <w:rPr>
              <w:noProof/>
            </w:rPr>
            <w:t>(Avramides, et al., 2014)</w:t>
          </w:r>
          <w:r w:rsidR="00F3535D">
            <w:fldChar w:fldCharType="end"/>
          </w:r>
        </w:sdtContent>
      </w:sdt>
      <w:r w:rsidR="00F3535D">
        <w:t>. A difficulty</w:t>
      </w:r>
      <w:r w:rsidR="003F0A3E">
        <w:t xml:space="preserve"> for teachers in implementing cross-curricular teaching is the need for an abundance of necessary resources to carry out this method of learning</w:t>
      </w:r>
      <w:r w:rsidR="009C2F72">
        <w:t xml:space="preserve"> </w:t>
      </w:r>
      <w:sdt>
        <w:sdtPr>
          <w:id w:val="1628583804"/>
          <w:citation/>
        </w:sdtPr>
        <w:sdtEndPr/>
        <w:sdtContent>
          <w:r w:rsidR="009C2F72">
            <w:fldChar w:fldCharType="begin"/>
          </w:r>
          <w:r w:rsidR="009C2F72">
            <w:instrText xml:space="preserve"> CITATION Vir19 \l 2057 </w:instrText>
          </w:r>
          <w:r w:rsidR="009C2F72">
            <w:fldChar w:fldCharType="separate"/>
          </w:r>
          <w:r w:rsidR="009C2F72" w:rsidRPr="009C2F72">
            <w:rPr>
              <w:noProof/>
            </w:rPr>
            <w:t>(Timmerman, 2019)</w:t>
          </w:r>
          <w:r w:rsidR="009C2F72">
            <w:fldChar w:fldCharType="end"/>
          </w:r>
        </w:sdtContent>
      </w:sdt>
      <w:r w:rsidR="009C2F72">
        <w:t xml:space="preserve">. Timmerman progresses this view to suggest that the most important of these resources is time, time to </w:t>
      </w:r>
      <w:r w:rsidR="009A26C1">
        <w:t xml:space="preserve">train and </w:t>
      </w:r>
      <w:r w:rsidR="00C31E18">
        <w:t>develop techniques, test them</w:t>
      </w:r>
      <w:r w:rsidR="009A26C1">
        <w:t xml:space="preserve"> </w:t>
      </w:r>
      <w:r w:rsidR="00C31E18">
        <w:t xml:space="preserve">and work with fellow teachers. Other resources needed </w:t>
      </w:r>
      <w:r w:rsidR="00745EF6">
        <w:t xml:space="preserve">include </w:t>
      </w:r>
      <w:r w:rsidR="00C31E18">
        <w:t>a dedicated space</w:t>
      </w:r>
      <w:r w:rsidR="00CD19A1">
        <w:t xml:space="preserve"> to discuss ideas and appropriate tools, such as computers and programmes that facilitate cross-curricular work. </w:t>
      </w:r>
    </w:p>
    <w:p w14:paraId="4711026C" w14:textId="0F65FB1A" w:rsidR="006C00C4" w:rsidRDefault="006C00C4" w:rsidP="004674ED">
      <w:pPr>
        <w:pStyle w:val="AssignBody"/>
      </w:pPr>
    </w:p>
    <w:p w14:paraId="565ECB97" w14:textId="7108F8D0" w:rsidR="006C00C4" w:rsidRDefault="009607C0" w:rsidP="004674ED">
      <w:pPr>
        <w:pStyle w:val="AssignBody"/>
      </w:pPr>
      <w:r>
        <w:t xml:space="preserve">However, it is </w:t>
      </w:r>
      <w:r w:rsidR="006C00C4">
        <w:t xml:space="preserve">argued that cross-curricular integration can possess benefits for teachers, as well as students. </w:t>
      </w:r>
      <w:r w:rsidR="00D969AA">
        <w:t>One of these methods is that can help the ease of time constraints.</w:t>
      </w:r>
      <w:r w:rsidR="00D07274">
        <w:t xml:space="preserve"> S</w:t>
      </w:r>
      <w:r w:rsidR="00D969AA">
        <w:t xml:space="preserve">ince teachers are able to cover more content, and subsequently more learning, in limited class time </w:t>
      </w:r>
      <w:sdt>
        <w:sdtPr>
          <w:id w:val="1520199620"/>
          <w:citation/>
        </w:sdtPr>
        <w:sdtEndPr/>
        <w:sdtContent>
          <w:r w:rsidR="00D969AA">
            <w:fldChar w:fldCharType="begin"/>
          </w:r>
          <w:r w:rsidR="00D969AA">
            <w:instrText xml:space="preserve"> CITATION EiE23 \l 2057 </w:instrText>
          </w:r>
          <w:r w:rsidR="00D969AA">
            <w:fldChar w:fldCharType="separate"/>
          </w:r>
          <w:r w:rsidR="00D969AA" w:rsidRPr="00D969AA">
            <w:rPr>
              <w:noProof/>
            </w:rPr>
            <w:t>(EiE Team, 2023)</w:t>
          </w:r>
          <w:r w:rsidR="00D969AA">
            <w:fldChar w:fldCharType="end"/>
          </w:r>
        </w:sdtContent>
      </w:sdt>
      <w:r w:rsidR="009A26C1">
        <w:t xml:space="preserve">. An important point to consider that was </w:t>
      </w:r>
      <w:r w:rsidR="00D07274">
        <w:t>suggested</w:t>
      </w:r>
      <w:r w:rsidR="009A26C1">
        <w:t xml:space="preserve"> by Timmerman (2019) is the need for training time to develop new techniques which enable cross-curricular learning. Although this is fr</w:t>
      </w:r>
      <w:r w:rsidR="00803597">
        <w:t xml:space="preserve">amed </w:t>
      </w:r>
      <w:r w:rsidR="009A26C1">
        <w:t xml:space="preserve">as a possible limitation given the time constraints, it could be </w:t>
      </w:r>
      <w:r w:rsidR="00803597">
        <w:t xml:space="preserve">perceived </w:t>
      </w:r>
      <w:r w:rsidR="009A26C1">
        <w:t xml:space="preserve">as an opportunity for </w:t>
      </w:r>
      <w:r w:rsidR="00136DCD">
        <w:t>teachers</w:t>
      </w:r>
      <w:r w:rsidR="009A26C1">
        <w:t xml:space="preserve"> to engage with professional learning, and further their repertoire of pedagogical approaches, ultimately benefitting the teacher.</w:t>
      </w:r>
    </w:p>
    <w:p w14:paraId="683F82AD" w14:textId="67850AA6" w:rsidR="00136DCD" w:rsidRDefault="00136DCD" w:rsidP="004674ED">
      <w:pPr>
        <w:pStyle w:val="AssignBody"/>
      </w:pPr>
    </w:p>
    <w:p w14:paraId="450F609E" w14:textId="4FF2AD7E" w:rsidR="00745EF6" w:rsidRDefault="00136DCD" w:rsidP="004674ED">
      <w:pPr>
        <w:pStyle w:val="AssignBody"/>
      </w:pPr>
      <w:r>
        <w:t xml:space="preserve">During my teaching experiences I have been able to observe a range of methods towards cross-curricular teaching and learning. The techniques used have varied from school-to-school, however the key driver behind these techniques has been the Curriculum for Wales. Afterall, Donaldson (2015) stated in his recommendations for the Welsh Government </w:t>
      </w:r>
      <w:r w:rsidR="00695957">
        <w:t xml:space="preserve">that ‘good teaching and learning ranges within and across Areas of Learning and Experience’. </w:t>
      </w:r>
      <w:r w:rsidR="00F61643">
        <w:t xml:space="preserve">Similarly, Jeya-Harish, et al. </w:t>
      </w:r>
      <w:sdt>
        <w:sdtPr>
          <w:id w:val="-14612609"/>
          <w:citation/>
        </w:sdtPr>
        <w:sdtEndPr/>
        <w:sdtContent>
          <w:r w:rsidR="00F61643">
            <w:fldChar w:fldCharType="begin"/>
          </w:r>
          <w:r w:rsidR="00F61643">
            <w:instrText xml:space="preserve">CITATION Jey12 \n  \l 2057 </w:instrText>
          </w:r>
          <w:r w:rsidR="00F61643">
            <w:fldChar w:fldCharType="separate"/>
          </w:r>
          <w:r w:rsidR="00F61643" w:rsidRPr="00F61643">
            <w:rPr>
              <w:noProof/>
            </w:rPr>
            <w:t>(2012)</w:t>
          </w:r>
          <w:r w:rsidR="00F61643">
            <w:fldChar w:fldCharType="end"/>
          </w:r>
        </w:sdtContent>
      </w:sdt>
      <w:r w:rsidR="00F61643">
        <w:t xml:space="preserve"> articulates that cross-curricular education can</w:t>
      </w:r>
      <w:r w:rsidR="004B07BE">
        <w:t xml:space="preserve"> motivate, improve higher order think</w:t>
      </w:r>
      <w:r w:rsidR="005047B6">
        <w:t>ing skills</w:t>
      </w:r>
      <w:r w:rsidR="004B07BE">
        <w:t xml:space="preserve">, </w:t>
      </w:r>
      <w:r w:rsidR="006D5684">
        <w:t>teamwork,</w:t>
      </w:r>
      <w:r w:rsidR="004B07BE">
        <w:t xml:space="preserve"> and leadership skills within students, improving </w:t>
      </w:r>
      <w:r w:rsidR="006D5684">
        <w:t>students’</w:t>
      </w:r>
      <w:r w:rsidR="004B07BE">
        <w:t xml:space="preserve"> capacity for </w:t>
      </w:r>
      <w:r w:rsidR="00C03C9D">
        <w:t>learning,</w:t>
      </w:r>
      <w:r w:rsidR="004B07BE">
        <w:t xml:space="preserve"> and creating skills for lifelong learning. </w:t>
      </w:r>
      <w:r w:rsidR="00A3784D">
        <w:t xml:space="preserve">In attempt to drive the Curriculum for Wales, and attitudes towards cross-curricular teaching and learning, one </w:t>
      </w:r>
      <w:r w:rsidR="00073C08">
        <w:t xml:space="preserve">school moved away from basing lessons on topics and instead would focus on an Area of Learning Experience (AoLE) for a term, for example Science and Technology, and all other subject lessons would often provide links to the focus AoLE. One clear example is that during this term mathematic lessons placed a focus on data handling and graph </w:t>
      </w:r>
      <w:r w:rsidR="00073C08">
        <w:lastRenderedPageBreak/>
        <w:t>creation</w:t>
      </w:r>
      <w:r w:rsidR="00D52360">
        <w:t xml:space="preserve">, in an attempt to improve students’ skills needed in science lessons. </w:t>
      </w:r>
      <w:r w:rsidR="00C662AA">
        <w:t>In a similar study which placed an emphasis on mathematics and</w:t>
      </w:r>
      <w:r w:rsidR="007D6AB3">
        <w:t xml:space="preserve"> developing </w:t>
      </w:r>
      <w:r w:rsidR="00C662AA">
        <w:t>mathematical literacy</w:t>
      </w:r>
      <w:r w:rsidR="007D6AB3">
        <w:t>, cross-curricular projects</w:t>
      </w:r>
      <w:r w:rsidR="00920A9F">
        <w:t xml:space="preserve">, which </w:t>
      </w:r>
      <w:r w:rsidR="00CD2CCE">
        <w:t>look to employ language and methods from science</w:t>
      </w:r>
      <w:r w:rsidR="007D6AB3">
        <w:t xml:space="preserve"> seemed to develop student’s ‘functional thinking skills’, an ideology that relates to learner’s capacity to solve problems</w:t>
      </w:r>
      <w:r w:rsidR="00CD2CCE">
        <w:t xml:space="preserve">. The cross-curricular project also provided opportunity for supplemental discussion, which in-turn improved students discourse skills </w:t>
      </w:r>
      <w:sdt>
        <w:sdtPr>
          <w:id w:val="2084404332"/>
          <w:citation/>
        </w:sdtPr>
        <w:sdtEndPr/>
        <w:sdtContent>
          <w:r w:rsidR="00CD2CCE">
            <w:fldChar w:fldCharType="begin"/>
          </w:r>
          <w:r w:rsidR="00CD2CCE">
            <w:instrText xml:space="preserve"> CITATION Höf08 \l 2057 </w:instrText>
          </w:r>
          <w:r w:rsidR="00CD2CCE">
            <w:fldChar w:fldCharType="separate"/>
          </w:r>
          <w:r w:rsidR="00CD2CCE" w:rsidRPr="00CD2CCE">
            <w:rPr>
              <w:noProof/>
            </w:rPr>
            <w:t>(Höfer &amp; Beckmann, 2008)</w:t>
          </w:r>
          <w:r w:rsidR="00CD2CCE">
            <w:fldChar w:fldCharType="end"/>
          </w:r>
        </w:sdtContent>
      </w:sdt>
      <w:r w:rsidR="00CD2CCE">
        <w:t xml:space="preserve">. </w:t>
      </w:r>
    </w:p>
    <w:p w14:paraId="52026446" w14:textId="0B32AC17" w:rsidR="00815F24" w:rsidRDefault="00815F24" w:rsidP="004674ED">
      <w:pPr>
        <w:pStyle w:val="AssignBody"/>
      </w:pPr>
    </w:p>
    <w:p w14:paraId="3200AA4D" w14:textId="1FA523E5" w:rsidR="00C03C9D" w:rsidRPr="00C03C9D" w:rsidRDefault="00C03C9D" w:rsidP="004674ED">
      <w:pPr>
        <w:pStyle w:val="AssignBody"/>
        <w:rPr>
          <w:b/>
          <w:bCs/>
          <w:sz w:val="28"/>
          <w:szCs w:val="28"/>
          <w:u w:val="single"/>
        </w:rPr>
      </w:pPr>
      <w:r>
        <w:rPr>
          <w:b/>
          <w:bCs/>
          <w:sz w:val="28"/>
          <w:szCs w:val="28"/>
          <w:u w:val="single"/>
        </w:rPr>
        <w:t>Conclusion</w:t>
      </w:r>
    </w:p>
    <w:p w14:paraId="2F708889" w14:textId="44E8B578" w:rsidR="00C03C9D" w:rsidRDefault="00C03C9D" w:rsidP="004674ED">
      <w:pPr>
        <w:pStyle w:val="AssignBody"/>
      </w:pPr>
    </w:p>
    <w:p w14:paraId="301D5967" w14:textId="7FE0CD3C" w:rsidR="00890E79" w:rsidRDefault="00575BCD" w:rsidP="00717604">
      <w:pPr>
        <w:pStyle w:val="AssignBody"/>
      </w:pPr>
      <w:r>
        <w:t>An important part of being an effective educator is consistent and effective reflective practice. Reflective practice has been defined as a well-defined practice with very specific, purposes, meaning and actions, in relation to the critical discussion of their work</w:t>
      </w:r>
      <w:r w:rsidR="0084397C">
        <w:t xml:space="preserve">, </w:t>
      </w:r>
      <w:r w:rsidR="008262A9">
        <w:t>however,</w:t>
      </w:r>
      <w:r w:rsidR="0084397C">
        <w:t xml:space="preserve"> can also be viewed as simply</w:t>
      </w:r>
      <w:r w:rsidR="008262A9">
        <w:t xml:space="preserve"> ‘thinking about something’</w:t>
      </w:r>
      <w:r>
        <w:t xml:space="preserve"> </w:t>
      </w:r>
      <w:sdt>
        <w:sdtPr>
          <w:id w:val="-1766916224"/>
          <w:citation/>
        </w:sdtPr>
        <w:sdtEndPr/>
        <w:sdtContent>
          <w:r>
            <w:fldChar w:fldCharType="begin"/>
          </w:r>
          <w:r>
            <w:instrText xml:space="preserve"> CITATION Moh221 \l 2057 </w:instrText>
          </w:r>
          <w:r>
            <w:fldChar w:fldCharType="separate"/>
          </w:r>
          <w:r w:rsidRPr="00575BCD">
            <w:rPr>
              <w:noProof/>
            </w:rPr>
            <w:t>(Mohamed, et al., 2022)</w:t>
          </w:r>
          <w:r>
            <w:fldChar w:fldCharType="end"/>
          </w:r>
        </w:sdtContent>
      </w:sdt>
      <w:r w:rsidR="0084397C">
        <w:t xml:space="preserve">. </w:t>
      </w:r>
      <w:r w:rsidR="008262A9">
        <w:t>Mohamed, et al., progress this view to state, g</w:t>
      </w:r>
      <w:r w:rsidR="0084397C">
        <w:t>iven the broad</w:t>
      </w:r>
      <w:r w:rsidR="008262A9">
        <w:t xml:space="preserve"> definitions given to reflection, it is important that teachers </w:t>
      </w:r>
      <w:r w:rsidR="00C00BE8">
        <w:t>develop their own ideas of reflective practice. During my practice I have viewed reflection as the process of critically and honestly evaluating the work that I have done</w:t>
      </w:r>
      <w:r w:rsidR="00837319">
        <w:t xml:space="preserve">, as well as the process of acting upon my evaluations in an attempt to further my pedagogical capabilities. </w:t>
      </w:r>
      <w:r w:rsidR="00377BA9">
        <w:t xml:space="preserve">By being </w:t>
      </w:r>
      <w:r w:rsidR="007A0EC6">
        <w:t>a reflective practitioner,</w:t>
      </w:r>
      <w:r w:rsidR="00377BA9">
        <w:t xml:space="preserve"> it has also allowed me to engage with and incorporate </w:t>
      </w:r>
      <w:r w:rsidR="007A0EC6">
        <w:t xml:space="preserve">the professional standards for teaching and leadership. Namely, I have been able to evaluate the impact of changes in my practice, meaning that I have evaluated, </w:t>
      </w:r>
      <w:r w:rsidR="00B33DDE">
        <w:t>analysed,</w:t>
      </w:r>
      <w:r w:rsidR="007A0EC6">
        <w:t xml:space="preserve"> and shared elements of my practice in an attempt to improve pedagogy. Furthermore, I was able to engage with elements of continued professional learning and wider reading and research findings, </w:t>
      </w:r>
      <w:r w:rsidR="00B33DDE">
        <w:t xml:space="preserve">as I continually looked to widen the breadth and range of my teaching approaches as well as the importance and possible techniques that could be used to implement cross-curricular teaching, all in an attempt to further professional growth. </w:t>
      </w:r>
    </w:p>
    <w:p w14:paraId="6E2E6F0E" w14:textId="06675A76" w:rsidR="00B33DDE" w:rsidRDefault="00B33DDE" w:rsidP="00717604">
      <w:pPr>
        <w:pStyle w:val="AssignBody"/>
      </w:pPr>
    </w:p>
    <w:p w14:paraId="7328479C" w14:textId="2CF1BD4F" w:rsidR="003130AD" w:rsidRDefault="000D209B" w:rsidP="00717604">
      <w:pPr>
        <w:pStyle w:val="AssignBody"/>
      </w:pPr>
      <w:r>
        <w:t xml:space="preserve">As mentioned previously, one principle that has been discussed is educators need to employ a broad repertoire of teaching approaches. </w:t>
      </w:r>
      <w:r w:rsidR="00621B0C">
        <w:t>By employing a range of techniques</w:t>
      </w:r>
      <w:r w:rsidR="00E432B1">
        <w:t>,</w:t>
      </w:r>
      <w:r w:rsidR="00621B0C">
        <w:t xml:space="preserve"> I observed as student</w:t>
      </w:r>
      <w:r w:rsidR="00E432B1">
        <w:t>s showed increased engagement when interacting with new subject content.</w:t>
      </w:r>
      <w:r w:rsidR="00357FF9">
        <w:t xml:space="preserve"> The increased engagement observed </w:t>
      </w:r>
      <w:r w:rsidR="00753A40">
        <w:t xml:space="preserve">through the </w:t>
      </w:r>
      <w:r w:rsidR="00357FF9">
        <w:t>u</w:t>
      </w:r>
      <w:r w:rsidR="00753A40">
        <w:t>se of</w:t>
      </w:r>
      <w:r w:rsidR="00357FF9">
        <w:t xml:space="preserve"> different and contemporary teaching techniques was also observed by Dunford </w:t>
      </w:r>
      <w:sdt>
        <w:sdtPr>
          <w:id w:val="1603077696"/>
          <w:citation/>
        </w:sdtPr>
        <w:sdtEndPr/>
        <w:sdtContent>
          <w:r w:rsidR="00357FF9">
            <w:fldChar w:fldCharType="begin"/>
          </w:r>
          <w:r w:rsidR="00357FF9">
            <w:instrText xml:space="preserve">CITATION Dun22 \n  \l 2057 </w:instrText>
          </w:r>
          <w:r w:rsidR="00357FF9">
            <w:fldChar w:fldCharType="separate"/>
          </w:r>
          <w:r w:rsidR="00357FF9" w:rsidRPr="00357FF9">
            <w:rPr>
              <w:noProof/>
            </w:rPr>
            <w:t>(2022)</w:t>
          </w:r>
          <w:r w:rsidR="00357FF9">
            <w:fldChar w:fldCharType="end"/>
          </w:r>
        </w:sdtContent>
      </w:sdt>
      <w:r w:rsidR="00357FF9">
        <w:t>, who stated that using a range of teaching techniques will ensure that learners remain connected with their learning.</w:t>
      </w:r>
      <w:r w:rsidR="00E432B1">
        <w:t xml:space="preserve"> A second </w:t>
      </w:r>
      <w:r w:rsidR="00357FF9">
        <w:t xml:space="preserve">perceived benefit of employing a range of techniques was the way that it encouraged student voice. When carrying out </w:t>
      </w:r>
      <w:r w:rsidR="00F259CB">
        <w:t xml:space="preserve">research into the topic it was the students who suggested that they create a presentation from what they </w:t>
      </w:r>
      <w:r w:rsidR="00753A40">
        <w:t xml:space="preserve">had </w:t>
      </w:r>
      <w:r w:rsidR="00F259CB">
        <w:t xml:space="preserve">found. Given the clear motivation that the students had exhibited I decided to encourage this and was prepared to move away from the </w:t>
      </w:r>
      <w:r w:rsidR="00F259CB">
        <w:lastRenderedPageBreak/>
        <w:t xml:space="preserve">prepared activities and allowed the students to create the presentation they had suggested. </w:t>
      </w:r>
      <w:r w:rsidR="00BE7D6F">
        <w:t>Thirdly, the activity had a large impact on me as a practitioner in enabling me to diversify my portfolio of teaching techniques. It is stated that</w:t>
      </w:r>
      <w:r w:rsidR="003130AD">
        <w:t xml:space="preserve"> possessing a diverse portfolio of techniques can develop and clarify teaching philosophy methods and approaches </w:t>
      </w:r>
      <w:sdt>
        <w:sdtPr>
          <w:id w:val="-1777704854"/>
          <w:citation/>
        </w:sdtPr>
        <w:sdtEndPr/>
        <w:sdtContent>
          <w:r w:rsidR="003130AD">
            <w:fldChar w:fldCharType="begin"/>
          </w:r>
          <w:r w:rsidR="003130AD">
            <w:instrText xml:space="preserve"> CITATION Oje13 \l 2057 </w:instrText>
          </w:r>
          <w:r w:rsidR="003130AD">
            <w:fldChar w:fldCharType="separate"/>
          </w:r>
          <w:r w:rsidR="003130AD" w:rsidRPr="003130AD">
            <w:rPr>
              <w:noProof/>
            </w:rPr>
            <w:t>(Ojeda, 2013)</w:t>
          </w:r>
          <w:r w:rsidR="003130AD">
            <w:fldChar w:fldCharType="end"/>
          </w:r>
        </w:sdtContent>
      </w:sdt>
      <w:r w:rsidR="003130AD">
        <w:t xml:space="preserve">. </w:t>
      </w:r>
    </w:p>
    <w:p w14:paraId="7A600832" w14:textId="77777777" w:rsidR="003130AD" w:rsidRDefault="003130AD" w:rsidP="00717604">
      <w:pPr>
        <w:pStyle w:val="AssignBody"/>
      </w:pPr>
    </w:p>
    <w:p w14:paraId="46060369" w14:textId="3E41F4B5" w:rsidR="00B33DDE" w:rsidRDefault="003130AD" w:rsidP="00717604">
      <w:pPr>
        <w:pStyle w:val="AssignBody"/>
      </w:pPr>
      <w:r>
        <w:t>However, it was apparent that there were limitations to my implementation of this principle.</w:t>
      </w:r>
      <w:r w:rsidR="00A67EB6">
        <w:t xml:space="preserve"> It may have been more difficult to execute techniques such as carousels and scavenger hunts with a larger class of students. As well as this, it is difficult to identify whether the engagement observed was due to the techniques that had been put into place, or simply </w:t>
      </w:r>
      <w:r w:rsidR="00F73E38">
        <w:t xml:space="preserve">due to the topic that was under focus. The </w:t>
      </w:r>
      <w:r w:rsidR="00753A40">
        <w:t xml:space="preserve">difficulties with </w:t>
      </w:r>
      <w:r w:rsidR="00F73E38">
        <w:t>identif</w:t>
      </w:r>
      <w:r w:rsidR="00753A40">
        <w:t>ying</w:t>
      </w:r>
      <w:r w:rsidR="00F73E38">
        <w:t xml:space="preserve"> cause and effect makes it difficult to conclude that a broad repertoire </w:t>
      </w:r>
      <w:r w:rsidR="00753A40">
        <w:t>was the cause of</w:t>
      </w:r>
      <w:r w:rsidR="00F73E38">
        <w:t xml:space="preserve"> improve</w:t>
      </w:r>
      <w:r w:rsidR="00753A40">
        <w:t>d</w:t>
      </w:r>
      <w:r w:rsidR="00F73E38">
        <w:t xml:space="preserve"> student eng</w:t>
      </w:r>
      <w:r w:rsidR="008F5155">
        <w:t xml:space="preserve">agement. </w:t>
      </w:r>
    </w:p>
    <w:p w14:paraId="107F70AD" w14:textId="6E875CD1" w:rsidR="008F5155" w:rsidRDefault="008F5155" w:rsidP="00717604">
      <w:pPr>
        <w:pStyle w:val="AssignBody"/>
      </w:pPr>
    </w:p>
    <w:p w14:paraId="7C3D2DE6" w14:textId="53051C28" w:rsidR="00177E8B" w:rsidRDefault="00B74E97" w:rsidP="00717604">
      <w:pPr>
        <w:pStyle w:val="AssignBody"/>
      </w:pPr>
      <w:r>
        <w:t>When considering cross-curricular themes and it</w:t>
      </w:r>
      <w:r w:rsidR="00E5476F">
        <w:t xml:space="preserve">s influence on the class there were numerous benefits of the method highlighted earlier within this paper. One benefit was the clear attempt by the school to innovate their practice in an effort to incorporate elements of the Welsh Curriculum. It is said that innovation within schools is needed to </w:t>
      </w:r>
      <w:r w:rsidR="008A33B9">
        <w:t xml:space="preserve">ensure high-quality learning outcomes, and this view is progressed to state that innovation should be inspired by theory, </w:t>
      </w:r>
      <w:r w:rsidR="005B2E7C">
        <w:t>practice,</w:t>
      </w:r>
      <w:r w:rsidR="008A33B9">
        <w:t xml:space="preserve"> and the needs of the learner </w:t>
      </w:r>
      <w:sdt>
        <w:sdtPr>
          <w:id w:val="1189255501"/>
          <w:citation/>
        </w:sdtPr>
        <w:sdtEndPr/>
        <w:sdtContent>
          <w:r w:rsidR="008A33B9">
            <w:fldChar w:fldCharType="begin"/>
          </w:r>
          <w:r w:rsidR="008A33B9">
            <w:instrText xml:space="preserve"> CITATION Pet17 \l 2057 </w:instrText>
          </w:r>
          <w:r w:rsidR="008A33B9">
            <w:fldChar w:fldCharType="separate"/>
          </w:r>
          <w:r w:rsidR="008A33B9" w:rsidRPr="008A33B9">
            <w:rPr>
              <w:noProof/>
            </w:rPr>
            <w:t>(Serdyukov, 2017)</w:t>
          </w:r>
          <w:r w:rsidR="008A33B9">
            <w:fldChar w:fldCharType="end"/>
          </w:r>
        </w:sdtContent>
      </w:sdt>
      <w:r w:rsidR="008A33B9">
        <w:t>. Moreover, the method to curriculum design encouraged students to consistently work on and develop their skills within specific AoLEs</w:t>
      </w:r>
      <w:r w:rsidR="005B2E7C">
        <w:t xml:space="preserve"> e.g., during humanities lessons, there was also influence from the science and technology AoLE. This meant that student attainment within the focus AoLE would develop extremely quickly</w:t>
      </w:r>
      <w:r w:rsidR="007C719C">
        <w:t>, and they appeared to gain a more in-depth perception of this information.</w:t>
      </w:r>
    </w:p>
    <w:p w14:paraId="06161DDA" w14:textId="1983D637" w:rsidR="007C719C" w:rsidRDefault="007C719C" w:rsidP="00717604">
      <w:pPr>
        <w:pStyle w:val="AssignBody"/>
      </w:pPr>
    </w:p>
    <w:p w14:paraId="71BDC149" w14:textId="4B7AE631" w:rsidR="007C719C" w:rsidRDefault="007C719C" w:rsidP="00717604">
      <w:pPr>
        <w:pStyle w:val="AssignBody"/>
      </w:pPr>
      <w:r>
        <w:t>Contrarily, I would argue that this method on occasion made it difficult to encourage motivation within students</w:t>
      </w:r>
      <w:r w:rsidR="007C76D4">
        <w:t xml:space="preserve">. This was caused by student perceptions towards the focus AoLE. A second possible limitation to this method was </w:t>
      </w:r>
      <w:r w:rsidR="00445EDE">
        <w:t>the lack of balance, when considering the amount of learning time students would receive on each AoLE, however there was an attempt made to combat this by having dedicated lesson times for Mathematics and English each morning.</w:t>
      </w:r>
    </w:p>
    <w:p w14:paraId="51240958" w14:textId="7AB1D910" w:rsidR="008F5155" w:rsidRDefault="008F5155" w:rsidP="00717604">
      <w:pPr>
        <w:pStyle w:val="AssignBody"/>
      </w:pPr>
    </w:p>
    <w:p w14:paraId="1A681A46" w14:textId="71782ED1" w:rsidR="00324A8B" w:rsidRDefault="00127A3C" w:rsidP="00717604">
      <w:pPr>
        <w:pStyle w:val="AssignBody"/>
      </w:pPr>
      <w:r>
        <w:t>Appropriate reflection on practice includes the consideration of the next steps of practice, and thought must be given to the necessary steps for development, and how to achieve it. In future I aim to conduct my own research and carry out further</w:t>
      </w:r>
      <w:r w:rsidR="00FE30BA">
        <w:t xml:space="preserve"> reading into the impact of </w:t>
      </w:r>
      <w:r w:rsidR="00CA5AEE">
        <w:t xml:space="preserve">a </w:t>
      </w:r>
      <w:r w:rsidR="00FE30BA">
        <w:t xml:space="preserve">repertoire of teaching strategies on student engagement. With the ultimate goal of being able to prove which caused the high engagement that I observed during my activity. Additionally, I am interested by the method towards curriculum design that the school had implemented, </w:t>
      </w:r>
      <w:r w:rsidR="00FE30BA">
        <w:lastRenderedPageBreak/>
        <w:t xml:space="preserve">however there are issues that must be addressed. </w:t>
      </w:r>
      <w:r w:rsidR="005E103D">
        <w:t xml:space="preserve">Instead of having a singular </w:t>
      </w:r>
      <w:r w:rsidR="0008685C">
        <w:t>AoLE as a focus, I would be interested in viewing the effects of focusing on a pair of AoLEs in collaboration, in an attempt to prevent the imbalances previously mentioned from occurring, as it should ease the responsibility placed on the teacher</w:t>
      </w:r>
      <w:r w:rsidR="00FE30BA">
        <w:t xml:space="preserve"> </w:t>
      </w:r>
      <w:r w:rsidR="0008685C">
        <w:t xml:space="preserve">to find links across all AoLEs to one specifically. </w:t>
      </w:r>
      <w:r w:rsidR="00CA5AEE">
        <w:t>Finally</w:t>
      </w:r>
      <w:r w:rsidR="0008685C">
        <w:t xml:space="preserve">, I will also ensure that I continue to consistently </w:t>
      </w:r>
      <w:r w:rsidR="001F3F20">
        <w:t>reflect on my practice in an effort to continuously improve my practice.</w:t>
      </w:r>
    </w:p>
    <w:p w14:paraId="0481E017" w14:textId="77777777" w:rsidR="00CA5AEE" w:rsidRDefault="00CA5AEE" w:rsidP="00717604">
      <w:pPr>
        <w:pStyle w:val="AssignBody"/>
        <w:rPr>
          <w:b/>
          <w:bCs/>
        </w:rPr>
      </w:pPr>
    </w:p>
    <w:p w14:paraId="26A8DB50" w14:textId="7C002C8D" w:rsidR="00324A8B" w:rsidRDefault="00324A8B" w:rsidP="00717604">
      <w:pPr>
        <w:pStyle w:val="AssignBody"/>
        <w:rPr>
          <w:b/>
          <w:bCs/>
        </w:rPr>
      </w:pPr>
      <w:r w:rsidRPr="00324A8B">
        <w:rPr>
          <w:b/>
          <w:bCs/>
        </w:rPr>
        <w:t>32</w:t>
      </w:r>
      <w:r w:rsidR="00CA5AEE">
        <w:rPr>
          <w:b/>
          <w:bCs/>
        </w:rPr>
        <w:t>75</w:t>
      </w:r>
      <w:r w:rsidRPr="00324A8B">
        <w:rPr>
          <w:b/>
          <w:bCs/>
        </w:rPr>
        <w:t xml:space="preserve"> Word</w:t>
      </w:r>
      <w:r w:rsidR="00CA5AEE">
        <w:rPr>
          <w:b/>
          <w:bCs/>
        </w:rPr>
        <w:t>s</w:t>
      </w:r>
    </w:p>
    <w:sdt>
      <w:sdtPr>
        <w:rPr>
          <w:rFonts w:asciiTheme="minorHAnsi" w:eastAsiaTheme="minorHAnsi" w:hAnsiTheme="minorHAnsi" w:cstheme="minorBidi"/>
          <w:b w:val="0"/>
          <w:bCs w:val="0"/>
          <w:color w:val="auto"/>
          <w:sz w:val="22"/>
          <w:szCs w:val="22"/>
          <w:lang w:val="en-GB" w:bidi="ar-SA"/>
        </w:rPr>
        <w:id w:val="-357975201"/>
        <w:docPartObj>
          <w:docPartGallery w:val="Bibliographies"/>
          <w:docPartUnique/>
        </w:docPartObj>
      </w:sdtPr>
      <w:sdtEndPr/>
      <w:sdtContent>
        <w:p w14:paraId="19BDD5A9" w14:textId="1BF7A58E" w:rsidR="00324A8B" w:rsidRPr="00324A8B" w:rsidRDefault="00324A8B">
          <w:pPr>
            <w:pStyle w:val="Heading1"/>
            <w:rPr>
              <w:color w:val="000000" w:themeColor="text1"/>
              <w:u w:val="single"/>
            </w:rPr>
          </w:pPr>
          <w:r w:rsidRPr="00324A8B">
            <w:rPr>
              <w:color w:val="000000" w:themeColor="text1"/>
              <w:u w:val="single"/>
            </w:rPr>
            <w:t xml:space="preserve">REFERENCE LIST </w:t>
          </w:r>
        </w:p>
        <w:sdt>
          <w:sdtPr>
            <w:id w:val="111145805"/>
            <w:bibliography/>
          </w:sdtPr>
          <w:sdtEndPr/>
          <w:sdtContent>
            <w:p w14:paraId="2C7FC242" w14:textId="77777777" w:rsidR="00324A8B" w:rsidRDefault="00324A8B" w:rsidP="00324A8B">
              <w:pPr>
                <w:pStyle w:val="Bibliography"/>
                <w:rPr>
                  <w:noProof/>
                  <w:sz w:val="24"/>
                  <w:szCs w:val="24"/>
                  <w:lang w:val="en-US"/>
                </w:rPr>
              </w:pPr>
              <w:r>
                <w:fldChar w:fldCharType="begin"/>
              </w:r>
              <w:r>
                <w:instrText xml:space="preserve"> BIBLIOGRAPHY </w:instrText>
              </w:r>
              <w:r>
                <w:fldChar w:fldCharType="separate"/>
              </w:r>
              <w:r>
                <w:rPr>
                  <w:noProof/>
                  <w:lang w:val="en-US"/>
                </w:rPr>
                <w:t xml:space="preserve">Aslan, Y., 2016. The Effect of Cross-curricular Instruction on Reading Comprehension. </w:t>
              </w:r>
              <w:r>
                <w:rPr>
                  <w:i/>
                  <w:iCs/>
                  <w:noProof/>
                  <w:lang w:val="en-US"/>
                </w:rPr>
                <w:t xml:space="preserve">Universal Journal of Educational Research, </w:t>
              </w:r>
              <w:r>
                <w:rPr>
                  <w:noProof/>
                  <w:lang w:val="en-US"/>
                </w:rPr>
                <w:t>4(8), pp. 1797-1801.</w:t>
              </w:r>
            </w:p>
            <w:p w14:paraId="3C4C1E0A" w14:textId="77777777" w:rsidR="00324A8B" w:rsidRDefault="00324A8B" w:rsidP="00324A8B">
              <w:pPr>
                <w:pStyle w:val="Bibliography"/>
                <w:rPr>
                  <w:noProof/>
                  <w:lang w:val="en-US"/>
                </w:rPr>
              </w:pPr>
              <w:r>
                <w:rPr>
                  <w:noProof/>
                  <w:lang w:val="en-US"/>
                </w:rPr>
                <w:t xml:space="preserve">Aslan, Y., 2016. The Effect of Cross-Curricular Instruction on Reading Comprehension. </w:t>
              </w:r>
              <w:r>
                <w:rPr>
                  <w:i/>
                  <w:iCs/>
                  <w:noProof/>
                  <w:lang w:val="en-US"/>
                </w:rPr>
                <w:t xml:space="preserve">Universal Journal of Educational Research, </w:t>
              </w:r>
              <w:r>
                <w:rPr>
                  <w:noProof/>
                  <w:lang w:val="en-US"/>
                </w:rPr>
                <w:t>4(8), pp. 1797-1801.</w:t>
              </w:r>
            </w:p>
            <w:p w14:paraId="4F294B16" w14:textId="77777777" w:rsidR="00324A8B" w:rsidRDefault="00324A8B" w:rsidP="00324A8B">
              <w:pPr>
                <w:pStyle w:val="Bibliography"/>
                <w:rPr>
                  <w:noProof/>
                  <w:lang w:val="en-US"/>
                </w:rPr>
              </w:pPr>
              <w:r>
                <w:rPr>
                  <w:noProof/>
                  <w:lang w:val="en-US"/>
                </w:rPr>
                <w:t xml:space="preserve">Avramides, K., Hunter, J., Oliver, M. &amp; Luckin, R., 2014. A method for teacher inquiry in cross-curricular projects: Lessons from a case study. </w:t>
              </w:r>
              <w:r>
                <w:rPr>
                  <w:i/>
                  <w:iCs/>
                  <w:noProof/>
                  <w:lang w:val="en-US"/>
                </w:rPr>
                <w:t xml:space="preserve">British Journal of Educational Technology, </w:t>
              </w:r>
              <w:r>
                <w:rPr>
                  <w:noProof/>
                  <w:lang w:val="en-US"/>
                </w:rPr>
                <w:t>46(2), pp. 249-264.</w:t>
              </w:r>
            </w:p>
            <w:p w14:paraId="7E326294" w14:textId="77777777" w:rsidR="00324A8B" w:rsidRDefault="00324A8B" w:rsidP="00324A8B">
              <w:pPr>
                <w:pStyle w:val="Bibliography"/>
                <w:rPr>
                  <w:noProof/>
                  <w:lang w:val="en-US"/>
                </w:rPr>
              </w:pPr>
              <w:r>
                <w:rPr>
                  <w:noProof/>
                  <w:lang w:val="en-US"/>
                </w:rPr>
                <w:t xml:space="preserve">Baepler, P. &amp; Walker, J., 2014. ctive learning classrooms and educational alliances: Changing relationships to improve learning.. </w:t>
              </w:r>
              <w:r>
                <w:rPr>
                  <w:i/>
                  <w:iCs/>
                  <w:noProof/>
                  <w:lang w:val="en-US"/>
                </w:rPr>
                <w:t xml:space="preserve">New Directions for Teaching and Learning, </w:t>
              </w:r>
              <w:r>
                <w:rPr>
                  <w:noProof/>
                  <w:lang w:val="en-US"/>
                </w:rPr>
                <w:t>Volume 137, pp. 67-77.</w:t>
              </w:r>
            </w:p>
            <w:p w14:paraId="6DFCD4EE" w14:textId="77777777" w:rsidR="00324A8B" w:rsidRDefault="00324A8B" w:rsidP="00324A8B">
              <w:pPr>
                <w:pStyle w:val="Bibliography"/>
                <w:rPr>
                  <w:noProof/>
                  <w:lang w:val="en-US"/>
                </w:rPr>
              </w:pPr>
              <w:r>
                <w:rPr>
                  <w:noProof/>
                  <w:lang w:val="en-US"/>
                </w:rPr>
                <w:t xml:space="preserve">Barnes, J., 2015. An Introduction to Cross-Curricular Learning. In: P. Driscoll, A. Lambirth &amp; J. Roden, eds. </w:t>
              </w:r>
              <w:r>
                <w:rPr>
                  <w:i/>
                  <w:iCs/>
                  <w:noProof/>
                  <w:lang w:val="en-US"/>
                </w:rPr>
                <w:t xml:space="preserve">The Creative Primary Curriculum. </w:t>
              </w:r>
              <w:r>
                <w:rPr>
                  <w:noProof/>
                  <w:lang w:val="en-US"/>
                </w:rPr>
                <w:t>2nd Edition ed. s.l.:Sage.</w:t>
              </w:r>
            </w:p>
            <w:p w14:paraId="17819065" w14:textId="77777777" w:rsidR="00324A8B" w:rsidRDefault="00324A8B" w:rsidP="00324A8B">
              <w:pPr>
                <w:pStyle w:val="Bibliography"/>
                <w:rPr>
                  <w:noProof/>
                  <w:lang w:val="en-US"/>
                </w:rPr>
              </w:pPr>
              <w:r>
                <w:rPr>
                  <w:noProof/>
                  <w:lang w:val="en-US"/>
                </w:rPr>
                <w:t xml:space="preserve">Baxter, A., n.d. </w:t>
              </w:r>
              <w:r>
                <w:rPr>
                  <w:i/>
                  <w:iCs/>
                  <w:noProof/>
                  <w:lang w:val="en-US"/>
                </w:rPr>
                <w:t xml:space="preserve">TeachingEnglish.org. </w:t>
              </w:r>
              <w:r>
                <w:rPr>
                  <w:noProof/>
                  <w:lang w:val="en-US"/>
                </w:rPr>
                <w:t xml:space="preserve">[Online] </w:t>
              </w:r>
              <w:r>
                <w:rPr>
                  <w:noProof/>
                  <w:lang w:val="en-US"/>
                </w:rPr>
                <w:br/>
                <w:t xml:space="preserve">Available at: </w:t>
              </w:r>
              <w:r>
                <w:rPr>
                  <w:noProof/>
                  <w:u w:val="single"/>
                  <w:lang w:val="en-US"/>
                </w:rPr>
                <w:t>https://www.teachingenglish.org.uk/professional-development/teachers/taking-responsibility/articles/repertoire#:~:text=As%20teachers%2C%20our%20repertoire%20consists,years%20instead%20of%20calendar%20ones.</w:t>
              </w:r>
              <w:r>
                <w:rPr>
                  <w:noProof/>
                  <w:lang w:val="en-US"/>
                </w:rPr>
                <w:br/>
                <w:t>[Accessed 27 March 2024].</w:t>
              </w:r>
            </w:p>
            <w:p w14:paraId="608D35C0" w14:textId="77777777" w:rsidR="00324A8B" w:rsidRDefault="00324A8B" w:rsidP="00324A8B">
              <w:pPr>
                <w:pStyle w:val="Bibliography"/>
                <w:rPr>
                  <w:noProof/>
                  <w:lang w:val="en-US"/>
                </w:rPr>
              </w:pPr>
              <w:r>
                <w:rPr>
                  <w:noProof/>
                  <w:lang w:val="en-US"/>
                </w:rPr>
                <w:t xml:space="preserve">Beane, J. A., 1997. Curriculum integration and the disciplines of knowledge. </w:t>
              </w:r>
              <w:r>
                <w:rPr>
                  <w:i/>
                  <w:iCs/>
                  <w:noProof/>
                  <w:lang w:val="en-US"/>
                </w:rPr>
                <w:t xml:space="preserve">Phi Delta Kappan, </w:t>
              </w:r>
              <w:r>
                <w:rPr>
                  <w:noProof/>
                  <w:lang w:val="en-US"/>
                </w:rPr>
                <w:t>78(7), pp. 518-524.</w:t>
              </w:r>
            </w:p>
            <w:p w14:paraId="2453F665" w14:textId="77777777" w:rsidR="00324A8B" w:rsidRDefault="00324A8B" w:rsidP="00324A8B">
              <w:pPr>
                <w:pStyle w:val="Bibliography"/>
                <w:rPr>
                  <w:noProof/>
                  <w:lang w:val="en-US"/>
                </w:rPr>
              </w:pPr>
              <w:r>
                <w:rPr>
                  <w:noProof/>
                  <w:lang w:val="en-US"/>
                </w:rPr>
                <w:t xml:space="preserve">Bidabadi, N., Isfahni, A., Rouhollahi, A. &amp; Khalili, R., 2016. Effective Teaching Methods in Higher Education: Requirements and Barriers. </w:t>
              </w:r>
              <w:r>
                <w:rPr>
                  <w:i/>
                  <w:iCs/>
                  <w:noProof/>
                  <w:lang w:val="en-US"/>
                </w:rPr>
                <w:t xml:space="preserve">National Library of Medicine, </w:t>
              </w:r>
              <w:r>
                <w:rPr>
                  <w:noProof/>
                  <w:lang w:val="en-US"/>
                </w:rPr>
                <w:t>4(4), pp. 170-178.</w:t>
              </w:r>
            </w:p>
            <w:p w14:paraId="44204CE5" w14:textId="77777777" w:rsidR="00324A8B" w:rsidRDefault="00324A8B" w:rsidP="00324A8B">
              <w:pPr>
                <w:pStyle w:val="Bibliography"/>
                <w:rPr>
                  <w:noProof/>
                  <w:lang w:val="en-US"/>
                </w:rPr>
              </w:pPr>
              <w:r>
                <w:rPr>
                  <w:noProof/>
                  <w:lang w:val="en-US"/>
                </w:rPr>
                <w:t xml:space="preserve">de Oliveira, L., Rueda, J. &amp; Carbogim, F., 2016. Effectiveness of teaching strategies on the development of critical thinking in undergraduate nursing students: A meta-analysis. </w:t>
              </w:r>
              <w:r>
                <w:rPr>
                  <w:i/>
                  <w:iCs/>
                  <w:noProof/>
                  <w:lang w:val="en-US"/>
                </w:rPr>
                <w:t xml:space="preserve">Journal of Nursing Research, </w:t>
              </w:r>
              <w:r>
                <w:rPr>
                  <w:noProof/>
                  <w:lang w:val="en-US"/>
                </w:rPr>
                <w:t>50(2), pp. 350-359.</w:t>
              </w:r>
            </w:p>
            <w:p w14:paraId="2632BC9E" w14:textId="77777777" w:rsidR="00324A8B" w:rsidRDefault="00324A8B" w:rsidP="00324A8B">
              <w:pPr>
                <w:pStyle w:val="Bibliography"/>
                <w:rPr>
                  <w:noProof/>
                  <w:lang w:val="en-US"/>
                </w:rPr>
              </w:pPr>
              <w:r>
                <w:rPr>
                  <w:noProof/>
                  <w:lang w:val="en-US"/>
                </w:rPr>
                <w:t xml:space="preserve">DERA, 2003. </w:t>
              </w:r>
              <w:r>
                <w:rPr>
                  <w:i/>
                  <w:iCs/>
                  <w:noProof/>
                  <w:lang w:val="en-US"/>
                </w:rPr>
                <w:t xml:space="preserve">Key Stage 3 Strategy, Foundation Subjects strand: key messages about teaching repertoire. </w:t>
              </w:r>
              <w:r>
                <w:rPr>
                  <w:noProof/>
                  <w:lang w:val="en-US"/>
                </w:rPr>
                <w:t>s.l.:s.n.</w:t>
              </w:r>
            </w:p>
            <w:p w14:paraId="037AC18F" w14:textId="77777777" w:rsidR="00324A8B" w:rsidRDefault="00324A8B" w:rsidP="00324A8B">
              <w:pPr>
                <w:pStyle w:val="Bibliography"/>
                <w:rPr>
                  <w:noProof/>
                  <w:lang w:val="en-US"/>
                </w:rPr>
              </w:pPr>
              <w:r>
                <w:rPr>
                  <w:noProof/>
                  <w:lang w:val="en-US"/>
                </w:rPr>
                <w:t xml:space="preserve">Donaldson, G., 2015. </w:t>
              </w:r>
              <w:r>
                <w:rPr>
                  <w:i/>
                  <w:iCs/>
                  <w:noProof/>
                  <w:lang w:val="en-US"/>
                </w:rPr>
                <w:t xml:space="preserve">Successful Futures, </w:t>
              </w:r>
              <w:r>
                <w:rPr>
                  <w:noProof/>
                  <w:lang w:val="en-US"/>
                </w:rPr>
                <w:t>s.l.: Welsh Government.</w:t>
              </w:r>
            </w:p>
            <w:p w14:paraId="17603B5B" w14:textId="77777777" w:rsidR="00324A8B" w:rsidRDefault="00324A8B" w:rsidP="00324A8B">
              <w:pPr>
                <w:pStyle w:val="Bibliography"/>
                <w:rPr>
                  <w:noProof/>
                  <w:lang w:val="en-US"/>
                </w:rPr>
              </w:pPr>
              <w:r>
                <w:rPr>
                  <w:noProof/>
                  <w:lang w:val="en-US"/>
                </w:rPr>
                <w:lastRenderedPageBreak/>
                <w:t xml:space="preserve">Dunford, B., 2022. </w:t>
              </w:r>
              <w:r>
                <w:rPr>
                  <w:i/>
                  <w:iCs/>
                  <w:noProof/>
                  <w:lang w:val="en-US"/>
                </w:rPr>
                <w:t xml:space="preserve">SecEd. </w:t>
              </w:r>
              <w:r>
                <w:rPr>
                  <w:noProof/>
                  <w:lang w:val="en-US"/>
                </w:rPr>
                <w:t xml:space="preserve">[Online] </w:t>
              </w:r>
              <w:r>
                <w:rPr>
                  <w:noProof/>
                  <w:lang w:val="en-US"/>
                </w:rPr>
                <w:br/>
                <w:t xml:space="preserve">Available at: </w:t>
              </w:r>
              <w:r>
                <w:rPr>
                  <w:noProof/>
                  <w:u w:val="single"/>
                  <w:lang w:val="en-US"/>
                </w:rPr>
                <w:t>https://www.sec-ed.co.uk/content/best-practice/seven-ways-to-improve-pupil-engagement/#:~:text=Great%20teaching%20is%2C%20of%20course,remain%20connected%20with%20their%20learning.</w:t>
              </w:r>
              <w:r>
                <w:rPr>
                  <w:noProof/>
                  <w:lang w:val="en-US"/>
                </w:rPr>
                <w:br/>
                <w:t>[Accessed 05 04 2024].</w:t>
              </w:r>
            </w:p>
            <w:p w14:paraId="61D1D292" w14:textId="77777777" w:rsidR="00324A8B" w:rsidRDefault="00324A8B" w:rsidP="00324A8B">
              <w:pPr>
                <w:pStyle w:val="Bibliography"/>
                <w:rPr>
                  <w:noProof/>
                  <w:lang w:val="en-US"/>
                </w:rPr>
              </w:pPr>
              <w:r>
                <w:rPr>
                  <w:noProof/>
                  <w:lang w:val="en-US"/>
                </w:rPr>
                <w:t xml:space="preserve">EiE Team, 2023. </w:t>
              </w:r>
              <w:r>
                <w:rPr>
                  <w:i/>
                  <w:iCs/>
                  <w:noProof/>
                  <w:lang w:val="en-US"/>
                </w:rPr>
                <w:t xml:space="preserve">EiE Blog. </w:t>
              </w:r>
              <w:r>
                <w:rPr>
                  <w:noProof/>
                  <w:lang w:val="en-US"/>
                </w:rPr>
                <w:t xml:space="preserve">[Online] </w:t>
              </w:r>
              <w:r>
                <w:rPr>
                  <w:noProof/>
                  <w:lang w:val="en-US"/>
                </w:rPr>
                <w:br/>
                <w:t xml:space="preserve">Available at: </w:t>
              </w:r>
              <w:r>
                <w:rPr>
                  <w:noProof/>
                  <w:u w:val="single"/>
                  <w:lang w:val="en-US"/>
                </w:rPr>
                <w:t>https://blog.eie.org/cross-curriculum-2023#:~:text=Cross%2Dcurricular%20integration%20is%20a,tool%20for%20effective%20teaching%20instruction.</w:t>
              </w:r>
              <w:r>
                <w:rPr>
                  <w:noProof/>
                  <w:lang w:val="en-US"/>
                </w:rPr>
                <w:br/>
                <w:t>[Accessed 03 04 2024].</w:t>
              </w:r>
            </w:p>
            <w:p w14:paraId="498813F0" w14:textId="77777777" w:rsidR="00324A8B" w:rsidRDefault="00324A8B" w:rsidP="00324A8B">
              <w:pPr>
                <w:pStyle w:val="Bibliography"/>
                <w:rPr>
                  <w:noProof/>
                  <w:lang w:val="en-US"/>
                </w:rPr>
              </w:pPr>
              <w:r>
                <w:rPr>
                  <w:noProof/>
                  <w:lang w:val="en-US"/>
                </w:rPr>
                <w:t xml:space="preserve">Garcia, K., 2023. </w:t>
              </w:r>
              <w:r>
                <w:rPr>
                  <w:i/>
                  <w:iCs/>
                  <w:noProof/>
                  <w:lang w:val="en-US"/>
                </w:rPr>
                <w:t xml:space="preserve">Study.com. </w:t>
              </w:r>
              <w:r>
                <w:rPr>
                  <w:noProof/>
                  <w:lang w:val="en-US"/>
                </w:rPr>
                <w:t xml:space="preserve">[Online] </w:t>
              </w:r>
              <w:r>
                <w:rPr>
                  <w:noProof/>
                  <w:lang w:val="en-US"/>
                </w:rPr>
                <w:br/>
                <w:t xml:space="preserve">Available at: </w:t>
              </w:r>
              <w:r>
                <w:rPr>
                  <w:noProof/>
                  <w:u w:val="single"/>
                  <w:lang w:val="en-US"/>
                </w:rPr>
                <w:t>https://study.com/academy/lesson/indirect-instruction-definition-strategies.html#:~:text=They%20can%20create%20an%20environment,researching%20ideas%2C%20and%20solving%20problems.</w:t>
              </w:r>
              <w:r>
                <w:rPr>
                  <w:noProof/>
                  <w:lang w:val="en-US"/>
                </w:rPr>
                <w:br/>
                <w:t>[Accessed 28 March 2024].</w:t>
              </w:r>
            </w:p>
            <w:p w14:paraId="0471C36B" w14:textId="77777777" w:rsidR="00324A8B" w:rsidRDefault="00324A8B" w:rsidP="00324A8B">
              <w:pPr>
                <w:pStyle w:val="Bibliography"/>
                <w:rPr>
                  <w:noProof/>
                  <w:lang w:val="en-US"/>
                </w:rPr>
              </w:pPr>
              <w:r>
                <w:rPr>
                  <w:noProof/>
                  <w:lang w:val="en-US"/>
                </w:rPr>
                <w:t xml:space="preserve">Gardner, H., 1983. </w:t>
              </w:r>
              <w:r>
                <w:rPr>
                  <w:i/>
                  <w:iCs/>
                  <w:noProof/>
                  <w:lang w:val="en-US"/>
                </w:rPr>
                <w:t xml:space="preserve">Frames of Mind. </w:t>
              </w:r>
              <w:r>
                <w:rPr>
                  <w:noProof/>
                  <w:lang w:val="en-US"/>
                </w:rPr>
                <w:t>s.l.:BasicBooks.</w:t>
              </w:r>
            </w:p>
            <w:p w14:paraId="1B62A28F" w14:textId="77777777" w:rsidR="00324A8B" w:rsidRDefault="00324A8B" w:rsidP="00324A8B">
              <w:pPr>
                <w:pStyle w:val="Bibliography"/>
                <w:rPr>
                  <w:noProof/>
                  <w:lang w:val="en-US"/>
                </w:rPr>
              </w:pPr>
              <w:r>
                <w:rPr>
                  <w:noProof/>
                  <w:lang w:val="en-US"/>
                </w:rPr>
                <w:t xml:space="preserve">Gershon, M., 2016. </w:t>
              </w:r>
              <w:r>
                <w:rPr>
                  <w:i/>
                  <w:iCs/>
                  <w:noProof/>
                  <w:lang w:val="en-US"/>
                </w:rPr>
                <w:t xml:space="preserve">How to build a teaching repertoire, </w:t>
              </w:r>
              <w:r>
                <w:rPr>
                  <w:noProof/>
                  <w:lang w:val="en-US"/>
                </w:rPr>
                <w:t>s.l.: tes.</w:t>
              </w:r>
            </w:p>
            <w:p w14:paraId="320314C0" w14:textId="77777777" w:rsidR="00324A8B" w:rsidRDefault="00324A8B" w:rsidP="00324A8B">
              <w:pPr>
                <w:pStyle w:val="Bibliography"/>
                <w:rPr>
                  <w:noProof/>
                  <w:lang w:val="en-US"/>
                </w:rPr>
              </w:pPr>
              <w:r>
                <w:rPr>
                  <w:noProof/>
                  <w:lang w:val="en-US"/>
                </w:rPr>
                <w:t xml:space="preserve">Gupta, S. K. &amp; Hayath, M., 2022. Pedagogical Principles in Learning and Its Impact on Enhancing Motivation of Students. </w:t>
              </w:r>
              <w:r>
                <w:rPr>
                  <w:i/>
                  <w:iCs/>
                  <w:noProof/>
                  <w:lang w:val="en-US"/>
                </w:rPr>
                <w:t xml:space="preserve">TTAICTE, </w:t>
              </w:r>
              <w:r>
                <w:rPr>
                  <w:noProof/>
                  <w:lang w:val="en-US"/>
                </w:rPr>
                <w:t>1(2), pp. 19-24.</w:t>
              </w:r>
            </w:p>
            <w:p w14:paraId="3B3FEA8F" w14:textId="77777777" w:rsidR="00324A8B" w:rsidRDefault="00324A8B" w:rsidP="00324A8B">
              <w:pPr>
                <w:pStyle w:val="Bibliography"/>
                <w:rPr>
                  <w:noProof/>
                  <w:lang w:val="en-US"/>
                </w:rPr>
              </w:pPr>
              <w:r>
                <w:rPr>
                  <w:noProof/>
                  <w:lang w:val="en-US"/>
                </w:rPr>
                <w:t xml:space="preserve">Guven, Y. &amp; Ozyildrim, H., 2016. The Impact of Different Teaching Strategies on Students' Learning Outcomes. </w:t>
              </w:r>
              <w:r>
                <w:rPr>
                  <w:i/>
                  <w:iCs/>
                  <w:noProof/>
                  <w:lang w:val="en-US"/>
                </w:rPr>
                <w:t xml:space="preserve">International Online Journal of Educational Sciences, </w:t>
              </w:r>
              <w:r>
                <w:rPr>
                  <w:noProof/>
                  <w:lang w:val="en-US"/>
                </w:rPr>
                <w:t>8(2), pp. 108-123.</w:t>
              </w:r>
            </w:p>
            <w:p w14:paraId="1E163D81" w14:textId="77777777" w:rsidR="00324A8B" w:rsidRDefault="00324A8B" w:rsidP="00324A8B">
              <w:pPr>
                <w:pStyle w:val="Bibliography"/>
                <w:rPr>
                  <w:noProof/>
                  <w:lang w:val="en-US"/>
                </w:rPr>
              </w:pPr>
              <w:r>
                <w:rPr>
                  <w:noProof/>
                  <w:lang w:val="en-US"/>
                </w:rPr>
                <w:t xml:space="preserve">Höfer , T. &amp; Beckmann, A., 2008. Supporting mathematical literacy: Examples from a cross-curricular project. </w:t>
              </w:r>
              <w:r>
                <w:rPr>
                  <w:i/>
                  <w:iCs/>
                  <w:noProof/>
                  <w:lang w:val="en-US"/>
                </w:rPr>
                <w:t xml:space="preserve">ZDM, </w:t>
              </w:r>
              <w:r>
                <w:rPr>
                  <w:noProof/>
                  <w:lang w:val="en-US"/>
                </w:rPr>
                <w:t>Volume 41, pp. 223-230.</w:t>
              </w:r>
            </w:p>
            <w:p w14:paraId="56423143" w14:textId="77777777" w:rsidR="00324A8B" w:rsidRDefault="00324A8B" w:rsidP="00324A8B">
              <w:pPr>
                <w:pStyle w:val="Bibliography"/>
                <w:rPr>
                  <w:noProof/>
                  <w:lang w:val="en-US"/>
                </w:rPr>
              </w:pPr>
              <w:r>
                <w:rPr>
                  <w:noProof/>
                  <w:lang w:val="en-US"/>
                </w:rPr>
                <w:t xml:space="preserve">Hattie, J., 2012. </w:t>
              </w:r>
              <w:r>
                <w:rPr>
                  <w:i/>
                  <w:iCs/>
                  <w:noProof/>
                  <w:lang w:val="en-US"/>
                </w:rPr>
                <w:t xml:space="preserve">Visible learning for teachers: maximizing impact on learning. </w:t>
              </w:r>
              <w:r>
                <w:rPr>
                  <w:noProof/>
                  <w:lang w:val="en-US"/>
                </w:rPr>
                <w:t>London: Routledge.</w:t>
              </w:r>
            </w:p>
            <w:p w14:paraId="4468C868" w14:textId="77777777" w:rsidR="00324A8B" w:rsidRDefault="00324A8B" w:rsidP="00324A8B">
              <w:pPr>
                <w:pStyle w:val="Bibliography"/>
                <w:rPr>
                  <w:noProof/>
                  <w:lang w:val="en-US"/>
                </w:rPr>
              </w:pPr>
              <w:r>
                <w:rPr>
                  <w:noProof/>
                  <w:lang w:val="en-US"/>
                </w:rPr>
                <w:t xml:space="preserve">Historical Association, 2023. </w:t>
              </w:r>
              <w:r>
                <w:rPr>
                  <w:i/>
                  <w:iCs/>
                  <w:noProof/>
                  <w:lang w:val="en-US"/>
                </w:rPr>
                <w:t xml:space="preserve">history.org.uk. </w:t>
              </w:r>
              <w:r>
                <w:rPr>
                  <w:noProof/>
                  <w:lang w:val="en-US"/>
                </w:rPr>
                <w:t xml:space="preserve">[Online] </w:t>
              </w:r>
              <w:r>
                <w:rPr>
                  <w:noProof/>
                  <w:lang w:val="en-US"/>
                </w:rPr>
                <w:br/>
                <w:t xml:space="preserve">Available at: </w:t>
              </w:r>
              <w:r>
                <w:rPr>
                  <w:noProof/>
                  <w:u w:val="single"/>
                  <w:lang w:val="en-US"/>
                </w:rPr>
                <w:t>https://www.history.org.uk/primary/module/3638/leading-primary-history/3653/cross-curricular-learning</w:t>
              </w:r>
              <w:r>
                <w:rPr>
                  <w:noProof/>
                  <w:lang w:val="en-US"/>
                </w:rPr>
                <w:br/>
                <w:t>[Accessed 03 04 2024].</w:t>
              </w:r>
            </w:p>
            <w:p w14:paraId="02DD1B4C" w14:textId="77777777" w:rsidR="00324A8B" w:rsidRDefault="00324A8B" w:rsidP="00324A8B">
              <w:pPr>
                <w:pStyle w:val="Bibliography"/>
                <w:rPr>
                  <w:noProof/>
                  <w:lang w:val="en-US"/>
                </w:rPr>
              </w:pPr>
              <w:r>
                <w:rPr>
                  <w:noProof/>
                  <w:lang w:val="en-US"/>
                </w:rPr>
                <w:t xml:space="preserve">Jeya Harish, H., Krishnakumar, R. &amp; Dharma Raja, W. B., 2012. Cross Curricular Connections: An Innovative Model for Curriculum Transaction. </w:t>
              </w:r>
              <w:r>
                <w:rPr>
                  <w:i/>
                  <w:iCs/>
                  <w:noProof/>
                  <w:lang w:val="en-US"/>
                </w:rPr>
                <w:t xml:space="preserve">Journal on School Educational Technology, </w:t>
              </w:r>
              <w:r>
                <w:rPr>
                  <w:noProof/>
                  <w:lang w:val="en-US"/>
                </w:rPr>
                <w:t>7(3).</w:t>
              </w:r>
            </w:p>
            <w:p w14:paraId="776CDA18" w14:textId="77777777" w:rsidR="00324A8B" w:rsidRDefault="00324A8B" w:rsidP="00324A8B">
              <w:pPr>
                <w:pStyle w:val="Bibliography"/>
                <w:rPr>
                  <w:noProof/>
                  <w:lang w:val="en-US"/>
                </w:rPr>
              </w:pPr>
              <w:r>
                <w:rPr>
                  <w:noProof/>
                  <w:lang w:val="en-US"/>
                </w:rPr>
                <w:t xml:space="preserve">Johnson, B., 2013. </w:t>
              </w:r>
              <w:r>
                <w:rPr>
                  <w:i/>
                  <w:iCs/>
                  <w:noProof/>
                  <w:lang w:val="en-US"/>
                </w:rPr>
                <w:t xml:space="preserve">edutopia. </w:t>
              </w:r>
              <w:r>
                <w:rPr>
                  <w:noProof/>
                  <w:lang w:val="en-US"/>
                </w:rPr>
                <w:t xml:space="preserve">[Online] </w:t>
              </w:r>
              <w:r>
                <w:rPr>
                  <w:noProof/>
                  <w:lang w:val="en-US"/>
                </w:rPr>
                <w:br/>
                <w:t xml:space="preserve">Available at: </w:t>
              </w:r>
              <w:r>
                <w:rPr>
                  <w:noProof/>
                  <w:u w:val="single"/>
                  <w:lang w:val="en-US"/>
                </w:rPr>
                <w:t>https://www.edutopia.org/blog/cross-curricular-teaching-deeper-learning-ben-johnson</w:t>
              </w:r>
              <w:r>
                <w:rPr>
                  <w:noProof/>
                  <w:lang w:val="en-US"/>
                </w:rPr>
                <w:br/>
                <w:t>[Accessed 03 04 2024].</w:t>
              </w:r>
            </w:p>
            <w:p w14:paraId="25F7C05C" w14:textId="77777777" w:rsidR="00324A8B" w:rsidRDefault="00324A8B" w:rsidP="00324A8B">
              <w:pPr>
                <w:pStyle w:val="Bibliography"/>
                <w:rPr>
                  <w:noProof/>
                  <w:lang w:val="en-US"/>
                </w:rPr>
              </w:pPr>
              <w:r>
                <w:rPr>
                  <w:noProof/>
                  <w:lang w:val="en-US"/>
                </w:rPr>
                <w:t xml:space="preserve">Mayer, R., 2004. Should There Be a Three-Strikes Rule Against Pure Discovery Learning?. </w:t>
              </w:r>
              <w:r>
                <w:rPr>
                  <w:i/>
                  <w:iCs/>
                  <w:noProof/>
                  <w:lang w:val="en-US"/>
                </w:rPr>
                <w:t xml:space="preserve">American Psychologist, </w:t>
              </w:r>
              <w:r>
                <w:rPr>
                  <w:noProof/>
                  <w:lang w:val="en-US"/>
                </w:rPr>
                <w:t>59(1), pp. 14-19.</w:t>
              </w:r>
            </w:p>
            <w:p w14:paraId="2C9B5AB8" w14:textId="77777777" w:rsidR="00324A8B" w:rsidRDefault="00324A8B" w:rsidP="00324A8B">
              <w:pPr>
                <w:pStyle w:val="Bibliography"/>
                <w:rPr>
                  <w:noProof/>
                  <w:lang w:val="en-US"/>
                </w:rPr>
              </w:pPr>
              <w:r>
                <w:rPr>
                  <w:noProof/>
                  <w:lang w:val="en-US"/>
                </w:rPr>
                <w:t xml:space="preserve">Mohamed, M., Ab Rashid , R. &amp; Alqaryoti, M., 2022. Conceptualizing the complexity of reflective practice in education. </w:t>
              </w:r>
              <w:r>
                <w:rPr>
                  <w:i/>
                  <w:iCs/>
                  <w:noProof/>
                  <w:lang w:val="en-US"/>
                </w:rPr>
                <w:t xml:space="preserve">Frontiers in Psychology, </w:t>
              </w:r>
              <w:r>
                <w:rPr>
                  <w:noProof/>
                  <w:lang w:val="en-US"/>
                </w:rPr>
                <w:t>Volume 13.</w:t>
              </w:r>
            </w:p>
            <w:p w14:paraId="5EF421C1" w14:textId="77777777" w:rsidR="00324A8B" w:rsidRDefault="00324A8B" w:rsidP="00324A8B">
              <w:pPr>
                <w:pStyle w:val="Bibliography"/>
                <w:rPr>
                  <w:noProof/>
                  <w:lang w:val="en-US"/>
                </w:rPr>
              </w:pPr>
              <w:r>
                <w:rPr>
                  <w:noProof/>
                  <w:lang w:val="en-US"/>
                </w:rPr>
                <w:t xml:space="preserve">Ojeda, C., 2013. </w:t>
              </w:r>
              <w:r>
                <w:rPr>
                  <w:i/>
                  <w:iCs/>
                  <w:noProof/>
                  <w:lang w:val="en-US"/>
                </w:rPr>
                <w:t xml:space="preserve">The Teaching Portfolio: Stretching those design and cognition muscles. </w:t>
              </w:r>
              <w:r>
                <w:rPr>
                  <w:noProof/>
                  <w:lang w:val="en-US"/>
                </w:rPr>
                <w:t>s.l.:Wordpress.com.</w:t>
              </w:r>
            </w:p>
            <w:p w14:paraId="56BFCBF1" w14:textId="77777777" w:rsidR="00324A8B" w:rsidRDefault="00324A8B" w:rsidP="00324A8B">
              <w:pPr>
                <w:pStyle w:val="Bibliography"/>
                <w:rPr>
                  <w:noProof/>
                  <w:lang w:val="en-US"/>
                </w:rPr>
              </w:pPr>
              <w:r>
                <w:rPr>
                  <w:noProof/>
                  <w:lang w:val="en-US"/>
                </w:rPr>
                <w:lastRenderedPageBreak/>
                <w:t xml:space="preserve">Runco, M., 2004. Creativity. </w:t>
              </w:r>
              <w:r>
                <w:rPr>
                  <w:i/>
                  <w:iCs/>
                  <w:noProof/>
                  <w:lang w:val="en-US"/>
                </w:rPr>
                <w:t xml:space="preserve">Annual Review of Psychology, </w:t>
              </w:r>
              <w:r>
                <w:rPr>
                  <w:noProof/>
                  <w:lang w:val="en-US"/>
                </w:rPr>
                <w:t>Volume 55, pp. 657-687.</w:t>
              </w:r>
            </w:p>
            <w:p w14:paraId="16FFCCCC" w14:textId="77777777" w:rsidR="00324A8B" w:rsidRDefault="00324A8B" w:rsidP="00324A8B">
              <w:pPr>
                <w:pStyle w:val="Bibliography"/>
                <w:rPr>
                  <w:noProof/>
                  <w:lang w:val="en-US"/>
                </w:rPr>
              </w:pPr>
              <w:r>
                <w:rPr>
                  <w:noProof/>
                  <w:lang w:val="en-US"/>
                </w:rPr>
                <w:t xml:space="preserve">Sawant, S. &amp; Rizvi, S., 2015. Study of passive didactic teacher centered approach and an active student centered approach in teaching anatomy. </w:t>
              </w:r>
              <w:r>
                <w:rPr>
                  <w:i/>
                  <w:iCs/>
                  <w:noProof/>
                  <w:lang w:val="en-US"/>
                </w:rPr>
                <w:t xml:space="preserve">International Journal of Anatomy and Research, </w:t>
              </w:r>
              <w:r>
                <w:rPr>
                  <w:noProof/>
                  <w:lang w:val="en-US"/>
                </w:rPr>
                <w:t>3(3), pp. 1192-1197.</w:t>
              </w:r>
            </w:p>
            <w:p w14:paraId="6E606554" w14:textId="77777777" w:rsidR="00324A8B" w:rsidRDefault="00324A8B" w:rsidP="00324A8B">
              <w:pPr>
                <w:pStyle w:val="Bibliography"/>
                <w:rPr>
                  <w:noProof/>
                  <w:lang w:val="en-US"/>
                </w:rPr>
              </w:pPr>
              <w:r>
                <w:rPr>
                  <w:noProof/>
                  <w:lang w:val="en-US"/>
                </w:rPr>
                <w:t xml:space="preserve">Serdyukov, P., 2017. Innovation in education: what works, what doesn't, and what to do about it?. </w:t>
              </w:r>
              <w:r>
                <w:rPr>
                  <w:i/>
                  <w:iCs/>
                  <w:noProof/>
                  <w:lang w:val="en-US"/>
                </w:rPr>
                <w:t xml:space="preserve">Journal of Research in Innovative Teaching and Learning, </w:t>
              </w:r>
              <w:r>
                <w:rPr>
                  <w:noProof/>
                  <w:lang w:val="en-US"/>
                </w:rPr>
                <w:t>10(1).</w:t>
              </w:r>
            </w:p>
            <w:p w14:paraId="031C42B4" w14:textId="77777777" w:rsidR="00324A8B" w:rsidRDefault="00324A8B" w:rsidP="00324A8B">
              <w:pPr>
                <w:pStyle w:val="Bibliography"/>
                <w:rPr>
                  <w:noProof/>
                  <w:lang w:val="en-US"/>
                </w:rPr>
              </w:pPr>
              <w:r>
                <w:rPr>
                  <w:noProof/>
                  <w:lang w:val="en-US"/>
                </w:rPr>
                <w:t xml:space="preserve">Stockard, J., Wood, T., Coughlin, C. &amp; Khoury, C., 2018. The Effectiveness of Direct Instruction Curricula: A Meta-Analysis of a Half Century of Research. </w:t>
              </w:r>
              <w:r>
                <w:rPr>
                  <w:i/>
                  <w:iCs/>
                  <w:noProof/>
                  <w:lang w:val="en-US"/>
                </w:rPr>
                <w:t xml:space="preserve">Review of Educational Research, </w:t>
              </w:r>
              <w:r>
                <w:rPr>
                  <w:noProof/>
                  <w:lang w:val="en-US"/>
                </w:rPr>
                <w:t>88(4), pp. 479-507.</w:t>
              </w:r>
            </w:p>
            <w:p w14:paraId="6E37982E" w14:textId="77777777" w:rsidR="00324A8B" w:rsidRDefault="00324A8B" w:rsidP="00324A8B">
              <w:pPr>
                <w:pStyle w:val="Bibliography"/>
                <w:rPr>
                  <w:noProof/>
                  <w:lang w:val="en-US"/>
                </w:rPr>
              </w:pPr>
              <w:r>
                <w:rPr>
                  <w:noProof/>
                  <w:lang w:val="en-US"/>
                </w:rPr>
                <w:t xml:space="preserve">Timmerman, V., 2019. </w:t>
              </w:r>
              <w:r>
                <w:rPr>
                  <w:i/>
                  <w:iCs/>
                  <w:noProof/>
                  <w:lang w:val="en-US"/>
                </w:rPr>
                <w:t xml:space="preserve">Recommendations for Cross-Curricular Teaching Implementation. </w:t>
              </w:r>
              <w:r>
                <w:rPr>
                  <w:noProof/>
                  <w:lang w:val="en-US"/>
                </w:rPr>
                <w:t>s.l.:France Educacion International.</w:t>
              </w:r>
            </w:p>
            <w:p w14:paraId="65D5FDAB" w14:textId="77777777" w:rsidR="00324A8B" w:rsidRDefault="00324A8B" w:rsidP="00324A8B">
              <w:pPr>
                <w:pStyle w:val="Bibliography"/>
                <w:rPr>
                  <w:noProof/>
                  <w:lang w:val="en-US"/>
                </w:rPr>
              </w:pPr>
              <w:r>
                <w:rPr>
                  <w:noProof/>
                  <w:lang w:val="en-US"/>
                </w:rPr>
                <w:t xml:space="preserve">Welsh Government , 2023. </w:t>
              </w:r>
              <w:r>
                <w:rPr>
                  <w:i/>
                  <w:iCs/>
                  <w:noProof/>
                  <w:lang w:val="en-US"/>
                </w:rPr>
                <w:t xml:space="preserve">Designing your curriculum - Pedagogy, </w:t>
              </w:r>
              <w:r>
                <w:rPr>
                  <w:noProof/>
                  <w:lang w:val="en-US"/>
                </w:rPr>
                <w:t>s.l.: s.n.</w:t>
              </w:r>
            </w:p>
            <w:p w14:paraId="5D717BAF" w14:textId="77777777" w:rsidR="00324A8B" w:rsidRDefault="00324A8B" w:rsidP="00324A8B">
              <w:pPr>
                <w:pStyle w:val="Bibliography"/>
                <w:rPr>
                  <w:noProof/>
                  <w:lang w:val="en-US"/>
                </w:rPr>
              </w:pPr>
              <w:r>
                <w:rPr>
                  <w:noProof/>
                  <w:lang w:val="en-US"/>
                </w:rPr>
                <w:t xml:space="preserve">Welsh Government, 2019. </w:t>
              </w:r>
              <w:r>
                <w:rPr>
                  <w:i/>
                  <w:iCs/>
                  <w:noProof/>
                  <w:lang w:val="en-US"/>
                </w:rPr>
                <w:t xml:space="preserve">Professional standards for teaching and leadership, </w:t>
              </w:r>
              <w:r>
                <w:rPr>
                  <w:noProof/>
                  <w:lang w:val="en-US"/>
                </w:rPr>
                <w:t>s.l.: s.n.</w:t>
              </w:r>
            </w:p>
            <w:p w14:paraId="65A2DE5C" w14:textId="77777777" w:rsidR="00324A8B" w:rsidRDefault="00324A8B" w:rsidP="00324A8B">
              <w:pPr>
                <w:pStyle w:val="Bibliography"/>
                <w:rPr>
                  <w:noProof/>
                  <w:lang w:val="en-US"/>
                </w:rPr>
              </w:pPr>
              <w:r>
                <w:rPr>
                  <w:noProof/>
                  <w:lang w:val="en-US"/>
                </w:rPr>
                <w:t xml:space="preserve">Welsh Government, 2020. </w:t>
              </w:r>
              <w:r>
                <w:rPr>
                  <w:i/>
                  <w:iCs/>
                  <w:noProof/>
                  <w:lang w:val="en-US"/>
                </w:rPr>
                <w:t xml:space="preserve">Cross-curricular skills frameworks, </w:t>
              </w:r>
              <w:r>
                <w:rPr>
                  <w:noProof/>
                  <w:lang w:val="en-US"/>
                </w:rPr>
                <w:t>s.l.: s.n.</w:t>
              </w:r>
            </w:p>
            <w:p w14:paraId="34395DF1" w14:textId="77777777" w:rsidR="00324A8B" w:rsidRDefault="00324A8B" w:rsidP="00324A8B">
              <w:pPr>
                <w:pStyle w:val="Bibliography"/>
                <w:rPr>
                  <w:noProof/>
                  <w:lang w:val="en-US"/>
                </w:rPr>
              </w:pPr>
              <w:r>
                <w:rPr>
                  <w:noProof/>
                  <w:lang w:val="en-US"/>
                </w:rPr>
                <w:t xml:space="preserve">Welsh Government, 2021. </w:t>
              </w:r>
              <w:r>
                <w:rPr>
                  <w:i/>
                  <w:iCs/>
                  <w:noProof/>
                  <w:lang w:val="en-US"/>
                </w:rPr>
                <w:t xml:space="preserve">The Curriculum for Wales - Progression Code, </w:t>
              </w:r>
              <w:r>
                <w:rPr>
                  <w:noProof/>
                  <w:lang w:val="en-US"/>
                </w:rPr>
                <w:t>Cardiff: s.n.</w:t>
              </w:r>
            </w:p>
            <w:p w14:paraId="7DCCB34D" w14:textId="6AF0484F" w:rsidR="00324A8B" w:rsidRDefault="00324A8B" w:rsidP="00324A8B">
              <w:pPr>
                <w:pStyle w:val="Bibliography"/>
                <w:rPr>
                  <w:noProof/>
                  <w:lang w:val="en-US"/>
                </w:rPr>
              </w:pPr>
              <w:r>
                <w:rPr>
                  <w:noProof/>
                  <w:lang w:val="en-US"/>
                </w:rPr>
                <w:t xml:space="preserve">Wenxin, Z. &amp; Yue, W., 2022. An analysis on sino UK cultural differences in education from the perspective of hofstede's cultural dimensions theory (Acase study of are our kids tough enough?). </w:t>
              </w:r>
              <w:r>
                <w:rPr>
                  <w:i/>
                  <w:iCs/>
                  <w:noProof/>
                  <w:lang w:val="en-US"/>
                </w:rPr>
                <w:t xml:space="preserve">Journal on Education, </w:t>
              </w:r>
              <w:r>
                <w:rPr>
                  <w:noProof/>
                  <w:lang w:val="en-US"/>
                </w:rPr>
                <w:t>4(2), pp. 373-384.</w:t>
              </w:r>
            </w:p>
            <w:p w14:paraId="310779E0" w14:textId="77777777" w:rsidR="00324A8B" w:rsidRDefault="00324A8B" w:rsidP="00324A8B">
              <w:pPr>
                <w:pStyle w:val="Bibliography"/>
                <w:rPr>
                  <w:noProof/>
                  <w:lang w:val="en-US"/>
                </w:rPr>
              </w:pPr>
              <w:r>
                <w:rPr>
                  <w:noProof/>
                  <w:lang w:val="en-US"/>
                </w:rPr>
                <w:t xml:space="preserve">Williams, S., 2014. </w:t>
              </w:r>
              <w:r>
                <w:rPr>
                  <w:i/>
                  <w:iCs/>
                  <w:noProof/>
                  <w:lang w:val="en-US"/>
                </w:rPr>
                <w:t xml:space="preserve">The characteristics of pedagogical development in the fields of science and technology, </w:t>
              </w:r>
              <w:r>
                <w:rPr>
                  <w:noProof/>
                  <w:lang w:val="en-US"/>
                </w:rPr>
                <w:t>s.l.: LSE Blogs.</w:t>
              </w:r>
            </w:p>
            <w:p w14:paraId="22BA6A92" w14:textId="771FCA6A" w:rsidR="00324A8B" w:rsidRDefault="00324A8B" w:rsidP="00324A8B">
              <w:r>
                <w:rPr>
                  <w:b/>
                  <w:bCs/>
                  <w:noProof/>
                </w:rPr>
                <w:fldChar w:fldCharType="end"/>
              </w:r>
            </w:p>
          </w:sdtContent>
        </w:sdt>
      </w:sdtContent>
    </w:sdt>
    <w:p w14:paraId="0936E362" w14:textId="77777777" w:rsidR="00324A8B" w:rsidRPr="00324A8B" w:rsidRDefault="00324A8B" w:rsidP="00717604">
      <w:pPr>
        <w:pStyle w:val="AssignBody"/>
      </w:pPr>
    </w:p>
    <w:sectPr w:rsidR="00324A8B" w:rsidRPr="00324A8B">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2F55AA" w14:textId="77777777" w:rsidR="009D4C34" w:rsidRDefault="009D4C34" w:rsidP="00E611D9">
      <w:pPr>
        <w:spacing w:after="0" w:line="240" w:lineRule="auto"/>
      </w:pPr>
      <w:r>
        <w:separator/>
      </w:r>
    </w:p>
  </w:endnote>
  <w:endnote w:type="continuationSeparator" w:id="0">
    <w:p w14:paraId="4160EDDC" w14:textId="77777777" w:rsidR="009D4C34" w:rsidRDefault="009D4C34"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rlito">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B9A71C" w14:textId="77777777" w:rsidR="009D4C34" w:rsidRDefault="009D4C34" w:rsidP="00E611D9">
      <w:pPr>
        <w:spacing w:after="0" w:line="240" w:lineRule="auto"/>
      </w:pPr>
      <w:r>
        <w:separator/>
      </w:r>
    </w:p>
  </w:footnote>
  <w:footnote w:type="continuationSeparator" w:id="0">
    <w:p w14:paraId="2CEA7631" w14:textId="77777777" w:rsidR="009D4C34" w:rsidRDefault="009D4C34"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9F53CCB"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p>
      </w:tc>
      <w:tc>
        <w:tcPr>
          <w:tcW w:w="4508" w:type="dxa"/>
        </w:tcPr>
        <w:p w14:paraId="51D506A0" w14:textId="70993744" w:rsidR="00E611D9" w:rsidRPr="00E611D9" w:rsidRDefault="00E611D9" w:rsidP="00E611D9">
          <w:pPr>
            <w:pStyle w:val="Header"/>
            <w:jc w:val="right"/>
            <w:rPr>
              <w:rFonts w:ascii="Arial" w:hAnsi="Arial" w:cs="Arial"/>
            </w:rPr>
          </w:pPr>
          <w:r>
            <w:rPr>
              <w:rFonts w:ascii="Arial" w:hAnsi="Arial" w:cs="Arial"/>
            </w:rPr>
            <w:t xml:space="preserve"> Rhif Myfyriwr / Student Number: </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4307"/>
    <w:rsid w:val="000103C6"/>
    <w:rsid w:val="00036EC5"/>
    <w:rsid w:val="00037DC3"/>
    <w:rsid w:val="00061899"/>
    <w:rsid w:val="00065E04"/>
    <w:rsid w:val="0006769B"/>
    <w:rsid w:val="00073C08"/>
    <w:rsid w:val="0008685C"/>
    <w:rsid w:val="0009215B"/>
    <w:rsid w:val="000C0FB1"/>
    <w:rsid w:val="000D209B"/>
    <w:rsid w:val="000D48BC"/>
    <w:rsid w:val="000E0F44"/>
    <w:rsid w:val="000E25A1"/>
    <w:rsid w:val="000F0C07"/>
    <w:rsid w:val="00100854"/>
    <w:rsid w:val="00105D46"/>
    <w:rsid w:val="001064C3"/>
    <w:rsid w:val="001068DC"/>
    <w:rsid w:val="00127A3C"/>
    <w:rsid w:val="00131918"/>
    <w:rsid w:val="00136DCD"/>
    <w:rsid w:val="00160851"/>
    <w:rsid w:val="00167C79"/>
    <w:rsid w:val="00177E8B"/>
    <w:rsid w:val="00185DFF"/>
    <w:rsid w:val="001C6501"/>
    <w:rsid w:val="001F022B"/>
    <w:rsid w:val="001F3F20"/>
    <w:rsid w:val="00207953"/>
    <w:rsid w:val="00221D08"/>
    <w:rsid w:val="002229F0"/>
    <w:rsid w:val="00225BAF"/>
    <w:rsid w:val="00241DB5"/>
    <w:rsid w:val="002468E8"/>
    <w:rsid w:val="00247D9A"/>
    <w:rsid w:val="0025228E"/>
    <w:rsid w:val="00257182"/>
    <w:rsid w:val="002632DC"/>
    <w:rsid w:val="002640BC"/>
    <w:rsid w:val="002919C2"/>
    <w:rsid w:val="00291C71"/>
    <w:rsid w:val="002C39F8"/>
    <w:rsid w:val="002C5F7E"/>
    <w:rsid w:val="002C6F92"/>
    <w:rsid w:val="003130AD"/>
    <w:rsid w:val="00324A8B"/>
    <w:rsid w:val="00326ABA"/>
    <w:rsid w:val="0035177A"/>
    <w:rsid w:val="00351B25"/>
    <w:rsid w:val="00357FF9"/>
    <w:rsid w:val="00377BA9"/>
    <w:rsid w:val="003E0F84"/>
    <w:rsid w:val="003F0A3E"/>
    <w:rsid w:val="00445EDE"/>
    <w:rsid w:val="004519DC"/>
    <w:rsid w:val="00454EB2"/>
    <w:rsid w:val="00456062"/>
    <w:rsid w:val="004648DF"/>
    <w:rsid w:val="00466739"/>
    <w:rsid w:val="004674ED"/>
    <w:rsid w:val="004B07BE"/>
    <w:rsid w:val="004C73D8"/>
    <w:rsid w:val="004D7317"/>
    <w:rsid w:val="005047B6"/>
    <w:rsid w:val="005545CB"/>
    <w:rsid w:val="00570BA4"/>
    <w:rsid w:val="00575BCD"/>
    <w:rsid w:val="00587A5B"/>
    <w:rsid w:val="0059191E"/>
    <w:rsid w:val="00597F5B"/>
    <w:rsid w:val="005B2E7C"/>
    <w:rsid w:val="005E103D"/>
    <w:rsid w:val="006015C6"/>
    <w:rsid w:val="00606B98"/>
    <w:rsid w:val="00621B0C"/>
    <w:rsid w:val="006419C3"/>
    <w:rsid w:val="006435B1"/>
    <w:rsid w:val="00650D3C"/>
    <w:rsid w:val="006524FF"/>
    <w:rsid w:val="00657EE1"/>
    <w:rsid w:val="00661AAB"/>
    <w:rsid w:val="006753DA"/>
    <w:rsid w:val="00691A46"/>
    <w:rsid w:val="00695957"/>
    <w:rsid w:val="006B5861"/>
    <w:rsid w:val="006C00C4"/>
    <w:rsid w:val="006D5684"/>
    <w:rsid w:val="006E24AC"/>
    <w:rsid w:val="006F003B"/>
    <w:rsid w:val="00710E1B"/>
    <w:rsid w:val="0071291C"/>
    <w:rsid w:val="00717604"/>
    <w:rsid w:val="0072026C"/>
    <w:rsid w:val="00737A26"/>
    <w:rsid w:val="00740294"/>
    <w:rsid w:val="00745EF6"/>
    <w:rsid w:val="00753A40"/>
    <w:rsid w:val="00790461"/>
    <w:rsid w:val="007A0EC6"/>
    <w:rsid w:val="007A6697"/>
    <w:rsid w:val="007C719C"/>
    <w:rsid w:val="007C76D4"/>
    <w:rsid w:val="007D6AB3"/>
    <w:rsid w:val="00803597"/>
    <w:rsid w:val="00815F24"/>
    <w:rsid w:val="00817F7A"/>
    <w:rsid w:val="00820AE3"/>
    <w:rsid w:val="008262A9"/>
    <w:rsid w:val="00837319"/>
    <w:rsid w:val="0084397C"/>
    <w:rsid w:val="00854EA7"/>
    <w:rsid w:val="00890E79"/>
    <w:rsid w:val="008A33B9"/>
    <w:rsid w:val="008B45AF"/>
    <w:rsid w:val="008C4396"/>
    <w:rsid w:val="008F5155"/>
    <w:rsid w:val="008F584E"/>
    <w:rsid w:val="00900E34"/>
    <w:rsid w:val="00920A9F"/>
    <w:rsid w:val="00954378"/>
    <w:rsid w:val="009607C0"/>
    <w:rsid w:val="009A26C1"/>
    <w:rsid w:val="009C2F72"/>
    <w:rsid w:val="009D4C34"/>
    <w:rsid w:val="009D7FBF"/>
    <w:rsid w:val="00A349AF"/>
    <w:rsid w:val="00A3784D"/>
    <w:rsid w:val="00A412F5"/>
    <w:rsid w:val="00A67EB6"/>
    <w:rsid w:val="00AA6ACB"/>
    <w:rsid w:val="00AB0E0B"/>
    <w:rsid w:val="00AC2E75"/>
    <w:rsid w:val="00AE179A"/>
    <w:rsid w:val="00AF49FE"/>
    <w:rsid w:val="00B1343B"/>
    <w:rsid w:val="00B33070"/>
    <w:rsid w:val="00B33DDE"/>
    <w:rsid w:val="00B45DDE"/>
    <w:rsid w:val="00B46601"/>
    <w:rsid w:val="00B54297"/>
    <w:rsid w:val="00B71A92"/>
    <w:rsid w:val="00B74E97"/>
    <w:rsid w:val="00B83725"/>
    <w:rsid w:val="00B844D8"/>
    <w:rsid w:val="00B8584C"/>
    <w:rsid w:val="00B964DE"/>
    <w:rsid w:val="00BA78CD"/>
    <w:rsid w:val="00BC651E"/>
    <w:rsid w:val="00BD1B8E"/>
    <w:rsid w:val="00BD6F22"/>
    <w:rsid w:val="00BE7D6F"/>
    <w:rsid w:val="00BF1F55"/>
    <w:rsid w:val="00C00BE8"/>
    <w:rsid w:val="00C03C9D"/>
    <w:rsid w:val="00C04B6C"/>
    <w:rsid w:val="00C06467"/>
    <w:rsid w:val="00C154AD"/>
    <w:rsid w:val="00C17972"/>
    <w:rsid w:val="00C247F3"/>
    <w:rsid w:val="00C31E18"/>
    <w:rsid w:val="00C45DAE"/>
    <w:rsid w:val="00C541BF"/>
    <w:rsid w:val="00C54767"/>
    <w:rsid w:val="00C63F8F"/>
    <w:rsid w:val="00C662AA"/>
    <w:rsid w:val="00C672F0"/>
    <w:rsid w:val="00C71006"/>
    <w:rsid w:val="00C73516"/>
    <w:rsid w:val="00C81F75"/>
    <w:rsid w:val="00C863D2"/>
    <w:rsid w:val="00C87881"/>
    <w:rsid w:val="00C92C16"/>
    <w:rsid w:val="00C95D0B"/>
    <w:rsid w:val="00CA5AEE"/>
    <w:rsid w:val="00CB6734"/>
    <w:rsid w:val="00CD0EF7"/>
    <w:rsid w:val="00CD1240"/>
    <w:rsid w:val="00CD19A1"/>
    <w:rsid w:val="00CD2CCE"/>
    <w:rsid w:val="00D07274"/>
    <w:rsid w:val="00D20FB9"/>
    <w:rsid w:val="00D32322"/>
    <w:rsid w:val="00D4466F"/>
    <w:rsid w:val="00D52360"/>
    <w:rsid w:val="00D969AA"/>
    <w:rsid w:val="00DF1C8F"/>
    <w:rsid w:val="00DF7E1A"/>
    <w:rsid w:val="00E21CFE"/>
    <w:rsid w:val="00E24D66"/>
    <w:rsid w:val="00E36352"/>
    <w:rsid w:val="00E432B1"/>
    <w:rsid w:val="00E5476F"/>
    <w:rsid w:val="00E611D9"/>
    <w:rsid w:val="00E977C0"/>
    <w:rsid w:val="00EC2AEA"/>
    <w:rsid w:val="00EE74D2"/>
    <w:rsid w:val="00F06BFA"/>
    <w:rsid w:val="00F11C8B"/>
    <w:rsid w:val="00F24045"/>
    <w:rsid w:val="00F259CB"/>
    <w:rsid w:val="00F3535D"/>
    <w:rsid w:val="00F4029C"/>
    <w:rsid w:val="00F61643"/>
    <w:rsid w:val="00F73E38"/>
    <w:rsid w:val="00F75896"/>
    <w:rsid w:val="00F76D9C"/>
    <w:rsid w:val="00F8253D"/>
    <w:rsid w:val="00F9397E"/>
    <w:rsid w:val="00FC0EAF"/>
    <w:rsid w:val="00FD189D"/>
    <w:rsid w:val="00FE30BA"/>
    <w:rsid w:val="00FE3FB8"/>
    <w:rsid w:val="00FE49B7"/>
    <w:rsid w:val="00FE4D2A"/>
    <w:rsid w:val="00FE5745"/>
    <w:rsid w:val="00FF71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1918"/>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semiHidden/>
    <w:unhideWhenUsed/>
    <w:qFormat/>
    <w:rsid w:val="00037D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37DC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31918"/>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131918"/>
  </w:style>
  <w:style w:type="character" w:customStyle="1" w:styleId="Heading2Char">
    <w:name w:val="Heading 2 Char"/>
    <w:basedOn w:val="DefaultParagraphFont"/>
    <w:link w:val="Heading2"/>
    <w:uiPriority w:val="9"/>
    <w:semiHidden/>
    <w:rsid w:val="00037DC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37DC3"/>
    <w:rPr>
      <w:rFonts w:asciiTheme="majorHAnsi" w:eastAsiaTheme="majorEastAsia" w:hAnsiTheme="majorHAnsi" w:cstheme="majorBidi"/>
      <w:color w:val="1F3763" w:themeColor="accent1" w:themeShade="7F"/>
      <w:sz w:val="24"/>
      <w:szCs w:val="24"/>
    </w:rPr>
  </w:style>
  <w:style w:type="paragraph" w:customStyle="1" w:styleId="BodyA">
    <w:name w:val="Body A"/>
    <w:rsid w:val="00037DC3"/>
    <w:pPr>
      <w:pBdr>
        <w:top w:val="nil"/>
        <w:left w:val="nil"/>
        <w:bottom w:val="nil"/>
        <w:right w:val="nil"/>
        <w:between w:val="nil"/>
        <w:bar w:val="nil"/>
      </w:pBdr>
    </w:pPr>
    <w:rPr>
      <w:rFonts w:ascii="Calibri" w:eastAsia="Arial Unicode MS" w:hAnsi="Calibri" w:cs="Arial Unicode MS"/>
      <w:color w:val="000000"/>
      <w:u w:color="000000"/>
      <w:bdr w:val="nil"/>
      <w:lang w:val="en-US" w:eastAsia="zh-CN"/>
      <w14:textOutline w14:w="12700" w14:cap="flat" w14:cmpd="sng" w14:algn="ctr">
        <w14:noFill/>
        <w14:prstDash w14:val="solid"/>
        <w14:miter w14:lim="400000"/>
      </w14:textOutline>
    </w:rPr>
  </w:style>
  <w:style w:type="paragraph" w:styleId="NormalWeb">
    <w:name w:val="Normal (Web)"/>
    <w:basedOn w:val="Normal"/>
    <w:uiPriority w:val="99"/>
    <w:semiHidden/>
    <w:unhideWhenUsed/>
    <w:rsid w:val="00037DC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0611">
      <w:bodyDiv w:val="1"/>
      <w:marLeft w:val="0"/>
      <w:marRight w:val="0"/>
      <w:marTop w:val="0"/>
      <w:marBottom w:val="0"/>
      <w:divBdr>
        <w:top w:val="none" w:sz="0" w:space="0" w:color="auto"/>
        <w:left w:val="none" w:sz="0" w:space="0" w:color="auto"/>
        <w:bottom w:val="none" w:sz="0" w:space="0" w:color="auto"/>
        <w:right w:val="none" w:sz="0" w:space="0" w:color="auto"/>
      </w:divBdr>
    </w:div>
    <w:div w:id="6562510">
      <w:bodyDiv w:val="1"/>
      <w:marLeft w:val="0"/>
      <w:marRight w:val="0"/>
      <w:marTop w:val="0"/>
      <w:marBottom w:val="0"/>
      <w:divBdr>
        <w:top w:val="none" w:sz="0" w:space="0" w:color="auto"/>
        <w:left w:val="none" w:sz="0" w:space="0" w:color="auto"/>
        <w:bottom w:val="none" w:sz="0" w:space="0" w:color="auto"/>
        <w:right w:val="none" w:sz="0" w:space="0" w:color="auto"/>
      </w:divBdr>
    </w:div>
    <w:div w:id="60100254">
      <w:bodyDiv w:val="1"/>
      <w:marLeft w:val="0"/>
      <w:marRight w:val="0"/>
      <w:marTop w:val="0"/>
      <w:marBottom w:val="0"/>
      <w:divBdr>
        <w:top w:val="none" w:sz="0" w:space="0" w:color="auto"/>
        <w:left w:val="none" w:sz="0" w:space="0" w:color="auto"/>
        <w:bottom w:val="none" w:sz="0" w:space="0" w:color="auto"/>
        <w:right w:val="none" w:sz="0" w:space="0" w:color="auto"/>
      </w:divBdr>
    </w:div>
    <w:div w:id="105542106">
      <w:bodyDiv w:val="1"/>
      <w:marLeft w:val="0"/>
      <w:marRight w:val="0"/>
      <w:marTop w:val="0"/>
      <w:marBottom w:val="0"/>
      <w:divBdr>
        <w:top w:val="none" w:sz="0" w:space="0" w:color="auto"/>
        <w:left w:val="none" w:sz="0" w:space="0" w:color="auto"/>
        <w:bottom w:val="none" w:sz="0" w:space="0" w:color="auto"/>
        <w:right w:val="none" w:sz="0" w:space="0" w:color="auto"/>
      </w:divBdr>
    </w:div>
    <w:div w:id="121075761">
      <w:bodyDiv w:val="1"/>
      <w:marLeft w:val="0"/>
      <w:marRight w:val="0"/>
      <w:marTop w:val="0"/>
      <w:marBottom w:val="0"/>
      <w:divBdr>
        <w:top w:val="none" w:sz="0" w:space="0" w:color="auto"/>
        <w:left w:val="none" w:sz="0" w:space="0" w:color="auto"/>
        <w:bottom w:val="none" w:sz="0" w:space="0" w:color="auto"/>
        <w:right w:val="none" w:sz="0" w:space="0" w:color="auto"/>
      </w:divBdr>
    </w:div>
    <w:div w:id="198784689">
      <w:bodyDiv w:val="1"/>
      <w:marLeft w:val="0"/>
      <w:marRight w:val="0"/>
      <w:marTop w:val="0"/>
      <w:marBottom w:val="0"/>
      <w:divBdr>
        <w:top w:val="none" w:sz="0" w:space="0" w:color="auto"/>
        <w:left w:val="none" w:sz="0" w:space="0" w:color="auto"/>
        <w:bottom w:val="none" w:sz="0" w:space="0" w:color="auto"/>
        <w:right w:val="none" w:sz="0" w:space="0" w:color="auto"/>
      </w:divBdr>
    </w:div>
    <w:div w:id="254552811">
      <w:bodyDiv w:val="1"/>
      <w:marLeft w:val="0"/>
      <w:marRight w:val="0"/>
      <w:marTop w:val="0"/>
      <w:marBottom w:val="0"/>
      <w:divBdr>
        <w:top w:val="none" w:sz="0" w:space="0" w:color="auto"/>
        <w:left w:val="none" w:sz="0" w:space="0" w:color="auto"/>
        <w:bottom w:val="none" w:sz="0" w:space="0" w:color="auto"/>
        <w:right w:val="none" w:sz="0" w:space="0" w:color="auto"/>
      </w:divBdr>
    </w:div>
    <w:div w:id="410927866">
      <w:bodyDiv w:val="1"/>
      <w:marLeft w:val="0"/>
      <w:marRight w:val="0"/>
      <w:marTop w:val="0"/>
      <w:marBottom w:val="0"/>
      <w:divBdr>
        <w:top w:val="none" w:sz="0" w:space="0" w:color="auto"/>
        <w:left w:val="none" w:sz="0" w:space="0" w:color="auto"/>
        <w:bottom w:val="none" w:sz="0" w:space="0" w:color="auto"/>
        <w:right w:val="none" w:sz="0" w:space="0" w:color="auto"/>
      </w:divBdr>
    </w:div>
    <w:div w:id="465394486">
      <w:bodyDiv w:val="1"/>
      <w:marLeft w:val="0"/>
      <w:marRight w:val="0"/>
      <w:marTop w:val="0"/>
      <w:marBottom w:val="0"/>
      <w:divBdr>
        <w:top w:val="none" w:sz="0" w:space="0" w:color="auto"/>
        <w:left w:val="none" w:sz="0" w:space="0" w:color="auto"/>
        <w:bottom w:val="none" w:sz="0" w:space="0" w:color="auto"/>
        <w:right w:val="none" w:sz="0" w:space="0" w:color="auto"/>
      </w:divBdr>
    </w:div>
    <w:div w:id="484469821">
      <w:bodyDiv w:val="1"/>
      <w:marLeft w:val="0"/>
      <w:marRight w:val="0"/>
      <w:marTop w:val="0"/>
      <w:marBottom w:val="0"/>
      <w:divBdr>
        <w:top w:val="none" w:sz="0" w:space="0" w:color="auto"/>
        <w:left w:val="none" w:sz="0" w:space="0" w:color="auto"/>
        <w:bottom w:val="none" w:sz="0" w:space="0" w:color="auto"/>
        <w:right w:val="none" w:sz="0" w:space="0" w:color="auto"/>
      </w:divBdr>
    </w:div>
    <w:div w:id="615331436">
      <w:bodyDiv w:val="1"/>
      <w:marLeft w:val="0"/>
      <w:marRight w:val="0"/>
      <w:marTop w:val="0"/>
      <w:marBottom w:val="0"/>
      <w:divBdr>
        <w:top w:val="none" w:sz="0" w:space="0" w:color="auto"/>
        <w:left w:val="none" w:sz="0" w:space="0" w:color="auto"/>
        <w:bottom w:val="none" w:sz="0" w:space="0" w:color="auto"/>
        <w:right w:val="none" w:sz="0" w:space="0" w:color="auto"/>
      </w:divBdr>
    </w:div>
    <w:div w:id="673998296">
      <w:bodyDiv w:val="1"/>
      <w:marLeft w:val="0"/>
      <w:marRight w:val="0"/>
      <w:marTop w:val="0"/>
      <w:marBottom w:val="0"/>
      <w:divBdr>
        <w:top w:val="none" w:sz="0" w:space="0" w:color="auto"/>
        <w:left w:val="none" w:sz="0" w:space="0" w:color="auto"/>
        <w:bottom w:val="none" w:sz="0" w:space="0" w:color="auto"/>
        <w:right w:val="none" w:sz="0" w:space="0" w:color="auto"/>
      </w:divBdr>
    </w:div>
    <w:div w:id="754672190">
      <w:bodyDiv w:val="1"/>
      <w:marLeft w:val="0"/>
      <w:marRight w:val="0"/>
      <w:marTop w:val="0"/>
      <w:marBottom w:val="0"/>
      <w:divBdr>
        <w:top w:val="none" w:sz="0" w:space="0" w:color="auto"/>
        <w:left w:val="none" w:sz="0" w:space="0" w:color="auto"/>
        <w:bottom w:val="none" w:sz="0" w:space="0" w:color="auto"/>
        <w:right w:val="none" w:sz="0" w:space="0" w:color="auto"/>
      </w:divBdr>
    </w:div>
    <w:div w:id="762452686">
      <w:bodyDiv w:val="1"/>
      <w:marLeft w:val="0"/>
      <w:marRight w:val="0"/>
      <w:marTop w:val="0"/>
      <w:marBottom w:val="0"/>
      <w:divBdr>
        <w:top w:val="none" w:sz="0" w:space="0" w:color="auto"/>
        <w:left w:val="none" w:sz="0" w:space="0" w:color="auto"/>
        <w:bottom w:val="none" w:sz="0" w:space="0" w:color="auto"/>
        <w:right w:val="none" w:sz="0" w:space="0" w:color="auto"/>
      </w:divBdr>
    </w:div>
    <w:div w:id="866677820">
      <w:bodyDiv w:val="1"/>
      <w:marLeft w:val="0"/>
      <w:marRight w:val="0"/>
      <w:marTop w:val="0"/>
      <w:marBottom w:val="0"/>
      <w:divBdr>
        <w:top w:val="none" w:sz="0" w:space="0" w:color="auto"/>
        <w:left w:val="none" w:sz="0" w:space="0" w:color="auto"/>
        <w:bottom w:val="none" w:sz="0" w:space="0" w:color="auto"/>
        <w:right w:val="none" w:sz="0" w:space="0" w:color="auto"/>
      </w:divBdr>
    </w:div>
    <w:div w:id="933173300">
      <w:bodyDiv w:val="1"/>
      <w:marLeft w:val="0"/>
      <w:marRight w:val="0"/>
      <w:marTop w:val="0"/>
      <w:marBottom w:val="0"/>
      <w:divBdr>
        <w:top w:val="none" w:sz="0" w:space="0" w:color="auto"/>
        <w:left w:val="none" w:sz="0" w:space="0" w:color="auto"/>
        <w:bottom w:val="none" w:sz="0" w:space="0" w:color="auto"/>
        <w:right w:val="none" w:sz="0" w:space="0" w:color="auto"/>
      </w:divBdr>
    </w:div>
    <w:div w:id="1008172301">
      <w:bodyDiv w:val="1"/>
      <w:marLeft w:val="0"/>
      <w:marRight w:val="0"/>
      <w:marTop w:val="0"/>
      <w:marBottom w:val="0"/>
      <w:divBdr>
        <w:top w:val="none" w:sz="0" w:space="0" w:color="auto"/>
        <w:left w:val="none" w:sz="0" w:space="0" w:color="auto"/>
        <w:bottom w:val="none" w:sz="0" w:space="0" w:color="auto"/>
        <w:right w:val="none" w:sz="0" w:space="0" w:color="auto"/>
      </w:divBdr>
    </w:div>
    <w:div w:id="1069310614">
      <w:bodyDiv w:val="1"/>
      <w:marLeft w:val="0"/>
      <w:marRight w:val="0"/>
      <w:marTop w:val="0"/>
      <w:marBottom w:val="0"/>
      <w:divBdr>
        <w:top w:val="none" w:sz="0" w:space="0" w:color="auto"/>
        <w:left w:val="none" w:sz="0" w:space="0" w:color="auto"/>
        <w:bottom w:val="none" w:sz="0" w:space="0" w:color="auto"/>
        <w:right w:val="none" w:sz="0" w:space="0" w:color="auto"/>
      </w:divBdr>
    </w:div>
    <w:div w:id="1093477502">
      <w:bodyDiv w:val="1"/>
      <w:marLeft w:val="0"/>
      <w:marRight w:val="0"/>
      <w:marTop w:val="0"/>
      <w:marBottom w:val="0"/>
      <w:divBdr>
        <w:top w:val="none" w:sz="0" w:space="0" w:color="auto"/>
        <w:left w:val="none" w:sz="0" w:space="0" w:color="auto"/>
        <w:bottom w:val="none" w:sz="0" w:space="0" w:color="auto"/>
        <w:right w:val="none" w:sz="0" w:space="0" w:color="auto"/>
      </w:divBdr>
    </w:div>
    <w:div w:id="1113283784">
      <w:bodyDiv w:val="1"/>
      <w:marLeft w:val="0"/>
      <w:marRight w:val="0"/>
      <w:marTop w:val="0"/>
      <w:marBottom w:val="0"/>
      <w:divBdr>
        <w:top w:val="none" w:sz="0" w:space="0" w:color="auto"/>
        <w:left w:val="none" w:sz="0" w:space="0" w:color="auto"/>
        <w:bottom w:val="none" w:sz="0" w:space="0" w:color="auto"/>
        <w:right w:val="none" w:sz="0" w:space="0" w:color="auto"/>
      </w:divBdr>
    </w:div>
    <w:div w:id="1176305698">
      <w:bodyDiv w:val="1"/>
      <w:marLeft w:val="0"/>
      <w:marRight w:val="0"/>
      <w:marTop w:val="0"/>
      <w:marBottom w:val="0"/>
      <w:divBdr>
        <w:top w:val="none" w:sz="0" w:space="0" w:color="auto"/>
        <w:left w:val="none" w:sz="0" w:space="0" w:color="auto"/>
        <w:bottom w:val="none" w:sz="0" w:space="0" w:color="auto"/>
        <w:right w:val="none" w:sz="0" w:space="0" w:color="auto"/>
      </w:divBdr>
    </w:div>
    <w:div w:id="1224178335">
      <w:bodyDiv w:val="1"/>
      <w:marLeft w:val="0"/>
      <w:marRight w:val="0"/>
      <w:marTop w:val="0"/>
      <w:marBottom w:val="0"/>
      <w:divBdr>
        <w:top w:val="none" w:sz="0" w:space="0" w:color="auto"/>
        <w:left w:val="none" w:sz="0" w:space="0" w:color="auto"/>
        <w:bottom w:val="none" w:sz="0" w:space="0" w:color="auto"/>
        <w:right w:val="none" w:sz="0" w:space="0" w:color="auto"/>
      </w:divBdr>
    </w:div>
    <w:div w:id="1236665818">
      <w:bodyDiv w:val="1"/>
      <w:marLeft w:val="0"/>
      <w:marRight w:val="0"/>
      <w:marTop w:val="0"/>
      <w:marBottom w:val="0"/>
      <w:divBdr>
        <w:top w:val="none" w:sz="0" w:space="0" w:color="auto"/>
        <w:left w:val="none" w:sz="0" w:space="0" w:color="auto"/>
        <w:bottom w:val="none" w:sz="0" w:space="0" w:color="auto"/>
        <w:right w:val="none" w:sz="0" w:space="0" w:color="auto"/>
      </w:divBdr>
    </w:div>
    <w:div w:id="1237545060">
      <w:bodyDiv w:val="1"/>
      <w:marLeft w:val="0"/>
      <w:marRight w:val="0"/>
      <w:marTop w:val="0"/>
      <w:marBottom w:val="0"/>
      <w:divBdr>
        <w:top w:val="none" w:sz="0" w:space="0" w:color="auto"/>
        <w:left w:val="none" w:sz="0" w:space="0" w:color="auto"/>
        <w:bottom w:val="none" w:sz="0" w:space="0" w:color="auto"/>
        <w:right w:val="none" w:sz="0" w:space="0" w:color="auto"/>
      </w:divBdr>
    </w:div>
    <w:div w:id="1252735999">
      <w:bodyDiv w:val="1"/>
      <w:marLeft w:val="0"/>
      <w:marRight w:val="0"/>
      <w:marTop w:val="0"/>
      <w:marBottom w:val="0"/>
      <w:divBdr>
        <w:top w:val="none" w:sz="0" w:space="0" w:color="auto"/>
        <w:left w:val="none" w:sz="0" w:space="0" w:color="auto"/>
        <w:bottom w:val="none" w:sz="0" w:space="0" w:color="auto"/>
        <w:right w:val="none" w:sz="0" w:space="0" w:color="auto"/>
      </w:divBdr>
    </w:div>
    <w:div w:id="1284652687">
      <w:bodyDiv w:val="1"/>
      <w:marLeft w:val="0"/>
      <w:marRight w:val="0"/>
      <w:marTop w:val="0"/>
      <w:marBottom w:val="0"/>
      <w:divBdr>
        <w:top w:val="none" w:sz="0" w:space="0" w:color="auto"/>
        <w:left w:val="none" w:sz="0" w:space="0" w:color="auto"/>
        <w:bottom w:val="none" w:sz="0" w:space="0" w:color="auto"/>
        <w:right w:val="none" w:sz="0" w:space="0" w:color="auto"/>
      </w:divBdr>
    </w:div>
    <w:div w:id="1339650546">
      <w:bodyDiv w:val="1"/>
      <w:marLeft w:val="0"/>
      <w:marRight w:val="0"/>
      <w:marTop w:val="0"/>
      <w:marBottom w:val="0"/>
      <w:divBdr>
        <w:top w:val="none" w:sz="0" w:space="0" w:color="auto"/>
        <w:left w:val="none" w:sz="0" w:space="0" w:color="auto"/>
        <w:bottom w:val="none" w:sz="0" w:space="0" w:color="auto"/>
        <w:right w:val="none" w:sz="0" w:space="0" w:color="auto"/>
      </w:divBdr>
    </w:div>
    <w:div w:id="1345552105">
      <w:bodyDiv w:val="1"/>
      <w:marLeft w:val="0"/>
      <w:marRight w:val="0"/>
      <w:marTop w:val="0"/>
      <w:marBottom w:val="0"/>
      <w:divBdr>
        <w:top w:val="none" w:sz="0" w:space="0" w:color="auto"/>
        <w:left w:val="none" w:sz="0" w:space="0" w:color="auto"/>
        <w:bottom w:val="none" w:sz="0" w:space="0" w:color="auto"/>
        <w:right w:val="none" w:sz="0" w:space="0" w:color="auto"/>
      </w:divBdr>
    </w:div>
    <w:div w:id="1371804745">
      <w:bodyDiv w:val="1"/>
      <w:marLeft w:val="0"/>
      <w:marRight w:val="0"/>
      <w:marTop w:val="0"/>
      <w:marBottom w:val="0"/>
      <w:divBdr>
        <w:top w:val="none" w:sz="0" w:space="0" w:color="auto"/>
        <w:left w:val="none" w:sz="0" w:space="0" w:color="auto"/>
        <w:bottom w:val="none" w:sz="0" w:space="0" w:color="auto"/>
        <w:right w:val="none" w:sz="0" w:space="0" w:color="auto"/>
      </w:divBdr>
    </w:div>
    <w:div w:id="1373265212">
      <w:bodyDiv w:val="1"/>
      <w:marLeft w:val="0"/>
      <w:marRight w:val="0"/>
      <w:marTop w:val="0"/>
      <w:marBottom w:val="0"/>
      <w:divBdr>
        <w:top w:val="none" w:sz="0" w:space="0" w:color="auto"/>
        <w:left w:val="none" w:sz="0" w:space="0" w:color="auto"/>
        <w:bottom w:val="none" w:sz="0" w:space="0" w:color="auto"/>
        <w:right w:val="none" w:sz="0" w:space="0" w:color="auto"/>
      </w:divBdr>
    </w:div>
    <w:div w:id="1396776124">
      <w:bodyDiv w:val="1"/>
      <w:marLeft w:val="0"/>
      <w:marRight w:val="0"/>
      <w:marTop w:val="0"/>
      <w:marBottom w:val="0"/>
      <w:divBdr>
        <w:top w:val="none" w:sz="0" w:space="0" w:color="auto"/>
        <w:left w:val="none" w:sz="0" w:space="0" w:color="auto"/>
        <w:bottom w:val="none" w:sz="0" w:space="0" w:color="auto"/>
        <w:right w:val="none" w:sz="0" w:space="0" w:color="auto"/>
      </w:divBdr>
    </w:div>
    <w:div w:id="1420174716">
      <w:bodyDiv w:val="1"/>
      <w:marLeft w:val="0"/>
      <w:marRight w:val="0"/>
      <w:marTop w:val="0"/>
      <w:marBottom w:val="0"/>
      <w:divBdr>
        <w:top w:val="none" w:sz="0" w:space="0" w:color="auto"/>
        <w:left w:val="none" w:sz="0" w:space="0" w:color="auto"/>
        <w:bottom w:val="none" w:sz="0" w:space="0" w:color="auto"/>
        <w:right w:val="none" w:sz="0" w:space="0" w:color="auto"/>
      </w:divBdr>
    </w:div>
    <w:div w:id="1428577708">
      <w:bodyDiv w:val="1"/>
      <w:marLeft w:val="0"/>
      <w:marRight w:val="0"/>
      <w:marTop w:val="0"/>
      <w:marBottom w:val="0"/>
      <w:divBdr>
        <w:top w:val="none" w:sz="0" w:space="0" w:color="auto"/>
        <w:left w:val="none" w:sz="0" w:space="0" w:color="auto"/>
        <w:bottom w:val="none" w:sz="0" w:space="0" w:color="auto"/>
        <w:right w:val="none" w:sz="0" w:space="0" w:color="auto"/>
      </w:divBdr>
    </w:div>
    <w:div w:id="1503088887">
      <w:bodyDiv w:val="1"/>
      <w:marLeft w:val="0"/>
      <w:marRight w:val="0"/>
      <w:marTop w:val="0"/>
      <w:marBottom w:val="0"/>
      <w:divBdr>
        <w:top w:val="none" w:sz="0" w:space="0" w:color="auto"/>
        <w:left w:val="none" w:sz="0" w:space="0" w:color="auto"/>
        <w:bottom w:val="none" w:sz="0" w:space="0" w:color="auto"/>
        <w:right w:val="none" w:sz="0" w:space="0" w:color="auto"/>
      </w:divBdr>
    </w:div>
    <w:div w:id="1514804076">
      <w:bodyDiv w:val="1"/>
      <w:marLeft w:val="0"/>
      <w:marRight w:val="0"/>
      <w:marTop w:val="0"/>
      <w:marBottom w:val="0"/>
      <w:divBdr>
        <w:top w:val="none" w:sz="0" w:space="0" w:color="auto"/>
        <w:left w:val="none" w:sz="0" w:space="0" w:color="auto"/>
        <w:bottom w:val="none" w:sz="0" w:space="0" w:color="auto"/>
        <w:right w:val="none" w:sz="0" w:space="0" w:color="auto"/>
      </w:divBdr>
    </w:div>
    <w:div w:id="1531455299">
      <w:bodyDiv w:val="1"/>
      <w:marLeft w:val="0"/>
      <w:marRight w:val="0"/>
      <w:marTop w:val="0"/>
      <w:marBottom w:val="0"/>
      <w:divBdr>
        <w:top w:val="none" w:sz="0" w:space="0" w:color="auto"/>
        <w:left w:val="none" w:sz="0" w:space="0" w:color="auto"/>
        <w:bottom w:val="none" w:sz="0" w:space="0" w:color="auto"/>
        <w:right w:val="none" w:sz="0" w:space="0" w:color="auto"/>
      </w:divBdr>
    </w:div>
    <w:div w:id="1554460839">
      <w:bodyDiv w:val="1"/>
      <w:marLeft w:val="0"/>
      <w:marRight w:val="0"/>
      <w:marTop w:val="0"/>
      <w:marBottom w:val="0"/>
      <w:divBdr>
        <w:top w:val="none" w:sz="0" w:space="0" w:color="auto"/>
        <w:left w:val="none" w:sz="0" w:space="0" w:color="auto"/>
        <w:bottom w:val="none" w:sz="0" w:space="0" w:color="auto"/>
        <w:right w:val="none" w:sz="0" w:space="0" w:color="auto"/>
      </w:divBdr>
    </w:div>
    <w:div w:id="1574581097">
      <w:bodyDiv w:val="1"/>
      <w:marLeft w:val="0"/>
      <w:marRight w:val="0"/>
      <w:marTop w:val="0"/>
      <w:marBottom w:val="0"/>
      <w:divBdr>
        <w:top w:val="none" w:sz="0" w:space="0" w:color="auto"/>
        <w:left w:val="none" w:sz="0" w:space="0" w:color="auto"/>
        <w:bottom w:val="none" w:sz="0" w:space="0" w:color="auto"/>
        <w:right w:val="none" w:sz="0" w:space="0" w:color="auto"/>
      </w:divBdr>
    </w:div>
    <w:div w:id="1578982330">
      <w:bodyDiv w:val="1"/>
      <w:marLeft w:val="0"/>
      <w:marRight w:val="0"/>
      <w:marTop w:val="0"/>
      <w:marBottom w:val="0"/>
      <w:divBdr>
        <w:top w:val="none" w:sz="0" w:space="0" w:color="auto"/>
        <w:left w:val="none" w:sz="0" w:space="0" w:color="auto"/>
        <w:bottom w:val="none" w:sz="0" w:space="0" w:color="auto"/>
        <w:right w:val="none" w:sz="0" w:space="0" w:color="auto"/>
      </w:divBdr>
    </w:div>
    <w:div w:id="1617053806">
      <w:bodyDiv w:val="1"/>
      <w:marLeft w:val="0"/>
      <w:marRight w:val="0"/>
      <w:marTop w:val="0"/>
      <w:marBottom w:val="0"/>
      <w:divBdr>
        <w:top w:val="none" w:sz="0" w:space="0" w:color="auto"/>
        <w:left w:val="none" w:sz="0" w:space="0" w:color="auto"/>
        <w:bottom w:val="none" w:sz="0" w:space="0" w:color="auto"/>
        <w:right w:val="none" w:sz="0" w:space="0" w:color="auto"/>
      </w:divBdr>
    </w:div>
    <w:div w:id="1622876035">
      <w:bodyDiv w:val="1"/>
      <w:marLeft w:val="0"/>
      <w:marRight w:val="0"/>
      <w:marTop w:val="0"/>
      <w:marBottom w:val="0"/>
      <w:divBdr>
        <w:top w:val="none" w:sz="0" w:space="0" w:color="auto"/>
        <w:left w:val="none" w:sz="0" w:space="0" w:color="auto"/>
        <w:bottom w:val="none" w:sz="0" w:space="0" w:color="auto"/>
        <w:right w:val="none" w:sz="0" w:space="0" w:color="auto"/>
      </w:divBdr>
    </w:div>
    <w:div w:id="1687557416">
      <w:bodyDiv w:val="1"/>
      <w:marLeft w:val="0"/>
      <w:marRight w:val="0"/>
      <w:marTop w:val="0"/>
      <w:marBottom w:val="0"/>
      <w:divBdr>
        <w:top w:val="none" w:sz="0" w:space="0" w:color="auto"/>
        <w:left w:val="none" w:sz="0" w:space="0" w:color="auto"/>
        <w:bottom w:val="none" w:sz="0" w:space="0" w:color="auto"/>
        <w:right w:val="none" w:sz="0" w:space="0" w:color="auto"/>
      </w:divBdr>
    </w:div>
    <w:div w:id="1739085646">
      <w:bodyDiv w:val="1"/>
      <w:marLeft w:val="0"/>
      <w:marRight w:val="0"/>
      <w:marTop w:val="0"/>
      <w:marBottom w:val="0"/>
      <w:divBdr>
        <w:top w:val="none" w:sz="0" w:space="0" w:color="auto"/>
        <w:left w:val="none" w:sz="0" w:space="0" w:color="auto"/>
        <w:bottom w:val="none" w:sz="0" w:space="0" w:color="auto"/>
        <w:right w:val="none" w:sz="0" w:space="0" w:color="auto"/>
      </w:divBdr>
    </w:div>
    <w:div w:id="1820612526">
      <w:bodyDiv w:val="1"/>
      <w:marLeft w:val="0"/>
      <w:marRight w:val="0"/>
      <w:marTop w:val="0"/>
      <w:marBottom w:val="0"/>
      <w:divBdr>
        <w:top w:val="none" w:sz="0" w:space="0" w:color="auto"/>
        <w:left w:val="none" w:sz="0" w:space="0" w:color="auto"/>
        <w:bottom w:val="none" w:sz="0" w:space="0" w:color="auto"/>
        <w:right w:val="none" w:sz="0" w:space="0" w:color="auto"/>
      </w:divBdr>
    </w:div>
    <w:div w:id="1825926802">
      <w:bodyDiv w:val="1"/>
      <w:marLeft w:val="0"/>
      <w:marRight w:val="0"/>
      <w:marTop w:val="0"/>
      <w:marBottom w:val="0"/>
      <w:divBdr>
        <w:top w:val="none" w:sz="0" w:space="0" w:color="auto"/>
        <w:left w:val="none" w:sz="0" w:space="0" w:color="auto"/>
        <w:bottom w:val="none" w:sz="0" w:space="0" w:color="auto"/>
        <w:right w:val="none" w:sz="0" w:space="0" w:color="auto"/>
      </w:divBdr>
    </w:div>
    <w:div w:id="1893468208">
      <w:bodyDiv w:val="1"/>
      <w:marLeft w:val="0"/>
      <w:marRight w:val="0"/>
      <w:marTop w:val="0"/>
      <w:marBottom w:val="0"/>
      <w:divBdr>
        <w:top w:val="none" w:sz="0" w:space="0" w:color="auto"/>
        <w:left w:val="none" w:sz="0" w:space="0" w:color="auto"/>
        <w:bottom w:val="none" w:sz="0" w:space="0" w:color="auto"/>
        <w:right w:val="none" w:sz="0" w:space="0" w:color="auto"/>
      </w:divBdr>
    </w:div>
    <w:div w:id="1995716409">
      <w:bodyDiv w:val="1"/>
      <w:marLeft w:val="0"/>
      <w:marRight w:val="0"/>
      <w:marTop w:val="0"/>
      <w:marBottom w:val="0"/>
      <w:divBdr>
        <w:top w:val="none" w:sz="0" w:space="0" w:color="auto"/>
        <w:left w:val="none" w:sz="0" w:space="0" w:color="auto"/>
        <w:bottom w:val="none" w:sz="0" w:space="0" w:color="auto"/>
        <w:right w:val="none" w:sz="0" w:space="0" w:color="auto"/>
      </w:divBdr>
    </w:div>
    <w:div w:id="2002930812">
      <w:bodyDiv w:val="1"/>
      <w:marLeft w:val="0"/>
      <w:marRight w:val="0"/>
      <w:marTop w:val="0"/>
      <w:marBottom w:val="0"/>
      <w:divBdr>
        <w:top w:val="none" w:sz="0" w:space="0" w:color="auto"/>
        <w:left w:val="none" w:sz="0" w:space="0" w:color="auto"/>
        <w:bottom w:val="none" w:sz="0" w:space="0" w:color="auto"/>
        <w:right w:val="none" w:sz="0" w:space="0" w:color="auto"/>
      </w:divBdr>
    </w:div>
    <w:div w:id="2024092831">
      <w:bodyDiv w:val="1"/>
      <w:marLeft w:val="0"/>
      <w:marRight w:val="0"/>
      <w:marTop w:val="0"/>
      <w:marBottom w:val="0"/>
      <w:divBdr>
        <w:top w:val="none" w:sz="0" w:space="0" w:color="auto"/>
        <w:left w:val="none" w:sz="0" w:space="0" w:color="auto"/>
        <w:bottom w:val="none" w:sz="0" w:space="0" w:color="auto"/>
        <w:right w:val="none" w:sz="0" w:space="0" w:color="auto"/>
      </w:divBdr>
    </w:div>
    <w:div w:id="2044667942">
      <w:bodyDiv w:val="1"/>
      <w:marLeft w:val="0"/>
      <w:marRight w:val="0"/>
      <w:marTop w:val="0"/>
      <w:marBottom w:val="0"/>
      <w:divBdr>
        <w:top w:val="none" w:sz="0" w:space="0" w:color="auto"/>
        <w:left w:val="none" w:sz="0" w:space="0" w:color="auto"/>
        <w:bottom w:val="none" w:sz="0" w:space="0" w:color="auto"/>
        <w:right w:val="none" w:sz="0" w:space="0" w:color="auto"/>
      </w:divBdr>
    </w:div>
    <w:div w:id="2072381203">
      <w:bodyDiv w:val="1"/>
      <w:marLeft w:val="0"/>
      <w:marRight w:val="0"/>
      <w:marTop w:val="0"/>
      <w:marBottom w:val="0"/>
      <w:divBdr>
        <w:top w:val="none" w:sz="0" w:space="0" w:color="auto"/>
        <w:left w:val="none" w:sz="0" w:space="0" w:color="auto"/>
        <w:bottom w:val="none" w:sz="0" w:space="0" w:color="auto"/>
        <w:right w:val="none" w:sz="0" w:space="0" w:color="auto"/>
      </w:divBdr>
    </w:div>
    <w:div w:id="2075005831">
      <w:bodyDiv w:val="1"/>
      <w:marLeft w:val="0"/>
      <w:marRight w:val="0"/>
      <w:marTop w:val="0"/>
      <w:marBottom w:val="0"/>
      <w:divBdr>
        <w:top w:val="none" w:sz="0" w:space="0" w:color="auto"/>
        <w:left w:val="none" w:sz="0" w:space="0" w:color="auto"/>
        <w:bottom w:val="none" w:sz="0" w:space="0" w:color="auto"/>
        <w:right w:val="none" w:sz="0" w:space="0" w:color="auto"/>
      </w:divBdr>
    </w:div>
    <w:div w:id="2076202224">
      <w:bodyDiv w:val="1"/>
      <w:marLeft w:val="0"/>
      <w:marRight w:val="0"/>
      <w:marTop w:val="0"/>
      <w:marBottom w:val="0"/>
      <w:divBdr>
        <w:top w:val="none" w:sz="0" w:space="0" w:color="auto"/>
        <w:left w:val="none" w:sz="0" w:space="0" w:color="auto"/>
        <w:bottom w:val="none" w:sz="0" w:space="0" w:color="auto"/>
        <w:right w:val="none" w:sz="0" w:space="0" w:color="auto"/>
      </w:divBdr>
    </w:div>
    <w:div w:id="2083211691">
      <w:bodyDiv w:val="1"/>
      <w:marLeft w:val="0"/>
      <w:marRight w:val="0"/>
      <w:marTop w:val="0"/>
      <w:marBottom w:val="0"/>
      <w:divBdr>
        <w:top w:val="none" w:sz="0" w:space="0" w:color="auto"/>
        <w:left w:val="none" w:sz="0" w:space="0" w:color="auto"/>
        <w:bottom w:val="none" w:sz="0" w:space="0" w:color="auto"/>
        <w:right w:val="none" w:sz="0" w:space="0" w:color="auto"/>
      </w:divBdr>
    </w:div>
    <w:div w:id="2092042281">
      <w:bodyDiv w:val="1"/>
      <w:marLeft w:val="0"/>
      <w:marRight w:val="0"/>
      <w:marTop w:val="0"/>
      <w:marBottom w:val="0"/>
      <w:divBdr>
        <w:top w:val="none" w:sz="0" w:space="0" w:color="auto"/>
        <w:left w:val="none" w:sz="0" w:space="0" w:color="auto"/>
        <w:bottom w:val="none" w:sz="0" w:space="0" w:color="auto"/>
        <w:right w:val="none" w:sz="0" w:space="0" w:color="auto"/>
      </w:divBdr>
    </w:div>
    <w:div w:id="2125035453">
      <w:bodyDiv w:val="1"/>
      <w:marLeft w:val="0"/>
      <w:marRight w:val="0"/>
      <w:marTop w:val="0"/>
      <w:marBottom w:val="0"/>
      <w:divBdr>
        <w:top w:val="none" w:sz="0" w:space="0" w:color="auto"/>
        <w:left w:val="none" w:sz="0" w:space="0" w:color="auto"/>
        <w:bottom w:val="none" w:sz="0" w:space="0" w:color="auto"/>
        <w:right w:val="none" w:sz="0" w:space="0" w:color="auto"/>
      </w:divBdr>
    </w:div>
    <w:div w:id="2137721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Wel213</b:Tag>
    <b:SourceType>Report</b:SourceType>
    <b:Guid>{2C1C176E-90A6-2B44-B77A-723E8C2C8963}</b:Guid>
    <b:Title>The Curriculum for Wales - Progression Code</b:Title>
    <b:Year>2021</b:Year>
    <b:City>Cardiff</b:City>
    <b:Author>
      <b:Author>
        <b:Corporate>Welsh Government</b:Corporate>
      </b:Author>
    </b:Author>
    <b:RefOrder>1</b:RefOrder>
  </b:Source>
  <b:Source>
    <b:Tag>Wil14</b:Tag>
    <b:SourceType>ElectronicSource</b:SourceType>
    <b:Guid>{1901EE67-8534-064A-928E-08EAC8D4B04E}</b:Guid>
    <b:Author>
      <b:Author>
        <b:NameList>
          <b:Person>
            <b:Last>Williams</b:Last>
            <b:First>Sierra</b:First>
          </b:Person>
        </b:NameList>
      </b:Author>
    </b:Author>
    <b:Title>The characteristics of pedagogical development in the fields of science and technology</b:Title>
    <b:Publisher>LSE Blogs</b:Publisher>
    <b:Year>2014</b:Year>
    <b:RefOrder>2</b:RefOrder>
  </b:Source>
  <b:Source>
    <b:Tag>Wel23</b:Tag>
    <b:SourceType>Report</b:SourceType>
    <b:Guid>{B0054BC0-CFB7-434D-B833-9C8BE3E02B31}</b:Guid>
    <b:Author>
      <b:Author>
        <b:Corporate>Welsh Government </b:Corporate>
      </b:Author>
    </b:Author>
    <b:Title>Designing your curriculum - Pedagogy</b:Title>
    <b:Year>2023</b:Year>
    <b:RefOrder>3</b:RefOrder>
  </b:Source>
  <b:Source>
    <b:Tag>Gup22</b:Tag>
    <b:SourceType>JournalArticle</b:SourceType>
    <b:Guid>{B6FCB4CE-923E-A446-83DB-8146C5A1C56E}</b:Guid>
    <b:Title>Pedagogical Principles in Learning and Its Impact on Enhancing Motivation of Students</b:Title>
    <b:Year>2022</b:Year>
    <b:JournalName>TTAICTE</b:JournalName>
    <b:Volume>1</b:Volume>
    <b:Issue>2</b:Issue>
    <b:Pages>19-24</b:Pages>
    <b:Author>
      <b:Author>
        <b:NameList>
          <b:Person>
            <b:Last>Gupta</b:Last>
            <b:First>Shashi</b:First>
            <b:Middle>Kant</b:Middle>
          </b:Person>
          <b:Person>
            <b:Last>Hayath</b:Last>
            <b:First>M</b:First>
          </b:Person>
        </b:NameList>
      </b:Author>
    </b:Author>
    <b:RefOrder>4</b:RefOrder>
  </b:Source>
  <b:Source>
    <b:Tag>Yas16</b:Tag>
    <b:SourceType>JournalArticle</b:SourceType>
    <b:Guid>{D318F425-89DD-634E-BE6F-FA41A8167C0C}</b:Guid>
    <b:Author>
      <b:Author>
        <b:NameList>
          <b:Person>
            <b:Last>Aslan</b:Last>
            <b:First>Yasin</b:First>
          </b:Person>
        </b:NameList>
      </b:Author>
    </b:Author>
    <b:Title>The Effect of Cross-curricular Instruction on Reading Comprehension</b:Title>
    <b:JournalName>Universal Journal of Educational Research</b:JournalName>
    <b:Year>2016</b:Year>
    <b:Volume>4</b:Volume>
    <b:Issue>8</b:Issue>
    <b:Pages>1797-1801</b:Pages>
    <b:RefOrder>5</b:RefOrder>
  </b:Source>
  <b:Source>
    <b:Tag>Ger16</b:Tag>
    <b:SourceType>ElectronicSource</b:SourceType>
    <b:Guid>{5BDC9619-70EE-3648-86A8-190E1551F6D2}</b:Guid>
    <b:Author>
      <b:Author>
        <b:NameList>
          <b:Person>
            <b:Last>Gershon</b:Last>
            <b:First>Mike</b:First>
          </b:Person>
        </b:NameList>
      </b:Author>
    </b:Author>
    <b:Title>How to build a teaching repertoire</b:Title>
    <b:Year>2016</b:Year>
    <b:Publisher>tes</b:Publisher>
    <b:RefOrder>6</b:RefOrder>
  </b:Source>
  <b:Source>
    <b:Tag>And24</b:Tag>
    <b:SourceType>InternetSite</b:SourceType>
    <b:Guid>{0243B47E-6AE2-1B4F-9348-20A505D655AF}</b:Guid>
    <b:Title>TeachingEnglish.org</b:Title>
    <b:Author>
      <b:Author>
        <b:NameList>
          <b:Person>
            <b:Last>Baxter</b:Last>
            <b:First>Andy</b:First>
          </b:Person>
        </b:NameList>
      </b:Author>
    </b:Author>
    <b:URL>https://www.teachingenglish.org.uk/professional-development/teachers/taking-responsibility/articles/repertoire#:~:text=As%20teachers%2C%20our%20repertoire%20consists,years%20instead%20of%20calendar%20ones.</b:URL>
    <b:YearAccessed>2024</b:YearAccessed>
    <b:MonthAccessed>March</b:MonthAccessed>
    <b:DayAccessed>27</b:DayAccessed>
    <b:RefOrder>7</b:RefOrder>
  </b:Source>
  <b:Source>
    <b:Tag>Wel19</b:Tag>
    <b:SourceType>Report</b:SourceType>
    <b:Guid>{E7475E4B-00F7-574D-8922-A816A40FEF67}</b:Guid>
    <b:Title>Professional standards for teaching and leadership</b:Title>
    <b:Year>2019</b:Year>
    <b:Author>
      <b:Author>
        <b:Corporate>Welsh Government</b:Corporate>
      </b:Author>
    </b:Author>
    <b:RefOrder>8</b:RefOrder>
  </b:Source>
  <b:Source>
    <b:Tag>DER</b:Tag>
    <b:SourceType>Misc</b:SourceType>
    <b:Guid>{A634EFC5-4289-CD4A-A971-0EDA3879A23F}</b:Guid>
    <b:Title>Key Stage 3 Strategy, Foundation Subjects strand: key messages about teaching repertoire</b:Title>
    <b:Author>
      <b:Author>
        <b:Corporate>DERA</b:Corporate>
      </b:Author>
    </b:Author>
    <b:Year>2003</b:Year>
    <b:RefOrder>9</b:RefOrder>
  </b:Source>
  <b:Source>
    <b:Tag>Joh12</b:Tag>
    <b:SourceType>Book</b:SourceType>
    <b:Guid>{46B42B07-0993-7A4D-B2A2-35B6FE0D0B83}</b:Guid>
    <b:Title>Visible learning for teachers: maximizing impact on learning </b:Title>
    <b:Year>2012</b:Year>
    <b:City>London</b:City>
    <b:Publisher>Routledge</b:Publisher>
    <b:Author>
      <b:Author>
        <b:NameList>
          <b:Person>
            <b:Last>Hattie</b:Last>
            <b:First>John</b:First>
          </b:Person>
        </b:NameList>
      </b:Author>
    </b:Author>
    <b:RefOrder>10</b:RefOrder>
  </b:Source>
  <b:Source>
    <b:Tag>How83</b:Tag>
    <b:SourceType>Book</b:SourceType>
    <b:Guid>{FEA3BCE1-7783-3C4A-AC09-D80068F961E5}</b:Guid>
    <b:Author>
      <b:Author>
        <b:NameList>
          <b:Person>
            <b:Last>Gardner</b:Last>
            <b:First>Howard</b:First>
          </b:Person>
        </b:NameList>
      </b:Author>
    </b:Author>
    <b:Title>Frames of Mind</b:Title>
    <b:Publisher>BasicBooks</b:Publisher>
    <b:Year>1983</b:Year>
    <b:RefOrder>11</b:RefOrder>
  </b:Source>
  <b:Source>
    <b:Tag>deO16</b:Tag>
    <b:SourceType>JournalArticle</b:SourceType>
    <b:Guid>{1C683212-789B-5840-936D-386BD9D71B74}</b:Guid>
    <b:Title>Effectiveness of teaching strategies on the development of critical thinking in undergraduate nursing students: A meta-analysis</b:Title>
    <b:Year>2016</b:Year>
    <b:JournalName>Journal of Nursing Research</b:JournalName>
    <b:Volume>50</b:Volume>
    <b:Issue>2</b:Issue>
    <b:Pages>350-359</b:Pages>
    <b:Author>
      <b:Author>
        <b:NameList>
          <b:Person>
            <b:Last>de Oliveira</b:Last>
            <b:First>Larissa</b:First>
          </b:Person>
          <b:Person>
            <b:Last>Rueda</b:Last>
            <b:First>Johanna</b:First>
          </b:Person>
          <b:Person>
            <b:Last>Carbogim</b:Last>
            <b:First>Fabio</b:First>
          </b:Person>
        </b:NameList>
      </b:Author>
    </b:Author>
    <b:RefOrder>12</b:RefOrder>
  </b:Source>
  <b:Source>
    <b:Tag>Guv16</b:Tag>
    <b:SourceType>JournalArticle</b:SourceType>
    <b:Guid>{2132505F-1D17-2C4A-9B46-B32EDA9F745A}</b:Guid>
    <b:Title>The Impact of Different Teaching Strategies on Students' Learning Outcomes</b:Title>
    <b:JournalName>International Online Journal of Educational Sciences</b:JournalName>
    <b:Year>2016</b:Year>
    <b:Volume>8</b:Volume>
    <b:Issue>2</b:Issue>
    <b:Pages>108-123</b:Pages>
    <b:Author>
      <b:Author>
        <b:NameList>
          <b:Person>
            <b:Last>Guven</b:Last>
            <b:First>Y.</b:First>
          </b:Person>
          <b:Person>
            <b:Last>Ozyildrim</b:Last>
            <b:First>H</b:First>
          </b:Person>
        </b:NameList>
      </b:Author>
    </b:Author>
    <b:RefOrder>13</b:RefOrder>
  </b:Source>
  <b:Source>
    <b:Tag>Bid16</b:Tag>
    <b:SourceType>JournalArticle</b:SourceType>
    <b:Guid>{55FD645D-5850-CE42-8B96-DDCD496AC0D5}</b:Guid>
    <b:Title>Effective Teaching Methods in Higher Education: Requirements and Barriers</b:Title>
    <b:JournalName>National Library of Medicine</b:JournalName>
    <b:Year>2016</b:Year>
    <b:Volume>4</b:Volume>
    <b:Issue>4</b:Issue>
    <b:Pages>170-178</b:Pages>
    <b:Author>
      <b:Author>
        <b:NameList>
          <b:Person>
            <b:Last>Bidabadi</b:Last>
            <b:First>Nahid</b:First>
          </b:Person>
          <b:Person>
            <b:Last>Isfahni</b:Last>
            <b:First>Ahmmadreza</b:First>
          </b:Person>
          <b:Person>
            <b:Last>Rouhollahi</b:Last>
            <b:First>Amir</b:First>
          </b:Person>
          <b:Person>
            <b:Last>Khalili</b:Last>
            <b:First>Roya</b:First>
          </b:Person>
        </b:NameList>
      </b:Author>
    </b:Author>
    <b:RefOrder>14</b:RefOrder>
  </b:Source>
  <b:Source>
    <b:Tag>Gra155</b:Tag>
    <b:SourceType>Report</b:SourceType>
    <b:Guid>{5CA8F1C1-0DEF-B744-A487-A459DD49C80F}</b:Guid>
    <b:Title>Successful Futures</b:Title>
    <b:Year>2015</b:Year>
    <b:Author>
      <b:Author>
        <b:NameList>
          <b:Person>
            <b:Last>Donaldson</b:Last>
            <b:First>Graham</b:First>
          </b:Person>
        </b:NameList>
      </b:Author>
    </b:Author>
    <b:Publisher>Welsh Government</b:Publisher>
    <b:RefOrder>15</b:RefOrder>
  </b:Source>
  <b:Source>
    <b:Tag>Ric04</b:Tag>
    <b:SourceType>JournalArticle</b:SourceType>
    <b:Guid>{DE2B86B5-EF52-6C4D-A060-627BBAD84E08}</b:Guid>
    <b:Title>Should There Be a Three-Strikes Rule Against Pure Discovery Learning?</b:Title>
    <b:Year>2004</b:Year>
    <b:Author>
      <b:Author>
        <b:NameList>
          <b:Person>
            <b:Last>Mayer</b:Last>
            <b:First>Richard</b:First>
          </b:Person>
        </b:NameList>
      </b:Author>
    </b:Author>
    <b:JournalName>American Psychologist</b:JournalName>
    <b:Volume>59</b:Volume>
    <b:Issue>1</b:Issue>
    <b:Pages>14-19</b:Pages>
    <b:RefOrder>16</b:RefOrder>
  </b:Source>
  <b:Source>
    <b:Tag>Mar04</b:Tag>
    <b:SourceType>JournalArticle</b:SourceType>
    <b:Guid>{70B7A5F3-FBC0-B747-9185-645BD9BC69BA}</b:Guid>
    <b:Author>
      <b:Author>
        <b:NameList>
          <b:Person>
            <b:Last>Runco</b:Last>
            <b:First>Mark</b:First>
          </b:Person>
        </b:NameList>
      </b:Author>
    </b:Author>
    <b:Title>Creativity</b:Title>
    <b:JournalName>Annual Review of Psychology</b:JournalName>
    <b:Year>2004</b:Year>
    <b:Volume>55</b:Volume>
    <b:Pages>657-687</b:Pages>
    <b:RefOrder>17</b:RefOrder>
  </b:Source>
  <b:Source>
    <b:Tag>Sto18</b:Tag>
    <b:SourceType>JournalArticle</b:SourceType>
    <b:Guid>{A810F64B-23D6-6C44-A5F4-A0B4D9C9BE0C}</b:Guid>
    <b:Title>The Effectiveness of Direct Instruction Curricula: A Meta-Analysis of a Half Century of Research</b:Title>
    <b:JournalName>Review of Educational Research</b:JournalName>
    <b:Year>2018</b:Year>
    <b:Volume>88</b:Volume>
    <b:Issue>4</b:Issue>
    <b:Pages>479-507</b:Pages>
    <b:Author>
      <b:Author>
        <b:NameList>
          <b:Person>
            <b:Last>Stockard</b:Last>
            <b:First>Jean</b:First>
          </b:Person>
          <b:Person>
            <b:Last>Wood</b:Last>
            <b:First>Timothy</b:First>
          </b:Person>
          <b:Person>
            <b:Last>Coughlin</b:Last>
            <b:First>Cristy</b:First>
          </b:Person>
          <b:Person>
            <b:Last>Khoury</b:Last>
            <b:First>Caitlin</b:First>
          </b:Person>
        </b:NameList>
      </b:Author>
    </b:Author>
    <b:RefOrder>18</b:RefOrder>
  </b:Source>
  <b:Source>
    <b:Tag>Wen22</b:Tag>
    <b:SourceType>JournalArticle</b:SourceType>
    <b:Guid>{6AF49800-9B01-BB4D-9083-A2DD69B9DC0A}</b:Guid>
    <b:Title>An analysis on sino UK cultural differences in education from the perspective of hofstede's cultural dimensions theory (Acase study of are our kids tough enough?)</b:Title>
    <b:JournalName>Journal on Education</b:JournalName>
    <b:Year>2022</b:Year>
    <b:Volume>4</b:Volume>
    <b:Issue>2</b:Issue>
    <b:Pages>373-384</b:Pages>
    <b:Author>
      <b:Author>
        <b:NameList>
          <b:Person>
            <b:Last>Wenxin</b:Last>
            <b:First>Zhang</b:First>
          </b:Person>
          <b:Person>
            <b:Last>Yue</b:Last>
            <b:First>Wang</b:First>
          </b:Person>
        </b:NameList>
      </b:Author>
    </b:Author>
    <b:RefOrder>19</b:RefOrder>
  </b:Source>
  <b:Source>
    <b:Tag>Saw15</b:Tag>
    <b:SourceType>JournalArticle</b:SourceType>
    <b:Guid>{4EC2B9AE-40E6-8341-BE00-F357F825FDC6}</b:Guid>
    <b:Title>Study of passive didactic teacher centered approach and an active student centered approach in teaching anatomy</b:Title>
    <b:JournalName>International Journal of Anatomy and Research</b:JournalName>
    <b:Year>2015</b:Year>
    <b:Volume>3</b:Volume>
    <b:Issue>3</b:Issue>
    <b:Pages>1192-1197</b:Pages>
    <b:Author>
      <b:Author>
        <b:NameList>
          <b:Person>
            <b:Last>Sawant</b:Last>
            <b:First>Sharadkumar</b:First>
          </b:Person>
          <b:Person>
            <b:Last>Rizvi</b:Last>
            <b:First>Shaheen</b:First>
          </b:Person>
        </b:NameList>
      </b:Author>
    </b:Author>
    <b:RefOrder>20</b:RefOrder>
  </b:Source>
  <b:Source>
    <b:Tag>Gar23</b:Tag>
    <b:SourceType>InternetSite</b:SourceType>
    <b:Guid>{AD8F06A9-896F-714E-B2E8-447B710AF1AE}</b:Guid>
    <b:Author>
      <b:Author>
        <b:NameList>
          <b:Person>
            <b:Last>Garcia</b:Last>
            <b:First>Kaitlin</b:First>
          </b:Person>
        </b:NameList>
      </b:Author>
    </b:Author>
    <b:Title>Study.com</b:Title>
    <b:Year>2023</b:Year>
    <b:URL>https://study.com/academy/lesson/indirect-instruction-definition-strategies.html#:~:text=They%20can%20create%20an%20environment,researching%20ideas%2C%20and%20solving%20problems.</b:URL>
    <b:YearAccessed>2024</b:YearAccessed>
    <b:MonthAccessed>March</b:MonthAccessed>
    <b:DayAccessed>28</b:DayAccessed>
    <b:RefOrder>21</b:RefOrder>
  </b:Source>
  <b:Source>
    <b:Tag>Bae14</b:Tag>
    <b:SourceType>JournalArticle</b:SourceType>
    <b:Guid>{A1E0B36F-E9EB-9345-B5EE-FE16B6DBB55C}</b:Guid>
    <b:Title>ctive learning classrooms and educational alliances: Changing relationships to improve learning. </b:Title>
    <b:Year>2014</b:Year>
    <b:JournalName>New Directions for Teaching and Learning</b:JournalName>
    <b:Volume>137</b:Volume>
    <b:Pages>67-77</b:Pages>
    <b:Author>
      <b:Author>
        <b:NameList>
          <b:Person>
            <b:Last>Baepler</b:Last>
            <b:First>Paul</b:First>
          </b:Person>
          <b:Person>
            <b:Last>Walker</b:Last>
            <b:First>J.D</b:First>
          </b:Person>
        </b:NameList>
      </b:Author>
    </b:Author>
    <b:RefOrder>22</b:RefOrder>
  </b:Source>
  <b:Source>
    <b:Tag>Mad98</b:Tag>
    <b:SourceType>InternetSite</b:SourceType>
    <b:Guid>{B2391347-6AE6-1E4C-A662-8E74D0076676}</b:Guid>
    <b:Title>gt3hyhyth</b:Title>
    <b:Year>2098</b:Year>
    <b:Author>
      <b:Author>
        <b:NameList>
          <b:Person>
            <b:Last>williams</b:Last>
            <b:First>Maddie</b:First>
          </b:Person>
        </b:NameList>
      </b:Author>
    </b:Author>
    <b:RefOrder>38</b:RefOrder>
  </b:Source>
  <b:Source>
    <b:Tag>Wel204</b:Tag>
    <b:SourceType>Report</b:SourceType>
    <b:Guid>{E9DAACC7-AAB5-0D40-A134-D437256C7A3B}</b:Guid>
    <b:Title>Cross-curricular skills frameworks</b:Title>
    <b:Year>2020</b:Year>
    <b:Author>
      <b:Author>
        <b:Corporate>Welsh Government</b:Corporate>
      </b:Author>
    </b:Author>
    <b:RefOrder>23</b:RefOrder>
  </b:Source>
  <b:Source>
    <b:Tag>Bar15</b:Tag>
    <b:SourceType>BookSection</b:SourceType>
    <b:Guid>{D09BCC5C-CD0D-2640-B3FF-7F6A0CC32347}</b:Guid>
    <b:Title>An Introduction to Cross-Curricular Learning</b:Title>
    <b:Publisher>Sage</b:Publisher>
    <b:Year>2015</b:Year>
    <b:Author>
      <b:Author>
        <b:NameList>
          <b:Person>
            <b:Last>Barnes</b:Last>
            <b:First>Jonathan</b:First>
          </b:Person>
        </b:NameList>
      </b:Author>
      <b:Editor>
        <b:NameList>
          <b:Person>
            <b:Last>Driscoll</b:Last>
            <b:First>P</b:First>
          </b:Person>
          <b:Person>
            <b:Last>Lambirth </b:Last>
            <b:First>A</b:First>
          </b:Person>
          <b:Person>
            <b:Last>Roden</b:Last>
            <b:First>J</b:First>
          </b:Person>
        </b:NameList>
      </b:Editor>
    </b:Author>
    <b:Edition>2nd Edition </b:Edition>
    <b:BookTitle>The Creative Primary Curriculum</b:BookTitle>
    <b:RefOrder>27</b:RefOrder>
  </b:Source>
  <b:Source>
    <b:Tag>His24</b:Tag>
    <b:SourceType>InternetSite</b:SourceType>
    <b:Guid>{6138F0A3-31C8-0941-9B5E-22FEAA0D3D77}</b:Guid>
    <b:Title>history.org.uk</b:Title>
    <b:Author>
      <b:Author>
        <b:Corporate>Historical Association</b:Corporate>
      </b:Author>
    </b:Author>
    <b:URL>https://www.history.org.uk/primary/module/3638/leading-primary-history/3653/cross-curricular-learning</b:URL>
    <b:YearAccessed>2024</b:YearAccessed>
    <b:MonthAccessed>04</b:MonthAccessed>
    <b:DayAccessed>03</b:DayAccessed>
    <b:Year>2023</b:Year>
    <b:RefOrder>24</b:RefOrder>
  </b:Source>
  <b:Source>
    <b:Tag>JAB97</b:Tag>
    <b:SourceType>JournalArticle</b:SourceType>
    <b:Guid>{4A8A83CF-44FF-8C4B-8F7A-783BDD0AC217}</b:Guid>
    <b:Title>Curriculum integration and the disciplines of knowledge</b:Title>
    <b:Year>1997</b:Year>
    <b:Author>
      <b:Author>
        <b:NameList>
          <b:Person>
            <b:Last>Beane</b:Last>
            <b:First>J.</b:First>
            <b:Middle>A.</b:Middle>
          </b:Person>
        </b:NameList>
      </b:Author>
    </b:Author>
    <b:JournalName>Phi Delta Kappan</b:JournalName>
    <b:Volume>78</b:Volume>
    <b:Issue>7</b:Issue>
    <b:Pages>518-524</b:Pages>
    <b:RefOrder>25</b:RefOrder>
  </b:Source>
  <b:Source>
    <b:Tag>Ben13</b:Tag>
    <b:SourceType>DocumentFromInternetSite</b:SourceType>
    <b:Guid>{5AAAE8C4-F4A8-9943-A812-881CBE4EC41A}</b:Guid>
    <b:Title>edutopia</b:Title>
    <b:Year>2013</b:Year>
    <b:Author>
      <b:Author>
        <b:NameList>
          <b:Person>
            <b:Last>Johnson</b:Last>
            <b:First>Ben</b:First>
          </b:Person>
        </b:NameList>
      </b:Author>
    </b:Author>
    <b:URL>https://www.edutopia.org/blog/cross-curricular-teaching-deeper-learning-ben-johnson</b:URL>
    <b:Month>01</b:Month>
    <b:Day>15</b:Day>
    <b:YearAccessed>2024</b:YearAccessed>
    <b:MonthAccessed>04</b:MonthAccessed>
    <b:DayAccessed>03</b:DayAccessed>
    <b:RefOrder>26</b:RefOrder>
  </b:Source>
  <b:Source>
    <b:Tag>Yas161</b:Tag>
    <b:SourceType>JournalArticle</b:SourceType>
    <b:Guid>{2A287B86-79FE-C848-88F5-E74193DF9D76}</b:Guid>
    <b:Title>The Effect of Cross-Curricular Instruction on Reading Comprehension</b:Title>
    <b:Year>2016</b:Year>
    <b:Author>
      <b:Author>
        <b:NameList>
          <b:Person>
            <b:Last>Aslan</b:Last>
            <b:First>Yasin</b:First>
          </b:Person>
        </b:NameList>
      </b:Author>
    </b:Author>
    <b:JournalName>Universal Journal of Educational Research</b:JournalName>
    <b:Volume>4</b:Volume>
    <b:Issue>8</b:Issue>
    <b:Pages>1797-1801</b:Pages>
    <b:RefOrder>28</b:RefOrder>
  </b:Source>
  <b:Source>
    <b:Tag>Avr14</b:Tag>
    <b:SourceType>JournalArticle</b:SourceType>
    <b:Guid>{AC20B36A-CFD5-5A40-8AB4-EFAF8DB25912}</b:Guid>
    <b:Title>A method for teacher inquiry in cross-curricular projects: Lessons from a case study</b:Title>
    <b:JournalName>British Journal of Educational Technology</b:JournalName>
    <b:Year>2014</b:Year>
    <b:Volume>46</b:Volume>
    <b:Issue>2</b:Issue>
    <b:Pages>249-264</b:Pages>
    <b:Author>
      <b:Author>
        <b:NameList>
          <b:Person>
            <b:Last>Avramides</b:Last>
            <b:First>Katerina</b:First>
          </b:Person>
          <b:Person>
            <b:Last>Hunter</b:Last>
            <b:First>Jade</b:First>
          </b:Person>
          <b:Person>
            <b:Last>Oliver</b:Last>
            <b:First>Martin</b:First>
          </b:Person>
          <b:Person>
            <b:Last>Luckin</b:Last>
            <b:First>Rosemary</b:First>
          </b:Person>
        </b:NameList>
      </b:Author>
    </b:Author>
    <b:RefOrder>29</b:RefOrder>
  </b:Source>
  <b:Source>
    <b:Tag>Vir19</b:Tag>
    <b:SourceType>Book</b:SourceType>
    <b:Guid>{9919F2C5-3FBF-1842-9DA6-BE670C215082}</b:Guid>
    <b:Title>Recommendations for Cross-Curricular Teaching Implementation</b:Title>
    <b:Year>2019</b:Year>
    <b:Author>
      <b:Author>
        <b:NameList>
          <b:Person>
            <b:Last>Timmerman</b:Last>
            <b:First>Virginie</b:First>
          </b:Person>
        </b:NameList>
      </b:Author>
    </b:Author>
    <b:Publisher>France Educacion International</b:Publisher>
    <b:RefOrder>30</b:RefOrder>
  </b:Source>
  <b:Source>
    <b:Tag>EiE23</b:Tag>
    <b:SourceType>DocumentFromInternetSite</b:SourceType>
    <b:Guid>{6C609EA2-E5C6-C048-9A23-A125DA18827C}</b:Guid>
    <b:Title>EiE Blog</b:Title>
    <b:Year>2023</b:Year>
    <b:Author>
      <b:Author>
        <b:Corporate>EiE Team</b:Corporate>
      </b:Author>
    </b:Author>
    <b:URL>https://blog.eie.org/cross-curriculum-2023#:~:text=Cross%2Dcurricular%20integration%20is%20a,tool%20for%20effective%20teaching%20instruction.</b:URL>
    <b:Month>03</b:Month>
    <b:Day>23</b:Day>
    <b:YearAccessed>2024</b:YearAccessed>
    <b:MonthAccessed>04</b:MonthAccessed>
    <b:DayAccessed>03</b:DayAccessed>
    <b:RefOrder>31</b:RefOrder>
  </b:Source>
  <b:Source>
    <b:Tag>Jey12</b:Tag>
    <b:SourceType>JournalArticle</b:SourceType>
    <b:Guid>{9CA67AEE-12F2-3744-A2C7-AEDAA9F3949B}</b:Guid>
    <b:Title>Cross Curricular Connections: An Innovative Model for Curriculum Transaction</b:Title>
    <b:Year>2012</b:Year>
    <b:JournalName>Journal on School Educational Technology</b:JournalName>
    <b:Volume>7</b:Volume>
    <b:Issue>3</b:Issue>
    <b:Author>
      <b:Author>
        <b:NameList>
          <b:Person>
            <b:Last>Jeya Harish</b:Last>
            <b:First>H.G.</b:First>
          </b:Person>
          <b:Person>
            <b:Last>Krishnakumar</b:Last>
            <b:First>R</b:First>
          </b:Person>
          <b:Person>
            <b:Last>Dharma Raja</b:Last>
            <b:Middle>B</b:Middle>
            <b:First>William</b:First>
          </b:Person>
        </b:NameList>
      </b:Author>
    </b:Author>
    <b:RefOrder>32</b:RefOrder>
  </b:Source>
  <b:Source>
    <b:Tag>Höf08</b:Tag>
    <b:SourceType>JournalArticle</b:SourceType>
    <b:Guid>{174A424A-95D7-FB48-8E42-F589930E68C8}</b:Guid>
    <b:Title>Supporting mathematical literacy: Examples from a cross-curricular project</b:Title>
    <b:JournalName>ZDM</b:JournalName>
    <b:Year>2008</b:Year>
    <b:Volume>41</b:Volume>
    <b:Pages>223-230</b:Pages>
    <b:Author>
      <b:Author>
        <b:NameList>
          <b:Person>
            <b:Last>Höfer </b:Last>
            <b:First>Thilo</b:First>
          </b:Person>
          <b:Person>
            <b:Last>Beckmann</b:Last>
            <b:First>Astrid</b:First>
          </b:Person>
        </b:NameList>
      </b:Author>
    </b:Author>
    <b:RefOrder>33</b:RefOrder>
  </b:Source>
  <b:Source>
    <b:Tag>Moh221</b:Tag>
    <b:SourceType>JournalArticle</b:SourceType>
    <b:Guid>{9951BDFF-A8B7-144C-BD19-344D73F084CE}</b:Guid>
    <b:Title>Conceptualizing the complexity of reflective practice in education</b:Title>
    <b:JournalName>Frontiers in Psychology</b:JournalName>
    <b:Year>2022</b:Year>
    <b:Volume>13</b:Volume>
    <b:Author>
      <b:Author>
        <b:NameList>
          <b:Person>
            <b:Last>Mohamed</b:Last>
            <b:First>Misrah</b:First>
          </b:Person>
          <b:Person>
            <b:Last>Ab Rashid </b:Last>
            <b:First>Radzuwan</b:First>
          </b:Person>
          <b:Person>
            <b:Last>Alqaryoti</b:Last>
            <b:First>Marwan</b:First>
          </b:Person>
        </b:NameList>
      </b:Author>
    </b:Author>
    <b:RefOrder>34</b:RefOrder>
  </b:Source>
  <b:Source>
    <b:Tag>Dun22</b:Tag>
    <b:SourceType>DocumentFromInternetSite</b:SourceType>
    <b:Guid>{B1075A8C-067A-BA45-8BF3-5126E6BBBC16}</b:Guid>
    <b:Title>SecEd</b:Title>
    <b:Year>2022</b:Year>
    <b:Author>
      <b:Author>
        <b:NameList>
          <b:Person>
            <b:Last>Dunford</b:Last>
            <b:First>Ben</b:First>
          </b:Person>
        </b:NameList>
      </b:Author>
    </b:Author>
    <b:URL>https://www.sec-ed.co.uk/content/best-practice/seven-ways-to-improve-pupil-engagement/#:~:text=Great%20teaching%20is%2C%20of%20course,remain%20connected%20with%20their%20learning.</b:URL>
    <b:YearAccessed>2024</b:YearAccessed>
    <b:MonthAccessed>04</b:MonthAccessed>
    <b:DayAccessed>05</b:DayAccessed>
    <b:Month>01</b:Month>
    <b:Day>05</b:Day>
    <b:RefOrder>35</b:RefOrder>
  </b:Source>
  <b:Source>
    <b:Tag>Oje13</b:Tag>
    <b:SourceType>Misc</b:SourceType>
    <b:Guid>{9D79295C-7D8D-C140-AF65-8AD46EC30060}</b:Guid>
    <b:Author>
      <b:Author>
        <b:NameList>
          <b:Person>
            <b:Last>Ojeda</b:Last>
            <b:First>Chiara</b:First>
          </b:Person>
        </b:NameList>
      </b:Author>
    </b:Author>
    <b:Title>The Teaching Portfolio: Stretching those design and cognition muscles</b:Title>
    <b:Year>2013</b:Year>
    <b:Publisher>Wordpress.com</b:Publisher>
    <b:RefOrder>36</b:RefOrder>
  </b:Source>
  <b:Source>
    <b:Tag>Pet17</b:Tag>
    <b:SourceType>JournalArticle</b:SourceType>
    <b:Guid>{2C41DC36-72F2-D148-B3A8-845D404C6146}</b:Guid>
    <b:Title>Innovation in education: what works, what doesn't, and what to do about it?</b:Title>
    <b:Year>2017</b:Year>
    <b:Author>
      <b:Author>
        <b:NameList>
          <b:Person>
            <b:Last>Serdyukov</b:Last>
            <b:First>Peter</b:First>
          </b:Person>
        </b:NameList>
      </b:Author>
    </b:Author>
    <b:JournalName>Journal of Research in Innovative Teaching and Learning</b:JournalName>
    <b:Volume>10</b:Volume>
    <b:Issue>1</b:Issue>
    <b:RefOrder>37</b:RefOrder>
  </b:Source>
</b:Sourc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4.xml><?xml version="1.0" encoding="utf-8"?>
<ds:datastoreItem xmlns:ds="http://schemas.openxmlformats.org/officeDocument/2006/customXml" ds:itemID="{A681E8E8-868A-4D43-BB21-EE8DEAF398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143</TotalTime>
  <Pages>21</Pages>
  <Words>6396</Words>
  <Characters>36460</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Morgan Thomas (2116794)</cp:lastModifiedBy>
  <cp:revision>11</cp:revision>
  <dcterms:created xsi:type="dcterms:W3CDTF">2024-04-08T12:10:00Z</dcterms:created>
  <dcterms:modified xsi:type="dcterms:W3CDTF">2024-04-09T10:35:00Z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