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7DF502" w14:textId="10A5F1A5" w:rsidR="00D14110" w:rsidRDefault="003D2E41">
      <w:pPr>
        <w:rPr>
          <w:lang w:val="en-GB"/>
        </w:rPr>
      </w:pPr>
      <w:r>
        <w:rPr>
          <w:lang w:val="en-GB"/>
        </w:rPr>
        <w:t xml:space="preserve">The Muslim Brotherhood – It’s rise and fall </w:t>
      </w:r>
      <w:r w:rsidR="007177DF">
        <w:rPr>
          <w:lang w:val="en-GB"/>
        </w:rPr>
        <w:t>– a look to the future</w:t>
      </w:r>
    </w:p>
    <w:p w14:paraId="6C2D186D" w14:textId="77777777" w:rsidR="003D2E41" w:rsidRDefault="003D2E41">
      <w:pPr>
        <w:rPr>
          <w:lang w:val="en-GB"/>
        </w:rPr>
      </w:pPr>
    </w:p>
    <w:p w14:paraId="190F1179" w14:textId="087BEAFD" w:rsidR="003D2E41" w:rsidRDefault="003D2E41">
      <w:pPr>
        <w:rPr>
          <w:lang w:val="en-GB"/>
        </w:rPr>
      </w:pPr>
      <w:r>
        <w:rPr>
          <w:lang w:val="en-GB"/>
        </w:rPr>
        <w:t xml:space="preserve">The Muslim Brotherhood (MB) was founded in Egypt in 1928 by Hassan Al Banna, a school teacher. </w:t>
      </w:r>
      <w:r w:rsidR="00DA0CCA">
        <w:rPr>
          <w:lang w:val="en-GB"/>
        </w:rPr>
        <w:t xml:space="preserve">It has </w:t>
      </w:r>
      <w:r w:rsidR="005A4BB9">
        <w:rPr>
          <w:lang w:val="en-GB"/>
        </w:rPr>
        <w:t xml:space="preserve">in its ninety - year history gone through a number of stages of development, both ideological and tactical. In June 2012, unsurprisingly to many observers of Middle Eastern politics, but </w:t>
      </w:r>
      <w:r w:rsidR="00475704">
        <w:rPr>
          <w:lang w:val="en-GB"/>
        </w:rPr>
        <w:t xml:space="preserve">equally </w:t>
      </w:r>
      <w:r w:rsidR="005A4BB9">
        <w:rPr>
          <w:lang w:val="en-GB"/>
        </w:rPr>
        <w:t xml:space="preserve">of concern to many, the MB’s political arm, the Freedom and Justice Party </w:t>
      </w:r>
      <w:r w:rsidR="00121E3F">
        <w:rPr>
          <w:lang w:val="en-GB"/>
        </w:rPr>
        <w:t xml:space="preserve">won the presidential election and the </w:t>
      </w:r>
      <w:r w:rsidR="00475704">
        <w:rPr>
          <w:lang w:val="en-GB"/>
        </w:rPr>
        <w:t xml:space="preserve">single biggest </w:t>
      </w:r>
      <w:r w:rsidR="00121E3F">
        <w:rPr>
          <w:lang w:val="en-GB"/>
        </w:rPr>
        <w:t>major</w:t>
      </w:r>
      <w:r w:rsidR="00475704">
        <w:rPr>
          <w:lang w:val="en-GB"/>
        </w:rPr>
        <w:t>ity of seats in the parliament, 47%. However, just a year later, following opposition, most vocally from the tamarud movement</w:t>
      </w:r>
      <w:r w:rsidR="00475704">
        <w:rPr>
          <w:rStyle w:val="FootnoteReference"/>
          <w:lang w:val="en-GB"/>
        </w:rPr>
        <w:footnoteReference w:id="1"/>
      </w:r>
      <w:r w:rsidR="00576794">
        <w:rPr>
          <w:lang w:val="en-GB"/>
        </w:rPr>
        <w:t xml:space="preserve"> Mohamed Morsi was removed from office as president and Egypt was returned to authoritarian rule.</w:t>
      </w:r>
      <w:r w:rsidR="00576794">
        <w:rPr>
          <w:rStyle w:val="FootnoteReference"/>
          <w:lang w:val="en-GB"/>
        </w:rPr>
        <w:footnoteReference w:id="2"/>
      </w:r>
      <w:r w:rsidR="00527700">
        <w:rPr>
          <w:lang w:val="en-GB"/>
        </w:rPr>
        <w:t xml:space="preserve"> Furthermore, the regime has </w:t>
      </w:r>
      <w:r w:rsidR="000C6E5B">
        <w:rPr>
          <w:lang w:val="en-GB"/>
        </w:rPr>
        <w:t xml:space="preserve">subsequently designated </w:t>
      </w:r>
      <w:r w:rsidR="00527700">
        <w:rPr>
          <w:lang w:val="en-GB"/>
        </w:rPr>
        <w:t xml:space="preserve">the MB illegal and imprisoned a substantial number of its members. </w:t>
      </w:r>
      <w:r w:rsidR="000C6E5B">
        <w:rPr>
          <w:rStyle w:val="FootnoteReference"/>
          <w:lang w:val="en-GB"/>
        </w:rPr>
        <w:footnoteReference w:id="3"/>
      </w:r>
      <w:r w:rsidR="00396164">
        <w:rPr>
          <w:lang w:val="en-GB"/>
        </w:rPr>
        <w:t xml:space="preserve"> The question remains what is the future for the MB, if any? In order to attempt to answer this question it’s important to briefly look at the history of the MB. </w:t>
      </w:r>
    </w:p>
    <w:p w14:paraId="23C2EFF2" w14:textId="77777777" w:rsidR="00396164" w:rsidRDefault="00396164">
      <w:pPr>
        <w:rPr>
          <w:lang w:val="en-GB"/>
        </w:rPr>
      </w:pPr>
    </w:p>
    <w:p w14:paraId="62420498" w14:textId="220E2910" w:rsidR="00396164" w:rsidRDefault="0077244C">
      <w:pPr>
        <w:rPr>
          <w:lang w:val="en-GB"/>
        </w:rPr>
      </w:pPr>
      <w:r>
        <w:rPr>
          <w:lang w:val="en-GB"/>
        </w:rPr>
        <w:t xml:space="preserve">Arguably when analysing the history of the MB there can be seen to be four distinct stages </w:t>
      </w:r>
      <w:r w:rsidR="00591395">
        <w:rPr>
          <w:lang w:val="en-GB"/>
        </w:rPr>
        <w:t xml:space="preserve">of development. The first stage </w:t>
      </w:r>
      <w:r w:rsidR="00545807">
        <w:rPr>
          <w:lang w:val="en-GB"/>
        </w:rPr>
        <w:t>from foundation in 1928 until the assassination</w:t>
      </w:r>
      <w:r w:rsidR="009D176E">
        <w:rPr>
          <w:lang w:val="en-GB"/>
        </w:rPr>
        <w:t xml:space="preserve"> of Hassan Al Banna in 1949</w:t>
      </w:r>
      <w:r w:rsidR="009D176E">
        <w:rPr>
          <w:rStyle w:val="FootnoteReference"/>
          <w:lang w:val="en-GB"/>
        </w:rPr>
        <w:footnoteReference w:id="4"/>
      </w:r>
      <w:r w:rsidR="00243E2A">
        <w:rPr>
          <w:lang w:val="en-GB"/>
        </w:rPr>
        <w:t xml:space="preserve"> was largely one of growth, seeing cooperation with the monarchy. It was in 1948 that the organisation was officially banned </w:t>
      </w:r>
      <w:r w:rsidR="00DD63BE">
        <w:rPr>
          <w:lang w:val="en-GB"/>
        </w:rPr>
        <w:t xml:space="preserve">and many of its members were imprisoned. In these early stages the MB focused on </w:t>
      </w:r>
      <w:r w:rsidR="004E0E6A">
        <w:rPr>
          <w:lang w:val="en-GB"/>
        </w:rPr>
        <w:t xml:space="preserve">moral religious reform of the individual and ultimately society, it was however largely apolitical. </w:t>
      </w:r>
      <w:r w:rsidR="00D52114">
        <w:rPr>
          <w:lang w:val="en-GB"/>
        </w:rPr>
        <w:t xml:space="preserve">The MB had developed during the </w:t>
      </w:r>
      <w:r w:rsidR="009C1C96">
        <w:rPr>
          <w:lang w:val="en-GB"/>
        </w:rPr>
        <w:t>latter</w:t>
      </w:r>
      <w:r w:rsidR="00391C54">
        <w:rPr>
          <w:lang w:val="en-GB"/>
        </w:rPr>
        <w:t xml:space="preserve"> part of this period a special apparatus, or military </w:t>
      </w:r>
      <w:r w:rsidR="009C1C96">
        <w:rPr>
          <w:lang w:val="en-GB"/>
        </w:rPr>
        <w:t xml:space="preserve">wing. This was largely used to oppose the British presence </w:t>
      </w:r>
      <w:r w:rsidR="006801C7">
        <w:rPr>
          <w:lang w:val="en-GB"/>
        </w:rPr>
        <w:t>and Jewish organisations.</w:t>
      </w:r>
      <w:r w:rsidR="006801C7">
        <w:rPr>
          <w:rStyle w:val="FootnoteReference"/>
          <w:lang w:val="en-GB"/>
        </w:rPr>
        <w:footnoteReference w:id="5"/>
      </w:r>
    </w:p>
    <w:p w14:paraId="2FBBF8E2" w14:textId="77777777" w:rsidR="000B43E0" w:rsidRDefault="000B43E0">
      <w:pPr>
        <w:rPr>
          <w:lang w:val="en-GB"/>
        </w:rPr>
      </w:pPr>
    </w:p>
    <w:p w14:paraId="1C8475BE" w14:textId="1DC98B19" w:rsidR="000B43E0" w:rsidRDefault="000B43E0">
      <w:pPr>
        <w:rPr>
          <w:lang w:val="en-GB"/>
        </w:rPr>
      </w:pPr>
      <w:r>
        <w:rPr>
          <w:lang w:val="en-GB"/>
        </w:rPr>
        <w:t xml:space="preserve">The second phase from the end of the 1940’s until the mid-1960’s was characterised by heightened levels of violence between the MB and </w:t>
      </w:r>
      <w:r w:rsidR="00C70203">
        <w:rPr>
          <w:lang w:val="en-GB"/>
        </w:rPr>
        <w:t xml:space="preserve">the </w:t>
      </w:r>
      <w:r>
        <w:rPr>
          <w:lang w:val="en-GB"/>
        </w:rPr>
        <w:t xml:space="preserve">monarchy and following the coup of 1952, Nasser’s regime. </w:t>
      </w:r>
      <w:r w:rsidR="00E16E53">
        <w:rPr>
          <w:lang w:val="en-GB"/>
        </w:rPr>
        <w:t>In the same vein as</w:t>
      </w:r>
      <w:r>
        <w:rPr>
          <w:lang w:val="en-GB"/>
        </w:rPr>
        <w:t xml:space="preserve"> Al </w:t>
      </w:r>
      <w:proofErr w:type="spellStart"/>
      <w:r>
        <w:rPr>
          <w:lang w:val="en-GB"/>
        </w:rPr>
        <w:t>Banna</w:t>
      </w:r>
      <w:proofErr w:type="spellEnd"/>
      <w:r>
        <w:rPr>
          <w:lang w:val="en-GB"/>
        </w:rPr>
        <w:t xml:space="preserve"> had largely cooperated with the monarchy the MB and the Free Officers were </w:t>
      </w:r>
      <w:r w:rsidR="00C70203">
        <w:rPr>
          <w:lang w:val="en-GB"/>
        </w:rPr>
        <w:t xml:space="preserve">also </w:t>
      </w:r>
      <w:r>
        <w:rPr>
          <w:lang w:val="en-GB"/>
        </w:rPr>
        <w:t>closely connected,</w:t>
      </w:r>
      <w:r w:rsidR="00C70203">
        <w:rPr>
          <w:lang w:val="en-GB"/>
        </w:rPr>
        <w:t xml:space="preserve"> with all 5 leaders of the Coup leaders at one time being members of the MB special apparatus.  </w:t>
      </w:r>
      <w:r w:rsidR="00C70203">
        <w:rPr>
          <w:rStyle w:val="FootnoteReference"/>
          <w:lang w:val="en-GB"/>
        </w:rPr>
        <w:footnoteReference w:id="6"/>
      </w:r>
      <w:r w:rsidR="00C70203">
        <w:rPr>
          <w:lang w:val="en-GB"/>
        </w:rPr>
        <w:t>They initially continued to work</w:t>
      </w:r>
      <w:r>
        <w:rPr>
          <w:lang w:val="en-GB"/>
        </w:rPr>
        <w:t xml:space="preserve"> together to overthrow the monarchy and fighting in Palestine for liberation of the Palestinian people. However, </w:t>
      </w:r>
      <w:r w:rsidR="00C70203">
        <w:rPr>
          <w:lang w:val="en-GB"/>
        </w:rPr>
        <w:t xml:space="preserve">this was not to last and by </w:t>
      </w:r>
      <w:r w:rsidR="00EB2717">
        <w:rPr>
          <w:lang w:val="en-GB"/>
        </w:rPr>
        <w:t xml:space="preserve">1954 any cooperation between the MB and the new regime had broken down. Nasser requested the new leader, </w:t>
      </w:r>
      <w:proofErr w:type="spellStart"/>
      <w:r w:rsidR="00EB2717">
        <w:rPr>
          <w:lang w:val="en-GB"/>
        </w:rPr>
        <w:t>Hudaybi</w:t>
      </w:r>
      <w:proofErr w:type="spellEnd"/>
      <w:r w:rsidR="00EB2717">
        <w:rPr>
          <w:lang w:val="en-GB"/>
        </w:rPr>
        <w:t xml:space="preserve"> to disband its political wing. </w:t>
      </w:r>
      <w:proofErr w:type="spellStart"/>
      <w:r w:rsidR="00EB2717">
        <w:rPr>
          <w:lang w:val="en-GB"/>
        </w:rPr>
        <w:t>Hudaybi</w:t>
      </w:r>
      <w:proofErr w:type="spellEnd"/>
      <w:r w:rsidR="00EB2717">
        <w:rPr>
          <w:lang w:val="en-GB"/>
        </w:rPr>
        <w:t xml:space="preserve"> refused resulting in Nasser </w:t>
      </w:r>
      <w:r w:rsidR="00F83692">
        <w:rPr>
          <w:lang w:val="en-GB"/>
        </w:rPr>
        <w:t xml:space="preserve">declaring the MB illegal in 1954. </w:t>
      </w:r>
      <w:r w:rsidR="00A672A4">
        <w:rPr>
          <w:lang w:val="en-GB"/>
        </w:rPr>
        <w:t xml:space="preserve">In November 1954, following an assassination attempt on Nasser by a MB member the regime </w:t>
      </w:r>
      <w:r w:rsidR="000C02EA">
        <w:rPr>
          <w:lang w:val="en-GB"/>
        </w:rPr>
        <w:t>cra</w:t>
      </w:r>
      <w:r w:rsidR="00E16E53">
        <w:rPr>
          <w:lang w:val="en-GB"/>
        </w:rPr>
        <w:t xml:space="preserve">ckdown heavily on the movement. Many members were imprisoned and some ultimately killed, including </w:t>
      </w:r>
      <w:proofErr w:type="spellStart"/>
      <w:r w:rsidR="00E16E53">
        <w:rPr>
          <w:lang w:val="en-GB"/>
        </w:rPr>
        <w:t>Sayid</w:t>
      </w:r>
      <w:proofErr w:type="spellEnd"/>
      <w:r w:rsidR="00E16E53">
        <w:rPr>
          <w:lang w:val="en-GB"/>
        </w:rPr>
        <w:t xml:space="preserve"> </w:t>
      </w:r>
      <w:proofErr w:type="spellStart"/>
      <w:r w:rsidR="00E16E53">
        <w:rPr>
          <w:lang w:val="en-GB"/>
        </w:rPr>
        <w:t>Qutb</w:t>
      </w:r>
      <w:proofErr w:type="spellEnd"/>
      <w:r w:rsidR="00E16E53">
        <w:rPr>
          <w:lang w:val="en-GB"/>
        </w:rPr>
        <w:t xml:space="preserve"> by the regime. </w:t>
      </w:r>
    </w:p>
    <w:p w14:paraId="55118FE1" w14:textId="77777777" w:rsidR="00E16E53" w:rsidRDefault="00E16E53">
      <w:pPr>
        <w:rPr>
          <w:lang w:val="en-GB"/>
        </w:rPr>
      </w:pPr>
    </w:p>
    <w:p w14:paraId="57EA082F" w14:textId="627C0B47" w:rsidR="00E16E53" w:rsidRDefault="00E16E53">
      <w:pPr>
        <w:rPr>
          <w:lang w:val="en-GB"/>
        </w:rPr>
      </w:pPr>
      <w:r>
        <w:rPr>
          <w:lang w:val="en-GB"/>
        </w:rPr>
        <w:lastRenderedPageBreak/>
        <w:t xml:space="preserve">The third phase starts form the early 1970’s until the MB’s election to power in both presidential and parliamentary elections in 2012. This period is dominated by a move away from incidents of historical violence and to peaceful coexistence with the regime, using the ballot box as a tool to achieve their objectives. </w:t>
      </w:r>
      <w:r w:rsidR="00EF679B">
        <w:rPr>
          <w:lang w:val="en-GB"/>
        </w:rPr>
        <w:t xml:space="preserve">During their years in prison the MB leaders moved away from the ideas of Sayid </w:t>
      </w:r>
      <w:proofErr w:type="spellStart"/>
      <w:r w:rsidR="00EF679B">
        <w:rPr>
          <w:lang w:val="en-GB"/>
        </w:rPr>
        <w:t>Qutb</w:t>
      </w:r>
      <w:proofErr w:type="spellEnd"/>
      <w:r w:rsidR="00EF679B">
        <w:rPr>
          <w:rStyle w:val="FootnoteReference"/>
          <w:lang w:val="en-GB"/>
        </w:rPr>
        <w:footnoteReference w:id="7"/>
      </w:r>
      <w:r w:rsidR="00D82D7C">
        <w:rPr>
          <w:lang w:val="en-GB"/>
        </w:rPr>
        <w:t xml:space="preserve"> and adopted a</w:t>
      </w:r>
      <w:r w:rsidR="003B5AB8">
        <w:rPr>
          <w:lang w:val="en-GB"/>
        </w:rPr>
        <w:t xml:space="preserve"> strategy of</w:t>
      </w:r>
      <w:r w:rsidR="00D82D7C">
        <w:rPr>
          <w:lang w:val="en-GB"/>
        </w:rPr>
        <w:t xml:space="preserve"> </w:t>
      </w:r>
      <w:r w:rsidR="003B5AB8">
        <w:rPr>
          <w:lang w:val="en-GB"/>
        </w:rPr>
        <w:t xml:space="preserve">non-violence. In 1977, four years after his death, </w:t>
      </w:r>
      <w:proofErr w:type="spellStart"/>
      <w:r w:rsidR="003B5AB8">
        <w:rPr>
          <w:lang w:val="en-GB"/>
        </w:rPr>
        <w:t>Hudaybi’s</w:t>
      </w:r>
      <w:proofErr w:type="spellEnd"/>
      <w:r w:rsidR="003B5AB8">
        <w:rPr>
          <w:lang w:val="en-GB"/>
        </w:rPr>
        <w:t xml:space="preserve"> book, “Preachers, not Judges” was published. This work, believed to be written in prison, is salient in the MB’s new ideological and tactical stance. </w:t>
      </w:r>
    </w:p>
    <w:p w14:paraId="3FDFD5F7" w14:textId="77777777" w:rsidR="00271B80" w:rsidRDefault="00271B80">
      <w:pPr>
        <w:rPr>
          <w:lang w:val="en-GB"/>
        </w:rPr>
      </w:pPr>
    </w:p>
    <w:p w14:paraId="09204D2F" w14:textId="3DD2BEC9" w:rsidR="00271B80" w:rsidRDefault="00271B80">
      <w:pPr>
        <w:rPr>
          <w:lang w:val="en-GB"/>
        </w:rPr>
      </w:pPr>
      <w:r>
        <w:rPr>
          <w:lang w:val="en-GB"/>
        </w:rPr>
        <w:t xml:space="preserve">Following their release from prison as part of Sadat’s </w:t>
      </w:r>
      <w:r w:rsidR="0026256F">
        <w:rPr>
          <w:lang w:val="en-GB"/>
        </w:rPr>
        <w:t>fight agains</w:t>
      </w:r>
      <w:r w:rsidR="006945D6">
        <w:rPr>
          <w:lang w:val="en-GB"/>
        </w:rPr>
        <w:t xml:space="preserve">t the leftist opposition the MB </w:t>
      </w:r>
      <w:r w:rsidR="00960E36">
        <w:rPr>
          <w:lang w:val="en-GB"/>
        </w:rPr>
        <w:t>has</w:t>
      </w:r>
      <w:r w:rsidR="0026256F">
        <w:rPr>
          <w:lang w:val="en-GB"/>
        </w:rPr>
        <w:t xml:space="preserve"> been able to rebuild themselves. Through a successful grassroots </w:t>
      </w:r>
      <w:proofErr w:type="gramStart"/>
      <w:r w:rsidR="00D44964">
        <w:rPr>
          <w:lang w:val="en-GB"/>
        </w:rPr>
        <w:t>strategy</w:t>
      </w:r>
      <w:proofErr w:type="gramEnd"/>
      <w:r w:rsidR="0026256F">
        <w:rPr>
          <w:lang w:val="en-GB"/>
        </w:rPr>
        <w:t xml:space="preserve"> they have developed their presence in civil society, providing a variety of social </w:t>
      </w:r>
      <w:r w:rsidR="00D44964">
        <w:rPr>
          <w:lang w:val="en-GB"/>
        </w:rPr>
        <w:t xml:space="preserve">services. </w:t>
      </w:r>
      <w:r w:rsidR="00E9202D">
        <w:rPr>
          <w:lang w:val="en-GB"/>
        </w:rPr>
        <w:t xml:space="preserve">Impressively the MB has created </w:t>
      </w:r>
      <w:r w:rsidR="006945D6">
        <w:rPr>
          <w:lang w:val="en-GB"/>
        </w:rPr>
        <w:t>health clinics which are largely attached to non-governmental mosques throughout the country. These clinics have in essence created a parallel Islamic health service, which provides better care and facilitie</w:t>
      </w:r>
      <w:r w:rsidR="00B644EA">
        <w:rPr>
          <w:lang w:val="en-GB"/>
        </w:rPr>
        <w:t xml:space="preserve">s than that of government health services. </w:t>
      </w:r>
    </w:p>
    <w:p w14:paraId="39FE7622" w14:textId="77777777" w:rsidR="00960E36" w:rsidRDefault="00960E36">
      <w:pPr>
        <w:rPr>
          <w:lang w:val="en-GB"/>
        </w:rPr>
      </w:pPr>
    </w:p>
    <w:p w14:paraId="7206D030" w14:textId="2DC32B4F" w:rsidR="00960E36" w:rsidRDefault="00960E36">
      <w:pPr>
        <w:rPr>
          <w:lang w:val="en-GB"/>
        </w:rPr>
      </w:pPr>
      <w:r>
        <w:rPr>
          <w:lang w:val="en-GB"/>
        </w:rPr>
        <w:t xml:space="preserve">Politically the MB has been largely successful in fielding candidates with other parties, for example the </w:t>
      </w:r>
      <w:proofErr w:type="spellStart"/>
      <w:r>
        <w:rPr>
          <w:lang w:val="en-GB"/>
        </w:rPr>
        <w:t>Wafd</w:t>
      </w:r>
      <w:proofErr w:type="spellEnd"/>
      <w:r>
        <w:rPr>
          <w:lang w:val="en-GB"/>
        </w:rPr>
        <w:t xml:space="preserve"> party, or as independents. Despite the </w:t>
      </w:r>
      <w:r w:rsidR="001F6950">
        <w:rPr>
          <w:lang w:val="en-GB"/>
        </w:rPr>
        <w:t>well documented corruption of elections</w:t>
      </w:r>
      <w:r w:rsidR="001F6950">
        <w:rPr>
          <w:rStyle w:val="FootnoteReference"/>
          <w:lang w:val="en-GB"/>
        </w:rPr>
        <w:footnoteReference w:id="8"/>
      </w:r>
      <w:r w:rsidR="007C2E5E">
        <w:rPr>
          <w:lang w:val="en-GB"/>
        </w:rPr>
        <w:t xml:space="preserve"> the MB was able to get candidates elected, with the watershed being in 2005, seeing 88 members gaining seats. </w:t>
      </w:r>
      <w:r w:rsidR="002A0930">
        <w:rPr>
          <w:lang w:val="en-GB"/>
        </w:rPr>
        <w:t xml:space="preserve">The MB was also very successful in dominating the professional syndicates. </w:t>
      </w:r>
      <w:r w:rsidR="00F82A8D">
        <w:rPr>
          <w:lang w:val="en-GB"/>
        </w:rPr>
        <w:t xml:space="preserve">The MB proved to be the most well organised opposition group in Egypt and as mentioned earlier, not surprising they were successful following the fall of Mubarak. </w:t>
      </w:r>
    </w:p>
    <w:p w14:paraId="33614713" w14:textId="77777777" w:rsidR="00F82A8D" w:rsidRDefault="00F82A8D">
      <w:pPr>
        <w:rPr>
          <w:lang w:val="en-GB"/>
        </w:rPr>
      </w:pPr>
    </w:p>
    <w:p w14:paraId="35F0616B" w14:textId="2AF73F5C" w:rsidR="00F82A8D" w:rsidRDefault="006C2CFB">
      <w:pPr>
        <w:rPr>
          <w:lang w:val="en-GB"/>
        </w:rPr>
      </w:pPr>
      <w:r>
        <w:rPr>
          <w:lang w:val="en-GB"/>
        </w:rPr>
        <w:t xml:space="preserve">The final phase, following their failed presidency, and forced removal from power is one of uncertainty. </w:t>
      </w:r>
      <w:r w:rsidR="005C1E09">
        <w:rPr>
          <w:lang w:val="en-GB"/>
        </w:rPr>
        <w:t>This uncertainty centres on the MB’s potential support base</w:t>
      </w:r>
      <w:r w:rsidR="00981634">
        <w:rPr>
          <w:rStyle w:val="FootnoteReference"/>
          <w:lang w:val="en-GB"/>
        </w:rPr>
        <w:footnoteReference w:id="9"/>
      </w:r>
      <w:r w:rsidR="005C1E09">
        <w:rPr>
          <w:lang w:val="en-GB"/>
        </w:rPr>
        <w:t xml:space="preserve"> as well as their tactical stance, namely will they continue to play by democratic rules, or resort to the violence of their past. </w:t>
      </w:r>
      <w:r w:rsidR="00981634">
        <w:rPr>
          <w:lang w:val="en-GB"/>
        </w:rPr>
        <w:t>Today the organisa</w:t>
      </w:r>
      <w:r w:rsidR="007F48FB">
        <w:rPr>
          <w:lang w:val="en-GB"/>
        </w:rPr>
        <w:t>tion has been severely weakened by the regime, with its leaders languishing in jail together with many of its rank and file members. It would be easy to conclude the organisation has no future and con</w:t>
      </w:r>
      <w:r w:rsidR="00DF0179">
        <w:rPr>
          <w:lang w:val="en-GB"/>
        </w:rPr>
        <w:t xml:space="preserve">sider this its final end phase, and arguably seeing a return to violence. </w:t>
      </w:r>
    </w:p>
    <w:p w14:paraId="3E9D8F8D" w14:textId="77777777" w:rsidR="00DF0179" w:rsidRDefault="00DF0179">
      <w:pPr>
        <w:rPr>
          <w:lang w:val="en-GB"/>
        </w:rPr>
      </w:pPr>
    </w:p>
    <w:p w14:paraId="3D98F7CE" w14:textId="3F442561" w:rsidR="00DF0179" w:rsidRDefault="00DF0179">
      <w:pPr>
        <w:rPr>
          <w:lang w:val="en-GB"/>
        </w:rPr>
      </w:pPr>
      <w:r>
        <w:rPr>
          <w:lang w:val="en-GB"/>
        </w:rPr>
        <w:t xml:space="preserve">However, looking back over the history of the past ninety years that seems somewhat premature. </w:t>
      </w:r>
      <w:r w:rsidR="00AE48BD">
        <w:rPr>
          <w:lang w:val="en-GB"/>
        </w:rPr>
        <w:t>The MB cannot be compared to the Jihadist groups which developed through the 1970’s and into the early 1990’s.</w:t>
      </w:r>
      <w:r w:rsidR="00AE48BD">
        <w:rPr>
          <w:rStyle w:val="FootnoteReference"/>
          <w:lang w:val="en-GB"/>
        </w:rPr>
        <w:footnoteReference w:id="10"/>
      </w:r>
      <w:r w:rsidR="00AE48BD">
        <w:rPr>
          <w:lang w:val="en-GB"/>
        </w:rPr>
        <w:t xml:space="preserve"> They were not new to the idea of parliamentary democracy</w:t>
      </w:r>
      <w:r w:rsidR="00AE7A7B">
        <w:rPr>
          <w:lang w:val="en-GB"/>
        </w:rPr>
        <w:t xml:space="preserve">. History has shown that previously when the organisation was attacked by Nasser they moved away from bullets and adopted a moderate, democratic stance, rebuilding themselves internally and reaching out to their grassroots support. </w:t>
      </w:r>
      <w:r w:rsidR="006E5946">
        <w:rPr>
          <w:lang w:val="en-GB"/>
        </w:rPr>
        <w:t xml:space="preserve">Ultimately the MB is a religious organisation that has branched out from the 1970’s politically. It may be that they revert back to being primarily a social movement. </w:t>
      </w:r>
    </w:p>
    <w:p w14:paraId="23D81F4C" w14:textId="77777777" w:rsidR="006A22AE" w:rsidRDefault="006A22AE">
      <w:pPr>
        <w:rPr>
          <w:lang w:val="en-GB"/>
        </w:rPr>
      </w:pPr>
    </w:p>
    <w:p w14:paraId="35356626" w14:textId="50890EBA" w:rsidR="006A22AE" w:rsidRDefault="006A22AE">
      <w:pPr>
        <w:rPr>
          <w:lang w:val="en-GB"/>
        </w:rPr>
      </w:pPr>
      <w:r>
        <w:rPr>
          <w:lang w:val="en-GB"/>
        </w:rPr>
        <w:t xml:space="preserve">There is no evidence that the MB would pick up arms against the regime, although this is not to say that younger generations would not split from the ‘old guard’, but this would not be the MB we know. The MB has proved nothing but tenacious throughout its history, and has experience of state repression. Nasser was unable to kill the organisation and it is unlikely that the current regime will be able to do so either. The organisation is at its </w:t>
      </w:r>
      <w:r w:rsidR="008427B1">
        <w:rPr>
          <w:lang w:val="en-GB"/>
        </w:rPr>
        <w:t xml:space="preserve">core </w:t>
      </w:r>
      <w:r w:rsidR="005D39FF">
        <w:rPr>
          <w:lang w:val="en-GB"/>
        </w:rPr>
        <w:t xml:space="preserve">believes that restoring Islam will result in the ideal society. This is to be built up through the individual to the family and finally the group. </w:t>
      </w:r>
      <w:r w:rsidR="005D39FF">
        <w:rPr>
          <w:rStyle w:val="FootnoteReference"/>
          <w:lang w:val="en-GB"/>
        </w:rPr>
        <w:footnoteReference w:id="11"/>
      </w:r>
      <w:r w:rsidR="005D39FF">
        <w:rPr>
          <w:lang w:val="en-GB"/>
        </w:rPr>
        <w:t xml:space="preserve"> It is very difficult to kill ideas as has been evidenced historically. </w:t>
      </w:r>
    </w:p>
    <w:p w14:paraId="3786FC47" w14:textId="77777777" w:rsidR="005D39FF" w:rsidRDefault="005D39FF">
      <w:pPr>
        <w:rPr>
          <w:lang w:val="en-GB"/>
        </w:rPr>
      </w:pPr>
    </w:p>
    <w:p w14:paraId="3506D4BB" w14:textId="4AEB2B9B" w:rsidR="005D39FF" w:rsidRDefault="005D39FF">
      <w:pPr>
        <w:rPr>
          <w:lang w:val="en-GB"/>
        </w:rPr>
      </w:pPr>
      <w:r>
        <w:rPr>
          <w:lang w:val="en-GB"/>
        </w:rPr>
        <w:t xml:space="preserve">The MB wants to be part of an open democratic system. The current crackdown is unlikely to have the desired effect the regime wants. It is dependent on how receptive the Egyptian people are to the MB’s ideology. The organisation will appeal to its grassroots support to rebuild itself and its popular appeal. It may be unsuccessful because the population no longer finds its ideas appealing or trusts it. In this situation it will most likely remain a social movement, providing social services and ideological support. I find it unlikely that it will resort to violence, however as Tarek </w:t>
      </w:r>
      <w:proofErr w:type="spellStart"/>
      <w:r>
        <w:rPr>
          <w:lang w:val="en-GB"/>
        </w:rPr>
        <w:t>Masoud</w:t>
      </w:r>
      <w:proofErr w:type="spellEnd"/>
      <w:r>
        <w:rPr>
          <w:lang w:val="en-GB"/>
        </w:rPr>
        <w:t xml:space="preserve"> notes, whether the MB return to violence will have more to do with the regime’s commitment to democracy than the MB’s. </w:t>
      </w:r>
      <w:r>
        <w:rPr>
          <w:rStyle w:val="FootnoteReference"/>
          <w:lang w:val="en-GB"/>
        </w:rPr>
        <w:footnoteReference w:id="12"/>
      </w:r>
    </w:p>
    <w:p w14:paraId="58EDE887" w14:textId="77777777" w:rsidR="00960E36" w:rsidRPr="003D2E41" w:rsidRDefault="00960E36">
      <w:pPr>
        <w:rPr>
          <w:lang w:val="en-GB"/>
        </w:rPr>
      </w:pPr>
    </w:p>
    <w:sectPr w:rsidR="00960E36" w:rsidRPr="003D2E41" w:rsidSect="001A4C4E">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F3E791" w14:textId="77777777" w:rsidR="00845CCF" w:rsidRDefault="00845CCF" w:rsidP="00475704">
      <w:r>
        <w:separator/>
      </w:r>
    </w:p>
  </w:endnote>
  <w:endnote w:type="continuationSeparator" w:id="0">
    <w:p w14:paraId="4B4B10DC" w14:textId="77777777" w:rsidR="00845CCF" w:rsidRDefault="00845CCF" w:rsidP="004757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0B80EA" w14:textId="77777777" w:rsidR="00845CCF" w:rsidRDefault="00845CCF" w:rsidP="00475704">
      <w:r>
        <w:separator/>
      </w:r>
    </w:p>
  </w:footnote>
  <w:footnote w:type="continuationSeparator" w:id="0">
    <w:p w14:paraId="28F30E5D" w14:textId="77777777" w:rsidR="00845CCF" w:rsidRDefault="00845CCF" w:rsidP="00475704">
      <w:r>
        <w:continuationSeparator/>
      </w:r>
    </w:p>
  </w:footnote>
  <w:footnote w:id="1">
    <w:p w14:paraId="792674E4" w14:textId="1AC98747" w:rsidR="00475704" w:rsidRPr="00475704" w:rsidRDefault="00475704">
      <w:pPr>
        <w:pStyle w:val="FootnoteText"/>
        <w:rPr>
          <w:lang w:val="en-GB"/>
        </w:rPr>
      </w:pPr>
      <w:r>
        <w:rPr>
          <w:rStyle w:val="FootnoteReference"/>
        </w:rPr>
        <w:footnoteRef/>
      </w:r>
      <w:r>
        <w:t xml:space="preserve"> </w:t>
      </w:r>
      <w:r>
        <w:rPr>
          <w:lang w:val="en-GB"/>
        </w:rPr>
        <w:t>Tamarud means rebel movement movement.</w:t>
      </w:r>
    </w:p>
  </w:footnote>
  <w:footnote w:id="2">
    <w:p w14:paraId="3179B1AD" w14:textId="184B0F0A" w:rsidR="00576794" w:rsidRPr="00576794" w:rsidRDefault="00576794">
      <w:pPr>
        <w:pStyle w:val="FootnoteText"/>
        <w:rPr>
          <w:lang w:val="en-GB"/>
        </w:rPr>
      </w:pPr>
      <w:r>
        <w:rPr>
          <w:rStyle w:val="FootnoteReference"/>
        </w:rPr>
        <w:footnoteRef/>
      </w:r>
      <w:r>
        <w:t xml:space="preserve"> </w:t>
      </w:r>
      <w:proofErr w:type="spellStart"/>
      <w:r>
        <w:rPr>
          <w:lang w:val="en-GB"/>
        </w:rPr>
        <w:t>Sisi</w:t>
      </w:r>
      <w:proofErr w:type="spellEnd"/>
      <w:r w:rsidR="00055683">
        <w:rPr>
          <w:lang w:val="en-GB"/>
        </w:rPr>
        <w:t xml:space="preserve">, Morsi’s minister of defence took over power following the MB bloody removal in 2013, and won elections in 2014. </w:t>
      </w:r>
      <w:proofErr w:type="spellStart"/>
      <w:r w:rsidR="00055683">
        <w:rPr>
          <w:lang w:val="en-GB"/>
        </w:rPr>
        <w:t>Sisi</w:t>
      </w:r>
      <w:proofErr w:type="spellEnd"/>
      <w:r w:rsidR="00055683">
        <w:rPr>
          <w:lang w:val="en-GB"/>
        </w:rPr>
        <w:t xml:space="preserve">, a field marshal is strongly connected to the old regime, being Mubarak’s chief of military intelligence. </w:t>
      </w:r>
    </w:p>
  </w:footnote>
  <w:footnote w:id="3">
    <w:p w14:paraId="4701EF59" w14:textId="449F11A1" w:rsidR="000C6E5B" w:rsidRPr="000C6E5B" w:rsidRDefault="000C6E5B">
      <w:pPr>
        <w:pStyle w:val="FootnoteText"/>
        <w:rPr>
          <w:lang w:val="en-GB"/>
        </w:rPr>
      </w:pPr>
      <w:r>
        <w:rPr>
          <w:rStyle w:val="FootnoteReference"/>
        </w:rPr>
        <w:footnoteRef/>
      </w:r>
      <w:r>
        <w:t xml:space="preserve"> </w:t>
      </w:r>
      <w:r>
        <w:rPr>
          <w:lang w:val="en-GB"/>
        </w:rPr>
        <w:t>Middle East Eye, 15</w:t>
      </w:r>
      <w:r w:rsidRPr="000C6E5B">
        <w:rPr>
          <w:vertAlign w:val="superscript"/>
          <w:lang w:val="en-GB"/>
        </w:rPr>
        <w:t>th</w:t>
      </w:r>
      <w:r>
        <w:rPr>
          <w:lang w:val="en-GB"/>
        </w:rPr>
        <w:t xml:space="preserve"> Jan 2018. </w:t>
      </w:r>
    </w:p>
  </w:footnote>
  <w:footnote w:id="4">
    <w:p w14:paraId="204D576A" w14:textId="5553D808" w:rsidR="009D176E" w:rsidRPr="009D176E" w:rsidRDefault="009D176E">
      <w:pPr>
        <w:pStyle w:val="FootnoteText"/>
        <w:rPr>
          <w:lang w:val="en-GB"/>
        </w:rPr>
      </w:pPr>
      <w:r>
        <w:rPr>
          <w:rStyle w:val="FootnoteReference"/>
        </w:rPr>
        <w:footnoteRef/>
      </w:r>
      <w:r>
        <w:t xml:space="preserve"> </w:t>
      </w:r>
      <w:r>
        <w:rPr>
          <w:lang w:val="en-GB"/>
        </w:rPr>
        <w:t xml:space="preserve">Al </w:t>
      </w:r>
      <w:proofErr w:type="spellStart"/>
      <w:r>
        <w:rPr>
          <w:lang w:val="en-GB"/>
        </w:rPr>
        <w:t>Banna</w:t>
      </w:r>
      <w:proofErr w:type="spellEnd"/>
      <w:r>
        <w:rPr>
          <w:lang w:val="en-GB"/>
        </w:rPr>
        <w:t xml:space="preserve"> was killed by secret police following the assassination of the Prime Minister. </w:t>
      </w:r>
    </w:p>
  </w:footnote>
  <w:footnote w:id="5">
    <w:p w14:paraId="144A0077" w14:textId="188B5D38" w:rsidR="006801C7" w:rsidRPr="006801C7" w:rsidRDefault="006801C7">
      <w:pPr>
        <w:pStyle w:val="FootnoteText"/>
        <w:rPr>
          <w:lang w:val="en-GB"/>
        </w:rPr>
      </w:pPr>
      <w:r>
        <w:rPr>
          <w:rStyle w:val="FootnoteReference"/>
        </w:rPr>
        <w:footnoteRef/>
      </w:r>
      <w:r>
        <w:t xml:space="preserve"> </w:t>
      </w:r>
      <w:r w:rsidR="001522D4">
        <w:t xml:space="preserve">See </w:t>
      </w:r>
      <w:r w:rsidR="001522D4">
        <w:rPr>
          <w:lang w:val="en-GB"/>
        </w:rPr>
        <w:t xml:space="preserve">Richard Mitchell, The Society of Muslim Brothers, (OUP 1969), for a detailed account. </w:t>
      </w:r>
    </w:p>
  </w:footnote>
  <w:footnote w:id="6">
    <w:p w14:paraId="0AAEC00E" w14:textId="3C9AD3BB" w:rsidR="00C70203" w:rsidRPr="00C70203" w:rsidRDefault="00C70203">
      <w:pPr>
        <w:pStyle w:val="FootnoteText"/>
        <w:rPr>
          <w:lang w:val="en-GB"/>
        </w:rPr>
      </w:pPr>
      <w:r>
        <w:rPr>
          <w:rStyle w:val="FootnoteReference"/>
        </w:rPr>
        <w:footnoteRef/>
      </w:r>
      <w:r>
        <w:t xml:space="preserve"> </w:t>
      </w:r>
      <w:r>
        <w:rPr>
          <w:lang w:val="en-GB"/>
        </w:rPr>
        <w:t xml:space="preserve">Mohamed </w:t>
      </w:r>
      <w:proofErr w:type="spellStart"/>
      <w:r>
        <w:rPr>
          <w:lang w:val="en-GB"/>
        </w:rPr>
        <w:t>Ziad</w:t>
      </w:r>
      <w:proofErr w:type="spellEnd"/>
      <w:r>
        <w:rPr>
          <w:lang w:val="en-GB"/>
        </w:rPr>
        <w:t>, The Muslim brotherhood and Egypt’s Succession Crisis, (</w:t>
      </w:r>
      <w:proofErr w:type="spellStart"/>
      <w:r>
        <w:rPr>
          <w:lang w:val="en-GB"/>
        </w:rPr>
        <w:t>I.</w:t>
      </w:r>
      <w:proofErr w:type="gramStart"/>
      <w:r>
        <w:rPr>
          <w:lang w:val="en-GB"/>
        </w:rPr>
        <w:t>B.Taurus</w:t>
      </w:r>
      <w:proofErr w:type="spellEnd"/>
      <w:proofErr w:type="gramEnd"/>
      <w:r>
        <w:rPr>
          <w:lang w:val="en-GB"/>
        </w:rPr>
        <w:t xml:space="preserve">, 2010) p 76. </w:t>
      </w:r>
    </w:p>
  </w:footnote>
  <w:footnote w:id="7">
    <w:p w14:paraId="788AAFB4" w14:textId="6A826F7C" w:rsidR="00EF679B" w:rsidRPr="00EF679B" w:rsidRDefault="00EF679B">
      <w:pPr>
        <w:pStyle w:val="FootnoteText"/>
        <w:rPr>
          <w:lang w:val="en-GB"/>
        </w:rPr>
      </w:pPr>
      <w:r>
        <w:rPr>
          <w:rStyle w:val="FootnoteReference"/>
        </w:rPr>
        <w:footnoteRef/>
      </w:r>
      <w:r>
        <w:t xml:space="preserve"> </w:t>
      </w:r>
      <w:proofErr w:type="spellStart"/>
      <w:r>
        <w:t>Qutb</w:t>
      </w:r>
      <w:proofErr w:type="spellEnd"/>
      <w:r>
        <w:t xml:space="preserve"> was an important ideologue </w:t>
      </w:r>
      <w:r w:rsidR="00D82D7C">
        <w:t>promoting an Islamic society</w:t>
      </w:r>
      <w:r>
        <w:t xml:space="preserve">– see his work </w:t>
      </w:r>
      <w:r w:rsidR="00D82D7C">
        <w:t xml:space="preserve">Milestones (1964) </w:t>
      </w:r>
    </w:p>
  </w:footnote>
  <w:footnote w:id="8">
    <w:p w14:paraId="52A5FC8E" w14:textId="45E0ED2E" w:rsidR="001F6950" w:rsidRPr="001F6950" w:rsidRDefault="001F6950">
      <w:pPr>
        <w:pStyle w:val="FootnoteText"/>
        <w:rPr>
          <w:lang w:val="en-GB"/>
        </w:rPr>
      </w:pPr>
      <w:r>
        <w:rPr>
          <w:rStyle w:val="FootnoteReference"/>
        </w:rPr>
        <w:footnoteRef/>
      </w:r>
      <w:r>
        <w:t xml:space="preserve"> </w:t>
      </w:r>
      <w:r w:rsidR="007C2E5E">
        <w:rPr>
          <w:lang w:val="en-GB"/>
        </w:rPr>
        <w:t xml:space="preserve">See Maye </w:t>
      </w:r>
      <w:proofErr w:type="spellStart"/>
      <w:r w:rsidR="007C2E5E">
        <w:rPr>
          <w:lang w:val="en-GB"/>
        </w:rPr>
        <w:t>Kassem</w:t>
      </w:r>
      <w:proofErr w:type="spellEnd"/>
      <w:r w:rsidR="007C2E5E">
        <w:rPr>
          <w:lang w:val="en-GB"/>
        </w:rPr>
        <w:t xml:space="preserve">, Egyptian Politics the dynamics of authoritarian rule (Lynne </w:t>
      </w:r>
      <w:proofErr w:type="spellStart"/>
      <w:r w:rsidR="007C2E5E">
        <w:rPr>
          <w:lang w:val="en-GB"/>
        </w:rPr>
        <w:t>Rienner</w:t>
      </w:r>
      <w:proofErr w:type="spellEnd"/>
      <w:r w:rsidR="007C2E5E">
        <w:rPr>
          <w:lang w:val="en-GB"/>
        </w:rPr>
        <w:t>, 2004)</w:t>
      </w:r>
    </w:p>
  </w:footnote>
  <w:footnote w:id="9">
    <w:p w14:paraId="511D1218" w14:textId="5A5A6AED" w:rsidR="00981634" w:rsidRPr="00981634" w:rsidRDefault="00981634">
      <w:pPr>
        <w:pStyle w:val="FootnoteText"/>
        <w:rPr>
          <w:lang w:val="en-GB"/>
        </w:rPr>
      </w:pPr>
      <w:r>
        <w:rPr>
          <w:rStyle w:val="FootnoteReference"/>
        </w:rPr>
        <w:footnoteRef/>
      </w:r>
      <w:r>
        <w:t xml:space="preserve"> </w:t>
      </w:r>
      <w:r>
        <w:rPr>
          <w:lang w:val="en-GB"/>
        </w:rPr>
        <w:t xml:space="preserve">A survey by an Egyptian civil society movement is interesting with regard to the MB popularity. The survey of 2011 shows 40% were very confident in the MB’s ability. However, by 2013 the same survey showed 60% had no confidence in the MB. In Tarek </w:t>
      </w:r>
      <w:proofErr w:type="spellStart"/>
      <w:r>
        <w:rPr>
          <w:lang w:val="en-GB"/>
        </w:rPr>
        <w:t>Masoud</w:t>
      </w:r>
      <w:proofErr w:type="spellEnd"/>
      <w:r>
        <w:rPr>
          <w:lang w:val="en-GB"/>
        </w:rPr>
        <w:t xml:space="preserve">, Counting Islam, 2014 p211. </w:t>
      </w:r>
    </w:p>
  </w:footnote>
  <w:footnote w:id="10">
    <w:p w14:paraId="62702692" w14:textId="2A995004" w:rsidR="00AE48BD" w:rsidRPr="00AE48BD" w:rsidRDefault="00AE48BD">
      <w:pPr>
        <w:pStyle w:val="FootnoteText"/>
        <w:rPr>
          <w:lang w:val="en-GB"/>
        </w:rPr>
      </w:pPr>
      <w:r>
        <w:rPr>
          <w:rStyle w:val="FootnoteReference"/>
        </w:rPr>
        <w:footnoteRef/>
      </w:r>
      <w:r>
        <w:t xml:space="preserve"> </w:t>
      </w:r>
      <w:r>
        <w:rPr>
          <w:lang w:val="en-GB"/>
        </w:rPr>
        <w:t xml:space="preserve">The most prominent of these being </w:t>
      </w:r>
      <w:proofErr w:type="spellStart"/>
      <w:r>
        <w:rPr>
          <w:lang w:val="en-GB"/>
        </w:rPr>
        <w:t>Takfir</w:t>
      </w:r>
      <w:proofErr w:type="spellEnd"/>
      <w:r>
        <w:rPr>
          <w:lang w:val="en-GB"/>
        </w:rPr>
        <w:t xml:space="preserve"> </w:t>
      </w:r>
      <w:proofErr w:type="spellStart"/>
      <w:r>
        <w:rPr>
          <w:lang w:val="en-GB"/>
        </w:rPr>
        <w:t>wa</w:t>
      </w:r>
      <w:proofErr w:type="spellEnd"/>
      <w:r>
        <w:rPr>
          <w:lang w:val="en-GB"/>
        </w:rPr>
        <w:t xml:space="preserve"> </w:t>
      </w:r>
      <w:proofErr w:type="spellStart"/>
      <w:r>
        <w:rPr>
          <w:lang w:val="en-GB"/>
        </w:rPr>
        <w:t>Hijra</w:t>
      </w:r>
      <w:proofErr w:type="spellEnd"/>
      <w:r>
        <w:rPr>
          <w:lang w:val="en-GB"/>
        </w:rPr>
        <w:t xml:space="preserve"> and Al Jihad. See </w:t>
      </w:r>
      <w:proofErr w:type="spellStart"/>
      <w:r>
        <w:rPr>
          <w:lang w:val="en-GB"/>
        </w:rPr>
        <w:t>Saad</w:t>
      </w:r>
      <w:proofErr w:type="spellEnd"/>
      <w:r>
        <w:rPr>
          <w:lang w:val="en-GB"/>
        </w:rPr>
        <w:t xml:space="preserve"> </w:t>
      </w:r>
      <w:proofErr w:type="spellStart"/>
      <w:r>
        <w:rPr>
          <w:lang w:val="en-GB"/>
        </w:rPr>
        <w:t>Eddin</w:t>
      </w:r>
      <w:proofErr w:type="spellEnd"/>
      <w:r>
        <w:rPr>
          <w:lang w:val="en-GB"/>
        </w:rPr>
        <w:t xml:space="preserve"> Ibrahim, “Egypt Islam and Democracy” for a detailed sociological analysis of these groups. </w:t>
      </w:r>
    </w:p>
  </w:footnote>
  <w:footnote w:id="11">
    <w:p w14:paraId="6A843EEB" w14:textId="71E3497C" w:rsidR="005D39FF" w:rsidRPr="005D39FF" w:rsidRDefault="005D39FF">
      <w:pPr>
        <w:pStyle w:val="FootnoteText"/>
        <w:rPr>
          <w:lang w:val="en-GB"/>
        </w:rPr>
      </w:pPr>
      <w:r>
        <w:rPr>
          <w:rStyle w:val="FootnoteReference"/>
        </w:rPr>
        <w:footnoteRef/>
      </w:r>
      <w:r>
        <w:t xml:space="preserve"> </w:t>
      </w:r>
      <w:proofErr w:type="spellStart"/>
      <w:r>
        <w:rPr>
          <w:lang w:val="en-GB"/>
        </w:rPr>
        <w:t>Khairat</w:t>
      </w:r>
      <w:proofErr w:type="spellEnd"/>
      <w:r>
        <w:rPr>
          <w:lang w:val="en-GB"/>
        </w:rPr>
        <w:t xml:space="preserve"> al </w:t>
      </w:r>
      <w:proofErr w:type="spellStart"/>
      <w:r>
        <w:rPr>
          <w:lang w:val="en-GB"/>
        </w:rPr>
        <w:t>Shater</w:t>
      </w:r>
      <w:proofErr w:type="spellEnd"/>
      <w:r>
        <w:rPr>
          <w:lang w:val="en-GB"/>
        </w:rPr>
        <w:t xml:space="preserve"> – On the rise of the Muslim Brotherhood, Current Affairs in Islamic Ideology, Vol 13</w:t>
      </w:r>
    </w:p>
  </w:footnote>
  <w:footnote w:id="12">
    <w:p w14:paraId="3AF4B3BF" w14:textId="0BA3C6E9" w:rsidR="005D39FF" w:rsidRPr="005D39FF" w:rsidRDefault="005D39FF">
      <w:pPr>
        <w:pStyle w:val="FootnoteText"/>
        <w:rPr>
          <w:lang w:val="en-GB"/>
        </w:rPr>
      </w:pPr>
      <w:r>
        <w:rPr>
          <w:rStyle w:val="FootnoteReference"/>
        </w:rPr>
        <w:footnoteRef/>
      </w:r>
      <w:r>
        <w:t xml:space="preserve"> </w:t>
      </w:r>
      <w:r>
        <w:rPr>
          <w:lang w:val="en-GB"/>
        </w:rPr>
        <w:t xml:space="preserve">Tarek </w:t>
      </w:r>
      <w:proofErr w:type="spellStart"/>
      <w:r>
        <w:rPr>
          <w:lang w:val="en-GB"/>
        </w:rPr>
        <w:t>Masoud</w:t>
      </w:r>
      <w:proofErr w:type="spellEnd"/>
      <w:r>
        <w:rPr>
          <w:lang w:val="en-GB"/>
        </w:rPr>
        <w:t>, Counting Islam (</w:t>
      </w:r>
      <w:r w:rsidR="00153016">
        <w:rPr>
          <w:lang w:val="en-GB"/>
        </w:rPr>
        <w:t xml:space="preserve">Cambridge, 2014) p 225. </w:t>
      </w:r>
      <w:bookmarkStart w:id="0" w:name="_GoBack"/>
      <w:bookmarkEnd w:id="0"/>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5"/>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2E41"/>
    <w:rsid w:val="00055683"/>
    <w:rsid w:val="00070A8B"/>
    <w:rsid w:val="000B43E0"/>
    <w:rsid w:val="000C02EA"/>
    <w:rsid w:val="000C6E5B"/>
    <w:rsid w:val="00121E3F"/>
    <w:rsid w:val="00145B1B"/>
    <w:rsid w:val="001522D4"/>
    <w:rsid w:val="00153016"/>
    <w:rsid w:val="001A4C4E"/>
    <w:rsid w:val="001F6950"/>
    <w:rsid w:val="00213A7C"/>
    <w:rsid w:val="00217DC3"/>
    <w:rsid w:val="00243E2A"/>
    <w:rsid w:val="0026256F"/>
    <w:rsid w:val="00271B80"/>
    <w:rsid w:val="002A0930"/>
    <w:rsid w:val="00391C54"/>
    <w:rsid w:val="00396164"/>
    <w:rsid w:val="003B5AB8"/>
    <w:rsid w:val="003D2E41"/>
    <w:rsid w:val="00475704"/>
    <w:rsid w:val="004E0E6A"/>
    <w:rsid w:val="00527700"/>
    <w:rsid w:val="00545807"/>
    <w:rsid w:val="00545E1D"/>
    <w:rsid w:val="00576794"/>
    <w:rsid w:val="00591395"/>
    <w:rsid w:val="005A4BB9"/>
    <w:rsid w:val="005C1E09"/>
    <w:rsid w:val="005D39FF"/>
    <w:rsid w:val="005E200E"/>
    <w:rsid w:val="006801C7"/>
    <w:rsid w:val="006945D6"/>
    <w:rsid w:val="006A22AE"/>
    <w:rsid w:val="006C2CFB"/>
    <w:rsid w:val="006E5946"/>
    <w:rsid w:val="00703387"/>
    <w:rsid w:val="007177DF"/>
    <w:rsid w:val="00755A37"/>
    <w:rsid w:val="0077244C"/>
    <w:rsid w:val="007C2A14"/>
    <w:rsid w:val="007C2E5E"/>
    <w:rsid w:val="007F48FB"/>
    <w:rsid w:val="008427B1"/>
    <w:rsid w:val="00845CCF"/>
    <w:rsid w:val="008875EA"/>
    <w:rsid w:val="00960E36"/>
    <w:rsid w:val="00965F4A"/>
    <w:rsid w:val="00981634"/>
    <w:rsid w:val="009B00AD"/>
    <w:rsid w:val="009C1C96"/>
    <w:rsid w:val="009D176E"/>
    <w:rsid w:val="00A32DA7"/>
    <w:rsid w:val="00A672A4"/>
    <w:rsid w:val="00AE48BD"/>
    <w:rsid w:val="00AE7A7B"/>
    <w:rsid w:val="00B644EA"/>
    <w:rsid w:val="00C70203"/>
    <w:rsid w:val="00CD3BBE"/>
    <w:rsid w:val="00D44964"/>
    <w:rsid w:val="00D52114"/>
    <w:rsid w:val="00D82D7C"/>
    <w:rsid w:val="00DA0CCA"/>
    <w:rsid w:val="00DD63BE"/>
    <w:rsid w:val="00DF0179"/>
    <w:rsid w:val="00E16E53"/>
    <w:rsid w:val="00E82E12"/>
    <w:rsid w:val="00E9202D"/>
    <w:rsid w:val="00E95A7C"/>
    <w:rsid w:val="00EB2717"/>
    <w:rsid w:val="00EF679B"/>
    <w:rsid w:val="00F0302A"/>
    <w:rsid w:val="00F3781A"/>
    <w:rsid w:val="00F82568"/>
    <w:rsid w:val="00F82A8D"/>
    <w:rsid w:val="00F836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4E3E9F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475704"/>
  </w:style>
  <w:style w:type="character" w:customStyle="1" w:styleId="FootnoteTextChar">
    <w:name w:val="Footnote Text Char"/>
    <w:basedOn w:val="DefaultParagraphFont"/>
    <w:link w:val="FootnoteText"/>
    <w:uiPriority w:val="99"/>
    <w:rsid w:val="00475704"/>
  </w:style>
  <w:style w:type="character" w:styleId="FootnoteReference">
    <w:name w:val="footnote reference"/>
    <w:basedOn w:val="DefaultParagraphFont"/>
    <w:uiPriority w:val="99"/>
    <w:unhideWhenUsed/>
    <w:rsid w:val="0047570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3</Pages>
  <Words>1160</Words>
  <Characters>5941</Characters>
  <Application>Microsoft Macintosh Word</Application>
  <DocSecurity>0</DocSecurity>
  <Lines>97</Lines>
  <Paragraphs>14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7087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workman</dc:creator>
  <cp:keywords/>
  <dc:description/>
  <cp:lastModifiedBy>helen workman</cp:lastModifiedBy>
  <cp:revision>3</cp:revision>
  <dcterms:created xsi:type="dcterms:W3CDTF">2018-06-19T17:48:00Z</dcterms:created>
  <dcterms:modified xsi:type="dcterms:W3CDTF">2018-06-19T18:24:00Z</dcterms:modified>
</cp:coreProperties>
</file>