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D6156" w14:textId="77777777" w:rsidR="006E4192" w:rsidRDefault="006E4192" w:rsidP="006E4192">
      <w:pPr>
        <w:pStyle w:val="Title"/>
        <w:rPr>
          <w:sz w:val="32"/>
          <w:szCs w:val="32"/>
        </w:rPr>
      </w:pPr>
      <w:r>
        <w:rPr>
          <w:sz w:val="32"/>
          <w:szCs w:val="32"/>
        </w:rPr>
        <w:t>Name: Maria Ramona Petrache</w:t>
      </w:r>
    </w:p>
    <w:p w14:paraId="1F1C0326" w14:textId="77777777" w:rsidR="006E4192" w:rsidRDefault="006E4192" w:rsidP="006E4192">
      <w:pPr>
        <w:pStyle w:val="Title"/>
        <w:rPr>
          <w:sz w:val="32"/>
          <w:szCs w:val="32"/>
        </w:rPr>
      </w:pPr>
      <w:r>
        <w:rPr>
          <w:sz w:val="32"/>
          <w:szCs w:val="32"/>
        </w:rPr>
        <w:t>Student id: 2215627</w:t>
      </w:r>
    </w:p>
    <w:p w14:paraId="10B199A8" w14:textId="59E3D2EF" w:rsidR="006E4192" w:rsidRDefault="006E4192" w:rsidP="006E4192">
      <w:pPr>
        <w:pStyle w:val="Title"/>
        <w:rPr>
          <w:sz w:val="32"/>
          <w:szCs w:val="32"/>
        </w:rPr>
      </w:pPr>
      <w:r>
        <w:rPr>
          <w:sz w:val="32"/>
          <w:szCs w:val="32"/>
        </w:rPr>
        <w:t>Module Code: LCBB400</w:t>
      </w:r>
      <w:r>
        <w:rPr>
          <w:sz w:val="32"/>
          <w:szCs w:val="32"/>
        </w:rPr>
        <w:t>2</w:t>
      </w:r>
    </w:p>
    <w:p w14:paraId="08607523" w14:textId="1596F313" w:rsidR="006E4192" w:rsidRDefault="006E4192" w:rsidP="006E4192">
      <w:pPr>
        <w:pStyle w:val="Title"/>
        <w:rPr>
          <w:sz w:val="32"/>
          <w:szCs w:val="32"/>
        </w:rPr>
      </w:pPr>
      <w:r>
        <w:rPr>
          <w:sz w:val="32"/>
          <w:szCs w:val="32"/>
        </w:rPr>
        <w:t xml:space="preserve">Module Name: </w:t>
      </w:r>
      <w:r w:rsidR="008D6716">
        <w:rPr>
          <w:sz w:val="32"/>
          <w:szCs w:val="32"/>
        </w:rPr>
        <w:t>Community Engagement</w:t>
      </w:r>
    </w:p>
    <w:p w14:paraId="777A6E8B" w14:textId="682BC31C" w:rsidR="006E4192" w:rsidRDefault="006E4192" w:rsidP="006E4192">
      <w:pPr>
        <w:spacing w:line="360" w:lineRule="auto"/>
        <w:rPr>
          <w:rFonts w:cs="Times New Roman"/>
          <w:b/>
          <w:bCs/>
          <w:color w:val="000000" w:themeColor="text1"/>
          <w:sz w:val="24"/>
          <w:szCs w:val="24"/>
        </w:rPr>
      </w:pPr>
      <w:r>
        <w:rPr>
          <w:sz w:val="32"/>
          <w:szCs w:val="32"/>
        </w:rPr>
        <w:t xml:space="preserve">Lecture: DR. </w:t>
      </w:r>
      <w:r w:rsidR="00320714">
        <w:rPr>
          <w:sz w:val="32"/>
          <w:szCs w:val="32"/>
        </w:rPr>
        <w:t>Nadeem Mirza</w:t>
      </w:r>
    </w:p>
    <w:p w14:paraId="604D9CA6"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1C7F6373"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5E16EFC4"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30F92CDD"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623ADB05"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06F14CA0"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721548A0"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35900C4D"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7234A848"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6928C8D7" w14:textId="77777777" w:rsidR="00CB032F" w:rsidRPr="00577F99" w:rsidRDefault="00CB032F" w:rsidP="00CB032F">
      <w:pPr>
        <w:pStyle w:val="Normal1"/>
        <w:spacing w:line="360" w:lineRule="auto"/>
        <w:jc w:val="center"/>
        <w:rPr>
          <w:rFonts w:ascii="Times New Roman" w:hAnsi="Times New Roman" w:cs="Times New Roman"/>
          <w:b/>
          <w:sz w:val="32"/>
          <w:szCs w:val="32"/>
        </w:rPr>
      </w:pPr>
    </w:p>
    <w:p w14:paraId="5CADD584" w14:textId="77777777" w:rsidR="00CB032F" w:rsidRPr="00577F99" w:rsidRDefault="0007492B" w:rsidP="00042D68">
      <w:pPr>
        <w:jc w:val="center"/>
        <w:rPr>
          <w:rFonts w:ascii="Times New Roman" w:hAnsi="Times New Roman" w:cs="Times New Roman"/>
          <w:sz w:val="32"/>
          <w:szCs w:val="32"/>
        </w:rPr>
      </w:pPr>
      <w:r w:rsidRPr="00577F99">
        <w:rPr>
          <w:rFonts w:ascii="Times New Roman" w:hAnsi="Times New Roman" w:cs="Times New Roman"/>
          <w:b/>
          <w:sz w:val="32"/>
          <w:szCs w:val="32"/>
        </w:rPr>
        <w:t>Community Engagement</w:t>
      </w:r>
      <w:r w:rsidRPr="00577F99">
        <w:rPr>
          <w:rFonts w:ascii="Times New Roman" w:hAnsi="Times New Roman" w:cs="Times New Roman"/>
          <w:sz w:val="32"/>
          <w:szCs w:val="32"/>
        </w:rPr>
        <w:br w:type="page"/>
      </w:r>
    </w:p>
    <w:sdt>
      <w:sdtPr>
        <w:rPr>
          <w:rFonts w:ascii="Arial" w:eastAsia="Arial" w:hAnsi="Arial" w:cs="Arial"/>
          <w:b w:val="0"/>
          <w:bCs w:val="0"/>
          <w:color w:val="auto"/>
          <w:sz w:val="22"/>
          <w:szCs w:val="22"/>
        </w:rPr>
        <w:id w:val="414114145"/>
        <w:docPartObj>
          <w:docPartGallery w:val="Table of Contents"/>
          <w:docPartUnique/>
        </w:docPartObj>
      </w:sdtPr>
      <w:sdtEndPr/>
      <w:sdtContent>
        <w:p w14:paraId="13E51AFF" w14:textId="77777777" w:rsidR="00CB032F" w:rsidRPr="00577F99" w:rsidRDefault="00CB032F" w:rsidP="00CB032F">
          <w:pPr>
            <w:pStyle w:val="TOCHeading"/>
            <w:jc w:val="center"/>
            <w:rPr>
              <w:rFonts w:ascii="Times New Roman" w:hAnsi="Times New Roman" w:cs="Times New Roman"/>
              <w:color w:val="auto"/>
              <w:sz w:val="24"/>
              <w:szCs w:val="24"/>
            </w:rPr>
          </w:pPr>
          <w:r w:rsidRPr="00577F99">
            <w:rPr>
              <w:rFonts w:ascii="Times New Roman" w:hAnsi="Times New Roman" w:cs="Times New Roman"/>
              <w:color w:val="auto"/>
            </w:rPr>
            <w:t>Table of Contents</w:t>
          </w:r>
        </w:p>
        <w:p w14:paraId="57496DA5" w14:textId="77777777" w:rsidR="00024D3D" w:rsidRPr="0095296B" w:rsidRDefault="00320714">
          <w:pPr>
            <w:pStyle w:val="TOC1"/>
            <w:tabs>
              <w:tab w:val="right" w:leader="dot" w:pos="9350"/>
            </w:tabs>
            <w:rPr>
              <w:rFonts w:ascii="Times New Roman" w:eastAsiaTheme="minorEastAsia" w:hAnsi="Times New Roman" w:cs="Times New Roman"/>
              <w:noProof/>
              <w:sz w:val="24"/>
              <w:szCs w:val="24"/>
            </w:rPr>
          </w:pPr>
          <w:hyperlink w:anchor="_Toc129875954" w:history="1">
            <w:r w:rsidR="00024D3D" w:rsidRPr="0095296B">
              <w:rPr>
                <w:rStyle w:val="Hyperlink"/>
                <w:rFonts w:ascii="Times New Roman" w:hAnsi="Times New Roman" w:cs="Times New Roman"/>
                <w:noProof/>
                <w:color w:val="auto"/>
                <w:sz w:val="24"/>
                <w:szCs w:val="24"/>
              </w:rPr>
              <w:t>Introduction</w:t>
            </w:r>
            <w:r w:rsidR="00024D3D" w:rsidRPr="0095296B">
              <w:rPr>
                <w:rFonts w:ascii="Times New Roman" w:hAnsi="Times New Roman" w:cs="Times New Roman"/>
                <w:noProof/>
                <w:webHidden/>
                <w:sz w:val="24"/>
                <w:szCs w:val="24"/>
              </w:rPr>
              <w:tab/>
            </w:r>
            <w:r w:rsidR="00770AF8" w:rsidRPr="0095296B">
              <w:rPr>
                <w:rFonts w:ascii="Times New Roman" w:hAnsi="Times New Roman" w:cs="Times New Roman"/>
                <w:noProof/>
                <w:webHidden/>
                <w:sz w:val="24"/>
                <w:szCs w:val="24"/>
              </w:rPr>
              <w:fldChar w:fldCharType="begin"/>
            </w:r>
            <w:r w:rsidR="00024D3D" w:rsidRPr="0095296B">
              <w:rPr>
                <w:rFonts w:ascii="Times New Roman" w:hAnsi="Times New Roman" w:cs="Times New Roman"/>
                <w:noProof/>
                <w:webHidden/>
                <w:sz w:val="24"/>
                <w:szCs w:val="24"/>
              </w:rPr>
              <w:instrText xml:space="preserve"> PAGEREF _Toc129875954 \h </w:instrText>
            </w:r>
            <w:r w:rsidR="00770AF8" w:rsidRPr="0095296B">
              <w:rPr>
                <w:rFonts w:ascii="Times New Roman" w:hAnsi="Times New Roman" w:cs="Times New Roman"/>
                <w:noProof/>
                <w:webHidden/>
                <w:sz w:val="24"/>
                <w:szCs w:val="24"/>
              </w:rPr>
            </w:r>
            <w:r w:rsidR="00770AF8" w:rsidRPr="0095296B">
              <w:rPr>
                <w:rFonts w:ascii="Times New Roman" w:hAnsi="Times New Roman" w:cs="Times New Roman"/>
                <w:noProof/>
                <w:webHidden/>
                <w:sz w:val="24"/>
                <w:szCs w:val="24"/>
              </w:rPr>
              <w:fldChar w:fldCharType="separate"/>
            </w:r>
            <w:r w:rsidR="00024D3D" w:rsidRPr="0095296B">
              <w:rPr>
                <w:rFonts w:ascii="Times New Roman" w:hAnsi="Times New Roman" w:cs="Times New Roman"/>
                <w:noProof/>
                <w:webHidden/>
                <w:sz w:val="24"/>
                <w:szCs w:val="24"/>
              </w:rPr>
              <w:t>3</w:t>
            </w:r>
            <w:r w:rsidR="00770AF8" w:rsidRPr="0095296B">
              <w:rPr>
                <w:rFonts w:ascii="Times New Roman" w:hAnsi="Times New Roman" w:cs="Times New Roman"/>
                <w:noProof/>
                <w:webHidden/>
                <w:sz w:val="24"/>
                <w:szCs w:val="24"/>
              </w:rPr>
              <w:fldChar w:fldCharType="end"/>
            </w:r>
          </w:hyperlink>
        </w:p>
        <w:p w14:paraId="370037F2" w14:textId="77777777" w:rsidR="00024D3D" w:rsidRPr="0095296B" w:rsidRDefault="00320714">
          <w:pPr>
            <w:pStyle w:val="TOC1"/>
            <w:tabs>
              <w:tab w:val="right" w:leader="dot" w:pos="9350"/>
            </w:tabs>
            <w:rPr>
              <w:rFonts w:ascii="Times New Roman" w:eastAsiaTheme="minorEastAsia" w:hAnsi="Times New Roman" w:cs="Times New Roman"/>
              <w:noProof/>
              <w:sz w:val="24"/>
              <w:szCs w:val="24"/>
            </w:rPr>
          </w:pPr>
          <w:hyperlink w:anchor="_Toc129875955" w:history="1">
            <w:r w:rsidR="00024D3D" w:rsidRPr="0095296B">
              <w:rPr>
                <w:rStyle w:val="Hyperlink"/>
                <w:rFonts w:ascii="Times New Roman" w:hAnsi="Times New Roman" w:cs="Times New Roman"/>
                <w:noProof/>
                <w:color w:val="auto"/>
                <w:sz w:val="24"/>
                <w:szCs w:val="24"/>
              </w:rPr>
              <w:t>Body</w:t>
            </w:r>
            <w:r w:rsidR="00024D3D" w:rsidRPr="0095296B">
              <w:rPr>
                <w:rFonts w:ascii="Times New Roman" w:hAnsi="Times New Roman" w:cs="Times New Roman"/>
                <w:noProof/>
                <w:webHidden/>
                <w:sz w:val="24"/>
                <w:szCs w:val="24"/>
              </w:rPr>
              <w:tab/>
              <w:t>3</w:t>
            </w:r>
          </w:hyperlink>
        </w:p>
        <w:p w14:paraId="1E6F1310" w14:textId="77777777" w:rsidR="00024D3D" w:rsidRPr="0095296B" w:rsidRDefault="00320714">
          <w:pPr>
            <w:pStyle w:val="TOC2"/>
            <w:tabs>
              <w:tab w:val="right" w:leader="dot" w:pos="9350"/>
            </w:tabs>
            <w:rPr>
              <w:rFonts w:ascii="Times New Roman" w:eastAsiaTheme="minorEastAsia" w:hAnsi="Times New Roman" w:cs="Times New Roman"/>
              <w:noProof/>
              <w:sz w:val="24"/>
              <w:szCs w:val="24"/>
            </w:rPr>
          </w:pPr>
          <w:hyperlink w:anchor="_Toc129875956" w:history="1">
            <w:r w:rsidR="00024D3D" w:rsidRPr="0095296B">
              <w:rPr>
                <w:rStyle w:val="Hyperlink"/>
                <w:rFonts w:ascii="Times New Roman" w:hAnsi="Times New Roman" w:cs="Times New Roman"/>
                <w:noProof/>
                <w:color w:val="auto"/>
                <w:sz w:val="24"/>
                <w:szCs w:val="24"/>
              </w:rPr>
              <w:t>Current issues:</w:t>
            </w:r>
            <w:r w:rsidR="00024D3D" w:rsidRPr="0095296B">
              <w:rPr>
                <w:rFonts w:ascii="Times New Roman" w:hAnsi="Times New Roman" w:cs="Times New Roman"/>
                <w:noProof/>
                <w:webHidden/>
                <w:sz w:val="24"/>
                <w:szCs w:val="24"/>
              </w:rPr>
              <w:tab/>
              <w:t>3</w:t>
            </w:r>
          </w:hyperlink>
        </w:p>
        <w:p w14:paraId="263AFF9E" w14:textId="77777777" w:rsidR="00024D3D" w:rsidRPr="0095296B" w:rsidRDefault="00320714">
          <w:pPr>
            <w:pStyle w:val="TOC2"/>
            <w:tabs>
              <w:tab w:val="right" w:leader="dot" w:pos="9350"/>
            </w:tabs>
            <w:rPr>
              <w:rFonts w:ascii="Times New Roman" w:eastAsiaTheme="minorEastAsia" w:hAnsi="Times New Roman" w:cs="Times New Roman"/>
              <w:noProof/>
              <w:sz w:val="24"/>
              <w:szCs w:val="24"/>
            </w:rPr>
          </w:pPr>
          <w:hyperlink w:anchor="_Toc129875957" w:history="1">
            <w:r w:rsidR="00024D3D" w:rsidRPr="0095296B">
              <w:rPr>
                <w:rStyle w:val="Hyperlink"/>
                <w:rFonts w:ascii="Times New Roman" w:hAnsi="Times New Roman" w:cs="Times New Roman"/>
                <w:noProof/>
                <w:color w:val="auto"/>
                <w:sz w:val="24"/>
                <w:szCs w:val="24"/>
              </w:rPr>
              <w:t>Key stakeholder in the council</w:t>
            </w:r>
            <w:r w:rsidR="00024D3D" w:rsidRPr="0095296B">
              <w:rPr>
                <w:rFonts w:ascii="Times New Roman" w:hAnsi="Times New Roman" w:cs="Times New Roman"/>
                <w:noProof/>
                <w:webHidden/>
                <w:sz w:val="24"/>
                <w:szCs w:val="24"/>
              </w:rPr>
              <w:tab/>
              <w:t>4</w:t>
            </w:r>
          </w:hyperlink>
        </w:p>
        <w:p w14:paraId="406D09B8" w14:textId="77777777" w:rsidR="00024D3D" w:rsidRPr="0095296B" w:rsidRDefault="00320714">
          <w:pPr>
            <w:pStyle w:val="TOC2"/>
            <w:tabs>
              <w:tab w:val="right" w:leader="dot" w:pos="9350"/>
            </w:tabs>
            <w:rPr>
              <w:rFonts w:ascii="Times New Roman" w:eastAsiaTheme="minorEastAsia" w:hAnsi="Times New Roman" w:cs="Times New Roman"/>
              <w:noProof/>
              <w:sz w:val="24"/>
              <w:szCs w:val="24"/>
            </w:rPr>
          </w:pPr>
          <w:hyperlink w:anchor="_Toc129875958" w:history="1">
            <w:r w:rsidR="00024D3D" w:rsidRPr="0095296B">
              <w:rPr>
                <w:rStyle w:val="Hyperlink"/>
                <w:rFonts w:ascii="Times New Roman" w:hAnsi="Times New Roman" w:cs="Times New Roman"/>
                <w:noProof/>
                <w:color w:val="auto"/>
                <w:sz w:val="24"/>
                <w:szCs w:val="24"/>
              </w:rPr>
              <w:t>Suitable ways to engage the council:</w:t>
            </w:r>
            <w:r w:rsidR="00024D3D" w:rsidRPr="0095296B">
              <w:rPr>
                <w:rFonts w:ascii="Times New Roman" w:hAnsi="Times New Roman" w:cs="Times New Roman"/>
                <w:noProof/>
                <w:webHidden/>
                <w:sz w:val="24"/>
                <w:szCs w:val="24"/>
              </w:rPr>
              <w:tab/>
              <w:t>5</w:t>
            </w:r>
          </w:hyperlink>
        </w:p>
        <w:p w14:paraId="321AAFF6" w14:textId="77777777" w:rsidR="00024D3D" w:rsidRPr="0095296B" w:rsidRDefault="00320714">
          <w:pPr>
            <w:pStyle w:val="TOC2"/>
            <w:tabs>
              <w:tab w:val="right" w:leader="dot" w:pos="9350"/>
            </w:tabs>
            <w:rPr>
              <w:rFonts w:ascii="Times New Roman" w:eastAsiaTheme="minorEastAsia" w:hAnsi="Times New Roman" w:cs="Times New Roman"/>
              <w:noProof/>
              <w:sz w:val="24"/>
              <w:szCs w:val="24"/>
            </w:rPr>
          </w:pPr>
          <w:hyperlink w:anchor="_Toc129875959" w:history="1">
            <w:r w:rsidR="00024D3D" w:rsidRPr="0095296B">
              <w:rPr>
                <w:rStyle w:val="Hyperlink"/>
                <w:rFonts w:ascii="Times New Roman" w:hAnsi="Times New Roman" w:cs="Times New Roman"/>
                <w:noProof/>
                <w:color w:val="auto"/>
                <w:sz w:val="24"/>
                <w:szCs w:val="24"/>
              </w:rPr>
              <w:t>Justification of the methods:</w:t>
            </w:r>
            <w:r w:rsidR="00024D3D" w:rsidRPr="0095296B">
              <w:rPr>
                <w:rFonts w:ascii="Times New Roman" w:hAnsi="Times New Roman" w:cs="Times New Roman"/>
                <w:noProof/>
                <w:webHidden/>
                <w:sz w:val="24"/>
                <w:szCs w:val="24"/>
              </w:rPr>
              <w:tab/>
              <w:t>6</w:t>
            </w:r>
          </w:hyperlink>
        </w:p>
        <w:p w14:paraId="44DD3B38" w14:textId="77777777" w:rsidR="00024D3D" w:rsidRPr="0095296B" w:rsidRDefault="00320714">
          <w:pPr>
            <w:pStyle w:val="TOC2"/>
            <w:tabs>
              <w:tab w:val="right" w:leader="dot" w:pos="9350"/>
            </w:tabs>
            <w:rPr>
              <w:rFonts w:ascii="Times New Roman" w:eastAsiaTheme="minorEastAsia" w:hAnsi="Times New Roman" w:cs="Times New Roman"/>
              <w:noProof/>
              <w:sz w:val="24"/>
              <w:szCs w:val="24"/>
            </w:rPr>
          </w:pPr>
          <w:hyperlink w:anchor="_Toc129875960" w:history="1">
            <w:r w:rsidR="00024D3D" w:rsidRPr="0095296B">
              <w:rPr>
                <w:rStyle w:val="Hyperlink"/>
                <w:rFonts w:ascii="Times New Roman" w:hAnsi="Times New Roman" w:cs="Times New Roman"/>
                <w:noProof/>
                <w:color w:val="auto"/>
                <w:sz w:val="24"/>
                <w:szCs w:val="24"/>
              </w:rPr>
              <w:t>Participation, collaboration:</w:t>
            </w:r>
            <w:r w:rsidR="00024D3D" w:rsidRPr="0095296B">
              <w:rPr>
                <w:rFonts w:ascii="Times New Roman" w:hAnsi="Times New Roman" w:cs="Times New Roman"/>
                <w:noProof/>
                <w:webHidden/>
                <w:sz w:val="24"/>
                <w:szCs w:val="24"/>
              </w:rPr>
              <w:tab/>
              <w:t>7</w:t>
            </w:r>
          </w:hyperlink>
        </w:p>
        <w:p w14:paraId="7635BECA" w14:textId="77777777" w:rsidR="00024D3D" w:rsidRPr="0095296B" w:rsidRDefault="00320714">
          <w:pPr>
            <w:pStyle w:val="TOC2"/>
            <w:tabs>
              <w:tab w:val="right" w:leader="dot" w:pos="9350"/>
            </w:tabs>
            <w:rPr>
              <w:rFonts w:ascii="Times New Roman" w:eastAsiaTheme="minorEastAsia" w:hAnsi="Times New Roman" w:cs="Times New Roman"/>
              <w:noProof/>
              <w:sz w:val="24"/>
              <w:szCs w:val="24"/>
            </w:rPr>
          </w:pPr>
          <w:hyperlink w:anchor="_Toc129875961" w:history="1">
            <w:r w:rsidR="00024D3D" w:rsidRPr="0095296B">
              <w:rPr>
                <w:rStyle w:val="Hyperlink"/>
                <w:rFonts w:ascii="Times New Roman" w:hAnsi="Times New Roman" w:cs="Times New Roman"/>
                <w:noProof/>
                <w:color w:val="auto"/>
                <w:sz w:val="24"/>
                <w:szCs w:val="24"/>
              </w:rPr>
              <w:t>Diversity, and inclusion of the stakeholders</w:t>
            </w:r>
            <w:r w:rsidR="00024D3D" w:rsidRPr="0095296B">
              <w:rPr>
                <w:rFonts w:ascii="Times New Roman" w:hAnsi="Times New Roman" w:cs="Times New Roman"/>
                <w:noProof/>
                <w:webHidden/>
                <w:sz w:val="24"/>
                <w:szCs w:val="24"/>
              </w:rPr>
              <w:tab/>
              <w:t>8</w:t>
            </w:r>
          </w:hyperlink>
        </w:p>
        <w:p w14:paraId="06E5375C" w14:textId="77777777" w:rsidR="00024D3D" w:rsidRPr="0095296B" w:rsidRDefault="00320714">
          <w:pPr>
            <w:pStyle w:val="TOC1"/>
            <w:tabs>
              <w:tab w:val="right" w:leader="dot" w:pos="9350"/>
            </w:tabs>
            <w:rPr>
              <w:rFonts w:ascii="Times New Roman" w:eastAsiaTheme="minorEastAsia" w:hAnsi="Times New Roman" w:cs="Times New Roman"/>
              <w:noProof/>
              <w:sz w:val="24"/>
              <w:szCs w:val="24"/>
            </w:rPr>
          </w:pPr>
          <w:hyperlink w:anchor="_Toc129875962" w:history="1">
            <w:r w:rsidR="00024D3D" w:rsidRPr="0095296B">
              <w:rPr>
                <w:rStyle w:val="Hyperlink"/>
                <w:rFonts w:ascii="Times New Roman" w:hAnsi="Times New Roman" w:cs="Times New Roman"/>
                <w:noProof/>
                <w:color w:val="auto"/>
                <w:sz w:val="24"/>
                <w:szCs w:val="24"/>
              </w:rPr>
              <w:t>Conclusion</w:t>
            </w:r>
            <w:r w:rsidR="00024D3D" w:rsidRPr="0095296B">
              <w:rPr>
                <w:rFonts w:ascii="Times New Roman" w:hAnsi="Times New Roman" w:cs="Times New Roman"/>
                <w:noProof/>
                <w:webHidden/>
                <w:sz w:val="24"/>
                <w:szCs w:val="24"/>
              </w:rPr>
              <w:tab/>
              <w:t>9</w:t>
            </w:r>
          </w:hyperlink>
        </w:p>
        <w:p w14:paraId="22896E29" w14:textId="77777777" w:rsidR="00024D3D" w:rsidRPr="0095296B" w:rsidRDefault="00320714">
          <w:pPr>
            <w:pStyle w:val="TOC1"/>
            <w:tabs>
              <w:tab w:val="right" w:leader="dot" w:pos="9350"/>
            </w:tabs>
            <w:rPr>
              <w:rFonts w:ascii="Times New Roman" w:eastAsiaTheme="minorEastAsia" w:hAnsi="Times New Roman" w:cs="Times New Roman"/>
              <w:noProof/>
              <w:sz w:val="24"/>
              <w:szCs w:val="24"/>
            </w:rPr>
          </w:pPr>
          <w:hyperlink w:anchor="_Toc129875963" w:history="1">
            <w:r w:rsidR="00024D3D" w:rsidRPr="0095296B">
              <w:rPr>
                <w:rStyle w:val="Hyperlink"/>
                <w:rFonts w:ascii="Times New Roman" w:hAnsi="Times New Roman" w:cs="Times New Roman"/>
                <w:noProof/>
                <w:color w:val="auto"/>
                <w:sz w:val="24"/>
                <w:szCs w:val="24"/>
              </w:rPr>
              <w:t>References</w:t>
            </w:r>
            <w:r w:rsidR="00024D3D" w:rsidRPr="0095296B">
              <w:rPr>
                <w:rFonts w:ascii="Times New Roman" w:hAnsi="Times New Roman" w:cs="Times New Roman"/>
                <w:noProof/>
                <w:webHidden/>
                <w:sz w:val="24"/>
                <w:szCs w:val="24"/>
              </w:rPr>
              <w:tab/>
              <w:t>10</w:t>
            </w:r>
          </w:hyperlink>
        </w:p>
        <w:p w14:paraId="0D53D50B" w14:textId="77777777" w:rsidR="00CB032F" w:rsidRPr="00577F99" w:rsidRDefault="00320714"/>
      </w:sdtContent>
    </w:sdt>
    <w:p w14:paraId="6420B8AC" w14:textId="77777777" w:rsidR="00CB032F" w:rsidRPr="00577F99" w:rsidRDefault="00CB032F">
      <w:pPr>
        <w:rPr>
          <w:rFonts w:ascii="Times New Roman" w:hAnsi="Times New Roman" w:cs="Times New Roman"/>
          <w:sz w:val="32"/>
          <w:szCs w:val="32"/>
        </w:rPr>
      </w:pPr>
      <w:r w:rsidRPr="00577F99">
        <w:rPr>
          <w:rFonts w:ascii="Times New Roman" w:hAnsi="Times New Roman" w:cs="Times New Roman"/>
          <w:sz w:val="32"/>
          <w:szCs w:val="32"/>
        </w:rPr>
        <w:br w:type="page"/>
      </w:r>
    </w:p>
    <w:p w14:paraId="565988BB" w14:textId="77777777" w:rsidR="008E230A" w:rsidRPr="00577F99" w:rsidRDefault="0007492B" w:rsidP="00CB032F">
      <w:pPr>
        <w:pStyle w:val="Heading1"/>
      </w:pPr>
      <w:bookmarkStart w:id="0" w:name="_Toc129874795"/>
      <w:bookmarkStart w:id="1" w:name="_Toc129875954"/>
      <w:r w:rsidRPr="00577F99">
        <w:lastRenderedPageBreak/>
        <w:t>Introduction</w:t>
      </w:r>
      <w:bookmarkEnd w:id="0"/>
      <w:bookmarkEnd w:id="1"/>
    </w:p>
    <w:p w14:paraId="43DF5D80"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This study focuses on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and its stakeholders, exploring suitable ways to engage with stakeholders and the importance of stakeholder participation, collaboration, diversity, and inclusion.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serves a diverse community, and effective stakeholder engagement is crucial to ensure that its activities and initiatives reflect the needs and interests of all members of the community. This study will explore the benefits of stakeholder engagement, including increased buy-in, ownership, and innovation, as well as the importance of diversity and inclusion in decision-making processes. By understanding the best practices for engaging stakeholders and promoting diversity and inclusion,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can enhance its effectiveness and better serve the community it serves.</w:t>
      </w:r>
    </w:p>
    <w:p w14:paraId="6B12E318" w14:textId="77777777" w:rsidR="00024D3D" w:rsidRPr="00577F99" w:rsidRDefault="00024D3D" w:rsidP="00024D3D">
      <w:pPr>
        <w:pStyle w:val="Heading1"/>
      </w:pPr>
      <w:bookmarkStart w:id="2" w:name="_Toc129875955"/>
      <w:r w:rsidRPr="00577F99">
        <w:t>Body</w:t>
      </w:r>
      <w:bookmarkEnd w:id="2"/>
    </w:p>
    <w:p w14:paraId="4E9F09A0" w14:textId="77777777" w:rsidR="008E230A" w:rsidRPr="00577F99" w:rsidRDefault="0007492B" w:rsidP="00CB032F">
      <w:pPr>
        <w:pStyle w:val="Heading2"/>
      </w:pPr>
      <w:bookmarkStart w:id="3" w:name="_Toc129874796"/>
      <w:bookmarkStart w:id="4" w:name="_Toc129875956"/>
      <w:r w:rsidRPr="00577F99">
        <w:t>Current issues</w:t>
      </w:r>
      <w:r w:rsidR="00CB032F" w:rsidRPr="00577F99">
        <w:t>:</w:t>
      </w:r>
      <w:bookmarkEnd w:id="3"/>
      <w:bookmarkEnd w:id="4"/>
    </w:p>
    <w:p w14:paraId="46412D58"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Community engagement principles are essential in ensuring that the council is responsive to the needs and concerns of the community it </w:t>
      </w:r>
      <w:proofErr w:type="gramStart"/>
      <w:r w:rsidRPr="00577F99">
        <w:rPr>
          <w:rFonts w:ascii="Times New Roman" w:hAnsi="Times New Roman" w:cs="Times New Roman"/>
          <w:sz w:val="24"/>
          <w:szCs w:val="24"/>
        </w:rPr>
        <w:t>serves(</w:t>
      </w:r>
      <w:proofErr w:type="gramEnd"/>
      <w:r w:rsidRPr="00577F99">
        <w:rPr>
          <w:rFonts w:ascii="Times New Roman" w:hAnsi="Times New Roman" w:cs="Times New Roman"/>
          <w:sz w:val="24"/>
          <w:szCs w:val="24"/>
          <w:highlight w:val="white"/>
        </w:rPr>
        <w:t>Tambo et al, 2021)</w:t>
      </w:r>
      <w:r w:rsidRPr="00577F99">
        <w:rPr>
          <w:rFonts w:ascii="Times New Roman" w:hAnsi="Times New Roman" w:cs="Times New Roman"/>
          <w:sz w:val="24"/>
          <w:szCs w:val="24"/>
        </w:rPr>
        <w:t>. Some of the key principles include transparency, accountability, inclusivity, and responsiveness. The council should be transparent in its decision-making processes, accountable for its actions, inclusive of diverse voices, and responsive to the needs of the community. Standards are also critical in ensuring that the council operates ethically and efficiently. Standards can include codes of conduct, policies and procedures, and regulatory frameworks. The council should have clear standards that guide its operations and ensure that it operates in the best interest of the community. Consultation methods are necessary for ensuring that the council engages with the community in a meaningful way. The council should use a range of consultation methods, such as public meetings, surveys, and focus groups, to gather feedback and input from the community. Stakeholders’ participation is also essential in ensuring that the council works collaboratively with the community.</w:t>
      </w:r>
    </w:p>
    <w:p w14:paraId="4D756A3A"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The council should engage with a broad range of stakeholders, including residents, community groups, businesses, and other organizations, to ensure that their views are </w:t>
      </w:r>
      <w:proofErr w:type="gramStart"/>
      <w:r w:rsidRPr="00577F99">
        <w:rPr>
          <w:rFonts w:ascii="Times New Roman" w:hAnsi="Times New Roman" w:cs="Times New Roman"/>
          <w:sz w:val="24"/>
          <w:szCs w:val="24"/>
        </w:rPr>
        <w:t>taken into account</w:t>
      </w:r>
      <w:proofErr w:type="gramEnd"/>
      <w:r w:rsidRPr="00577F99">
        <w:rPr>
          <w:rFonts w:ascii="Times New Roman" w:hAnsi="Times New Roman" w:cs="Times New Roman"/>
          <w:sz w:val="24"/>
          <w:szCs w:val="24"/>
        </w:rPr>
        <w:t xml:space="preserve">. Empowerment is critical for ensuring that the community feels valued and that their voices are heard. The council should empower the community by providing them with the tools and resources </w:t>
      </w:r>
      <w:r w:rsidRPr="00577F99">
        <w:rPr>
          <w:rFonts w:ascii="Times New Roman" w:hAnsi="Times New Roman" w:cs="Times New Roman"/>
          <w:sz w:val="24"/>
          <w:szCs w:val="24"/>
        </w:rPr>
        <w:lastRenderedPageBreak/>
        <w:t xml:space="preserve">they need to participate effectively in decision-making processes. Feedback is essential for ensuring that the council is responsive to the needs and concerns of the community. The council should provide feedback to the community on its decisions and </w:t>
      </w:r>
      <w:proofErr w:type="gramStart"/>
      <w:r w:rsidRPr="00577F99">
        <w:rPr>
          <w:rFonts w:ascii="Times New Roman" w:hAnsi="Times New Roman" w:cs="Times New Roman"/>
          <w:sz w:val="24"/>
          <w:szCs w:val="24"/>
        </w:rPr>
        <w:t>actions, and</w:t>
      </w:r>
      <w:proofErr w:type="gramEnd"/>
      <w:r w:rsidRPr="00577F99">
        <w:rPr>
          <w:rFonts w:ascii="Times New Roman" w:hAnsi="Times New Roman" w:cs="Times New Roman"/>
          <w:sz w:val="24"/>
          <w:szCs w:val="24"/>
        </w:rPr>
        <w:t xml:space="preserve"> seek feedback from the community on its performance. In summary,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should ensure that it adheres to community engagement principles, standards, consultation methods, stakeholders’ participation, empowerment, and </w:t>
      </w:r>
      <w:proofErr w:type="gramStart"/>
      <w:r w:rsidRPr="00577F99">
        <w:rPr>
          <w:rFonts w:ascii="Times New Roman" w:hAnsi="Times New Roman" w:cs="Times New Roman"/>
          <w:sz w:val="24"/>
          <w:szCs w:val="24"/>
        </w:rPr>
        <w:t>feedback(</w:t>
      </w:r>
      <w:proofErr w:type="gramEnd"/>
      <w:r w:rsidRPr="00577F99">
        <w:rPr>
          <w:rFonts w:ascii="Times New Roman" w:hAnsi="Times New Roman" w:cs="Times New Roman"/>
          <w:sz w:val="24"/>
          <w:szCs w:val="24"/>
          <w:highlight w:val="white"/>
        </w:rPr>
        <w:t>Schmidt and Wood,  2019)</w:t>
      </w:r>
      <w:r w:rsidRPr="00577F99">
        <w:rPr>
          <w:rFonts w:ascii="Times New Roman" w:hAnsi="Times New Roman" w:cs="Times New Roman"/>
          <w:sz w:val="24"/>
          <w:szCs w:val="24"/>
        </w:rPr>
        <w:t>. This approach will enable the council to work collaboratively with the community and ensure that its decisions and actions are responsive to the needs and concerns of the community.</w:t>
      </w:r>
    </w:p>
    <w:p w14:paraId="2C790412" w14:textId="77777777" w:rsidR="008E230A" w:rsidRPr="00577F99" w:rsidRDefault="00CB032F" w:rsidP="00CB032F">
      <w:pPr>
        <w:pStyle w:val="Heading2"/>
      </w:pPr>
      <w:bookmarkStart w:id="5" w:name="_Toc129874797"/>
      <w:bookmarkStart w:id="6" w:name="_Toc129875957"/>
      <w:r w:rsidRPr="00577F99">
        <w:t>K</w:t>
      </w:r>
      <w:r w:rsidR="0007492B" w:rsidRPr="00577F99">
        <w:t>ey stakeholder in the council</w:t>
      </w:r>
      <w:bookmarkEnd w:id="5"/>
      <w:bookmarkEnd w:id="6"/>
      <w:r w:rsidR="0007492B" w:rsidRPr="00577F99">
        <w:t xml:space="preserve"> </w:t>
      </w:r>
    </w:p>
    <w:p w14:paraId="399DE794"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has a diverse range of stakeholders that are impacted by its decisions and actions. The key stakeholders of the council can be broadly classified into three categories: internal stakeholders, external stakeholders, and community stakeholders. Internal stakeholders include the council's employees, including council members, managers, and staff. These stakeholders have a direct interest in the council's operations, policies, and decisions. They are responsible for implementing the council's strategies and policies and ensuring that the council's goals are met. External stakeholders include individuals and organizations that have a direct interest in the council's </w:t>
      </w:r>
      <w:proofErr w:type="gramStart"/>
      <w:r w:rsidRPr="00577F99">
        <w:rPr>
          <w:rFonts w:ascii="Times New Roman" w:hAnsi="Times New Roman" w:cs="Times New Roman"/>
          <w:sz w:val="24"/>
          <w:szCs w:val="24"/>
        </w:rPr>
        <w:t>activities(</w:t>
      </w:r>
      <w:proofErr w:type="gramEnd"/>
      <w:r w:rsidRPr="00577F99">
        <w:rPr>
          <w:rFonts w:ascii="Times New Roman" w:hAnsi="Times New Roman" w:cs="Times New Roman"/>
          <w:sz w:val="24"/>
          <w:szCs w:val="24"/>
          <w:highlight w:val="white"/>
        </w:rPr>
        <w:t>Tembo et al, 2021)</w:t>
      </w:r>
      <w:r w:rsidRPr="00577F99">
        <w:rPr>
          <w:rFonts w:ascii="Times New Roman" w:hAnsi="Times New Roman" w:cs="Times New Roman"/>
          <w:sz w:val="24"/>
          <w:szCs w:val="24"/>
        </w:rPr>
        <w:t xml:space="preserve">. These stakeholders include local businesses, non-governmental organizations, and other government agencies. They are impacted by the council's decisions and policies and can provide valuable feedback and support to the council. Community stakeholders include the residents of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including individuals, families, and community groups. These stakeholders have a direct interest in the council's decisions and policies, as they are impacted by them in their daily lives. They are the primary beneficiaries of the council's services and are an essential source of feedback and input for the council. Each stakeholder group has its unique needs and interests, and the council must engage with them effectively to ensure that their views are </w:t>
      </w:r>
      <w:proofErr w:type="gramStart"/>
      <w:r w:rsidRPr="00577F99">
        <w:rPr>
          <w:rFonts w:ascii="Times New Roman" w:hAnsi="Times New Roman" w:cs="Times New Roman"/>
          <w:sz w:val="24"/>
          <w:szCs w:val="24"/>
        </w:rPr>
        <w:t>taken into account</w:t>
      </w:r>
      <w:proofErr w:type="gramEnd"/>
      <w:r w:rsidRPr="00577F99">
        <w:rPr>
          <w:rFonts w:ascii="Times New Roman" w:hAnsi="Times New Roman" w:cs="Times New Roman"/>
          <w:sz w:val="24"/>
          <w:szCs w:val="24"/>
        </w:rPr>
        <w:t xml:space="preserve"> in decision-making processes. Effective stakeholder engagement is essential for building trust and fostering collaboration between the council and its stakeholders. The council should use a range of engagement methods, such as public meetings, surveys, and focus groups, to gather feedback and input from its stakeholders and ensure that their views are considered in decision-making processes.</w:t>
      </w:r>
    </w:p>
    <w:p w14:paraId="79C9E5B7" w14:textId="77777777" w:rsidR="008E230A" w:rsidRPr="00577F99" w:rsidRDefault="0007492B" w:rsidP="00CB032F">
      <w:pPr>
        <w:pStyle w:val="Heading2"/>
      </w:pPr>
      <w:bookmarkStart w:id="7" w:name="_Toc129874798"/>
      <w:bookmarkStart w:id="8" w:name="_Toc129875958"/>
      <w:r w:rsidRPr="00577F99">
        <w:lastRenderedPageBreak/>
        <w:t>Suitable ways to engage the council</w:t>
      </w:r>
      <w:r w:rsidR="00CB032F" w:rsidRPr="00577F99">
        <w:t>:</w:t>
      </w:r>
      <w:bookmarkEnd w:id="7"/>
      <w:bookmarkEnd w:id="8"/>
    </w:p>
    <w:p w14:paraId="517E8C39"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Engaging with stakeholders of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is an important aspect of building relationships, trust, and understanding between the council and the wider </w:t>
      </w:r>
      <w:proofErr w:type="gramStart"/>
      <w:r w:rsidRPr="00577F99">
        <w:rPr>
          <w:rFonts w:ascii="Times New Roman" w:hAnsi="Times New Roman" w:cs="Times New Roman"/>
          <w:sz w:val="24"/>
          <w:szCs w:val="24"/>
        </w:rPr>
        <w:t>community(</w:t>
      </w:r>
      <w:proofErr w:type="spellStart"/>
      <w:proofErr w:type="gramEnd"/>
      <w:r w:rsidRPr="00577F99">
        <w:rPr>
          <w:rFonts w:ascii="Times New Roman" w:hAnsi="Times New Roman" w:cs="Times New Roman"/>
          <w:sz w:val="24"/>
          <w:szCs w:val="24"/>
          <w:highlight w:val="white"/>
        </w:rPr>
        <w:t>Zibrowski</w:t>
      </w:r>
      <w:proofErr w:type="spellEnd"/>
      <w:r w:rsidRPr="00577F99">
        <w:rPr>
          <w:rFonts w:ascii="Times New Roman" w:hAnsi="Times New Roman" w:cs="Times New Roman"/>
          <w:sz w:val="24"/>
          <w:szCs w:val="24"/>
          <w:highlight w:val="white"/>
        </w:rPr>
        <w:t xml:space="preserve"> et al, 2021)</w:t>
      </w:r>
      <w:r w:rsidRPr="00577F99">
        <w:rPr>
          <w:rFonts w:ascii="Times New Roman" w:hAnsi="Times New Roman" w:cs="Times New Roman"/>
          <w:sz w:val="24"/>
          <w:szCs w:val="24"/>
        </w:rPr>
        <w:t xml:space="preserve">. Here are some suitable ways to engage with stakeholders of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w:t>
      </w:r>
    </w:p>
    <w:p w14:paraId="7ED65286"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Hold public meetings: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can hold public meetings to engage with stakeholders, such as local businesses, residents, and community groups. These meetings can provide an opportunity to share updates on council activities and gather feedback from stakeholders.</w:t>
      </w:r>
    </w:p>
    <w:p w14:paraId="7F28ED7D"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Attend community events: Attending community events is a great way to engage with stakeholders and understand their needs and concerns. This can include events such as street fairs, community festivals, and charity events.</w:t>
      </w:r>
    </w:p>
    <w:p w14:paraId="602BDCB4"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Collaborate on community projects: Working together on community projects is an excellent way to engage with stakeholders and build relationships. This could involve partnering with local businesses to sponsor community events or working with community groups to support local initiatives.</w:t>
      </w:r>
    </w:p>
    <w:p w14:paraId="0DBECED1"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Use social media: Social media platforms such as Twitter, Facebook, and LinkedIn are a great way to engage with stakeholders and keep them informed about council </w:t>
      </w:r>
      <w:proofErr w:type="gramStart"/>
      <w:r w:rsidRPr="00577F99">
        <w:rPr>
          <w:rFonts w:ascii="Times New Roman" w:hAnsi="Times New Roman" w:cs="Times New Roman"/>
          <w:sz w:val="24"/>
          <w:szCs w:val="24"/>
        </w:rPr>
        <w:t>activities(</w:t>
      </w:r>
      <w:proofErr w:type="gramEnd"/>
      <w:r w:rsidRPr="00577F99">
        <w:rPr>
          <w:rFonts w:ascii="Times New Roman" w:hAnsi="Times New Roman" w:cs="Times New Roman"/>
          <w:sz w:val="24"/>
          <w:szCs w:val="24"/>
          <w:highlight w:val="white"/>
        </w:rPr>
        <w:t xml:space="preserve">Young, </w:t>
      </w:r>
      <w:proofErr w:type="spellStart"/>
      <w:r w:rsidRPr="00577F99">
        <w:rPr>
          <w:rFonts w:ascii="Times New Roman" w:hAnsi="Times New Roman" w:cs="Times New Roman"/>
          <w:sz w:val="24"/>
          <w:szCs w:val="24"/>
          <w:highlight w:val="white"/>
        </w:rPr>
        <w:t>Magassa</w:t>
      </w:r>
      <w:proofErr w:type="spellEnd"/>
      <w:r w:rsidRPr="00577F99">
        <w:rPr>
          <w:rFonts w:ascii="Times New Roman" w:hAnsi="Times New Roman" w:cs="Times New Roman"/>
          <w:sz w:val="24"/>
          <w:szCs w:val="24"/>
          <w:highlight w:val="white"/>
        </w:rPr>
        <w:t xml:space="preserve"> and Friedman, 2019)</w:t>
      </w:r>
      <w:r w:rsidRPr="00577F99">
        <w:rPr>
          <w:rFonts w:ascii="Times New Roman" w:hAnsi="Times New Roman" w:cs="Times New Roman"/>
          <w:sz w:val="24"/>
          <w:szCs w:val="24"/>
        </w:rPr>
        <w:t>. Regular updates can help build relationships and demonstrate the council's commitment to transparency and engagement.</w:t>
      </w:r>
    </w:p>
    <w:p w14:paraId="6C10F134"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Consultation and feedback: The council can use surveys, questionnaires, and feedback forms to gather information and feedback from stakeholders. This can provide valuable insights into stakeholder needs and concerns, as well as help identify areas for improvement.</w:t>
      </w:r>
    </w:p>
    <w:p w14:paraId="61024A74"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Workshops and training: The council can hold workshops and training sessions to provide stakeholders with information and skills that can help them engage more effectively with the council. These sessions could cover topics such as community organizing, public speaking, and social media engagement.</w:t>
      </w:r>
    </w:p>
    <w:p w14:paraId="2FEF3A01"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lastRenderedPageBreak/>
        <w:t xml:space="preserve">In all cases, it's essential to be respectful, transparent, and responsive in engaging with stakeholders. This can help build trust and </w:t>
      </w:r>
      <w:proofErr w:type="gramStart"/>
      <w:r w:rsidRPr="00577F99">
        <w:rPr>
          <w:rFonts w:ascii="Times New Roman" w:hAnsi="Times New Roman" w:cs="Times New Roman"/>
          <w:sz w:val="24"/>
          <w:szCs w:val="24"/>
        </w:rPr>
        <w:t>understanding, and</w:t>
      </w:r>
      <w:proofErr w:type="gramEnd"/>
      <w:r w:rsidRPr="00577F99">
        <w:rPr>
          <w:rFonts w:ascii="Times New Roman" w:hAnsi="Times New Roman" w:cs="Times New Roman"/>
          <w:sz w:val="24"/>
          <w:szCs w:val="24"/>
        </w:rPr>
        <w:t xml:space="preserve"> create a positive relationship between the council and the wider community.</w:t>
      </w:r>
    </w:p>
    <w:p w14:paraId="0791077E" w14:textId="77777777" w:rsidR="008E230A" w:rsidRPr="00577F99" w:rsidRDefault="0007492B" w:rsidP="00CB032F">
      <w:pPr>
        <w:pStyle w:val="Heading2"/>
      </w:pPr>
      <w:bookmarkStart w:id="9" w:name="_Toc129874799"/>
      <w:bookmarkStart w:id="10" w:name="_Toc129875959"/>
      <w:r w:rsidRPr="00577F99">
        <w:t>Justification of the methods</w:t>
      </w:r>
      <w:r w:rsidR="00CB032F" w:rsidRPr="00577F99">
        <w:t>:</w:t>
      </w:r>
      <w:bookmarkEnd w:id="9"/>
      <w:bookmarkEnd w:id="10"/>
    </w:p>
    <w:p w14:paraId="61D9190E"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The methods suggested for engaging with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and its stakeholders are justifiable for several reasons:</w:t>
      </w:r>
    </w:p>
    <w:p w14:paraId="60A31556"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Accessibility: The methods are accessible and inclusive, meaning that they can be used by a wide range of stakeholders with varying levels of knowledge and </w:t>
      </w:r>
      <w:proofErr w:type="gramStart"/>
      <w:r w:rsidRPr="00577F99">
        <w:rPr>
          <w:rFonts w:ascii="Times New Roman" w:hAnsi="Times New Roman" w:cs="Times New Roman"/>
          <w:sz w:val="24"/>
          <w:szCs w:val="24"/>
        </w:rPr>
        <w:t>expertise(</w:t>
      </w:r>
      <w:proofErr w:type="spellStart"/>
      <w:proofErr w:type="gramEnd"/>
      <w:r w:rsidRPr="00577F99">
        <w:rPr>
          <w:rFonts w:ascii="Times New Roman" w:hAnsi="Times New Roman" w:cs="Times New Roman"/>
          <w:sz w:val="24"/>
          <w:szCs w:val="24"/>
          <w:highlight w:val="white"/>
        </w:rPr>
        <w:t>Royo</w:t>
      </w:r>
      <w:proofErr w:type="spellEnd"/>
      <w:r w:rsidRPr="00577F99">
        <w:rPr>
          <w:rFonts w:ascii="Times New Roman" w:hAnsi="Times New Roman" w:cs="Times New Roman"/>
          <w:sz w:val="24"/>
          <w:szCs w:val="24"/>
          <w:highlight w:val="white"/>
        </w:rPr>
        <w:t>, Pina and Garcia-</w:t>
      </w:r>
      <w:proofErr w:type="spellStart"/>
      <w:r w:rsidRPr="00577F99">
        <w:rPr>
          <w:rFonts w:ascii="Times New Roman" w:hAnsi="Times New Roman" w:cs="Times New Roman"/>
          <w:sz w:val="24"/>
          <w:szCs w:val="24"/>
          <w:highlight w:val="white"/>
        </w:rPr>
        <w:t>Rayado</w:t>
      </w:r>
      <w:proofErr w:type="spellEnd"/>
      <w:r w:rsidRPr="00577F99">
        <w:rPr>
          <w:rFonts w:ascii="Times New Roman" w:hAnsi="Times New Roman" w:cs="Times New Roman"/>
          <w:sz w:val="24"/>
          <w:szCs w:val="24"/>
          <w:highlight w:val="white"/>
        </w:rPr>
        <w:t>, 2020)</w:t>
      </w:r>
      <w:r w:rsidRPr="00577F99">
        <w:rPr>
          <w:rFonts w:ascii="Times New Roman" w:hAnsi="Times New Roman" w:cs="Times New Roman"/>
          <w:sz w:val="24"/>
          <w:szCs w:val="24"/>
        </w:rPr>
        <w:t>. From attending public meetings to using social media, there are multiple ways for people to engage with the council, ensuring that everyone has a chance to participate.</w:t>
      </w:r>
    </w:p>
    <w:p w14:paraId="6B76699E"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Transparency: The methods are transparent and accountable, enabling stakeholders to learn about the council's activities and participate in decision-making processes. Through regular public meetings, consultations, and feedback mechanisms, stakeholders can provide feedback on the council's policies, plans, and initiatives. </w:t>
      </w:r>
    </w:p>
    <w:p w14:paraId="38BEC963"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Responsiveness: The methods are responsive, allowing the council to adapt to stakeholder needs and concerns. By gathering feedback and responding to it appropriately, the council can demonstrate its commitment to the community and build trust and confidence among stakeholders.</w:t>
      </w:r>
    </w:p>
    <w:p w14:paraId="0A409F87"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 Partnership: The methods encourage partnership and collaboration between the council and stakeholders. By working together on community projects, attending events, and engaging on social media, the council and stakeholders can build relationships, create shared goals, and establish a sense of community ownership and responsibility.</w:t>
      </w:r>
    </w:p>
    <w:p w14:paraId="6C34B93C"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Empowerment: The methods empower stakeholders, allowing them to take an active role in shaping the community they live in. By providing workshops and training sessions, stakeholders can gain the knowledge and skills necessary to engage effectively with the council, making their voices heard, and driving positive change.</w:t>
      </w:r>
    </w:p>
    <w:p w14:paraId="3DB31FAB"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lastRenderedPageBreak/>
        <w:t xml:space="preserve"> Overall, the suggested methods for engaging with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and its stakeholders are justifiable because they are inclusive, transparent, responsive, and empowering(</w:t>
      </w:r>
      <w:r w:rsidRPr="00577F99">
        <w:rPr>
          <w:rFonts w:ascii="Times New Roman" w:hAnsi="Times New Roman" w:cs="Times New Roman"/>
          <w:sz w:val="24"/>
          <w:szCs w:val="24"/>
          <w:highlight w:val="white"/>
        </w:rPr>
        <w:t>Biondi et al, 2020)</w:t>
      </w:r>
      <w:r w:rsidRPr="00577F99">
        <w:rPr>
          <w:rFonts w:ascii="Times New Roman" w:hAnsi="Times New Roman" w:cs="Times New Roman"/>
          <w:sz w:val="24"/>
          <w:szCs w:val="24"/>
        </w:rPr>
        <w:t>. By implementing these methods, the council can ensure that it is effectively serving the needs and interests of its community, building strong and collaborative relationships, and fostering a sense of shared responsibility for the future of the area.</w:t>
      </w:r>
    </w:p>
    <w:p w14:paraId="1BD2BA1E" w14:textId="77777777" w:rsidR="008E230A" w:rsidRPr="00577F99" w:rsidRDefault="00CB032F" w:rsidP="00CB032F">
      <w:pPr>
        <w:pStyle w:val="Heading2"/>
      </w:pPr>
      <w:bookmarkStart w:id="11" w:name="_Toc129874800"/>
      <w:bookmarkStart w:id="12" w:name="_Toc129875960"/>
      <w:r w:rsidRPr="00577F99">
        <w:t>Participation, collaboration:</w:t>
      </w:r>
      <w:bookmarkEnd w:id="11"/>
      <w:bookmarkEnd w:id="12"/>
    </w:p>
    <w:p w14:paraId="7E3ABFF3"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The participation and collaboration of stakeholders are essential for the success of any council's activities and initiatives. Here are some reasons why stakeholder participation and collaboration are crucial:</w:t>
      </w:r>
    </w:p>
    <w:p w14:paraId="2EE2D02E"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Diverse perspectives: Stakeholders bring diverse perspectives and experiences, enabling the council to develop policies and initiatives that reflect the needs and interests of the </w:t>
      </w:r>
      <w:proofErr w:type="gramStart"/>
      <w:r w:rsidRPr="00577F99">
        <w:rPr>
          <w:rFonts w:ascii="Times New Roman" w:hAnsi="Times New Roman" w:cs="Times New Roman"/>
          <w:sz w:val="24"/>
          <w:szCs w:val="24"/>
        </w:rPr>
        <w:t>community as a whole</w:t>
      </w:r>
      <w:proofErr w:type="gramEnd"/>
      <w:r w:rsidRPr="00577F99">
        <w:rPr>
          <w:rFonts w:ascii="Times New Roman" w:hAnsi="Times New Roman" w:cs="Times New Roman"/>
          <w:sz w:val="24"/>
          <w:szCs w:val="24"/>
        </w:rPr>
        <w:t>. Collaborating with stakeholders can help identify opportunities, challenges, and priorities that may not have been previously considered.</w:t>
      </w:r>
    </w:p>
    <w:p w14:paraId="4E5934C6"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Ownership: When stakeholders are involved in decision-making processes, they are more likely to take ownership and responsibility for the outcomes. This sense of ownership can lead to increased engagement and commitment to the council's activities and initiatives, creating a sense of shared responsibility for the community's success.</w:t>
      </w:r>
    </w:p>
    <w:p w14:paraId="4F4A7562"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Increased buy-in: When stakeholders feel that their voices are heard and their needs are being addressed, they are more likely to support the council's initiatives and </w:t>
      </w:r>
      <w:proofErr w:type="gramStart"/>
      <w:r w:rsidRPr="00577F99">
        <w:rPr>
          <w:rFonts w:ascii="Times New Roman" w:hAnsi="Times New Roman" w:cs="Times New Roman"/>
          <w:sz w:val="24"/>
          <w:szCs w:val="24"/>
        </w:rPr>
        <w:t>activities(</w:t>
      </w:r>
      <w:proofErr w:type="gramEnd"/>
      <w:r w:rsidRPr="00577F99">
        <w:rPr>
          <w:rFonts w:ascii="Times New Roman" w:hAnsi="Times New Roman" w:cs="Times New Roman"/>
          <w:sz w:val="24"/>
          <w:szCs w:val="24"/>
          <w:highlight w:val="white"/>
        </w:rPr>
        <w:t>Bellucci et al, 2019)</w:t>
      </w:r>
      <w:r w:rsidRPr="00577F99">
        <w:rPr>
          <w:rFonts w:ascii="Times New Roman" w:hAnsi="Times New Roman" w:cs="Times New Roman"/>
          <w:sz w:val="24"/>
          <w:szCs w:val="24"/>
        </w:rPr>
        <w:t>. This can lead to increased buy-in, support, and advocacy for the council's work.</w:t>
      </w:r>
    </w:p>
    <w:p w14:paraId="76860831"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Innovation: Collaborating with stakeholders can lead to innovative solutions to complex problems. By bringing together diverse perspectives, stakeholders can identify new and creative approaches to addressing community challenges, leading to more effective outcomes.</w:t>
      </w:r>
    </w:p>
    <w:p w14:paraId="0EF5269B"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Trust and credibility: When stakeholders are involved in decision-making processes, it can help build trust and credibility between the council and the community. This can help increase confidence in the council's activities and initiatives, leading to greater community support and participation.</w:t>
      </w:r>
    </w:p>
    <w:p w14:paraId="6DD6C3E0"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lastRenderedPageBreak/>
        <w:t>In summary, stakeholder participation and collaboration are critical for the success of the council's activities and initiatives. By involving stakeholders in decision-making processes, the council can benefit from diverse perspectives, build trust and credibility, and create a sense of shared ownership and responsibility for the community's success.</w:t>
      </w:r>
    </w:p>
    <w:p w14:paraId="632551B9" w14:textId="77777777" w:rsidR="008E230A" w:rsidRPr="00577F99" w:rsidRDefault="00CB032F" w:rsidP="00CB032F">
      <w:pPr>
        <w:pStyle w:val="Heading2"/>
      </w:pPr>
      <w:bookmarkStart w:id="13" w:name="_Toc129874801"/>
      <w:bookmarkStart w:id="14" w:name="_Toc129875961"/>
      <w:r w:rsidRPr="00577F99">
        <w:t>Diversity</w:t>
      </w:r>
      <w:r w:rsidR="0007492B" w:rsidRPr="00577F99">
        <w:t>, and inclusion of the stakeholders</w:t>
      </w:r>
      <w:bookmarkEnd w:id="13"/>
      <w:bookmarkEnd w:id="14"/>
    </w:p>
    <w:p w14:paraId="29BD0F09"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Diversity and inclusion of stakeholders are essential for creating a council that truly represents and serves the community it serves. Here are some reasons why diversity and inclusion of stakeholders are crucial:</w:t>
      </w:r>
    </w:p>
    <w:p w14:paraId="54F6842A"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Broad representation: When stakeholders from diverse backgrounds and communities are included, it ensures that the council's activities and initiatives reflect the needs and interests of the entire community, rather than just a small </w:t>
      </w:r>
      <w:proofErr w:type="gramStart"/>
      <w:r w:rsidRPr="00577F99">
        <w:rPr>
          <w:rFonts w:ascii="Times New Roman" w:hAnsi="Times New Roman" w:cs="Times New Roman"/>
          <w:sz w:val="24"/>
          <w:szCs w:val="24"/>
        </w:rPr>
        <w:t>subset(</w:t>
      </w:r>
      <w:proofErr w:type="gramEnd"/>
      <w:r w:rsidRPr="00577F99">
        <w:rPr>
          <w:rFonts w:ascii="Times New Roman" w:hAnsi="Times New Roman" w:cs="Times New Roman"/>
          <w:sz w:val="24"/>
          <w:szCs w:val="24"/>
          <w:highlight w:val="white"/>
        </w:rPr>
        <w:t xml:space="preserve">O’Brien, </w:t>
      </w:r>
      <w:proofErr w:type="spellStart"/>
      <w:r w:rsidRPr="00577F99">
        <w:rPr>
          <w:rFonts w:ascii="Times New Roman" w:hAnsi="Times New Roman" w:cs="Times New Roman"/>
          <w:sz w:val="24"/>
          <w:szCs w:val="24"/>
          <w:highlight w:val="white"/>
        </w:rPr>
        <w:t>Fossey</w:t>
      </w:r>
      <w:proofErr w:type="spellEnd"/>
      <w:r w:rsidRPr="00577F99">
        <w:rPr>
          <w:rFonts w:ascii="Times New Roman" w:hAnsi="Times New Roman" w:cs="Times New Roman"/>
          <w:sz w:val="24"/>
          <w:szCs w:val="24"/>
          <w:highlight w:val="white"/>
        </w:rPr>
        <w:t xml:space="preserve"> and Palmer, 2021)</w:t>
      </w:r>
      <w:r w:rsidRPr="00577F99">
        <w:rPr>
          <w:rFonts w:ascii="Times New Roman" w:hAnsi="Times New Roman" w:cs="Times New Roman"/>
          <w:sz w:val="24"/>
          <w:szCs w:val="24"/>
        </w:rPr>
        <w:t>. By including stakeholders from diverse backgrounds, the council can ensure that it is truly representative of the community it serves.</w:t>
      </w:r>
    </w:p>
    <w:p w14:paraId="10392C6E"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Inclusive decision-making: By including stakeholders from diverse backgrounds, the council can ensure that all voices are heard and that the decision-making process is inclusive. This can lead to more innovative and effective outcomes, as stakeholders can identify opportunities and solutions that may have been overlooked otherwise.</w:t>
      </w:r>
    </w:p>
    <w:p w14:paraId="7C6A4462"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Cultural sensitivity: When the council includes stakeholders from diverse backgrounds, it can ensure that it is culturally sensitive and responsive to the needs of all members of the community. This can help build trust and respect, leading to stronger relationships and increased participation.</w:t>
      </w:r>
    </w:p>
    <w:p w14:paraId="13CE6E4C"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Social justice: Inclusion of diverse stakeholders is essential to advancing social justice and promoting equity. By ensuring that all voices are heard and that decision-making processes are inclusive, the council can help address systemic inequalities and promote social and economic mobility for all members of the community.</w:t>
      </w:r>
    </w:p>
    <w:p w14:paraId="716A1579"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Accountability: Including diverse stakeholders in decision-making processes can also help promote accountability. When stakeholders from diverse backgrounds are included, it can help ensure that the council's decisions and actions are in line with the community's needs and interests.</w:t>
      </w:r>
    </w:p>
    <w:p w14:paraId="0DC6C82F"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lastRenderedPageBreak/>
        <w:t xml:space="preserve">In summary, diversity and inclusion of stakeholders are crucial for creating a council that is truly representative of the community it </w:t>
      </w:r>
      <w:proofErr w:type="gramStart"/>
      <w:r w:rsidRPr="00577F99">
        <w:rPr>
          <w:rFonts w:ascii="Times New Roman" w:hAnsi="Times New Roman" w:cs="Times New Roman"/>
          <w:sz w:val="24"/>
          <w:szCs w:val="24"/>
        </w:rPr>
        <w:t>serves(</w:t>
      </w:r>
      <w:proofErr w:type="gramEnd"/>
      <w:r w:rsidRPr="00577F99">
        <w:rPr>
          <w:rFonts w:ascii="Times New Roman" w:hAnsi="Times New Roman" w:cs="Times New Roman"/>
          <w:sz w:val="24"/>
          <w:szCs w:val="24"/>
          <w:highlight w:val="white"/>
        </w:rPr>
        <w:t>Ostrom et al, 2021)</w:t>
      </w:r>
      <w:r w:rsidRPr="00577F99">
        <w:rPr>
          <w:rFonts w:ascii="Times New Roman" w:hAnsi="Times New Roman" w:cs="Times New Roman"/>
          <w:sz w:val="24"/>
          <w:szCs w:val="24"/>
        </w:rPr>
        <w:t>. By including stakeholders from diverse backgrounds and communities, the council can ensure that its activities and initiatives reflect the needs and interests of all members of the community, promote social justice, and build stronger relationships based on trust and respect.</w:t>
      </w:r>
    </w:p>
    <w:p w14:paraId="1DFA650E" w14:textId="77777777" w:rsidR="008E230A" w:rsidRPr="00577F99" w:rsidRDefault="0007492B" w:rsidP="00CB032F">
      <w:pPr>
        <w:pStyle w:val="Heading1"/>
      </w:pPr>
      <w:bookmarkStart w:id="15" w:name="_Toc129874802"/>
      <w:bookmarkStart w:id="16" w:name="_Toc129875962"/>
      <w:r w:rsidRPr="00577F99">
        <w:t>Conclusion</w:t>
      </w:r>
      <w:bookmarkEnd w:id="15"/>
      <w:bookmarkEnd w:id="16"/>
    </w:p>
    <w:p w14:paraId="2A03837C" w14:textId="77777777" w:rsidR="008E230A" w:rsidRPr="00577F99" w:rsidRDefault="0007492B" w:rsidP="00CB032F">
      <w:pPr>
        <w:pStyle w:val="Normal1"/>
        <w:spacing w:before="240" w:after="240" w:line="360" w:lineRule="auto"/>
        <w:jc w:val="both"/>
        <w:rPr>
          <w:rFonts w:ascii="Times New Roman" w:hAnsi="Times New Roman" w:cs="Times New Roman"/>
          <w:sz w:val="24"/>
          <w:szCs w:val="24"/>
        </w:rPr>
      </w:pPr>
      <w:r w:rsidRPr="00577F99">
        <w:rPr>
          <w:rFonts w:ascii="Times New Roman" w:hAnsi="Times New Roman" w:cs="Times New Roman"/>
          <w:sz w:val="24"/>
          <w:szCs w:val="24"/>
        </w:rPr>
        <w:t xml:space="preserve">In conclusion, stakeholder engagement is crucial for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to effectively serve its diverse community. By engaging stakeholders in decision-making processes, the council can benefit from diverse perspectives and experiences, leading to more innovative and effective outcomes. Additionally, stakeholder participation and collaboration can increase buy-in, ownership, and trust, while promoting accountability and advancing social justice. It is also important to ensure that stakeholder engagement processes are inclusive and promote diversity, allowing all members of the community to have a voice and ensuring that the council's activities and initiatives reflect the needs and interests of all. Overall, this study highlights the importance of stakeholder engagement and diversity and inclusion in decision-making processes and provides valuable insights for the </w:t>
      </w:r>
      <w:proofErr w:type="spellStart"/>
      <w:r w:rsidRPr="00577F99">
        <w:rPr>
          <w:rFonts w:ascii="Times New Roman" w:hAnsi="Times New Roman" w:cs="Times New Roman"/>
          <w:sz w:val="24"/>
          <w:szCs w:val="24"/>
        </w:rPr>
        <w:t>Havering</w:t>
      </w:r>
      <w:proofErr w:type="spellEnd"/>
      <w:r w:rsidRPr="00577F99">
        <w:rPr>
          <w:rFonts w:ascii="Times New Roman" w:hAnsi="Times New Roman" w:cs="Times New Roman"/>
          <w:sz w:val="24"/>
          <w:szCs w:val="24"/>
        </w:rPr>
        <w:t xml:space="preserve"> Council to enhance its effectiveness and better serve the community it serves.</w:t>
      </w:r>
      <w:r w:rsidRPr="00577F99">
        <w:rPr>
          <w:rFonts w:ascii="Times New Roman" w:hAnsi="Times New Roman" w:cs="Times New Roman"/>
          <w:sz w:val="24"/>
          <w:szCs w:val="24"/>
        </w:rPr>
        <w:br w:type="page"/>
      </w:r>
    </w:p>
    <w:p w14:paraId="63D7E4C4" w14:textId="77777777" w:rsidR="008E230A" w:rsidRPr="00577F99" w:rsidRDefault="0007492B" w:rsidP="00CB032F">
      <w:pPr>
        <w:pStyle w:val="Heading1"/>
      </w:pPr>
      <w:bookmarkStart w:id="17" w:name="_Toc129874803"/>
      <w:bookmarkStart w:id="18" w:name="_Toc129875963"/>
      <w:r w:rsidRPr="00577F99">
        <w:lastRenderedPageBreak/>
        <w:t>References</w:t>
      </w:r>
      <w:bookmarkEnd w:id="17"/>
      <w:bookmarkEnd w:id="18"/>
    </w:p>
    <w:p w14:paraId="6C70204C" w14:textId="77777777" w:rsidR="008E230A" w:rsidRPr="00577F99" w:rsidRDefault="008E230A" w:rsidP="00CB032F">
      <w:pPr>
        <w:pStyle w:val="Normal1"/>
        <w:spacing w:line="360" w:lineRule="auto"/>
        <w:jc w:val="both"/>
        <w:rPr>
          <w:rFonts w:ascii="Times New Roman" w:hAnsi="Times New Roman" w:cs="Times New Roman"/>
          <w:b/>
          <w:sz w:val="24"/>
          <w:szCs w:val="24"/>
        </w:rPr>
      </w:pPr>
    </w:p>
    <w:p w14:paraId="2493EF6F" w14:textId="77777777" w:rsidR="008E230A" w:rsidRPr="00577F99" w:rsidRDefault="008E230A" w:rsidP="00CB032F">
      <w:pPr>
        <w:pStyle w:val="Normal1"/>
        <w:spacing w:line="360" w:lineRule="auto"/>
        <w:jc w:val="both"/>
        <w:rPr>
          <w:rFonts w:ascii="Times New Roman" w:hAnsi="Times New Roman" w:cs="Times New Roman"/>
          <w:b/>
          <w:sz w:val="24"/>
          <w:szCs w:val="24"/>
        </w:rPr>
      </w:pPr>
    </w:p>
    <w:p w14:paraId="5A55377C"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r w:rsidRPr="00577F99">
        <w:rPr>
          <w:rFonts w:ascii="Times New Roman" w:hAnsi="Times New Roman" w:cs="Times New Roman"/>
          <w:sz w:val="24"/>
          <w:szCs w:val="24"/>
          <w:highlight w:val="white"/>
        </w:rPr>
        <w:t xml:space="preserve">Bellucci, M., Simoni, L., </w:t>
      </w:r>
      <w:proofErr w:type="spellStart"/>
      <w:r w:rsidRPr="00577F99">
        <w:rPr>
          <w:rFonts w:ascii="Times New Roman" w:hAnsi="Times New Roman" w:cs="Times New Roman"/>
          <w:sz w:val="24"/>
          <w:szCs w:val="24"/>
          <w:highlight w:val="white"/>
        </w:rPr>
        <w:t>Acuti</w:t>
      </w:r>
      <w:proofErr w:type="spellEnd"/>
      <w:r w:rsidRPr="00577F99">
        <w:rPr>
          <w:rFonts w:ascii="Times New Roman" w:hAnsi="Times New Roman" w:cs="Times New Roman"/>
          <w:sz w:val="24"/>
          <w:szCs w:val="24"/>
          <w:highlight w:val="white"/>
        </w:rPr>
        <w:t xml:space="preserve">, D. and </w:t>
      </w:r>
      <w:proofErr w:type="spellStart"/>
      <w:r w:rsidRPr="00577F99">
        <w:rPr>
          <w:rFonts w:ascii="Times New Roman" w:hAnsi="Times New Roman" w:cs="Times New Roman"/>
          <w:sz w:val="24"/>
          <w:szCs w:val="24"/>
          <w:highlight w:val="white"/>
        </w:rPr>
        <w:t>Manetti</w:t>
      </w:r>
      <w:proofErr w:type="spellEnd"/>
      <w:r w:rsidRPr="00577F99">
        <w:rPr>
          <w:rFonts w:ascii="Times New Roman" w:hAnsi="Times New Roman" w:cs="Times New Roman"/>
          <w:sz w:val="24"/>
          <w:szCs w:val="24"/>
          <w:highlight w:val="white"/>
        </w:rPr>
        <w:t xml:space="preserve">, G., 2019. Stakeholder engagement and dialogic accounting: Empirical evidence in sustainability reporting. </w:t>
      </w:r>
      <w:r w:rsidRPr="00577F99">
        <w:rPr>
          <w:rFonts w:ascii="Times New Roman" w:hAnsi="Times New Roman" w:cs="Times New Roman"/>
          <w:i/>
          <w:sz w:val="24"/>
          <w:szCs w:val="24"/>
          <w:highlight w:val="white"/>
        </w:rPr>
        <w:t>Accounting, Auditing &amp; Accountability Journal</w:t>
      </w:r>
      <w:r w:rsidRPr="00577F99">
        <w:rPr>
          <w:rFonts w:ascii="Times New Roman" w:hAnsi="Times New Roman" w:cs="Times New Roman"/>
          <w:sz w:val="24"/>
          <w:szCs w:val="24"/>
          <w:highlight w:val="white"/>
        </w:rPr>
        <w:t>.</w:t>
      </w:r>
    </w:p>
    <w:p w14:paraId="123E78CD"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r w:rsidRPr="00577F99">
        <w:rPr>
          <w:rFonts w:ascii="Times New Roman" w:hAnsi="Times New Roman" w:cs="Times New Roman"/>
          <w:sz w:val="24"/>
          <w:szCs w:val="24"/>
          <w:highlight w:val="white"/>
        </w:rPr>
        <w:t xml:space="preserve">Biondi, L., </w:t>
      </w:r>
      <w:proofErr w:type="spellStart"/>
      <w:r w:rsidRPr="00577F99">
        <w:rPr>
          <w:rFonts w:ascii="Times New Roman" w:hAnsi="Times New Roman" w:cs="Times New Roman"/>
          <w:sz w:val="24"/>
          <w:szCs w:val="24"/>
          <w:highlight w:val="white"/>
        </w:rPr>
        <w:t>Demartini</w:t>
      </w:r>
      <w:proofErr w:type="spellEnd"/>
      <w:r w:rsidRPr="00577F99">
        <w:rPr>
          <w:rFonts w:ascii="Times New Roman" w:hAnsi="Times New Roman" w:cs="Times New Roman"/>
          <w:sz w:val="24"/>
          <w:szCs w:val="24"/>
          <w:highlight w:val="white"/>
        </w:rPr>
        <w:t xml:space="preserve">, P., </w:t>
      </w:r>
      <w:proofErr w:type="spellStart"/>
      <w:r w:rsidRPr="00577F99">
        <w:rPr>
          <w:rFonts w:ascii="Times New Roman" w:hAnsi="Times New Roman" w:cs="Times New Roman"/>
          <w:sz w:val="24"/>
          <w:szCs w:val="24"/>
          <w:highlight w:val="white"/>
        </w:rPr>
        <w:t>Marchegiani</w:t>
      </w:r>
      <w:proofErr w:type="spellEnd"/>
      <w:r w:rsidRPr="00577F99">
        <w:rPr>
          <w:rFonts w:ascii="Times New Roman" w:hAnsi="Times New Roman" w:cs="Times New Roman"/>
          <w:sz w:val="24"/>
          <w:szCs w:val="24"/>
          <w:highlight w:val="white"/>
        </w:rPr>
        <w:t xml:space="preserve">, L., </w:t>
      </w:r>
      <w:proofErr w:type="spellStart"/>
      <w:r w:rsidRPr="00577F99">
        <w:rPr>
          <w:rFonts w:ascii="Times New Roman" w:hAnsi="Times New Roman" w:cs="Times New Roman"/>
          <w:sz w:val="24"/>
          <w:szCs w:val="24"/>
          <w:highlight w:val="white"/>
        </w:rPr>
        <w:t>Marchiori</w:t>
      </w:r>
      <w:proofErr w:type="spellEnd"/>
      <w:r w:rsidRPr="00577F99">
        <w:rPr>
          <w:rFonts w:ascii="Times New Roman" w:hAnsi="Times New Roman" w:cs="Times New Roman"/>
          <w:sz w:val="24"/>
          <w:szCs w:val="24"/>
          <w:highlight w:val="white"/>
        </w:rPr>
        <w:t xml:space="preserve">, M. and </w:t>
      </w:r>
      <w:proofErr w:type="spellStart"/>
      <w:r w:rsidRPr="00577F99">
        <w:rPr>
          <w:rFonts w:ascii="Times New Roman" w:hAnsi="Times New Roman" w:cs="Times New Roman"/>
          <w:sz w:val="24"/>
          <w:szCs w:val="24"/>
          <w:highlight w:val="white"/>
        </w:rPr>
        <w:t>Piber</w:t>
      </w:r>
      <w:proofErr w:type="spellEnd"/>
      <w:r w:rsidRPr="00577F99">
        <w:rPr>
          <w:rFonts w:ascii="Times New Roman" w:hAnsi="Times New Roman" w:cs="Times New Roman"/>
          <w:sz w:val="24"/>
          <w:szCs w:val="24"/>
          <w:highlight w:val="white"/>
        </w:rPr>
        <w:t xml:space="preserve">, M., 2020. Understanding orchestrated participatory cultural initiatives: Mapping the dynamics of governance and participation. </w:t>
      </w:r>
      <w:r w:rsidRPr="00577F99">
        <w:rPr>
          <w:rFonts w:ascii="Times New Roman" w:hAnsi="Times New Roman" w:cs="Times New Roman"/>
          <w:i/>
          <w:sz w:val="24"/>
          <w:szCs w:val="24"/>
          <w:highlight w:val="white"/>
        </w:rPr>
        <w:t>Cities</w:t>
      </w:r>
      <w:r w:rsidRPr="00577F99">
        <w:rPr>
          <w:rFonts w:ascii="Times New Roman" w:hAnsi="Times New Roman" w:cs="Times New Roman"/>
          <w:sz w:val="24"/>
          <w:szCs w:val="24"/>
          <w:highlight w:val="white"/>
        </w:rPr>
        <w:t xml:space="preserve">, </w:t>
      </w:r>
      <w:r w:rsidRPr="00577F99">
        <w:rPr>
          <w:rFonts w:ascii="Times New Roman" w:hAnsi="Times New Roman" w:cs="Times New Roman"/>
          <w:i/>
          <w:sz w:val="24"/>
          <w:szCs w:val="24"/>
          <w:highlight w:val="white"/>
        </w:rPr>
        <w:t>96</w:t>
      </w:r>
      <w:r w:rsidRPr="00577F99">
        <w:rPr>
          <w:rFonts w:ascii="Times New Roman" w:hAnsi="Times New Roman" w:cs="Times New Roman"/>
          <w:sz w:val="24"/>
          <w:szCs w:val="24"/>
          <w:highlight w:val="white"/>
        </w:rPr>
        <w:t>, p.102459.</w:t>
      </w:r>
    </w:p>
    <w:p w14:paraId="01AD0168"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r w:rsidRPr="00577F99">
        <w:rPr>
          <w:rFonts w:ascii="Times New Roman" w:hAnsi="Times New Roman" w:cs="Times New Roman"/>
          <w:sz w:val="24"/>
          <w:szCs w:val="24"/>
          <w:highlight w:val="white"/>
        </w:rPr>
        <w:t xml:space="preserve">O’Brien, J., </w:t>
      </w:r>
      <w:proofErr w:type="spellStart"/>
      <w:r w:rsidRPr="00577F99">
        <w:rPr>
          <w:rFonts w:ascii="Times New Roman" w:hAnsi="Times New Roman" w:cs="Times New Roman"/>
          <w:sz w:val="24"/>
          <w:szCs w:val="24"/>
          <w:highlight w:val="white"/>
        </w:rPr>
        <w:t>Fossey</w:t>
      </w:r>
      <w:proofErr w:type="spellEnd"/>
      <w:r w:rsidRPr="00577F99">
        <w:rPr>
          <w:rFonts w:ascii="Times New Roman" w:hAnsi="Times New Roman" w:cs="Times New Roman"/>
          <w:sz w:val="24"/>
          <w:szCs w:val="24"/>
          <w:highlight w:val="white"/>
        </w:rPr>
        <w:t xml:space="preserve">, E. and Palmer, V.J., 2021. A scoping review of the use of co‐design methods with culturally and linguistically diverse communities to improve or adapt mental health services. </w:t>
      </w:r>
      <w:r w:rsidRPr="00577F99">
        <w:rPr>
          <w:rFonts w:ascii="Times New Roman" w:hAnsi="Times New Roman" w:cs="Times New Roman"/>
          <w:i/>
          <w:sz w:val="24"/>
          <w:szCs w:val="24"/>
          <w:highlight w:val="white"/>
        </w:rPr>
        <w:t>Health &amp; Social Care in the Community</w:t>
      </w:r>
      <w:r w:rsidRPr="00577F99">
        <w:rPr>
          <w:rFonts w:ascii="Times New Roman" w:hAnsi="Times New Roman" w:cs="Times New Roman"/>
          <w:sz w:val="24"/>
          <w:szCs w:val="24"/>
          <w:highlight w:val="white"/>
        </w:rPr>
        <w:t xml:space="preserve">, </w:t>
      </w:r>
      <w:r w:rsidRPr="00577F99">
        <w:rPr>
          <w:rFonts w:ascii="Times New Roman" w:hAnsi="Times New Roman" w:cs="Times New Roman"/>
          <w:i/>
          <w:sz w:val="24"/>
          <w:szCs w:val="24"/>
          <w:highlight w:val="white"/>
        </w:rPr>
        <w:t>29</w:t>
      </w:r>
      <w:r w:rsidRPr="00577F99">
        <w:rPr>
          <w:rFonts w:ascii="Times New Roman" w:hAnsi="Times New Roman" w:cs="Times New Roman"/>
          <w:sz w:val="24"/>
          <w:szCs w:val="24"/>
          <w:highlight w:val="white"/>
        </w:rPr>
        <w:t>(1), pp.1-17.</w:t>
      </w:r>
    </w:p>
    <w:p w14:paraId="651B9758"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r w:rsidRPr="00577F99">
        <w:rPr>
          <w:rFonts w:ascii="Times New Roman" w:hAnsi="Times New Roman" w:cs="Times New Roman"/>
          <w:sz w:val="24"/>
          <w:szCs w:val="24"/>
          <w:highlight w:val="white"/>
        </w:rPr>
        <w:t xml:space="preserve">Ostrom, A.L., Field, J.M., Fotheringham, D., </w:t>
      </w:r>
      <w:proofErr w:type="spellStart"/>
      <w:r w:rsidRPr="00577F99">
        <w:rPr>
          <w:rFonts w:ascii="Times New Roman" w:hAnsi="Times New Roman" w:cs="Times New Roman"/>
          <w:sz w:val="24"/>
          <w:szCs w:val="24"/>
          <w:highlight w:val="white"/>
        </w:rPr>
        <w:t>Subramony</w:t>
      </w:r>
      <w:proofErr w:type="spellEnd"/>
      <w:r w:rsidRPr="00577F99">
        <w:rPr>
          <w:rFonts w:ascii="Times New Roman" w:hAnsi="Times New Roman" w:cs="Times New Roman"/>
          <w:sz w:val="24"/>
          <w:szCs w:val="24"/>
          <w:highlight w:val="white"/>
        </w:rPr>
        <w:t xml:space="preserve">, M., Gustafsson, A., Lemon, K.N., Huang, M.H. and McColl-Kennedy, J.R., 2021. Service research priorities: managing and delivering </w:t>
      </w:r>
      <w:proofErr w:type="gramStart"/>
      <w:r w:rsidRPr="00577F99">
        <w:rPr>
          <w:rFonts w:ascii="Times New Roman" w:hAnsi="Times New Roman" w:cs="Times New Roman"/>
          <w:sz w:val="24"/>
          <w:szCs w:val="24"/>
          <w:highlight w:val="white"/>
        </w:rPr>
        <w:t>service</w:t>
      </w:r>
      <w:proofErr w:type="gramEnd"/>
      <w:r w:rsidRPr="00577F99">
        <w:rPr>
          <w:rFonts w:ascii="Times New Roman" w:hAnsi="Times New Roman" w:cs="Times New Roman"/>
          <w:sz w:val="24"/>
          <w:szCs w:val="24"/>
          <w:highlight w:val="white"/>
        </w:rPr>
        <w:t xml:space="preserve"> in turbulent times. </w:t>
      </w:r>
      <w:r w:rsidRPr="00577F99">
        <w:rPr>
          <w:rFonts w:ascii="Times New Roman" w:hAnsi="Times New Roman" w:cs="Times New Roman"/>
          <w:i/>
          <w:sz w:val="24"/>
          <w:szCs w:val="24"/>
          <w:highlight w:val="white"/>
        </w:rPr>
        <w:t>Journal of Service Research</w:t>
      </w:r>
      <w:r w:rsidRPr="00577F99">
        <w:rPr>
          <w:rFonts w:ascii="Times New Roman" w:hAnsi="Times New Roman" w:cs="Times New Roman"/>
          <w:sz w:val="24"/>
          <w:szCs w:val="24"/>
          <w:highlight w:val="white"/>
        </w:rPr>
        <w:t xml:space="preserve">, </w:t>
      </w:r>
      <w:r w:rsidRPr="00577F99">
        <w:rPr>
          <w:rFonts w:ascii="Times New Roman" w:hAnsi="Times New Roman" w:cs="Times New Roman"/>
          <w:i/>
          <w:sz w:val="24"/>
          <w:szCs w:val="24"/>
          <w:highlight w:val="white"/>
        </w:rPr>
        <w:t>24</w:t>
      </w:r>
      <w:r w:rsidRPr="00577F99">
        <w:rPr>
          <w:rFonts w:ascii="Times New Roman" w:hAnsi="Times New Roman" w:cs="Times New Roman"/>
          <w:sz w:val="24"/>
          <w:szCs w:val="24"/>
          <w:highlight w:val="white"/>
        </w:rPr>
        <w:t>(3), pp.329-353.</w:t>
      </w:r>
    </w:p>
    <w:p w14:paraId="6E89FD62"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proofErr w:type="spellStart"/>
      <w:r w:rsidRPr="00577F99">
        <w:rPr>
          <w:rFonts w:ascii="Times New Roman" w:hAnsi="Times New Roman" w:cs="Times New Roman"/>
          <w:sz w:val="24"/>
          <w:szCs w:val="24"/>
          <w:highlight w:val="white"/>
        </w:rPr>
        <w:t>Royo</w:t>
      </w:r>
      <w:proofErr w:type="spellEnd"/>
      <w:r w:rsidRPr="00577F99">
        <w:rPr>
          <w:rFonts w:ascii="Times New Roman" w:hAnsi="Times New Roman" w:cs="Times New Roman"/>
          <w:sz w:val="24"/>
          <w:szCs w:val="24"/>
          <w:highlight w:val="white"/>
        </w:rPr>
        <w:t>, S., Pina, V. and Garcia-</w:t>
      </w:r>
      <w:proofErr w:type="spellStart"/>
      <w:r w:rsidRPr="00577F99">
        <w:rPr>
          <w:rFonts w:ascii="Times New Roman" w:hAnsi="Times New Roman" w:cs="Times New Roman"/>
          <w:sz w:val="24"/>
          <w:szCs w:val="24"/>
          <w:highlight w:val="white"/>
        </w:rPr>
        <w:t>Rayado</w:t>
      </w:r>
      <w:proofErr w:type="spellEnd"/>
      <w:r w:rsidRPr="00577F99">
        <w:rPr>
          <w:rFonts w:ascii="Times New Roman" w:hAnsi="Times New Roman" w:cs="Times New Roman"/>
          <w:sz w:val="24"/>
          <w:szCs w:val="24"/>
          <w:highlight w:val="white"/>
        </w:rPr>
        <w:t xml:space="preserve">, J., 2020. Decide Madrid: A critical analysis of an award-winning e-participation initiative. </w:t>
      </w:r>
      <w:r w:rsidRPr="00577F99">
        <w:rPr>
          <w:rFonts w:ascii="Times New Roman" w:hAnsi="Times New Roman" w:cs="Times New Roman"/>
          <w:i/>
          <w:sz w:val="24"/>
          <w:szCs w:val="24"/>
          <w:highlight w:val="white"/>
        </w:rPr>
        <w:t>Sustainability</w:t>
      </w:r>
      <w:r w:rsidRPr="00577F99">
        <w:rPr>
          <w:rFonts w:ascii="Times New Roman" w:hAnsi="Times New Roman" w:cs="Times New Roman"/>
          <w:sz w:val="24"/>
          <w:szCs w:val="24"/>
          <w:highlight w:val="white"/>
        </w:rPr>
        <w:t xml:space="preserve">, </w:t>
      </w:r>
      <w:r w:rsidRPr="00577F99">
        <w:rPr>
          <w:rFonts w:ascii="Times New Roman" w:hAnsi="Times New Roman" w:cs="Times New Roman"/>
          <w:i/>
          <w:sz w:val="24"/>
          <w:szCs w:val="24"/>
          <w:highlight w:val="white"/>
        </w:rPr>
        <w:t>12</w:t>
      </w:r>
      <w:r w:rsidRPr="00577F99">
        <w:rPr>
          <w:rFonts w:ascii="Times New Roman" w:hAnsi="Times New Roman" w:cs="Times New Roman"/>
          <w:sz w:val="24"/>
          <w:szCs w:val="24"/>
          <w:highlight w:val="white"/>
        </w:rPr>
        <w:t>(4), p.1674.</w:t>
      </w:r>
    </w:p>
    <w:p w14:paraId="3ECA9775"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r w:rsidRPr="00577F99">
        <w:rPr>
          <w:rFonts w:ascii="Times New Roman" w:hAnsi="Times New Roman" w:cs="Times New Roman"/>
          <w:sz w:val="24"/>
          <w:szCs w:val="24"/>
          <w:highlight w:val="white"/>
        </w:rPr>
        <w:t xml:space="preserve">Schmidt, V. and Wood, M., 2019. Conceptualizing throughput legitimacy: Procedural mechanisms of accountability, transparency, inclusiveness and openness in EU governance. </w:t>
      </w:r>
      <w:r w:rsidRPr="00577F99">
        <w:rPr>
          <w:rFonts w:ascii="Times New Roman" w:hAnsi="Times New Roman" w:cs="Times New Roman"/>
          <w:i/>
          <w:sz w:val="24"/>
          <w:szCs w:val="24"/>
          <w:highlight w:val="white"/>
        </w:rPr>
        <w:t>Public Administration</w:t>
      </w:r>
      <w:r w:rsidRPr="00577F99">
        <w:rPr>
          <w:rFonts w:ascii="Times New Roman" w:hAnsi="Times New Roman" w:cs="Times New Roman"/>
          <w:sz w:val="24"/>
          <w:szCs w:val="24"/>
          <w:highlight w:val="white"/>
        </w:rPr>
        <w:t xml:space="preserve">, </w:t>
      </w:r>
      <w:r w:rsidRPr="00577F99">
        <w:rPr>
          <w:rFonts w:ascii="Times New Roman" w:hAnsi="Times New Roman" w:cs="Times New Roman"/>
          <w:i/>
          <w:sz w:val="24"/>
          <w:szCs w:val="24"/>
          <w:highlight w:val="white"/>
        </w:rPr>
        <w:t>97</w:t>
      </w:r>
      <w:r w:rsidRPr="00577F99">
        <w:rPr>
          <w:rFonts w:ascii="Times New Roman" w:hAnsi="Times New Roman" w:cs="Times New Roman"/>
          <w:sz w:val="24"/>
          <w:szCs w:val="24"/>
          <w:highlight w:val="white"/>
        </w:rPr>
        <w:t>(4), pp.727-740.</w:t>
      </w:r>
    </w:p>
    <w:p w14:paraId="7D212AE8"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r w:rsidRPr="00577F99">
        <w:rPr>
          <w:rFonts w:ascii="Times New Roman" w:hAnsi="Times New Roman" w:cs="Times New Roman"/>
          <w:sz w:val="24"/>
          <w:szCs w:val="24"/>
          <w:highlight w:val="white"/>
        </w:rPr>
        <w:t xml:space="preserve">Tambo, E., </w:t>
      </w:r>
      <w:proofErr w:type="spellStart"/>
      <w:r w:rsidRPr="00577F99">
        <w:rPr>
          <w:rFonts w:ascii="Times New Roman" w:hAnsi="Times New Roman" w:cs="Times New Roman"/>
          <w:sz w:val="24"/>
          <w:szCs w:val="24"/>
          <w:highlight w:val="white"/>
        </w:rPr>
        <w:t>Djuikoue</w:t>
      </w:r>
      <w:proofErr w:type="spellEnd"/>
      <w:r w:rsidRPr="00577F99">
        <w:rPr>
          <w:rFonts w:ascii="Times New Roman" w:hAnsi="Times New Roman" w:cs="Times New Roman"/>
          <w:sz w:val="24"/>
          <w:szCs w:val="24"/>
          <w:highlight w:val="white"/>
        </w:rPr>
        <w:t xml:space="preserve">, I.C., </w:t>
      </w:r>
      <w:proofErr w:type="spellStart"/>
      <w:r w:rsidRPr="00577F99">
        <w:rPr>
          <w:rFonts w:ascii="Times New Roman" w:hAnsi="Times New Roman" w:cs="Times New Roman"/>
          <w:sz w:val="24"/>
          <w:szCs w:val="24"/>
          <w:highlight w:val="white"/>
        </w:rPr>
        <w:t>Tazemda</w:t>
      </w:r>
      <w:proofErr w:type="spellEnd"/>
      <w:r w:rsidRPr="00577F99">
        <w:rPr>
          <w:rFonts w:ascii="Times New Roman" w:hAnsi="Times New Roman" w:cs="Times New Roman"/>
          <w:sz w:val="24"/>
          <w:szCs w:val="24"/>
          <w:highlight w:val="white"/>
        </w:rPr>
        <w:t xml:space="preserve">, G.K., </w:t>
      </w:r>
      <w:proofErr w:type="spellStart"/>
      <w:r w:rsidRPr="00577F99">
        <w:rPr>
          <w:rFonts w:ascii="Times New Roman" w:hAnsi="Times New Roman" w:cs="Times New Roman"/>
          <w:sz w:val="24"/>
          <w:szCs w:val="24"/>
          <w:highlight w:val="white"/>
        </w:rPr>
        <w:t>Fotsing</w:t>
      </w:r>
      <w:proofErr w:type="spellEnd"/>
      <w:r w:rsidRPr="00577F99">
        <w:rPr>
          <w:rFonts w:ascii="Times New Roman" w:hAnsi="Times New Roman" w:cs="Times New Roman"/>
          <w:sz w:val="24"/>
          <w:szCs w:val="24"/>
          <w:highlight w:val="white"/>
        </w:rPr>
        <w:t xml:space="preserve">, M.F. and Zhou, X.N., 2021. </w:t>
      </w:r>
      <w:proofErr w:type="gramStart"/>
      <w:r w:rsidRPr="00577F99">
        <w:rPr>
          <w:rFonts w:ascii="Times New Roman" w:hAnsi="Times New Roman" w:cs="Times New Roman"/>
          <w:sz w:val="24"/>
          <w:szCs w:val="24"/>
          <w:highlight w:val="white"/>
        </w:rPr>
        <w:t>Early stage</w:t>
      </w:r>
      <w:proofErr w:type="gramEnd"/>
      <w:r w:rsidRPr="00577F99">
        <w:rPr>
          <w:rFonts w:ascii="Times New Roman" w:hAnsi="Times New Roman" w:cs="Times New Roman"/>
          <w:sz w:val="24"/>
          <w:szCs w:val="24"/>
          <w:highlight w:val="white"/>
        </w:rPr>
        <w:t xml:space="preserve"> risk communication and community engagement (RCCE) strategies and measures against the coronavirus disease 2019 (COVID-19) pandemic crisis. </w:t>
      </w:r>
      <w:r w:rsidRPr="00577F99">
        <w:rPr>
          <w:rFonts w:ascii="Times New Roman" w:hAnsi="Times New Roman" w:cs="Times New Roman"/>
          <w:i/>
          <w:sz w:val="24"/>
          <w:szCs w:val="24"/>
          <w:highlight w:val="white"/>
        </w:rPr>
        <w:t>Global Health Journal</w:t>
      </w:r>
      <w:r w:rsidRPr="00577F99">
        <w:rPr>
          <w:rFonts w:ascii="Times New Roman" w:hAnsi="Times New Roman" w:cs="Times New Roman"/>
          <w:sz w:val="24"/>
          <w:szCs w:val="24"/>
          <w:highlight w:val="white"/>
        </w:rPr>
        <w:t xml:space="preserve">, </w:t>
      </w:r>
      <w:r w:rsidRPr="00577F99">
        <w:rPr>
          <w:rFonts w:ascii="Times New Roman" w:hAnsi="Times New Roman" w:cs="Times New Roman"/>
          <w:i/>
          <w:sz w:val="24"/>
          <w:szCs w:val="24"/>
          <w:highlight w:val="white"/>
        </w:rPr>
        <w:t>5</w:t>
      </w:r>
      <w:r w:rsidRPr="00577F99">
        <w:rPr>
          <w:rFonts w:ascii="Times New Roman" w:hAnsi="Times New Roman" w:cs="Times New Roman"/>
          <w:sz w:val="24"/>
          <w:szCs w:val="24"/>
          <w:highlight w:val="white"/>
        </w:rPr>
        <w:t>(1), pp.44-50.</w:t>
      </w:r>
    </w:p>
    <w:p w14:paraId="7C780A74"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r w:rsidRPr="00577F99">
        <w:rPr>
          <w:rFonts w:ascii="Times New Roman" w:hAnsi="Times New Roman" w:cs="Times New Roman"/>
          <w:sz w:val="24"/>
          <w:szCs w:val="24"/>
          <w:highlight w:val="white"/>
        </w:rPr>
        <w:t xml:space="preserve">Tembo, D., Hickey, G., Montenegro, C., Chandler, D., Nelson, E., Porter, K., </w:t>
      </w:r>
      <w:proofErr w:type="spellStart"/>
      <w:r w:rsidRPr="00577F99">
        <w:rPr>
          <w:rFonts w:ascii="Times New Roman" w:hAnsi="Times New Roman" w:cs="Times New Roman"/>
          <w:sz w:val="24"/>
          <w:szCs w:val="24"/>
          <w:highlight w:val="white"/>
        </w:rPr>
        <w:t>Dikomitis</w:t>
      </w:r>
      <w:proofErr w:type="spellEnd"/>
      <w:r w:rsidRPr="00577F99">
        <w:rPr>
          <w:rFonts w:ascii="Times New Roman" w:hAnsi="Times New Roman" w:cs="Times New Roman"/>
          <w:sz w:val="24"/>
          <w:szCs w:val="24"/>
          <w:highlight w:val="white"/>
        </w:rPr>
        <w:t xml:space="preserve">, L., Chambers, M., </w:t>
      </w:r>
      <w:proofErr w:type="spellStart"/>
      <w:r w:rsidRPr="00577F99">
        <w:rPr>
          <w:rFonts w:ascii="Times New Roman" w:hAnsi="Times New Roman" w:cs="Times New Roman"/>
          <w:sz w:val="24"/>
          <w:szCs w:val="24"/>
          <w:highlight w:val="white"/>
        </w:rPr>
        <w:t>Chimbari</w:t>
      </w:r>
      <w:proofErr w:type="spellEnd"/>
      <w:r w:rsidRPr="00577F99">
        <w:rPr>
          <w:rFonts w:ascii="Times New Roman" w:hAnsi="Times New Roman" w:cs="Times New Roman"/>
          <w:sz w:val="24"/>
          <w:szCs w:val="24"/>
          <w:highlight w:val="white"/>
        </w:rPr>
        <w:t xml:space="preserve">, M., Mumba, N. and Beresford, P., 2021. Effective engagement and involvement with community stakeholders in the co-production of global health research. </w:t>
      </w:r>
      <w:proofErr w:type="spellStart"/>
      <w:r w:rsidRPr="00577F99">
        <w:rPr>
          <w:rFonts w:ascii="Times New Roman" w:hAnsi="Times New Roman" w:cs="Times New Roman"/>
          <w:i/>
          <w:sz w:val="24"/>
          <w:szCs w:val="24"/>
          <w:highlight w:val="white"/>
        </w:rPr>
        <w:t>bmj</w:t>
      </w:r>
      <w:proofErr w:type="spellEnd"/>
      <w:r w:rsidRPr="00577F99">
        <w:rPr>
          <w:rFonts w:ascii="Times New Roman" w:hAnsi="Times New Roman" w:cs="Times New Roman"/>
          <w:sz w:val="24"/>
          <w:szCs w:val="24"/>
          <w:highlight w:val="white"/>
        </w:rPr>
        <w:t xml:space="preserve">, </w:t>
      </w:r>
      <w:r w:rsidRPr="00577F99">
        <w:rPr>
          <w:rFonts w:ascii="Times New Roman" w:hAnsi="Times New Roman" w:cs="Times New Roman"/>
          <w:i/>
          <w:sz w:val="24"/>
          <w:szCs w:val="24"/>
          <w:highlight w:val="white"/>
        </w:rPr>
        <w:t>372</w:t>
      </w:r>
      <w:r w:rsidRPr="00577F99">
        <w:rPr>
          <w:rFonts w:ascii="Times New Roman" w:hAnsi="Times New Roman" w:cs="Times New Roman"/>
          <w:sz w:val="24"/>
          <w:szCs w:val="24"/>
          <w:highlight w:val="white"/>
        </w:rPr>
        <w:t>.</w:t>
      </w:r>
    </w:p>
    <w:p w14:paraId="2435EDDE"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r w:rsidRPr="00577F99">
        <w:rPr>
          <w:rFonts w:ascii="Times New Roman" w:hAnsi="Times New Roman" w:cs="Times New Roman"/>
          <w:sz w:val="24"/>
          <w:szCs w:val="24"/>
          <w:highlight w:val="white"/>
        </w:rPr>
        <w:t xml:space="preserve">Young, M., </w:t>
      </w:r>
      <w:proofErr w:type="spellStart"/>
      <w:r w:rsidRPr="00577F99">
        <w:rPr>
          <w:rFonts w:ascii="Times New Roman" w:hAnsi="Times New Roman" w:cs="Times New Roman"/>
          <w:sz w:val="24"/>
          <w:szCs w:val="24"/>
          <w:highlight w:val="white"/>
        </w:rPr>
        <w:t>Magassa</w:t>
      </w:r>
      <w:proofErr w:type="spellEnd"/>
      <w:r w:rsidRPr="00577F99">
        <w:rPr>
          <w:rFonts w:ascii="Times New Roman" w:hAnsi="Times New Roman" w:cs="Times New Roman"/>
          <w:sz w:val="24"/>
          <w:szCs w:val="24"/>
          <w:highlight w:val="white"/>
        </w:rPr>
        <w:t xml:space="preserve">, L. and Friedman, B., 2019. Toward inclusive tech policy design: a method for underrepresented voices to strengthen tech policy documents. </w:t>
      </w:r>
      <w:r w:rsidRPr="00577F99">
        <w:rPr>
          <w:rFonts w:ascii="Times New Roman" w:hAnsi="Times New Roman" w:cs="Times New Roman"/>
          <w:i/>
          <w:sz w:val="24"/>
          <w:szCs w:val="24"/>
          <w:highlight w:val="white"/>
        </w:rPr>
        <w:t>Ethics and Information Technology</w:t>
      </w:r>
      <w:r w:rsidRPr="00577F99">
        <w:rPr>
          <w:rFonts w:ascii="Times New Roman" w:hAnsi="Times New Roman" w:cs="Times New Roman"/>
          <w:sz w:val="24"/>
          <w:szCs w:val="24"/>
          <w:highlight w:val="white"/>
        </w:rPr>
        <w:t xml:space="preserve">, </w:t>
      </w:r>
      <w:r w:rsidRPr="00577F99">
        <w:rPr>
          <w:rFonts w:ascii="Times New Roman" w:hAnsi="Times New Roman" w:cs="Times New Roman"/>
          <w:i/>
          <w:sz w:val="24"/>
          <w:szCs w:val="24"/>
          <w:highlight w:val="white"/>
        </w:rPr>
        <w:t>21</w:t>
      </w:r>
      <w:r w:rsidRPr="00577F99">
        <w:rPr>
          <w:rFonts w:ascii="Times New Roman" w:hAnsi="Times New Roman" w:cs="Times New Roman"/>
          <w:sz w:val="24"/>
          <w:szCs w:val="24"/>
          <w:highlight w:val="white"/>
        </w:rPr>
        <w:t>, pp.89-103.</w:t>
      </w:r>
    </w:p>
    <w:p w14:paraId="43F31C83" w14:textId="77777777" w:rsidR="00CB032F" w:rsidRPr="00577F99" w:rsidRDefault="00CB032F" w:rsidP="00CB032F">
      <w:pPr>
        <w:pStyle w:val="Normal1"/>
        <w:spacing w:line="360" w:lineRule="auto"/>
        <w:jc w:val="both"/>
        <w:rPr>
          <w:rFonts w:ascii="Times New Roman" w:hAnsi="Times New Roman" w:cs="Times New Roman"/>
          <w:sz w:val="24"/>
          <w:szCs w:val="24"/>
          <w:highlight w:val="white"/>
        </w:rPr>
      </w:pPr>
      <w:proofErr w:type="spellStart"/>
      <w:r w:rsidRPr="00577F99">
        <w:rPr>
          <w:rFonts w:ascii="Times New Roman" w:hAnsi="Times New Roman" w:cs="Times New Roman"/>
          <w:sz w:val="24"/>
          <w:szCs w:val="24"/>
          <w:highlight w:val="white"/>
        </w:rPr>
        <w:lastRenderedPageBreak/>
        <w:t>Zibrowski</w:t>
      </w:r>
      <w:proofErr w:type="spellEnd"/>
      <w:r w:rsidRPr="00577F99">
        <w:rPr>
          <w:rFonts w:ascii="Times New Roman" w:hAnsi="Times New Roman" w:cs="Times New Roman"/>
          <w:sz w:val="24"/>
          <w:szCs w:val="24"/>
          <w:highlight w:val="white"/>
        </w:rPr>
        <w:t xml:space="preserve">, E., </w:t>
      </w:r>
      <w:proofErr w:type="spellStart"/>
      <w:r w:rsidRPr="00577F99">
        <w:rPr>
          <w:rFonts w:ascii="Times New Roman" w:hAnsi="Times New Roman" w:cs="Times New Roman"/>
          <w:sz w:val="24"/>
          <w:szCs w:val="24"/>
          <w:highlight w:val="white"/>
        </w:rPr>
        <w:t>Carr</w:t>
      </w:r>
      <w:proofErr w:type="spellEnd"/>
      <w:r w:rsidRPr="00577F99">
        <w:rPr>
          <w:rFonts w:ascii="Times New Roman" w:hAnsi="Times New Roman" w:cs="Times New Roman"/>
          <w:sz w:val="24"/>
          <w:szCs w:val="24"/>
          <w:highlight w:val="white"/>
        </w:rPr>
        <w:t xml:space="preserve">, T., McDonald, S., Thiessen, H., van </w:t>
      </w:r>
      <w:proofErr w:type="spellStart"/>
      <w:r w:rsidRPr="00577F99">
        <w:rPr>
          <w:rFonts w:ascii="Times New Roman" w:hAnsi="Times New Roman" w:cs="Times New Roman"/>
          <w:sz w:val="24"/>
          <w:szCs w:val="24"/>
          <w:highlight w:val="white"/>
        </w:rPr>
        <w:t>Dusen</w:t>
      </w:r>
      <w:proofErr w:type="spellEnd"/>
      <w:r w:rsidRPr="00577F99">
        <w:rPr>
          <w:rFonts w:ascii="Times New Roman" w:hAnsi="Times New Roman" w:cs="Times New Roman"/>
          <w:sz w:val="24"/>
          <w:szCs w:val="24"/>
          <w:highlight w:val="white"/>
        </w:rPr>
        <w:t xml:space="preserve">, R., Goodridge, D., Haver, C., </w:t>
      </w:r>
      <w:proofErr w:type="spellStart"/>
      <w:r w:rsidRPr="00577F99">
        <w:rPr>
          <w:rFonts w:ascii="Times New Roman" w:hAnsi="Times New Roman" w:cs="Times New Roman"/>
          <w:sz w:val="24"/>
          <w:szCs w:val="24"/>
          <w:highlight w:val="white"/>
        </w:rPr>
        <w:t>Marciniuk</w:t>
      </w:r>
      <w:proofErr w:type="spellEnd"/>
      <w:r w:rsidRPr="00577F99">
        <w:rPr>
          <w:rFonts w:ascii="Times New Roman" w:hAnsi="Times New Roman" w:cs="Times New Roman"/>
          <w:sz w:val="24"/>
          <w:szCs w:val="24"/>
          <w:highlight w:val="white"/>
        </w:rPr>
        <w:t xml:space="preserve">, D., Stobart, C., </w:t>
      </w:r>
      <w:proofErr w:type="spellStart"/>
      <w:r w:rsidRPr="00577F99">
        <w:rPr>
          <w:rFonts w:ascii="Times New Roman" w:hAnsi="Times New Roman" w:cs="Times New Roman"/>
          <w:sz w:val="24"/>
          <w:szCs w:val="24"/>
          <w:highlight w:val="white"/>
        </w:rPr>
        <w:t>Verrall</w:t>
      </w:r>
      <w:proofErr w:type="spellEnd"/>
      <w:r w:rsidRPr="00577F99">
        <w:rPr>
          <w:rFonts w:ascii="Times New Roman" w:hAnsi="Times New Roman" w:cs="Times New Roman"/>
          <w:sz w:val="24"/>
          <w:szCs w:val="24"/>
          <w:highlight w:val="white"/>
        </w:rPr>
        <w:t xml:space="preserve">, T. and Groot, G., 2021. A rapid realist review of patient engagement in patient-oriented research and health care system impacts: part one. </w:t>
      </w:r>
      <w:r w:rsidRPr="00577F99">
        <w:rPr>
          <w:rFonts w:ascii="Times New Roman" w:hAnsi="Times New Roman" w:cs="Times New Roman"/>
          <w:i/>
          <w:sz w:val="24"/>
          <w:szCs w:val="24"/>
          <w:highlight w:val="white"/>
        </w:rPr>
        <w:t>Research Involvement and Engagement</w:t>
      </w:r>
      <w:r w:rsidRPr="00577F99">
        <w:rPr>
          <w:rFonts w:ascii="Times New Roman" w:hAnsi="Times New Roman" w:cs="Times New Roman"/>
          <w:sz w:val="24"/>
          <w:szCs w:val="24"/>
          <w:highlight w:val="white"/>
        </w:rPr>
        <w:t xml:space="preserve">, </w:t>
      </w:r>
      <w:r w:rsidRPr="00577F99">
        <w:rPr>
          <w:rFonts w:ascii="Times New Roman" w:hAnsi="Times New Roman" w:cs="Times New Roman"/>
          <w:i/>
          <w:sz w:val="24"/>
          <w:szCs w:val="24"/>
          <w:highlight w:val="white"/>
        </w:rPr>
        <w:t>7</w:t>
      </w:r>
      <w:r w:rsidRPr="00577F99">
        <w:rPr>
          <w:rFonts w:ascii="Times New Roman" w:hAnsi="Times New Roman" w:cs="Times New Roman"/>
          <w:sz w:val="24"/>
          <w:szCs w:val="24"/>
          <w:highlight w:val="white"/>
        </w:rPr>
        <w:t>(1), pp.1-13.</w:t>
      </w:r>
    </w:p>
    <w:sectPr w:rsidR="00CB032F" w:rsidRPr="00577F99" w:rsidSect="00CB032F">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BCBD9" w14:textId="77777777" w:rsidR="000403C4" w:rsidRDefault="000403C4" w:rsidP="00CB032F">
      <w:pPr>
        <w:spacing w:line="240" w:lineRule="auto"/>
      </w:pPr>
      <w:r>
        <w:separator/>
      </w:r>
    </w:p>
  </w:endnote>
  <w:endnote w:type="continuationSeparator" w:id="0">
    <w:p w14:paraId="0BA3FAD3" w14:textId="77777777" w:rsidR="000403C4" w:rsidRDefault="000403C4" w:rsidP="00CB03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114149"/>
      <w:docPartObj>
        <w:docPartGallery w:val="Page Numbers (Bottom of Page)"/>
        <w:docPartUnique/>
      </w:docPartObj>
    </w:sdtPr>
    <w:sdtEndPr/>
    <w:sdtContent>
      <w:p w14:paraId="461389E5" w14:textId="77777777" w:rsidR="00CB032F" w:rsidRDefault="00770AF8">
        <w:pPr>
          <w:pStyle w:val="Footer"/>
          <w:jc w:val="right"/>
        </w:pPr>
        <w:r w:rsidRPr="00CB032F">
          <w:rPr>
            <w:rFonts w:ascii="Times New Roman" w:hAnsi="Times New Roman" w:cs="Times New Roman"/>
            <w:sz w:val="20"/>
            <w:szCs w:val="20"/>
          </w:rPr>
          <w:fldChar w:fldCharType="begin"/>
        </w:r>
        <w:r w:rsidR="00CB032F" w:rsidRPr="00CB032F">
          <w:rPr>
            <w:rFonts w:ascii="Times New Roman" w:hAnsi="Times New Roman" w:cs="Times New Roman"/>
            <w:sz w:val="20"/>
            <w:szCs w:val="20"/>
          </w:rPr>
          <w:instrText xml:space="preserve"> PAGE   \* MERGEFORMAT </w:instrText>
        </w:r>
        <w:r w:rsidRPr="00CB032F">
          <w:rPr>
            <w:rFonts w:ascii="Times New Roman" w:hAnsi="Times New Roman" w:cs="Times New Roman"/>
            <w:sz w:val="20"/>
            <w:szCs w:val="20"/>
          </w:rPr>
          <w:fldChar w:fldCharType="separate"/>
        </w:r>
        <w:r w:rsidR="0095296B">
          <w:rPr>
            <w:rFonts w:ascii="Times New Roman" w:hAnsi="Times New Roman" w:cs="Times New Roman"/>
            <w:noProof/>
            <w:sz w:val="20"/>
            <w:szCs w:val="20"/>
          </w:rPr>
          <w:t>2</w:t>
        </w:r>
        <w:r w:rsidRPr="00CB032F">
          <w:rPr>
            <w:rFonts w:ascii="Times New Roman" w:hAnsi="Times New Roman" w:cs="Times New Roman"/>
            <w:sz w:val="20"/>
            <w:szCs w:val="20"/>
          </w:rPr>
          <w:fldChar w:fldCharType="end"/>
        </w:r>
      </w:p>
    </w:sdtContent>
  </w:sdt>
  <w:p w14:paraId="769DF533" w14:textId="77777777" w:rsidR="00CB032F" w:rsidRDefault="00CB0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07E62" w14:textId="77777777" w:rsidR="000403C4" w:rsidRDefault="000403C4" w:rsidP="00CB032F">
      <w:pPr>
        <w:spacing w:line="240" w:lineRule="auto"/>
      </w:pPr>
      <w:r>
        <w:separator/>
      </w:r>
    </w:p>
  </w:footnote>
  <w:footnote w:type="continuationSeparator" w:id="0">
    <w:p w14:paraId="092909EA" w14:textId="77777777" w:rsidR="000403C4" w:rsidRDefault="000403C4" w:rsidP="00CB032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30A"/>
    <w:rsid w:val="00024D3D"/>
    <w:rsid w:val="000403C4"/>
    <w:rsid w:val="00042D68"/>
    <w:rsid w:val="00051FAA"/>
    <w:rsid w:val="0007492B"/>
    <w:rsid w:val="002721A1"/>
    <w:rsid w:val="00320714"/>
    <w:rsid w:val="00577F99"/>
    <w:rsid w:val="006E4192"/>
    <w:rsid w:val="00770AF8"/>
    <w:rsid w:val="008D6716"/>
    <w:rsid w:val="008E230A"/>
    <w:rsid w:val="0095296B"/>
    <w:rsid w:val="00AF3BB3"/>
    <w:rsid w:val="00CB0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8F394"/>
  <w15:docId w15:val="{27F9F068-9DDD-4CED-ABC5-AAE18ED9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1A1"/>
  </w:style>
  <w:style w:type="paragraph" w:styleId="Heading1">
    <w:name w:val="heading 1"/>
    <w:basedOn w:val="Normal1"/>
    <w:next w:val="Normal1"/>
    <w:autoRedefine/>
    <w:rsid w:val="00CB032F"/>
    <w:pPr>
      <w:keepNext/>
      <w:keepLines/>
      <w:spacing w:before="400" w:after="120"/>
      <w:outlineLvl w:val="0"/>
    </w:pPr>
    <w:rPr>
      <w:rFonts w:ascii="Times New Roman" w:hAnsi="Times New Roman"/>
      <w:b/>
      <w:sz w:val="28"/>
      <w:szCs w:val="40"/>
    </w:rPr>
  </w:style>
  <w:style w:type="paragraph" w:styleId="Heading2">
    <w:name w:val="heading 2"/>
    <w:basedOn w:val="Normal1"/>
    <w:next w:val="Normal1"/>
    <w:autoRedefine/>
    <w:rsid w:val="00CB032F"/>
    <w:pPr>
      <w:keepNext/>
      <w:keepLines/>
      <w:spacing w:before="360" w:after="120"/>
      <w:outlineLvl w:val="1"/>
    </w:pPr>
    <w:rPr>
      <w:rFonts w:ascii="Times New Roman" w:hAnsi="Times New Roman"/>
      <w:b/>
      <w:sz w:val="26"/>
      <w:szCs w:val="32"/>
    </w:rPr>
  </w:style>
  <w:style w:type="paragraph" w:styleId="Heading3">
    <w:name w:val="heading 3"/>
    <w:basedOn w:val="Normal1"/>
    <w:next w:val="Normal1"/>
    <w:rsid w:val="008E230A"/>
    <w:pPr>
      <w:keepNext/>
      <w:keepLines/>
      <w:spacing w:before="320" w:after="80"/>
      <w:outlineLvl w:val="2"/>
    </w:pPr>
    <w:rPr>
      <w:color w:val="434343"/>
      <w:sz w:val="28"/>
      <w:szCs w:val="28"/>
    </w:rPr>
  </w:style>
  <w:style w:type="paragraph" w:styleId="Heading4">
    <w:name w:val="heading 4"/>
    <w:basedOn w:val="Normal1"/>
    <w:next w:val="Normal1"/>
    <w:rsid w:val="008E230A"/>
    <w:pPr>
      <w:keepNext/>
      <w:keepLines/>
      <w:spacing w:before="280" w:after="80"/>
      <w:outlineLvl w:val="3"/>
    </w:pPr>
    <w:rPr>
      <w:color w:val="666666"/>
      <w:sz w:val="24"/>
      <w:szCs w:val="24"/>
    </w:rPr>
  </w:style>
  <w:style w:type="paragraph" w:styleId="Heading5">
    <w:name w:val="heading 5"/>
    <w:basedOn w:val="Normal1"/>
    <w:next w:val="Normal1"/>
    <w:rsid w:val="008E230A"/>
    <w:pPr>
      <w:keepNext/>
      <w:keepLines/>
      <w:spacing w:before="240" w:after="80"/>
      <w:outlineLvl w:val="4"/>
    </w:pPr>
    <w:rPr>
      <w:color w:val="666666"/>
    </w:rPr>
  </w:style>
  <w:style w:type="paragraph" w:styleId="Heading6">
    <w:name w:val="heading 6"/>
    <w:basedOn w:val="Normal1"/>
    <w:next w:val="Normal1"/>
    <w:rsid w:val="008E230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E230A"/>
  </w:style>
  <w:style w:type="paragraph" w:styleId="Title">
    <w:name w:val="Title"/>
    <w:basedOn w:val="Normal1"/>
    <w:next w:val="Normal1"/>
    <w:link w:val="TitleChar"/>
    <w:qFormat/>
    <w:rsid w:val="008E230A"/>
    <w:pPr>
      <w:keepNext/>
      <w:keepLines/>
      <w:spacing w:after="60"/>
    </w:pPr>
    <w:rPr>
      <w:sz w:val="52"/>
      <w:szCs w:val="52"/>
    </w:rPr>
  </w:style>
  <w:style w:type="paragraph" w:styleId="Subtitle">
    <w:name w:val="Subtitle"/>
    <w:basedOn w:val="Normal1"/>
    <w:next w:val="Normal1"/>
    <w:rsid w:val="008E230A"/>
    <w:pPr>
      <w:keepNext/>
      <w:keepLines/>
      <w:spacing w:after="320"/>
    </w:pPr>
    <w:rPr>
      <w:color w:val="666666"/>
      <w:sz w:val="30"/>
      <w:szCs w:val="30"/>
    </w:rPr>
  </w:style>
  <w:style w:type="paragraph" w:styleId="TOCHeading">
    <w:name w:val="TOC Heading"/>
    <w:basedOn w:val="Heading1"/>
    <w:next w:val="Normal"/>
    <w:uiPriority w:val="39"/>
    <w:unhideWhenUsed/>
    <w:qFormat/>
    <w:rsid w:val="00CB032F"/>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B032F"/>
    <w:pPr>
      <w:spacing w:after="100"/>
    </w:pPr>
  </w:style>
  <w:style w:type="paragraph" w:styleId="TOC2">
    <w:name w:val="toc 2"/>
    <w:basedOn w:val="Normal"/>
    <w:next w:val="Normal"/>
    <w:autoRedefine/>
    <w:uiPriority w:val="39"/>
    <w:unhideWhenUsed/>
    <w:rsid w:val="00CB032F"/>
    <w:pPr>
      <w:spacing w:after="100"/>
      <w:ind w:left="220"/>
    </w:pPr>
  </w:style>
  <w:style w:type="character" w:styleId="Hyperlink">
    <w:name w:val="Hyperlink"/>
    <w:basedOn w:val="DefaultParagraphFont"/>
    <w:uiPriority w:val="99"/>
    <w:unhideWhenUsed/>
    <w:rsid w:val="00CB032F"/>
    <w:rPr>
      <w:color w:val="0000FF" w:themeColor="hyperlink"/>
      <w:u w:val="single"/>
    </w:rPr>
  </w:style>
  <w:style w:type="paragraph" w:styleId="BalloonText">
    <w:name w:val="Balloon Text"/>
    <w:basedOn w:val="Normal"/>
    <w:link w:val="BalloonTextChar"/>
    <w:uiPriority w:val="99"/>
    <w:semiHidden/>
    <w:unhideWhenUsed/>
    <w:rsid w:val="00CB03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032F"/>
    <w:rPr>
      <w:rFonts w:ascii="Tahoma" w:hAnsi="Tahoma" w:cs="Tahoma"/>
      <w:sz w:val="16"/>
      <w:szCs w:val="16"/>
    </w:rPr>
  </w:style>
  <w:style w:type="paragraph" w:styleId="Header">
    <w:name w:val="header"/>
    <w:basedOn w:val="Normal"/>
    <w:link w:val="HeaderChar"/>
    <w:uiPriority w:val="99"/>
    <w:semiHidden/>
    <w:unhideWhenUsed/>
    <w:rsid w:val="00CB032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B032F"/>
  </w:style>
  <w:style w:type="paragraph" w:styleId="Footer">
    <w:name w:val="footer"/>
    <w:basedOn w:val="Normal"/>
    <w:link w:val="FooterChar"/>
    <w:uiPriority w:val="99"/>
    <w:unhideWhenUsed/>
    <w:rsid w:val="00CB032F"/>
    <w:pPr>
      <w:tabs>
        <w:tab w:val="center" w:pos="4680"/>
        <w:tab w:val="right" w:pos="9360"/>
      </w:tabs>
      <w:spacing w:line="240" w:lineRule="auto"/>
    </w:pPr>
  </w:style>
  <w:style w:type="character" w:customStyle="1" w:styleId="FooterChar">
    <w:name w:val="Footer Char"/>
    <w:basedOn w:val="DefaultParagraphFont"/>
    <w:link w:val="Footer"/>
    <w:uiPriority w:val="99"/>
    <w:rsid w:val="00CB032F"/>
  </w:style>
  <w:style w:type="character" w:customStyle="1" w:styleId="TitleChar">
    <w:name w:val="Title Char"/>
    <w:basedOn w:val="DefaultParagraphFont"/>
    <w:link w:val="Title"/>
    <w:rsid w:val="006E4192"/>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0768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E2927-3DA7-445F-9B6A-C067A0D4D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2697</Words>
  <Characters>15375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 Maria Petrache</dc:creator>
  <cp:lastModifiedBy>Ramona Maria Petrache</cp:lastModifiedBy>
  <cp:revision>5</cp:revision>
  <dcterms:created xsi:type="dcterms:W3CDTF">2023-03-28T14:38:00Z</dcterms:created>
  <dcterms:modified xsi:type="dcterms:W3CDTF">2023-03-28T14:53:00Z</dcterms:modified>
</cp:coreProperties>
</file>