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6F18F" w14:textId="77777777" w:rsidR="0027759A" w:rsidRDefault="0027759A"/>
    <w:p w14:paraId="53BDEB1E" w14:textId="77777777" w:rsidR="0027759A" w:rsidRDefault="0027759A"/>
    <w:p w14:paraId="37F1B484" w14:textId="77777777" w:rsidR="0027759A" w:rsidRDefault="0027759A"/>
    <w:p w14:paraId="4EA704E4" w14:textId="77777777" w:rsidR="0027759A" w:rsidRDefault="00000000">
      <w:pPr>
        <w:spacing w:line="360" w:lineRule="auto"/>
        <w:jc w:val="center"/>
        <w:rPr>
          <w:b/>
          <w:bCs/>
          <w:sz w:val="56"/>
          <w:szCs w:val="56"/>
        </w:rPr>
      </w:pPr>
      <w:r>
        <w:rPr>
          <w:b/>
          <w:bCs/>
          <w:sz w:val="56"/>
          <w:szCs w:val="56"/>
        </w:rPr>
        <w:t>A Zero Trust Security Framework for Vigilant Trust &amp; Asset Management</w:t>
      </w:r>
    </w:p>
    <w:p w14:paraId="78738FF7" w14:textId="77777777" w:rsidR="0027759A" w:rsidRDefault="0027759A">
      <w:pPr>
        <w:spacing w:line="360" w:lineRule="auto"/>
        <w:jc w:val="center"/>
      </w:pPr>
    </w:p>
    <w:p w14:paraId="04670194" w14:textId="77777777" w:rsidR="0027759A" w:rsidRDefault="00000000">
      <w:pPr>
        <w:spacing w:line="360" w:lineRule="auto"/>
        <w:jc w:val="center"/>
      </w:pPr>
      <w:r>
        <w:rPr>
          <w:b/>
          <w:bCs/>
          <w:sz w:val="28"/>
          <w:szCs w:val="28"/>
        </w:rPr>
        <w:t>To: The Board of Directors, Vigilant Trust &amp; Asset Management (VTAM)</w:t>
      </w:r>
    </w:p>
    <w:p w14:paraId="7EB42E34" w14:textId="1A9C73FA" w:rsidR="0027759A" w:rsidRPr="00D85EAB" w:rsidRDefault="00D85EAB" w:rsidP="00D85EAB">
      <w:pPr>
        <w:spacing w:line="360" w:lineRule="auto"/>
        <w:rPr>
          <w:b/>
          <w:bCs/>
        </w:rPr>
      </w:pPr>
      <w:r w:rsidRPr="00D85EAB">
        <w:rPr>
          <w:b/>
          <w:bCs/>
        </w:rPr>
        <w:t>Name: Paul Cyrus Aboderin</w:t>
      </w:r>
    </w:p>
    <w:p w14:paraId="76382F2C" w14:textId="54E11D8B" w:rsidR="00D85EAB" w:rsidRPr="00D85EAB" w:rsidRDefault="00D85EAB" w:rsidP="00D85EAB">
      <w:pPr>
        <w:spacing w:line="360" w:lineRule="auto"/>
        <w:rPr>
          <w:b/>
          <w:bCs/>
        </w:rPr>
      </w:pPr>
      <w:r w:rsidRPr="00D85EAB">
        <w:rPr>
          <w:b/>
          <w:bCs/>
        </w:rPr>
        <w:t>Student ID: 2024237981</w:t>
      </w:r>
    </w:p>
    <w:p w14:paraId="2F96EA8D" w14:textId="20C6883C" w:rsidR="00D85EAB" w:rsidRPr="00D85EAB" w:rsidRDefault="00D85EAB" w:rsidP="00D85EAB">
      <w:pPr>
        <w:spacing w:line="360" w:lineRule="auto"/>
        <w:rPr>
          <w:b/>
          <w:bCs/>
        </w:rPr>
      </w:pPr>
      <w:r w:rsidRPr="00D85EAB">
        <w:rPr>
          <w:b/>
          <w:bCs/>
        </w:rPr>
        <w:t>Module: Network And Cyber Security Essentials</w:t>
      </w:r>
    </w:p>
    <w:p w14:paraId="7CFAA6E0" w14:textId="15748229" w:rsidR="00D85EAB" w:rsidRPr="00D85EAB" w:rsidRDefault="00D85EAB" w:rsidP="00D85EAB">
      <w:pPr>
        <w:spacing w:line="360" w:lineRule="auto"/>
        <w:rPr>
          <w:b/>
          <w:bCs/>
        </w:rPr>
      </w:pPr>
      <w:r w:rsidRPr="00D85EAB">
        <w:rPr>
          <w:b/>
          <w:bCs/>
        </w:rPr>
        <w:t xml:space="preserve">Module Code: </w:t>
      </w:r>
      <w:r w:rsidRPr="00D85EAB">
        <w:rPr>
          <w:b/>
          <w:bCs/>
        </w:rPr>
        <w:t>ACCA4024</w:t>
      </w:r>
    </w:p>
    <w:p w14:paraId="615D7DDF" w14:textId="5664EF11" w:rsidR="0027759A" w:rsidRPr="00D85EAB" w:rsidRDefault="00000000" w:rsidP="00D85EAB">
      <w:pPr>
        <w:spacing w:line="360" w:lineRule="auto"/>
        <w:rPr>
          <w:b/>
          <w:bCs/>
        </w:rPr>
      </w:pPr>
      <w:r w:rsidRPr="00D85EAB">
        <w:rPr>
          <w:b/>
          <w:bCs/>
        </w:rPr>
        <w:t>Date</w:t>
      </w:r>
      <w:r w:rsidR="00D85EAB" w:rsidRPr="00D85EAB">
        <w:rPr>
          <w:b/>
          <w:bCs/>
        </w:rPr>
        <w:t xml:space="preserve"> Of Submission</w:t>
      </w:r>
      <w:r w:rsidRPr="00D85EAB">
        <w:rPr>
          <w:b/>
          <w:bCs/>
        </w:rPr>
        <w:t xml:space="preserve">: </w:t>
      </w:r>
      <w:r w:rsidR="00D85EAB" w:rsidRPr="00D85EAB">
        <w:rPr>
          <w:b/>
          <w:bCs/>
        </w:rPr>
        <w:t>18-12-2012</w:t>
      </w:r>
    </w:p>
    <w:p w14:paraId="5AB2ACF3" w14:textId="77777777" w:rsidR="0027759A" w:rsidRDefault="00000000" w:rsidP="00D85EAB">
      <w:pPr>
        <w:spacing w:line="360" w:lineRule="auto"/>
        <w:rPr>
          <w:b/>
          <w:bCs/>
        </w:rPr>
      </w:pPr>
      <w:r>
        <w:rPr>
          <w:b/>
          <w:bCs/>
        </w:rPr>
        <w:t>Subject: Comprehensive Cybersecurity Modernization Plan Based on Zero Trust</w:t>
      </w:r>
    </w:p>
    <w:p w14:paraId="13A1D76C" w14:textId="77777777" w:rsidR="0027759A" w:rsidRDefault="0027759A"/>
    <w:p w14:paraId="42D2085A" w14:textId="77777777" w:rsidR="0027759A" w:rsidRDefault="0027759A"/>
    <w:p w14:paraId="0E972E6E" w14:textId="77777777" w:rsidR="0027759A" w:rsidRDefault="0027759A"/>
    <w:p w14:paraId="58DCDB3F" w14:textId="77777777" w:rsidR="0027759A" w:rsidRDefault="0027759A"/>
    <w:p w14:paraId="2BD3DCF3" w14:textId="77777777" w:rsidR="0027759A" w:rsidRDefault="0027759A"/>
    <w:p w14:paraId="79D020AE" w14:textId="77777777" w:rsidR="0027759A" w:rsidRDefault="0027759A"/>
    <w:p w14:paraId="40829B36" w14:textId="77777777" w:rsidR="0027759A" w:rsidRDefault="0027759A"/>
    <w:p w14:paraId="6D8944F3" w14:textId="77777777" w:rsidR="0027759A" w:rsidRDefault="0027759A"/>
    <w:p w14:paraId="4627126B" w14:textId="77777777" w:rsidR="0027759A" w:rsidRDefault="0027759A"/>
    <w:p w14:paraId="63FA5B53" w14:textId="77777777" w:rsidR="0027759A" w:rsidRDefault="0027759A"/>
    <w:p w14:paraId="168E71CC" w14:textId="77777777" w:rsidR="0027759A" w:rsidRDefault="00000000">
      <w:pPr>
        <w:rPr>
          <w:b/>
          <w:bCs/>
          <w:sz w:val="36"/>
          <w:szCs w:val="36"/>
        </w:rPr>
      </w:pPr>
      <w:r>
        <w:rPr>
          <w:b/>
          <w:bCs/>
          <w:sz w:val="36"/>
          <w:szCs w:val="36"/>
        </w:rPr>
        <w:t>1.0 Executive Summary</w:t>
      </w:r>
    </w:p>
    <w:p w14:paraId="71B04F23" w14:textId="77777777" w:rsidR="0027759A" w:rsidRDefault="00000000">
      <w:pPr>
        <w:spacing w:line="360" w:lineRule="auto"/>
        <w:jc w:val="both"/>
      </w:pPr>
      <w:r>
        <w:rPr>
          <w:rFonts w:eastAsia="SimSun" w:cs="SimSun"/>
          <w:lang w:eastAsia="zh-CN" w:bidi="ar"/>
        </w:rPr>
        <w:t>This study describes how VTAM's cyber security posture has been strategically modernized in response to recent security incidents. The dynamic threat landscape necessitates a fundamental departure from conventional perimeter-based security, as seen by Ransomware-as-a-Service (RaaS) and advanced AI-powered social engineering. As our primary approach, this plan suggests implementing a Zero Trust Architecture, which is based on well-established NIST and CISA frameworks. The suggested actions such as stringent access controls, round-the-clock SIEM/SOAR monitoring, and ongoing, simulation-based training are not only technological advancements; they are crucial expenditures to safeguard our financial resources, client confidence, and regulatory position. A gradual investment will be necessary for implementation, but it is essential to guaranteeing the long-term viability and durability of VTAM.</w:t>
      </w:r>
    </w:p>
    <w:p w14:paraId="13D8DC1E" w14:textId="77777777" w:rsidR="0027759A" w:rsidRDefault="0027759A"/>
    <w:p w14:paraId="01811BAE" w14:textId="77777777" w:rsidR="0027759A" w:rsidRDefault="00000000">
      <w:pPr>
        <w:rPr>
          <w:b/>
          <w:bCs/>
          <w:sz w:val="36"/>
          <w:szCs w:val="36"/>
        </w:rPr>
      </w:pPr>
      <w:r>
        <w:rPr>
          <w:b/>
          <w:bCs/>
          <w:sz w:val="36"/>
          <w:szCs w:val="36"/>
        </w:rPr>
        <w:t>2.0 Identification of Modern Threats</w:t>
      </w:r>
    </w:p>
    <w:p w14:paraId="510F9F34" w14:textId="77777777" w:rsidR="0027759A" w:rsidRDefault="00000000">
      <w:pPr>
        <w:spacing w:line="360" w:lineRule="auto"/>
        <w:jc w:val="both"/>
        <w:rPr>
          <w:rFonts w:ascii="Cambria" w:eastAsia="SimSun" w:hAnsi="Cambria" w:cs="Cambria"/>
          <w:lang w:eastAsia="zh-CN" w:bidi="ar"/>
        </w:rPr>
      </w:pPr>
      <w:r>
        <w:rPr>
          <w:rFonts w:ascii="Cambria" w:eastAsia="SimSun" w:hAnsi="Cambria" w:cs="Cambria"/>
          <w:lang w:eastAsia="zh-CN" w:bidi="ar"/>
        </w:rPr>
        <w:t>The implementation of cloud services and the hybrid work style have dismantled the old organizational perimeter, opening up a huge attack surface. VTAM is confronted with both persistent and emerging threats.</w:t>
      </w:r>
    </w:p>
    <w:p w14:paraId="5F5B622F" w14:textId="77777777" w:rsidR="0027759A" w:rsidRDefault="0027759A">
      <w:pPr>
        <w:spacing w:line="360" w:lineRule="auto"/>
        <w:jc w:val="both"/>
        <w:rPr>
          <w:rFonts w:ascii="Cambria" w:eastAsia="SimSun" w:hAnsi="Cambria" w:cs="Cambria"/>
          <w:lang w:eastAsia="zh-CN" w:bidi="ar"/>
        </w:rPr>
      </w:pPr>
    </w:p>
    <w:p w14:paraId="4FD297A4" w14:textId="77777777" w:rsidR="0027759A" w:rsidRDefault="00000000">
      <w:pPr>
        <w:rPr>
          <w:b/>
          <w:bCs/>
          <w:sz w:val="28"/>
          <w:szCs w:val="28"/>
        </w:rPr>
      </w:pPr>
      <w:r>
        <w:rPr>
          <w:b/>
          <w:bCs/>
          <w:sz w:val="28"/>
          <w:szCs w:val="28"/>
        </w:rPr>
        <w:t>2.1 External Threats</w:t>
      </w:r>
    </w:p>
    <w:p w14:paraId="5D103E00" w14:textId="77777777" w:rsidR="0027759A" w:rsidRDefault="00000000">
      <w:pPr>
        <w:spacing w:line="360" w:lineRule="auto"/>
        <w:jc w:val="both"/>
      </w:pPr>
      <w:r>
        <w:t xml:space="preserve">• </w:t>
      </w:r>
      <w:r>
        <w:rPr>
          <w:b/>
          <w:bCs/>
          <w:sz w:val="24"/>
          <w:szCs w:val="24"/>
        </w:rPr>
        <w:t>Ransomware-as-a-Service (RaaS)</w:t>
      </w:r>
      <w:r>
        <w:t xml:space="preserve">: Threat actors can now "rent" sophisticated ransomware tools, lowering the barrier to entry for cyber criminals. The </w:t>
      </w:r>
      <w:proofErr w:type="spellStart"/>
      <w:r>
        <w:t>BlackCat</w:t>
      </w:r>
      <w:proofErr w:type="spellEnd"/>
      <w:r>
        <w:t>/</w:t>
      </w:r>
      <w:proofErr w:type="spellStart"/>
      <w:r>
        <w:t>Alphv</w:t>
      </w:r>
      <w:proofErr w:type="spellEnd"/>
      <w:r>
        <w:t xml:space="preserve"> ransomware gang, for instance, has been used in attacks against financial institutions, ex-filtrating data before encryption to extort payments for both decryption and non-disclosure.</w:t>
      </w:r>
    </w:p>
    <w:p w14:paraId="53277485" w14:textId="77777777" w:rsidR="0027759A" w:rsidRDefault="00000000">
      <w:pPr>
        <w:spacing w:line="360" w:lineRule="auto"/>
        <w:jc w:val="both"/>
        <w:rPr>
          <w:rFonts w:ascii="Cambria" w:eastAsia="SimSun" w:hAnsi="Cambria"/>
          <w:lang w:eastAsia="zh-CN"/>
        </w:rPr>
      </w:pPr>
      <w:r>
        <w:rPr>
          <w:b/>
          <w:bCs/>
          <w:sz w:val="24"/>
          <w:szCs w:val="24"/>
        </w:rPr>
        <w:lastRenderedPageBreak/>
        <w:t xml:space="preserve">• AI-Powered Social Engineering (Vishing): </w:t>
      </w:r>
      <w:r>
        <w:rPr>
          <w:rFonts w:ascii="Cambria" w:hAnsi="Cambria" w:cs="Cambria"/>
        </w:rPr>
        <w:t xml:space="preserve"> </w:t>
      </w:r>
      <w:r>
        <w:rPr>
          <w:rFonts w:ascii="Cambria" w:eastAsia="SimSun" w:hAnsi="Cambria"/>
          <w:lang w:eastAsia="zh-CN"/>
        </w:rPr>
        <w:t>AI tools can now clone voices from public sources (like corporate videos) to create highly convincing vishing (voice phishing) calls. A recent case involved a finance worker in Hong Kong who transferred $25 million after a deep-fake video call with individuals he believed were the company's CFO and other colleagues. This bypasses traditional email security.</w:t>
      </w:r>
    </w:p>
    <w:p w14:paraId="2BADE916" w14:textId="77777777" w:rsidR="0027759A" w:rsidRDefault="0027759A">
      <w:pPr>
        <w:spacing w:line="360" w:lineRule="auto"/>
        <w:jc w:val="both"/>
        <w:rPr>
          <w:rFonts w:ascii="Cambria" w:eastAsia="SimSun" w:hAnsi="Cambria"/>
          <w:lang w:eastAsia="zh-CN"/>
        </w:rPr>
      </w:pPr>
    </w:p>
    <w:p w14:paraId="49D3B181" w14:textId="77777777" w:rsidR="0027759A" w:rsidRDefault="00000000">
      <w:pPr>
        <w:spacing w:line="360" w:lineRule="auto"/>
        <w:jc w:val="both"/>
      </w:pPr>
      <w:r>
        <w:rPr>
          <w:b/>
          <w:bCs/>
          <w:sz w:val="24"/>
          <w:szCs w:val="24"/>
        </w:rPr>
        <w:t xml:space="preserve">• Supply Chain Compromises: </w:t>
      </w:r>
      <w:r>
        <w:t xml:space="preserve">Attacks on third-party software vendors provide a path into their customers' networks. The </w:t>
      </w:r>
      <w:proofErr w:type="spellStart"/>
      <w:r>
        <w:t>MOVEit</w:t>
      </w:r>
      <w:proofErr w:type="spellEnd"/>
      <w:r>
        <w:t xml:space="preserve"> Transfer file-sharing software breach (Cl0p ransomware gang) is a prime example, impacting numerous organizations worldwide, including banks and pension funds, by exploiting a zero-day vulnerability. VTAM's use of such services for data sharing presents a significant risk.</w:t>
      </w:r>
    </w:p>
    <w:p w14:paraId="594D8AC3" w14:textId="77777777" w:rsidR="0027759A" w:rsidRDefault="00000000">
      <w:pPr>
        <w:spacing w:line="360" w:lineRule="auto"/>
        <w:jc w:val="both"/>
        <w:rPr>
          <w:b/>
          <w:bCs/>
        </w:rPr>
      </w:pPr>
      <w:r>
        <w:rPr>
          <w:b/>
          <w:bCs/>
          <w:sz w:val="24"/>
          <w:szCs w:val="24"/>
        </w:rPr>
        <w:t xml:space="preserve">• Cloud Misconfigurations: </w:t>
      </w:r>
      <w:r>
        <w:t>As cited by CISA, improperly configured cloud storage (e.g., Amazon S3 buckets) and management consoles are a leading cause of data breaches. These misconfigurations can inadvertently expose sensitive client financial data to the public internet.</w:t>
      </w:r>
    </w:p>
    <w:p w14:paraId="0ED14012" w14:textId="77777777" w:rsidR="0027759A" w:rsidRDefault="00000000">
      <w:pPr>
        <w:rPr>
          <w:b/>
          <w:bCs/>
          <w:sz w:val="28"/>
          <w:szCs w:val="28"/>
        </w:rPr>
      </w:pPr>
      <w:r>
        <w:rPr>
          <w:b/>
          <w:bCs/>
          <w:sz w:val="28"/>
          <w:szCs w:val="28"/>
        </w:rPr>
        <w:t>2.2 Internal Threats</w:t>
      </w:r>
    </w:p>
    <w:p w14:paraId="0C93B53B" w14:textId="77777777" w:rsidR="0027759A" w:rsidRDefault="00000000">
      <w:pPr>
        <w:spacing w:line="360" w:lineRule="auto"/>
        <w:jc w:val="both"/>
      </w:pPr>
      <w:r>
        <w:rPr>
          <w:b/>
          <w:bCs/>
          <w:sz w:val="24"/>
          <w:szCs w:val="24"/>
        </w:rPr>
        <w:t>• Privilege Abuse:</w:t>
      </w:r>
      <w:r>
        <w:rPr>
          <w:b/>
          <w:bCs/>
        </w:rPr>
        <w:t xml:space="preserve"> </w:t>
      </w:r>
      <w:r>
        <w:t>The "insider threat," whether malicious or accidental, remains a critical risk. An employee with excessive access rights could intentionally steal sensitive client data or accidentally expose it through a misdirected email.</w:t>
      </w:r>
    </w:p>
    <w:p w14:paraId="199C3EE0" w14:textId="77777777" w:rsidR="0027759A" w:rsidRDefault="00000000">
      <w:pPr>
        <w:spacing w:line="360" w:lineRule="auto"/>
        <w:jc w:val="both"/>
      </w:pPr>
      <w:r>
        <w:rPr>
          <w:b/>
          <w:bCs/>
          <w:sz w:val="24"/>
          <w:szCs w:val="24"/>
        </w:rPr>
        <w:t>• Compromised Credentials:</w:t>
      </w:r>
      <w:r>
        <w:t xml:space="preserve">  Credentials stolen via phishing attacks can give attackers an initial foothold inside the network, from which they can move laterally to access critical systems.</w:t>
      </w:r>
    </w:p>
    <w:p w14:paraId="1A24D1D2" w14:textId="77777777" w:rsidR="0027759A" w:rsidRDefault="0027759A">
      <w:pPr>
        <w:spacing w:line="360" w:lineRule="auto"/>
        <w:jc w:val="both"/>
      </w:pPr>
    </w:p>
    <w:p w14:paraId="119232D8" w14:textId="77777777" w:rsidR="0027759A" w:rsidRDefault="00000000">
      <w:pPr>
        <w:rPr>
          <w:b/>
          <w:bCs/>
          <w:sz w:val="36"/>
          <w:szCs w:val="36"/>
        </w:rPr>
      </w:pPr>
      <w:r>
        <w:rPr>
          <w:b/>
          <w:bCs/>
          <w:sz w:val="36"/>
          <w:szCs w:val="36"/>
        </w:rPr>
        <w:t>3.0 Modern Security Policies: Aligning with Zero Trust and Best Practices</w:t>
      </w:r>
    </w:p>
    <w:p w14:paraId="30B53BDF" w14:textId="77777777" w:rsidR="0027759A" w:rsidRDefault="00000000">
      <w:pPr>
        <w:spacing w:line="360" w:lineRule="auto"/>
        <w:jc w:val="both"/>
      </w:pPr>
      <w:r>
        <w:t>Zero Trust operates on the principle of "never trust, always verify." No user or device, inside or outside the corporate network, is trusted by default. Our policies will be explicitly mapped to the NIST Cybersecurity Framework (CSF) 2.0 Core Functions.</w:t>
      </w:r>
    </w:p>
    <w:p w14:paraId="33C6A4B7" w14:textId="77777777" w:rsidR="0027759A" w:rsidRDefault="00000000">
      <w:pPr>
        <w:rPr>
          <w:b/>
          <w:bCs/>
        </w:rPr>
      </w:pPr>
      <w:r>
        <w:rPr>
          <w:b/>
          <w:bCs/>
        </w:rPr>
        <w:lastRenderedPageBreak/>
        <w:t>Policy 1: Identity and Access Management (NIST CSF: Protect)</w:t>
      </w:r>
    </w:p>
    <w:p w14:paraId="66A9DDFD" w14:textId="77777777" w:rsidR="0027759A" w:rsidRDefault="00000000">
      <w:pPr>
        <w:numPr>
          <w:ilvl w:val="0"/>
          <w:numId w:val="7"/>
        </w:numPr>
        <w:spacing w:line="360" w:lineRule="auto"/>
        <w:jc w:val="both"/>
      </w:pPr>
      <w:r>
        <w:rPr>
          <w:b/>
          <w:bCs/>
        </w:rPr>
        <w:t>Principle:</w:t>
      </w:r>
      <w:r>
        <w:t xml:space="preserve"> Implement strict, risk-based access controls for all resources.</w:t>
      </w:r>
    </w:p>
    <w:p w14:paraId="1DB62720" w14:textId="77777777" w:rsidR="0027759A" w:rsidRDefault="00000000">
      <w:pPr>
        <w:numPr>
          <w:ilvl w:val="0"/>
          <w:numId w:val="7"/>
        </w:numPr>
        <w:spacing w:line="360" w:lineRule="auto"/>
        <w:jc w:val="both"/>
      </w:pPr>
      <w:r>
        <w:rPr>
          <w:b/>
          <w:bCs/>
        </w:rPr>
        <w:t>Rules:</w:t>
      </w:r>
      <w:r>
        <w:t xml:space="preserve"> Enforce Multi-Factor Authentication (MFA) for all users without exception. Access to applications and data is granted based on user role, device health, and location, following the principle of least privilege. Sessions are continuously evaluated for risk.</w:t>
      </w:r>
    </w:p>
    <w:p w14:paraId="7007C5E6" w14:textId="77777777" w:rsidR="0027759A" w:rsidRDefault="00000000">
      <w:pPr>
        <w:spacing w:line="360" w:lineRule="auto"/>
        <w:rPr>
          <w:b/>
          <w:bCs/>
        </w:rPr>
      </w:pPr>
      <w:r>
        <w:rPr>
          <w:b/>
          <w:bCs/>
        </w:rPr>
        <w:t>Policy 2: Device and Asset Security (NIST CSF: Identify, Protect)</w:t>
      </w:r>
    </w:p>
    <w:p w14:paraId="753FE922" w14:textId="77777777" w:rsidR="0027759A" w:rsidRDefault="00000000">
      <w:pPr>
        <w:numPr>
          <w:ilvl w:val="0"/>
          <w:numId w:val="7"/>
        </w:numPr>
        <w:spacing w:line="360" w:lineRule="auto"/>
        <w:jc w:val="both"/>
      </w:pPr>
      <w:r>
        <w:rPr>
          <w:b/>
          <w:bCs/>
        </w:rPr>
        <w:t>Principle:</w:t>
      </w:r>
      <w:r>
        <w:t xml:space="preserve"> All devices accessing corporate data must meet security standards. </w:t>
      </w:r>
    </w:p>
    <w:p w14:paraId="2FDFC2CD" w14:textId="77777777" w:rsidR="0027759A" w:rsidRDefault="00000000">
      <w:pPr>
        <w:numPr>
          <w:ilvl w:val="0"/>
          <w:numId w:val="7"/>
        </w:numPr>
        <w:spacing w:line="360" w:lineRule="auto"/>
        <w:jc w:val="both"/>
      </w:pPr>
      <w:r>
        <w:rPr>
          <w:b/>
          <w:bCs/>
        </w:rPr>
        <w:t>Rules:</w:t>
      </w:r>
      <w:r>
        <w:t xml:space="preserve"> Corporate and BYOD devices must be registered in a Mobile Device Management (MDM) system. They must have endpoint detection and response (EDR) software, encrypted disks, and be patched against CISA's Known Exploited Vulnerabilities (KEV) catalog within mandated time frames.</w:t>
      </w:r>
    </w:p>
    <w:p w14:paraId="3640F948" w14:textId="77777777" w:rsidR="0027759A" w:rsidRDefault="00000000">
      <w:pPr>
        <w:spacing w:line="360" w:lineRule="auto"/>
        <w:rPr>
          <w:b/>
          <w:bCs/>
        </w:rPr>
      </w:pPr>
      <w:r>
        <w:rPr>
          <w:b/>
          <w:bCs/>
        </w:rPr>
        <w:t>Policy 3: Data Security (NIST CSF: Protect)</w:t>
      </w:r>
    </w:p>
    <w:p w14:paraId="75A80B95" w14:textId="77777777" w:rsidR="0027759A" w:rsidRDefault="00000000">
      <w:pPr>
        <w:numPr>
          <w:ilvl w:val="0"/>
          <w:numId w:val="7"/>
        </w:numPr>
        <w:spacing w:line="360" w:lineRule="auto"/>
        <w:jc w:val="both"/>
      </w:pPr>
      <w:r>
        <w:rPr>
          <w:b/>
          <w:bCs/>
        </w:rPr>
        <w:t>Principle:</w:t>
      </w:r>
      <w:r>
        <w:t xml:space="preserve"> Data must be classified and protected based on its sensitivity.</w:t>
      </w:r>
    </w:p>
    <w:p w14:paraId="4AD13775" w14:textId="77777777" w:rsidR="0027759A" w:rsidRDefault="00000000">
      <w:pPr>
        <w:numPr>
          <w:ilvl w:val="0"/>
          <w:numId w:val="7"/>
        </w:numPr>
        <w:spacing w:line="360" w:lineRule="auto"/>
        <w:jc w:val="both"/>
      </w:pPr>
      <w:r>
        <w:rPr>
          <w:b/>
          <w:bCs/>
        </w:rPr>
        <w:t>Rules:</w:t>
      </w:r>
      <w:r>
        <w:t xml:space="preserve"> Implement data classification labels (e.g., Public, Internal, Confidential). Apply encryption for data both at rest and in transit. Log and monitor all access to sensitive client financial data.</w:t>
      </w:r>
    </w:p>
    <w:p w14:paraId="574965BC" w14:textId="77777777" w:rsidR="0027759A" w:rsidRDefault="00000000">
      <w:pPr>
        <w:spacing w:line="360" w:lineRule="auto"/>
        <w:rPr>
          <w:b/>
          <w:bCs/>
        </w:rPr>
      </w:pPr>
      <w:r>
        <w:rPr>
          <w:b/>
          <w:bCs/>
        </w:rPr>
        <w:t>Policy 4: Network Segmentation (NIST CSF: Protect)</w:t>
      </w:r>
    </w:p>
    <w:p w14:paraId="35D0BC28" w14:textId="77777777" w:rsidR="0027759A" w:rsidRDefault="00000000">
      <w:pPr>
        <w:numPr>
          <w:ilvl w:val="0"/>
          <w:numId w:val="7"/>
        </w:numPr>
        <w:spacing w:line="360" w:lineRule="auto"/>
        <w:jc w:val="both"/>
      </w:pPr>
      <w:r>
        <w:rPr>
          <w:b/>
          <w:bCs/>
        </w:rPr>
        <w:t xml:space="preserve">Principle: </w:t>
      </w:r>
      <w:r>
        <w:t xml:space="preserve">Micro-segment the network to limit lateral movement. </w:t>
      </w:r>
    </w:p>
    <w:p w14:paraId="23CF22B9" w14:textId="77777777" w:rsidR="0027759A" w:rsidRDefault="00000000">
      <w:pPr>
        <w:numPr>
          <w:ilvl w:val="0"/>
          <w:numId w:val="7"/>
        </w:numPr>
        <w:spacing w:line="360" w:lineRule="auto"/>
        <w:jc w:val="both"/>
      </w:pPr>
      <w:r>
        <w:rPr>
          <w:b/>
          <w:bCs/>
        </w:rPr>
        <w:t>Rules:</w:t>
      </w:r>
      <w:r>
        <w:t xml:space="preserve"> Define and enforce network policies that isolate critical systems (e.g., trading platforms, client databases) from general corporate networks. Access between segments requires explicit authorization.</w:t>
      </w:r>
    </w:p>
    <w:p w14:paraId="5C73E507" w14:textId="77777777" w:rsidR="0027759A" w:rsidRDefault="0027759A">
      <w:pPr>
        <w:spacing w:line="360" w:lineRule="auto"/>
        <w:jc w:val="both"/>
      </w:pPr>
    </w:p>
    <w:p w14:paraId="652624DE" w14:textId="77777777" w:rsidR="0027759A" w:rsidRDefault="00000000">
      <w:pPr>
        <w:rPr>
          <w:b/>
          <w:bCs/>
          <w:sz w:val="36"/>
          <w:szCs w:val="36"/>
        </w:rPr>
      </w:pPr>
      <w:r>
        <w:rPr>
          <w:b/>
          <w:bCs/>
          <w:sz w:val="36"/>
          <w:szCs w:val="36"/>
        </w:rPr>
        <w:t>4.0 Technical Mitigation Measures</w:t>
      </w:r>
    </w:p>
    <w:p w14:paraId="03614500" w14:textId="77777777" w:rsidR="0027759A" w:rsidRDefault="00000000">
      <w:pPr>
        <w:spacing w:line="360" w:lineRule="auto"/>
        <w:jc w:val="both"/>
      </w:pPr>
      <w:r>
        <w:t>These measures translate our Zero Trust policies into actionable controls.</w:t>
      </w:r>
    </w:p>
    <w:p w14:paraId="45A0B723" w14:textId="77777777" w:rsidR="0027759A" w:rsidRDefault="00000000">
      <w:pPr>
        <w:spacing w:line="360" w:lineRule="auto"/>
        <w:jc w:val="both"/>
        <w:rPr>
          <w:b/>
          <w:bCs/>
          <w:sz w:val="24"/>
          <w:szCs w:val="24"/>
        </w:rPr>
      </w:pPr>
      <w:r>
        <w:rPr>
          <w:b/>
          <w:bCs/>
          <w:sz w:val="24"/>
          <w:szCs w:val="24"/>
        </w:rPr>
        <w:t>• For Identity &amp; Access (Mitigates Phishing, Vishing):</w:t>
      </w:r>
    </w:p>
    <w:p w14:paraId="419EA503" w14:textId="77777777" w:rsidR="0027759A" w:rsidRDefault="00000000">
      <w:pPr>
        <w:numPr>
          <w:ilvl w:val="0"/>
          <w:numId w:val="7"/>
        </w:numPr>
        <w:spacing w:line="360" w:lineRule="auto"/>
        <w:jc w:val="both"/>
      </w:pPr>
      <w:r>
        <w:rPr>
          <w:b/>
          <w:bCs/>
        </w:rPr>
        <w:lastRenderedPageBreak/>
        <w:t>Measure:</w:t>
      </w:r>
      <w:r>
        <w:t xml:space="preserve"> Implement Phishing-Resistant MFA (e.g., FIDO2 security keys). These keys cannot be phished as they use public-key cryptography, directly countering credential theft attempts from sophisticated phishing and vishing.</w:t>
      </w:r>
    </w:p>
    <w:p w14:paraId="7E2D421F" w14:textId="77777777" w:rsidR="0027759A" w:rsidRDefault="00000000">
      <w:pPr>
        <w:numPr>
          <w:ilvl w:val="0"/>
          <w:numId w:val="7"/>
        </w:numPr>
        <w:spacing w:line="360" w:lineRule="auto"/>
        <w:jc w:val="both"/>
      </w:pPr>
      <w:r>
        <w:rPr>
          <w:b/>
          <w:bCs/>
        </w:rPr>
        <w:t>Implementation:</w:t>
      </w:r>
      <w:r>
        <w:t xml:space="preserve"> Roll out FIDO2 keys to all employees, prioritizing executives and finance staff.</w:t>
      </w:r>
    </w:p>
    <w:p w14:paraId="294E9DE4" w14:textId="77777777" w:rsidR="0027759A" w:rsidRDefault="0027759A">
      <w:pPr>
        <w:rPr>
          <w:b/>
          <w:bCs/>
          <w:sz w:val="24"/>
          <w:szCs w:val="24"/>
        </w:rPr>
      </w:pPr>
    </w:p>
    <w:p w14:paraId="480C0CC5" w14:textId="77777777" w:rsidR="0027759A" w:rsidRDefault="0027759A">
      <w:pPr>
        <w:rPr>
          <w:b/>
          <w:bCs/>
          <w:sz w:val="24"/>
          <w:szCs w:val="24"/>
        </w:rPr>
      </w:pPr>
    </w:p>
    <w:p w14:paraId="1152AC59" w14:textId="77777777" w:rsidR="0027759A" w:rsidRDefault="00000000">
      <w:pPr>
        <w:rPr>
          <w:b/>
          <w:bCs/>
          <w:sz w:val="24"/>
          <w:szCs w:val="24"/>
        </w:rPr>
      </w:pPr>
      <w:r>
        <w:rPr>
          <w:b/>
          <w:bCs/>
          <w:sz w:val="24"/>
          <w:szCs w:val="24"/>
        </w:rPr>
        <w:t>• For Endpoint Security (Mitigates Ransomware):</w:t>
      </w:r>
    </w:p>
    <w:p w14:paraId="2BAA9073" w14:textId="77777777" w:rsidR="0027759A" w:rsidRDefault="00000000">
      <w:pPr>
        <w:numPr>
          <w:ilvl w:val="0"/>
          <w:numId w:val="7"/>
        </w:numPr>
        <w:spacing w:line="360" w:lineRule="auto"/>
      </w:pPr>
      <w:r>
        <w:rPr>
          <w:b/>
          <w:bCs/>
        </w:rPr>
        <w:t>Measure:</w:t>
      </w:r>
      <w:r>
        <w:t xml:space="preserve"> Deploy a modern Endpoint Detection and Response (EDR) solution on all workstations and servers. </w:t>
      </w:r>
    </w:p>
    <w:p w14:paraId="49745582" w14:textId="77777777" w:rsidR="0027759A" w:rsidRDefault="00000000">
      <w:pPr>
        <w:numPr>
          <w:ilvl w:val="0"/>
          <w:numId w:val="7"/>
        </w:numPr>
        <w:spacing w:line="360" w:lineRule="auto"/>
      </w:pPr>
      <w:r>
        <w:rPr>
          <w:b/>
          <w:bCs/>
        </w:rPr>
        <w:t>Implementation:</w:t>
      </w:r>
      <w:r>
        <w:t xml:space="preserve"> EDR tools (e.g., CrowdStrike, Microsoft Defender for Endpoint) use behavioral analysis to detect and block ransomware encryption processes in real-time, providing a critical last line of defense.</w:t>
      </w:r>
    </w:p>
    <w:p w14:paraId="0F012BE1" w14:textId="77777777" w:rsidR="0027759A" w:rsidRDefault="00000000">
      <w:pPr>
        <w:rPr>
          <w:b/>
          <w:bCs/>
          <w:sz w:val="24"/>
          <w:szCs w:val="24"/>
        </w:rPr>
      </w:pPr>
      <w:r>
        <w:rPr>
          <w:b/>
          <w:bCs/>
          <w:sz w:val="24"/>
          <w:szCs w:val="24"/>
        </w:rPr>
        <w:t>• Use a Cloud Security Posture Management (CSPM) tool:</w:t>
      </w:r>
    </w:p>
    <w:p w14:paraId="3AFD0D70" w14:textId="77777777" w:rsidR="0027759A" w:rsidRDefault="00000000">
      <w:pPr>
        <w:numPr>
          <w:ilvl w:val="0"/>
          <w:numId w:val="7"/>
        </w:numPr>
        <w:spacing w:line="360" w:lineRule="auto"/>
        <w:jc w:val="both"/>
      </w:pPr>
      <w:r>
        <w:rPr>
          <w:b/>
          <w:bCs/>
        </w:rPr>
        <w:t>Measure:</w:t>
      </w:r>
      <w:r>
        <w:t xml:space="preserve"> Implement a Cloud Security Posture Management (CSPM) tool.</w:t>
      </w:r>
    </w:p>
    <w:p w14:paraId="18F94C18" w14:textId="77777777" w:rsidR="0027759A" w:rsidRDefault="00000000">
      <w:pPr>
        <w:numPr>
          <w:ilvl w:val="0"/>
          <w:numId w:val="7"/>
        </w:numPr>
        <w:spacing w:line="360" w:lineRule="auto"/>
        <w:jc w:val="both"/>
      </w:pPr>
      <w:r>
        <w:rPr>
          <w:b/>
          <w:bCs/>
        </w:rPr>
        <w:t>Implementation:</w:t>
      </w:r>
      <w:r>
        <w:t xml:space="preserve"> A CSPM (e.g., Wiz, Palo Alto Prisma Cloud) continuously scans our cloud environments (AWS/Azure) for misconfigurations against benchmarks like the CIS Benchmarks and automatically alerts or remediates issues.</w:t>
      </w:r>
    </w:p>
    <w:p w14:paraId="2EE8F65B" w14:textId="77777777" w:rsidR="0027759A" w:rsidRDefault="00000000">
      <w:pPr>
        <w:rPr>
          <w:b/>
          <w:bCs/>
          <w:sz w:val="24"/>
          <w:szCs w:val="24"/>
        </w:rPr>
      </w:pPr>
      <w:r>
        <w:rPr>
          <w:b/>
          <w:bCs/>
          <w:sz w:val="24"/>
          <w:szCs w:val="24"/>
        </w:rPr>
        <w:t>• For Vulnerability Management (Mitigates Supply Chain Attacks):</w:t>
      </w:r>
    </w:p>
    <w:p w14:paraId="3A3FDF65" w14:textId="77777777" w:rsidR="0027759A" w:rsidRDefault="00000000">
      <w:pPr>
        <w:numPr>
          <w:ilvl w:val="0"/>
          <w:numId w:val="7"/>
        </w:numPr>
      </w:pPr>
      <w:r>
        <w:rPr>
          <w:b/>
          <w:bCs/>
        </w:rPr>
        <w:t xml:space="preserve">Measure: </w:t>
      </w:r>
      <w:r>
        <w:t>Establish a prioritized patch management program based on the CISA KEV catalog.</w:t>
      </w:r>
    </w:p>
    <w:p w14:paraId="3F69F378" w14:textId="77777777" w:rsidR="0027759A" w:rsidRDefault="00000000">
      <w:pPr>
        <w:numPr>
          <w:ilvl w:val="0"/>
          <w:numId w:val="7"/>
        </w:numPr>
      </w:pPr>
      <w:r>
        <w:rPr>
          <w:b/>
          <w:bCs/>
        </w:rPr>
        <w:t xml:space="preserve">Implementation: </w:t>
      </w:r>
      <w:r>
        <w:t xml:space="preserve">Any vulnerability listed in the CISA KEV catalog must be patched within the mandated timeframe (often 2 weeks). This ensures we focus resources on flaws known to be actively exploited, such as the one in the </w:t>
      </w:r>
      <w:proofErr w:type="spellStart"/>
      <w:r>
        <w:t>MOVEit</w:t>
      </w:r>
      <w:proofErr w:type="spellEnd"/>
      <w:r>
        <w:t xml:space="preserve"> software.</w:t>
      </w:r>
    </w:p>
    <w:p w14:paraId="5EAE0AE6" w14:textId="77777777" w:rsidR="0027759A" w:rsidRDefault="00000000">
      <w:pPr>
        <w:rPr>
          <w:b/>
          <w:bCs/>
          <w:sz w:val="24"/>
          <w:szCs w:val="24"/>
        </w:rPr>
      </w:pPr>
      <w:r>
        <w:rPr>
          <w:b/>
          <w:bCs/>
          <w:sz w:val="24"/>
          <w:szCs w:val="24"/>
        </w:rPr>
        <w:t>• For Data Recovery (Mitigates Ransomware Impact):</w:t>
      </w:r>
    </w:p>
    <w:p w14:paraId="55E4FE42" w14:textId="77777777" w:rsidR="0027759A" w:rsidRDefault="00000000">
      <w:pPr>
        <w:numPr>
          <w:ilvl w:val="0"/>
          <w:numId w:val="7"/>
        </w:numPr>
      </w:pPr>
      <w:r>
        <w:rPr>
          <w:b/>
          <w:bCs/>
        </w:rPr>
        <w:t>Measure:</w:t>
      </w:r>
      <w:r>
        <w:t xml:space="preserve"> Maintain immutable and isolated backups.</w:t>
      </w:r>
    </w:p>
    <w:p w14:paraId="4CFB089C" w14:textId="77777777" w:rsidR="0027759A" w:rsidRDefault="00000000">
      <w:pPr>
        <w:numPr>
          <w:ilvl w:val="0"/>
          <w:numId w:val="7"/>
        </w:numPr>
      </w:pPr>
      <w:r>
        <w:rPr>
          <w:b/>
          <w:bCs/>
        </w:rPr>
        <w:lastRenderedPageBreak/>
        <w:t xml:space="preserve">Implementation: </w:t>
      </w:r>
      <w:r>
        <w:t>Ensure backups of critical data are stored in a format that cannot be altered or deleted (immutable) and are physically or logically isolated from the main network, preventing ransomware from encrypting them.</w:t>
      </w:r>
    </w:p>
    <w:p w14:paraId="55863252" w14:textId="77777777" w:rsidR="0027759A" w:rsidRDefault="0027759A"/>
    <w:p w14:paraId="184551FA" w14:textId="77777777" w:rsidR="0027759A" w:rsidRDefault="00000000">
      <w:pPr>
        <w:rPr>
          <w:b/>
          <w:bCs/>
          <w:sz w:val="36"/>
          <w:szCs w:val="36"/>
        </w:rPr>
      </w:pPr>
      <w:r>
        <w:rPr>
          <w:b/>
          <w:bCs/>
          <w:sz w:val="36"/>
          <w:szCs w:val="36"/>
        </w:rPr>
        <w:t>5.0 Proactive Monitoring and Incident Response</w:t>
      </w:r>
    </w:p>
    <w:p w14:paraId="3666A3A9" w14:textId="77777777" w:rsidR="0027759A" w:rsidRDefault="00000000">
      <w:pPr>
        <w:spacing w:line="360" w:lineRule="auto"/>
        <w:jc w:val="both"/>
      </w:pPr>
      <w:r>
        <w:t>A 24/7 Security Operations Center (SOC) is indispensable for a financial firm because it provides continuous vigilance against relentless cyber threats. It ensures immediate detection, analysis, and response to incidents, safeguarding critical assets and customer data. This capability is fundamental to maintaining regulatory compliance, protecting the firm's reputation, and preserving client trust in an industry that never sleeps.</w:t>
      </w:r>
    </w:p>
    <w:p w14:paraId="1AA15AF2" w14:textId="77777777" w:rsidR="0027759A" w:rsidRDefault="00000000">
      <w:pPr>
        <w:rPr>
          <w:b/>
          <w:bCs/>
          <w:sz w:val="24"/>
          <w:szCs w:val="24"/>
        </w:rPr>
      </w:pPr>
      <w:r>
        <w:rPr>
          <w:b/>
          <w:bCs/>
          <w:sz w:val="24"/>
          <w:szCs w:val="24"/>
        </w:rPr>
        <w:t>• Monitoring &amp; Detection (NIST CSF: Detect):</w:t>
      </w:r>
    </w:p>
    <w:p w14:paraId="3B2AB381" w14:textId="77777777" w:rsidR="0027759A" w:rsidRDefault="00000000">
      <w:pPr>
        <w:numPr>
          <w:ilvl w:val="0"/>
          <w:numId w:val="7"/>
        </w:numPr>
        <w:spacing w:line="360" w:lineRule="auto"/>
        <w:jc w:val="both"/>
      </w:pPr>
      <w:r>
        <w:rPr>
          <w:b/>
          <w:bCs/>
        </w:rPr>
        <w:t>Tool:</w:t>
      </w:r>
      <w:r>
        <w:t xml:space="preserve"> Implement a Security Information and Event Management (SIEM) system (e.g., Splunk, Microsoft Sentinel).</w:t>
      </w:r>
    </w:p>
    <w:p w14:paraId="7035418A" w14:textId="77777777" w:rsidR="0027759A" w:rsidRDefault="00000000">
      <w:pPr>
        <w:numPr>
          <w:ilvl w:val="0"/>
          <w:numId w:val="7"/>
        </w:numPr>
        <w:spacing w:line="360" w:lineRule="auto"/>
        <w:jc w:val="both"/>
      </w:pPr>
      <w:r>
        <w:rPr>
          <w:b/>
          <w:bCs/>
        </w:rPr>
        <w:t>Process:</w:t>
      </w:r>
      <w:r>
        <w:t xml:space="preserve"> The SIEM aggregates logs from all critical systems (firewalls, EDR, cloud, identity providers). Using correlation rules and threat intelligence feeds, it identifies anomalous patterns, such as a user logging in from two geographically impossible locations in a short time (indicating compromised credentials).</w:t>
      </w:r>
    </w:p>
    <w:p w14:paraId="462037A1" w14:textId="77777777" w:rsidR="0027759A" w:rsidRDefault="00000000">
      <w:pPr>
        <w:spacing w:line="360" w:lineRule="auto"/>
        <w:rPr>
          <w:b/>
          <w:bCs/>
          <w:sz w:val="24"/>
          <w:szCs w:val="24"/>
        </w:rPr>
      </w:pPr>
      <w:r>
        <w:rPr>
          <w:b/>
          <w:bCs/>
          <w:sz w:val="24"/>
          <w:szCs w:val="24"/>
        </w:rPr>
        <w:t>• Automated Response (NIST CSF: Respond):</w:t>
      </w:r>
    </w:p>
    <w:p w14:paraId="5D02F5ED" w14:textId="77777777" w:rsidR="0027759A" w:rsidRDefault="00000000">
      <w:pPr>
        <w:numPr>
          <w:ilvl w:val="0"/>
          <w:numId w:val="7"/>
        </w:numPr>
        <w:spacing w:line="360" w:lineRule="auto"/>
        <w:jc w:val="both"/>
      </w:pPr>
      <w:r>
        <w:rPr>
          <w:b/>
          <w:bCs/>
        </w:rPr>
        <w:t>Tool:</w:t>
      </w:r>
      <w:r>
        <w:t xml:space="preserve"> Integrate the SIEM with a Security Orchestration, Automation, and Response (SOAR) platform. </w:t>
      </w:r>
    </w:p>
    <w:p w14:paraId="55A16827" w14:textId="77777777" w:rsidR="0027759A" w:rsidRDefault="00000000">
      <w:pPr>
        <w:numPr>
          <w:ilvl w:val="0"/>
          <w:numId w:val="7"/>
        </w:numPr>
        <w:spacing w:line="360" w:lineRule="auto"/>
        <w:jc w:val="both"/>
      </w:pPr>
      <w:r>
        <w:rPr>
          <w:b/>
          <w:bCs/>
        </w:rPr>
        <w:t>Process:</w:t>
      </w:r>
      <w:r>
        <w:t xml:space="preserve"> For common incident types, the SOAR can execute automated playbooks. For example, if the EDR detects a ransomware signature, the SOAR playbook can automatically isolate the infected endpoint from the network, blocking the threat from spreading.</w:t>
      </w:r>
    </w:p>
    <w:p w14:paraId="2C257EF4" w14:textId="77777777" w:rsidR="0027759A" w:rsidRDefault="00000000">
      <w:pPr>
        <w:spacing w:line="360" w:lineRule="auto"/>
        <w:jc w:val="both"/>
        <w:rPr>
          <w:b/>
          <w:bCs/>
          <w:sz w:val="36"/>
          <w:szCs w:val="36"/>
        </w:rPr>
      </w:pPr>
      <w:r>
        <w:rPr>
          <w:b/>
          <w:bCs/>
          <w:sz w:val="36"/>
          <w:szCs w:val="36"/>
        </w:rPr>
        <w:t>6.0 Continuous Training and Awareness</w:t>
      </w:r>
    </w:p>
    <w:p w14:paraId="358427DD" w14:textId="77777777" w:rsidR="0027759A" w:rsidRDefault="00000000">
      <w:pPr>
        <w:spacing w:line="360" w:lineRule="auto"/>
        <w:jc w:val="both"/>
      </w:pPr>
      <w:r>
        <w:t xml:space="preserve">Annual compliance videos are a stagnant defense against dynamic social engineering. True resilience requires a continuous, engaging program that uses regular, relevant updates and </w:t>
      </w:r>
      <w:r>
        <w:lastRenderedPageBreak/>
        <w:t>interactive simulations to build an active, security-conscious culture, not just complete a mandatory checklist.</w:t>
      </w:r>
    </w:p>
    <w:p w14:paraId="29FA1F3B" w14:textId="77777777" w:rsidR="0027759A" w:rsidRDefault="00000000">
      <w:pPr>
        <w:spacing w:line="360" w:lineRule="auto"/>
        <w:jc w:val="both"/>
      </w:pPr>
      <w:r>
        <w:rPr>
          <w:b/>
          <w:bCs/>
          <w:sz w:val="24"/>
          <w:szCs w:val="24"/>
        </w:rPr>
        <w:t>• Simulated phishing and vishing Campaigns:</w:t>
      </w:r>
      <w:r>
        <w:t xml:space="preserve"> Deploy a platform that sends simulated phishing emails and even AI-powered vishing calls. Employees who fail the simulation are automatically enrolled in a short, interactive training module. This provides immediate, constructive feedback.</w:t>
      </w:r>
    </w:p>
    <w:p w14:paraId="7B8CDB05" w14:textId="77777777" w:rsidR="0027759A" w:rsidRDefault="00000000">
      <w:pPr>
        <w:spacing w:line="360" w:lineRule="auto"/>
        <w:jc w:val="both"/>
        <w:rPr>
          <w:b/>
          <w:bCs/>
          <w:sz w:val="24"/>
          <w:szCs w:val="24"/>
        </w:rPr>
      </w:pPr>
      <w:r>
        <w:rPr>
          <w:b/>
          <w:bCs/>
          <w:sz w:val="24"/>
          <w:szCs w:val="24"/>
        </w:rPr>
        <w:t xml:space="preserve">• Role-based training: </w:t>
      </w:r>
      <w:r>
        <w:t>Tailor training content to specific roles. The finance team receives deep dives on Business Email Compromise (BEC) and vishing, while developers focus on secure coding and supply chain risks.</w:t>
      </w:r>
    </w:p>
    <w:p w14:paraId="65BB3EAF" w14:textId="77777777" w:rsidR="0027759A" w:rsidRDefault="00000000">
      <w:pPr>
        <w:spacing w:line="360" w:lineRule="auto"/>
        <w:rPr>
          <w:b/>
          <w:bCs/>
          <w:sz w:val="24"/>
          <w:szCs w:val="24"/>
        </w:rPr>
      </w:pPr>
      <w:r>
        <w:rPr>
          <w:b/>
          <w:bCs/>
          <w:sz w:val="24"/>
          <w:szCs w:val="24"/>
        </w:rPr>
        <w:t xml:space="preserve">• Gamification and metrics to encourage reporting: </w:t>
      </w:r>
      <w:r>
        <w:t>Introduce leaderboards and positive reinforcement for departments with the highest reporting rates of simulated attacks. This fosters a "see something, say something" culture, turning our employees into a human sensor network.</w:t>
      </w:r>
    </w:p>
    <w:p w14:paraId="5B60A0C1" w14:textId="77777777" w:rsidR="0027759A" w:rsidRDefault="0027759A"/>
    <w:p w14:paraId="2503FC82" w14:textId="77777777" w:rsidR="0027759A" w:rsidRDefault="00000000">
      <w:pPr>
        <w:spacing w:line="360" w:lineRule="auto"/>
        <w:jc w:val="both"/>
        <w:rPr>
          <w:b/>
          <w:bCs/>
          <w:sz w:val="36"/>
          <w:szCs w:val="36"/>
        </w:rPr>
      </w:pPr>
      <w:r>
        <w:rPr>
          <w:b/>
          <w:bCs/>
          <w:sz w:val="36"/>
          <w:szCs w:val="36"/>
        </w:rPr>
        <w:t>7.0 Conclusion</w:t>
      </w:r>
    </w:p>
    <w:p w14:paraId="24FACC63" w14:textId="77777777" w:rsidR="0027759A" w:rsidRDefault="00000000">
      <w:pPr>
        <w:spacing w:line="360" w:lineRule="auto"/>
        <w:jc w:val="both"/>
      </w:pPr>
      <w:r>
        <w:t xml:space="preserve">The implementation of a Zero Trust architecture, as championed by leading frameworks from NIST (SP 800-207) and CISA, moves beyond a tactical technology upgrade to become a strategic investment in VTAM's long-term resilience. This model operationalizes the core principle of "never trust, always verify," mandating granular, identity-centric policies and technical controls like micro-segmentation and least-privilege access, which are continuously validated. This defense-in-depth approach is critical, as highlighted by ENISA, which notes that modern threats easily bypass traditional perimeter-based security. A proactive Security Operations Center (SOC) serves as the operational engine for this framework, enabling continuous monitoring and rapid response in alignment with the NIST Cybersecurity Framework's (CSF) core functions of "Detect" and "Respond." By further leveraging actionable threat intelligence from CISA's Automated Indicator Sharing (AIS) program and other sources, we shift from a reactive to a predictive posture, actively hunting for threats identified in global advisories. This integrated strategy does more than protect assets; it builds an adaptive security culture, directly ensuring operational continuity and safeguarding the client trust that is the cornerstone of our business, thereby making cybersecurity a </w:t>
      </w:r>
      <w:r>
        <w:lastRenderedPageBreak/>
        <w:t>demonstrable and fundamental pillar of our business strategy and enterprise risk management.</w:t>
      </w:r>
    </w:p>
    <w:p w14:paraId="447FBE8B" w14:textId="77777777" w:rsidR="0027759A" w:rsidRDefault="00000000">
      <w:pPr>
        <w:rPr>
          <w:b/>
          <w:bCs/>
          <w:sz w:val="36"/>
          <w:szCs w:val="36"/>
        </w:rPr>
      </w:pPr>
      <w:r>
        <w:rPr>
          <w:b/>
          <w:bCs/>
          <w:sz w:val="36"/>
          <w:szCs w:val="36"/>
        </w:rPr>
        <w:t>Appendix:</w:t>
      </w:r>
    </w:p>
    <w:p w14:paraId="73BDA665" w14:textId="77777777" w:rsidR="0027759A" w:rsidRDefault="0027759A">
      <w:pPr>
        <w:rPr>
          <w:b/>
          <w:bCs/>
          <w:sz w:val="32"/>
          <w:szCs w:val="32"/>
        </w:rPr>
      </w:pPr>
    </w:p>
    <w:p w14:paraId="4DA570F8" w14:textId="77777777" w:rsidR="0027759A" w:rsidRDefault="00000000">
      <w:pPr>
        <w:rPr>
          <w:b/>
          <w:bCs/>
          <w:sz w:val="32"/>
          <w:szCs w:val="32"/>
        </w:rPr>
      </w:pPr>
      <w:proofErr w:type="spellStart"/>
      <w:r>
        <w:rPr>
          <w:b/>
          <w:bCs/>
          <w:sz w:val="32"/>
          <w:szCs w:val="32"/>
        </w:rPr>
        <w:t>Powerpoint</w:t>
      </w:r>
      <w:proofErr w:type="spellEnd"/>
      <w:r>
        <w:rPr>
          <w:b/>
          <w:bCs/>
          <w:sz w:val="32"/>
          <w:szCs w:val="32"/>
        </w:rPr>
        <w:t xml:space="preserve"> Presentation </w:t>
      </w:r>
    </w:p>
    <w:p w14:paraId="5EEBB2BB" w14:textId="77777777" w:rsidR="0027759A" w:rsidRDefault="0027759A"/>
    <w:p w14:paraId="1334AB91" w14:textId="77777777" w:rsidR="0027759A" w:rsidRDefault="00000000">
      <w:pPr>
        <w:jc w:val="center"/>
      </w:pPr>
      <w:r>
        <w:object w:dxaOrig="6229" w:dyaOrig="3865" w14:anchorId="217CB9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75pt;height:193.1pt" o:ole="">
            <v:imagedata r:id="rId8" o:title=""/>
            <o:lock v:ext="edit" aspectratio="f"/>
          </v:shape>
          <o:OLEObject Type="Embed" ProgID="PowerPoint.Slide.12" ShapeID="_x0000_i1025" DrawAspect="Content" ObjectID="_1825660297" r:id="rId9"/>
        </w:object>
      </w:r>
    </w:p>
    <w:p w14:paraId="66A6A846" w14:textId="77777777" w:rsidR="0027759A" w:rsidRDefault="00000000">
      <w:pPr>
        <w:jc w:val="center"/>
      </w:pPr>
      <w:r>
        <w:object w:dxaOrig="6082" w:dyaOrig="5394" w14:anchorId="48F436F8">
          <v:shape id="_x0000_i1026" type="#_x0000_t75" style="width:304.35pt;height:270pt" o:ole="">
            <v:imagedata r:id="rId10" o:title=""/>
            <o:lock v:ext="edit" aspectratio="f"/>
          </v:shape>
          <o:OLEObject Type="Embed" ProgID="PowerPoint.Slide.12" ShapeID="_x0000_i1026" DrawAspect="Content" ObjectID="_1825660298" r:id="rId11"/>
        </w:object>
      </w:r>
    </w:p>
    <w:p w14:paraId="22927407" w14:textId="77777777" w:rsidR="0027759A" w:rsidRDefault="0027759A"/>
    <w:p w14:paraId="6779E7EA" w14:textId="77777777" w:rsidR="0027759A" w:rsidRDefault="00000000">
      <w:pPr>
        <w:jc w:val="center"/>
      </w:pPr>
      <w:r>
        <w:object w:dxaOrig="5878" w:dyaOrig="4523" w14:anchorId="5BEDAB73">
          <v:shape id="_x0000_i1027" type="#_x0000_t75" style="width:293.75pt;height:225.8pt" o:ole="">
            <v:imagedata r:id="rId12" o:title=""/>
            <o:lock v:ext="edit" aspectratio="f"/>
          </v:shape>
          <o:OLEObject Type="Embed" ProgID="PowerPoint.Slide.12" ShapeID="_x0000_i1027" DrawAspect="Content" ObjectID="_1825660299" r:id="rId13"/>
        </w:object>
      </w:r>
    </w:p>
    <w:p w14:paraId="4AC2DEC3" w14:textId="77777777" w:rsidR="0027759A" w:rsidRDefault="00000000">
      <w:pPr>
        <w:jc w:val="center"/>
      </w:pPr>
      <w:r>
        <w:object w:dxaOrig="6202" w:dyaOrig="5394" w14:anchorId="47D72F12">
          <v:shape id="_x0000_i1028" type="#_x0000_t75" style="width:310.1pt;height:270pt" o:ole="">
            <v:imagedata r:id="rId14" o:title=""/>
            <o:lock v:ext="edit" aspectratio="f"/>
          </v:shape>
          <o:OLEObject Type="Embed" ProgID="PowerPoint.Slide.12" ShapeID="_x0000_i1028" DrawAspect="Content" ObjectID="_1825660300" r:id="rId15"/>
        </w:object>
      </w:r>
    </w:p>
    <w:p w14:paraId="30E8C81E" w14:textId="77777777" w:rsidR="0027759A" w:rsidRDefault="00000000">
      <w:pPr>
        <w:jc w:val="center"/>
      </w:pPr>
      <w:r>
        <w:object w:dxaOrig="4393" w:dyaOrig="4589" w14:anchorId="2535ACA4">
          <v:shape id="_x0000_i1029" type="#_x0000_t75" style="width:219.25pt;height:229.1pt" o:ole="">
            <v:imagedata r:id="rId16" o:title=""/>
            <o:lock v:ext="edit" aspectratio="f"/>
          </v:shape>
          <o:OLEObject Type="Embed" ProgID="PowerPoint.Slide.12" ShapeID="_x0000_i1029" DrawAspect="Content" ObjectID="_1825660301" r:id="rId17"/>
        </w:object>
      </w:r>
      <w:r>
        <w:object w:dxaOrig="4012" w:dyaOrig="4106" w14:anchorId="172CE706">
          <v:shape id="_x0000_i1030" type="#_x0000_t75" style="width:200.45pt;height:205.35pt" o:ole="">
            <v:imagedata r:id="rId18" o:title=""/>
            <o:lock v:ext="edit" aspectratio="f"/>
          </v:shape>
          <o:OLEObject Type="Embed" ProgID="PowerPoint.Slide.12" ShapeID="_x0000_i1030" DrawAspect="Content" ObjectID="_1825660302" r:id="rId19"/>
        </w:object>
      </w:r>
    </w:p>
    <w:p w14:paraId="6D51E23D" w14:textId="77777777" w:rsidR="0027759A" w:rsidRDefault="00000000">
      <w:pPr>
        <w:jc w:val="center"/>
      </w:pPr>
      <w:r>
        <w:object w:dxaOrig="6677" w:dyaOrig="4799" w14:anchorId="30A783AF">
          <v:shape id="_x0000_i1031" type="#_x0000_t75" style="width:333.8pt;height:239.75pt" o:ole="">
            <v:imagedata r:id="rId20" o:title=""/>
            <o:lock v:ext="edit" aspectratio="f"/>
          </v:shape>
          <o:OLEObject Type="Embed" ProgID="PowerPoint.Slide.12" ShapeID="_x0000_i1031" DrawAspect="Content" ObjectID="_1825660303" r:id="rId21"/>
        </w:object>
      </w:r>
    </w:p>
    <w:p w14:paraId="796138F7" w14:textId="77777777" w:rsidR="0027759A" w:rsidRDefault="00000000">
      <w:pPr>
        <w:jc w:val="center"/>
      </w:pPr>
      <w:r>
        <w:object w:dxaOrig="6706" w:dyaOrig="4952" w14:anchorId="25739463">
          <v:shape id="_x0000_i1032" type="#_x0000_t75" style="width:335.45pt;height:247.9pt" o:ole="">
            <v:imagedata r:id="rId22" o:title=""/>
            <o:lock v:ext="edit" aspectratio="f"/>
          </v:shape>
          <o:OLEObject Type="Embed" ProgID="PowerPoint.Slide.12" ShapeID="_x0000_i1032" DrawAspect="Content" ObjectID="_1825660304" r:id="rId23"/>
        </w:object>
      </w:r>
    </w:p>
    <w:p w14:paraId="21D350D8" w14:textId="77777777" w:rsidR="0027759A" w:rsidRDefault="00000000">
      <w:pPr>
        <w:jc w:val="center"/>
      </w:pPr>
      <w:r>
        <w:object w:dxaOrig="6649" w:dyaOrig="4635" w14:anchorId="5E105C33">
          <v:shape id="_x0000_i1033" type="#_x0000_t75" style="width:332.2pt;height:231.55pt" o:ole="">
            <v:imagedata r:id="rId24" o:title=""/>
            <o:lock v:ext="edit" aspectratio="f"/>
          </v:shape>
          <o:OLEObject Type="Embed" ProgID="PowerPoint.Slide.12" ShapeID="_x0000_i1033" DrawAspect="Content" ObjectID="_1825660305" r:id="rId25"/>
        </w:object>
      </w:r>
    </w:p>
    <w:p w14:paraId="42D144B6" w14:textId="77777777" w:rsidR="0027759A" w:rsidRDefault="0027759A">
      <w:pPr>
        <w:jc w:val="center"/>
      </w:pPr>
    </w:p>
    <w:p w14:paraId="7145D693" w14:textId="77777777" w:rsidR="0027759A" w:rsidRDefault="00000000">
      <w:pPr>
        <w:jc w:val="center"/>
      </w:pPr>
      <w:r>
        <w:object w:dxaOrig="6871" w:dyaOrig="4988" w14:anchorId="34AE003F">
          <v:shape id="_x0000_i1034" type="#_x0000_t75" style="width:343.5pt;height:249.5pt" o:ole="">
            <v:imagedata r:id="rId26" o:title=""/>
            <o:lock v:ext="edit" aspectratio="f"/>
          </v:shape>
          <o:OLEObject Type="Embed" ProgID="PowerPoint.Slide.12" ShapeID="_x0000_i1034" DrawAspect="Content" ObjectID="_1825660306" r:id="rId27"/>
        </w:object>
      </w:r>
    </w:p>
    <w:p w14:paraId="1F45CB27" w14:textId="77777777" w:rsidR="0027759A" w:rsidRDefault="0027759A">
      <w:pPr>
        <w:jc w:val="center"/>
      </w:pPr>
    </w:p>
    <w:p w14:paraId="538F537C" w14:textId="77777777" w:rsidR="0027759A" w:rsidRDefault="00000000">
      <w:pPr>
        <w:jc w:val="center"/>
      </w:pPr>
      <w:r>
        <w:object w:dxaOrig="6466" w:dyaOrig="4571" w14:anchorId="124C440F">
          <v:shape id="_x0000_i1035" type="#_x0000_t75" style="width:323.5pt;height:228.5pt" o:ole="">
            <v:imagedata r:id="rId28" o:title=""/>
            <o:lock v:ext="edit" aspectratio="f"/>
          </v:shape>
          <o:OLEObject Type="Embed" ProgID="PowerPoint.Slide.12" ShapeID="_x0000_i1035" DrawAspect="Content" ObjectID="_1825660307" r:id="rId29"/>
        </w:object>
      </w:r>
    </w:p>
    <w:p w14:paraId="3C829E5A" w14:textId="77777777" w:rsidR="0027759A" w:rsidRDefault="0027759A">
      <w:pPr>
        <w:rPr>
          <w:b/>
          <w:bCs/>
          <w:sz w:val="36"/>
          <w:szCs w:val="36"/>
        </w:rPr>
      </w:pPr>
    </w:p>
    <w:p w14:paraId="7A01C885" w14:textId="77777777" w:rsidR="0027759A" w:rsidRDefault="0027759A">
      <w:pPr>
        <w:rPr>
          <w:b/>
          <w:bCs/>
          <w:sz w:val="36"/>
          <w:szCs w:val="36"/>
        </w:rPr>
      </w:pPr>
    </w:p>
    <w:p w14:paraId="317690C0" w14:textId="77777777" w:rsidR="0027759A" w:rsidRDefault="0027759A">
      <w:pPr>
        <w:rPr>
          <w:b/>
          <w:bCs/>
          <w:sz w:val="36"/>
          <w:szCs w:val="36"/>
        </w:rPr>
      </w:pPr>
    </w:p>
    <w:p w14:paraId="2C9BE819" w14:textId="77777777" w:rsidR="0027759A" w:rsidRDefault="00000000">
      <w:pPr>
        <w:rPr>
          <w:b/>
          <w:bCs/>
          <w:sz w:val="36"/>
          <w:szCs w:val="36"/>
        </w:rPr>
      </w:pPr>
      <w:r>
        <w:rPr>
          <w:b/>
          <w:bCs/>
          <w:sz w:val="36"/>
          <w:szCs w:val="36"/>
        </w:rPr>
        <w:lastRenderedPageBreak/>
        <w:t>References:</w:t>
      </w:r>
    </w:p>
    <w:p w14:paraId="7423D275" w14:textId="77777777" w:rsidR="0027759A" w:rsidRDefault="00000000">
      <w:r>
        <w:t xml:space="preserve">The analysis and recommendations are grounded in specific, credible sources and real-world incidents as required. </w:t>
      </w:r>
    </w:p>
    <w:p w14:paraId="1D4DC85E" w14:textId="77777777" w:rsidR="0027759A" w:rsidRDefault="00000000">
      <w:r>
        <w:t xml:space="preserve">Zero Trust Model: Based on NIST Special Publication 800-207, "Zero Trust Architecture," the definitive standard on the topic. </w:t>
      </w:r>
    </w:p>
    <w:p w14:paraId="4C0C8D59" w14:textId="77777777" w:rsidR="0027759A" w:rsidRDefault="00000000">
      <w:r>
        <w:t xml:space="preserve">Ransomware-as-a-Service (RaaS) &amp; </w:t>
      </w:r>
      <w:proofErr w:type="spellStart"/>
      <w:r>
        <w:t>BlackCat</w:t>
      </w:r>
      <w:proofErr w:type="spellEnd"/>
      <w:r>
        <w:t xml:space="preserve">: Documented by CISA Alert AA23-047A and numerous reports from cybersecurity firms like CrowdStrike and Mandiant. </w:t>
      </w:r>
    </w:p>
    <w:p w14:paraId="189768F3" w14:textId="77777777" w:rsidR="0027759A" w:rsidRDefault="00000000">
      <w:r>
        <w:t xml:space="preserve">AI-Powered Vishing / Deepfake Case: The $25M Hong Kong deepfake scam was widely reported by global news outlets like The Washington Post and BBC in February 2024. </w:t>
      </w:r>
    </w:p>
    <w:p w14:paraId="03A1EF0C" w14:textId="77777777" w:rsidR="0027759A" w:rsidRDefault="00000000">
      <w:r>
        <w:t xml:space="preserve">Supply Chain Compromise / </w:t>
      </w:r>
      <w:proofErr w:type="spellStart"/>
      <w:r>
        <w:t>MOVEit</w:t>
      </w:r>
      <w:proofErr w:type="spellEnd"/>
      <w:r>
        <w:t xml:space="preserve">: The Cl0p ransomware gang's exploitation of the </w:t>
      </w:r>
      <w:proofErr w:type="spellStart"/>
      <w:r>
        <w:t>MOVEit</w:t>
      </w:r>
      <w:proofErr w:type="spellEnd"/>
      <w:r>
        <w:t xml:space="preserve"> zero-day is one of the most significant supply chain attacks of 2023, covered by CISA and ENISA. </w:t>
      </w:r>
    </w:p>
    <w:p w14:paraId="765C5EBF" w14:textId="77777777" w:rsidR="0027759A" w:rsidRDefault="00000000">
      <w:r>
        <w:t xml:space="preserve">CISA Known Exploited Vulnerabilities (KEV) Catalog: A primary source for prioritized patching, as mandated by the US Federal Government and recommended for all enterprises. </w:t>
      </w:r>
    </w:p>
    <w:p w14:paraId="50ABB8DA" w14:textId="77777777" w:rsidR="0027759A" w:rsidRDefault="00000000">
      <w:r>
        <w:t xml:space="preserve">NIST Cybersecurity Framework (CSF) 2.0: The chosen framework for structuring policies and controls, providing a common language for managing cybersecurity risk. </w:t>
      </w:r>
    </w:p>
    <w:p w14:paraId="66DF5996" w14:textId="77777777" w:rsidR="0027759A" w:rsidRDefault="00000000">
      <w:r>
        <w:t>Cloud Misconfigurations: Consistently highlighted as a top threat in reports from CISA and the Cloud Security Alliance (CSA).</w:t>
      </w:r>
    </w:p>
    <w:sectPr w:rsidR="0027759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16655" w14:textId="77777777" w:rsidR="003F5957" w:rsidRDefault="003F5957">
      <w:pPr>
        <w:spacing w:line="240" w:lineRule="auto"/>
      </w:pPr>
      <w:r>
        <w:separator/>
      </w:r>
    </w:p>
  </w:endnote>
  <w:endnote w:type="continuationSeparator" w:id="0">
    <w:p w14:paraId="7A0989A4" w14:textId="77777777" w:rsidR="003F5957" w:rsidRDefault="003F5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9B995" w14:textId="77777777" w:rsidR="003F5957" w:rsidRDefault="003F5957">
      <w:pPr>
        <w:spacing w:after="0"/>
      </w:pPr>
      <w:r>
        <w:separator/>
      </w:r>
    </w:p>
  </w:footnote>
  <w:footnote w:type="continuationSeparator" w:id="0">
    <w:p w14:paraId="4D2BD700" w14:textId="77777777" w:rsidR="003F5957" w:rsidRDefault="003F595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AAA2949"/>
    <w:multiLevelType w:val="singleLevel"/>
    <w:tmpl w:val="FAAA294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2"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3"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4"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5"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6"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905456150">
    <w:abstractNumId w:val="6"/>
  </w:num>
  <w:num w:numId="2" w16cid:durableId="649988300">
    <w:abstractNumId w:val="4"/>
  </w:num>
  <w:num w:numId="3" w16cid:durableId="1494688628">
    <w:abstractNumId w:val="3"/>
  </w:num>
  <w:num w:numId="4" w16cid:durableId="45107945">
    <w:abstractNumId w:val="5"/>
  </w:num>
  <w:num w:numId="5" w16cid:durableId="1875728970">
    <w:abstractNumId w:val="2"/>
  </w:num>
  <w:num w:numId="6" w16cid:durableId="43679739">
    <w:abstractNumId w:val="1"/>
  </w:num>
  <w:num w:numId="7" w16cid:durableId="78527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7759A"/>
    <w:rsid w:val="0029639D"/>
    <w:rsid w:val="00326F90"/>
    <w:rsid w:val="003F5957"/>
    <w:rsid w:val="004827FC"/>
    <w:rsid w:val="008A4AF3"/>
    <w:rsid w:val="00AA1D8D"/>
    <w:rsid w:val="00B2229F"/>
    <w:rsid w:val="00B47730"/>
    <w:rsid w:val="00CB0664"/>
    <w:rsid w:val="00D85EAB"/>
    <w:rsid w:val="00FC693F"/>
    <w:rsid w:val="14E0717F"/>
    <w:rsid w:val="233A6C5C"/>
    <w:rsid w:val="29275F25"/>
    <w:rsid w:val="2BC32A58"/>
    <w:rsid w:val="34C630A6"/>
    <w:rsid w:val="4463626E"/>
    <w:rsid w:val="60A42E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529758"/>
  <w14:defaultImageDpi w14:val="300"/>
  <w15:docId w15:val="{5FAD46ED-BF29-40CE-AE07-7369C7C5B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lsdException w:name="List Number" w:unhideWhenUsed="1"/>
    <w:lsdException w:name="List 2" w:unhideWhenUsed="1"/>
    <w:lsdException w:name="List 3" w:unhideWhenUsed="1"/>
    <w:lsdException w:name="List 4" w:semiHidden="1" w:unhideWhenUsed="1"/>
    <w:lsdException w:name="List 5" w:semiHidden="1" w:unhideWhenUsed="1"/>
    <w:lsdException w:name="List Bullet 2" w:unhideWhenUsed="1" w:qFormat="1"/>
    <w:lsdException w:name="List Bullet 3" w:unhideWhenUsed="1"/>
    <w:lsdException w:name="List Bullet 4" w:semiHidden="1" w:unhideWhenUsed="1"/>
    <w:lsdException w:name="List Bullet 5" w:semiHidden="1" w:unhideWhenUsed="1"/>
    <w:lsdException w:name="List Number 2" w:unhideWhenUsed="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qFormat="1"/>
    <w:lsdException w:name="Medium Shading 1" w:uiPriority="63"/>
    <w:lsdException w:name="Medium Shading 2" w:uiPriority="64"/>
    <w:lsdException w:name="Medium List 1" w:uiPriority="65" w:qFormat="1"/>
    <w:lsdException w:name="Medium List 2" w:uiPriority="66" w:qFormat="1"/>
    <w:lsdException w:name="Medium Grid 1" w:uiPriority="67" w:qFormat="1"/>
    <w:lsdException w:name="Medium Grid 2" w:uiPriority="68" w:qFormat="1"/>
    <w:lsdException w:name="Medium Grid 3" w:uiPriority="69"/>
    <w:lsdException w:name="Dark List" w:uiPriority="70"/>
    <w:lsdException w:name="Colorful Shading" w:uiPriority="71"/>
    <w:lsdException w:name="Colorful List" w:uiPriority="72" w:qFormat="1"/>
    <w:lsdException w:name="Colorful Grid" w:uiPriority="73"/>
    <w:lsdException w:name="Light Shading Accent 1" w:uiPriority="60"/>
    <w:lsdException w:name="Light List Accent 1" w:uiPriority="61" w:qFormat="1"/>
    <w:lsdException w:name="Light Grid Accent 1" w:uiPriority="62" w:qFormat="1"/>
    <w:lsdException w:name="Medium Shading 1 Accent 1" w:uiPriority="63" w:qFormat="1"/>
    <w:lsdException w:name="Medium Shading 2 Accent 1" w:uiPriority="64"/>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qFormat="1"/>
    <w:lsdException w:name="Medium Shading 1 Accent 2" w:uiPriority="63"/>
    <w:lsdException w:name="Medium Shading 2 Accent 2" w:uiPriority="64" w:qFormat="1"/>
    <w:lsdException w:name="Medium List 1 Accent 2" w:uiPriority="65"/>
    <w:lsdException w:name="Medium List 2 Accent 2" w:uiPriority="66" w:qFormat="1"/>
    <w:lsdException w:name="Medium Grid 1 Accent 2" w:uiPriority="67" w:qFormat="1"/>
    <w:lsdException w:name="Medium Grid 2 Accent 2" w:uiPriority="68"/>
    <w:lsdException w:name="Medium Grid 3 Accent 2" w:uiPriority="69" w:qFormat="1"/>
    <w:lsdException w:name="Dark List Accent 2" w:uiPriority="70" w:qFormat="1"/>
    <w:lsdException w:name="Colorful Shading Accent 2" w:uiPriority="71" w:qFormat="1"/>
    <w:lsdException w:name="Colorful List Accent 2" w:uiPriority="72"/>
    <w:lsdException w:name="Colorful Grid Accent 2" w:uiPriority="73" w:qFormat="1"/>
    <w:lsdException w:name="Light Shading Accent 3" w:uiPriority="60" w:qFormat="1"/>
    <w:lsdException w:name="Light List Accent 3" w:uiPriority="6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lsdException w:name="Medium Grid 3 Accent 3" w:uiPriority="69" w:qFormat="1"/>
    <w:lsdException w:name="Dark List Accent 3" w:uiPriority="70" w:qFormat="1"/>
    <w:lsdException w:name="Colorful Shading Accent 3" w:uiPriority="71"/>
    <w:lsdException w:name="Colorful List Accent 3" w:uiPriority="72" w:qFormat="1"/>
    <w:lsdException w:name="Colorful Grid Accent 3" w:uiPriority="73"/>
    <w:lsdException w:name="Light Shading Accent 4" w:uiPriority="60"/>
    <w:lsdException w:name="Light List Accent 4" w:uiPriority="61" w:qFormat="1"/>
    <w:lsdException w:name="Light Grid Accent 4" w:uiPriority="62" w:qFormat="1"/>
    <w:lsdException w:name="Medium Shading 1 Accent 4" w:uiPriority="63"/>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lsdException w:name="Dark List Accent 4" w:uiPriority="70" w:qFormat="1"/>
    <w:lsdException w:name="Colorful Shading Accent 4" w:uiPriority="71" w:qFormat="1"/>
    <w:lsdException w:name="Colorful List Accent 4" w:uiPriority="72"/>
    <w:lsdException w:name="Colorful Grid Accent 4" w:uiPriority="73"/>
    <w:lsdException w:name="Light Shading Accent 5" w:uiPriority="60" w:qFormat="1"/>
    <w:lsdException w:name="Light List Accent 5" w:uiPriority="61" w:qFormat="1"/>
    <w:lsdException w:name="Light Grid Accent 5" w:uiPriority="62"/>
    <w:lsdException w:name="Medium Shading 1 Accent 5" w:uiPriority="63" w:qFormat="1"/>
    <w:lsdException w:name="Medium Shading 2 Accent 5" w:uiPriority="64"/>
    <w:lsdException w:name="Medium List 1 Accent 5" w:uiPriority="65" w:qFormat="1"/>
    <w:lsdException w:name="Medium List 2 Accent 5" w:uiPriority="66"/>
    <w:lsdException w:name="Medium Grid 1 Accent 5" w:uiPriority="67" w:qFormat="1"/>
    <w:lsdException w:name="Medium Grid 2 Accent 5" w:uiPriority="68" w:qFormat="1"/>
    <w:lsdException w:name="Medium Grid 3 Accent 5" w:uiPriority="69"/>
    <w:lsdException w:name="Dark List Accent 5" w:uiPriority="70" w:qFormat="1"/>
    <w:lsdException w:name="Colorful Shading Accent 5" w:uiPriority="71"/>
    <w:lsdException w:name="Colorful List Accent 5" w:uiPriority="72" w:qFormat="1"/>
    <w:lsdException w:name="Colorful Grid Accent 5" w:uiPriority="73"/>
    <w:lsdException w:name="Light Shading Accent 6" w:uiPriority="60"/>
    <w:lsdException w:name="Light List Accent 6" w:uiPriority="61"/>
    <w:lsdException w:name="Light Grid Accent 6" w:uiPriority="62" w:qFormat="1"/>
    <w:lsdException w:name="Medium Shading 1 Accent 6" w:uiPriority="63" w:qFormat="1"/>
    <w:lsdException w:name="Medium Shading 2 Accent 6" w:uiPriority="64"/>
    <w:lsdException w:name="Medium List 1 Accent 6" w:uiPriority="65" w:qFormat="1"/>
    <w:lsdException w:name="Medium List 2 Accent 6" w:uiPriority="66"/>
    <w:lsdException w:name="Medium Grid 1 Accent 6" w:uiPriority="67" w:qFormat="1"/>
    <w:lsdException w:name="Medium Grid 2 Accent 6" w:uiPriority="68"/>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EastAsia" w:hAnsiTheme="minorHAnsi" w:cstheme="minorBidi"/>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pPr>
  </w:style>
  <w:style w:type="paragraph" w:styleId="BodyText2">
    <w:name w:val="Body Text 2"/>
    <w:basedOn w:val="Normal"/>
    <w:link w:val="BodyText2Char"/>
    <w:uiPriority w:val="99"/>
    <w:unhideWhenUsed/>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qFormat/>
    <w:pPr>
      <w:spacing w:after="120"/>
      <w:ind w:left="360"/>
      <w:contextualSpacing/>
    </w:pPr>
  </w:style>
  <w:style w:type="paragraph" w:styleId="ListContinue2">
    <w:name w:val="List Continue 2"/>
    <w:basedOn w:val="Normal"/>
    <w:uiPriority w:val="99"/>
    <w:unhideWhenUsed/>
    <w:qFormat/>
    <w:pPr>
      <w:spacing w:after="120"/>
      <w:ind w:left="720"/>
      <w:contextualSpacing/>
    </w:pPr>
  </w:style>
  <w:style w:type="paragraph" w:styleId="ListContinue3">
    <w:name w:val="List Continue 3"/>
    <w:basedOn w:val="Normal"/>
    <w:uiPriority w:val="99"/>
    <w:unhideWhenUsed/>
    <w:qFormat/>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pPr>
      <w:numPr>
        <w:numId w:val="5"/>
      </w:numPr>
      <w:contextualSpacing/>
    </w:pPr>
  </w:style>
  <w:style w:type="paragraph" w:styleId="ListNumber3">
    <w:name w:val="List Number 3"/>
    <w:basedOn w:val="Normal"/>
    <w:uiPriority w:val="99"/>
    <w:unhideWhenUsed/>
    <w:qFormat/>
    <w:pPr>
      <w:numPr>
        <w:numId w:val="6"/>
      </w:numPr>
      <w:contextualSpacing/>
    </w:pPr>
  </w:style>
  <w:style w:type="paragraph" w:styleId="MacroText">
    <w:name w:val="macro"/>
    <w:link w:val="MacroTextChar"/>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qFormat/>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qFormat/>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qFormat/>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qFormat/>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qFormat/>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qFormat/>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rPr>
      <w:sz w:val="16"/>
      <w:szCs w:val="16"/>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PowerPoint_Slide6.sl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1895</Words>
  <Characters>10808</Characters>
  <Application>Microsoft Office Word</Application>
  <DocSecurity>0</DocSecurity>
  <Lines>90</Lines>
  <Paragraphs>25</Paragraphs>
  <ScaleCrop>false</ScaleCrop>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CROWN_STAFF</cp:lastModifiedBy>
  <cp:revision>2</cp:revision>
  <dcterms:created xsi:type="dcterms:W3CDTF">2025-11-26T10:05:00Z</dcterms:created>
  <dcterms:modified xsi:type="dcterms:W3CDTF">2025-11-26T10:05:00Z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0AD39131AC6344F88D5C4AFA6176E297_12</vt:lpwstr>
  </property>
</Properties>
</file>