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hAnsi="Times New Roman"/>
          <w:lang w:val="en-GB"/>
        </w:rPr>
        <w:id w:val="-1995939298"/>
        <w:docPartObj>
          <w:docPartGallery w:val="Cover Pages"/>
          <w:docPartUnique/>
        </w:docPartObj>
      </w:sdtPr>
      <w:sdtContent>
        <w:p w14:paraId="0A401EF6" w14:textId="1F66C447" w:rsidR="00DE49F4" w:rsidRDefault="00DE49F4">
          <w:pPr>
            <w:pStyle w:val="NoSpacing"/>
          </w:pPr>
          <w:r>
            <w:rPr>
              <w:noProof/>
            </w:rPr>
            <mc:AlternateContent>
              <mc:Choice Requires="wpg">
                <w:drawing>
                  <wp:anchor distT="0" distB="0" distL="114300" distR="114300" simplePos="0" relativeHeight="251659264" behindDoc="1" locked="0" layoutInCell="1" allowOverlap="1" wp14:anchorId="58F07F62" wp14:editId="1D53BF6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31T00:00:00Z">
                                      <w:dateFormat w:val="M/d/yyyy"/>
                                      <w:lid w:val="en-US"/>
                                      <w:storeMappedDataAs w:val="dateTime"/>
                                      <w:calendar w:val="gregorian"/>
                                    </w:date>
                                  </w:sdtPr>
                                  <w:sdtContent>
                                    <w:p w14:paraId="21DDE172" w14:textId="0593F79E" w:rsidR="00DE49F4" w:rsidRDefault="00DE49F4">
                                      <w:pPr>
                                        <w:pStyle w:val="NoSpacing"/>
                                        <w:jc w:val="right"/>
                                        <w:rPr>
                                          <w:color w:val="FFFFFF" w:themeColor="background1"/>
                                          <w:sz w:val="28"/>
                                          <w:szCs w:val="28"/>
                                        </w:rPr>
                                      </w:pPr>
                                      <w:r>
                                        <w:rPr>
                                          <w:color w:val="FFFFFF" w:themeColor="background1"/>
                                          <w:sz w:val="28"/>
                                          <w:szCs w:val="28"/>
                                        </w:rPr>
                                        <w:t>5/31/2024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F07F6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31T00:00:00Z">
                                <w:dateFormat w:val="M/d/yyyy"/>
                                <w:lid w:val="en-US"/>
                                <w:storeMappedDataAs w:val="dateTime"/>
                                <w:calendar w:val="gregorian"/>
                              </w:date>
                            </w:sdtPr>
                            <w:sdtContent>
                              <w:p w14:paraId="21DDE172" w14:textId="0593F79E" w:rsidR="00DE49F4" w:rsidRDefault="00DE49F4">
                                <w:pPr>
                                  <w:pStyle w:val="NoSpacing"/>
                                  <w:jc w:val="right"/>
                                  <w:rPr>
                                    <w:color w:val="FFFFFF" w:themeColor="background1"/>
                                    <w:sz w:val="28"/>
                                    <w:szCs w:val="28"/>
                                  </w:rPr>
                                </w:pPr>
                                <w:r>
                                  <w:rPr>
                                    <w:color w:val="FFFFFF" w:themeColor="background1"/>
                                    <w:sz w:val="28"/>
                                    <w:szCs w:val="28"/>
                                  </w:rPr>
                                  <w:t>5/31/2024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0E27C01" wp14:editId="7BBC04E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3FFCB" w14:textId="05A061BC" w:rsidR="00DE49F4" w:rsidRPr="00F02AD9" w:rsidRDefault="00000000">
                                <w:pPr>
                                  <w:pStyle w:val="NoSpacing"/>
                                  <w:rPr>
                                    <w:rFonts w:ascii="Times New Roman" w:hAnsi="Times New Roman" w:cs="Times New Roman"/>
                                    <w:color w:val="156082" w:themeColor="accent1"/>
                                    <w:sz w:val="32"/>
                                    <w:szCs w:val="32"/>
                                  </w:rPr>
                                </w:pPr>
                                <w:sdt>
                                  <w:sdtPr>
                                    <w:rPr>
                                      <w:rFonts w:ascii="Times New Roman" w:hAnsi="Times New Roman" w:cs="Times New Roman"/>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533C" w:rsidRPr="00F02AD9">
                                      <w:rPr>
                                        <w:rFonts w:ascii="Times New Roman" w:hAnsi="Times New Roman" w:cs="Times New Roman"/>
                                        <w:color w:val="156082" w:themeColor="accent1"/>
                                        <w:sz w:val="32"/>
                                        <w:szCs w:val="32"/>
                                      </w:rPr>
                                      <w:t>Constantin-Bogdan Rusu</w:t>
                                    </w:r>
                                  </w:sdtContent>
                                </w:sdt>
                              </w:p>
                              <w:p w14:paraId="10E8D94E" w14:textId="61A24B99" w:rsidR="00DE49F4" w:rsidRPr="00F02AD9" w:rsidRDefault="00F02AD9" w:rsidP="00F02AD9">
                                <w:pPr>
                                  <w:pStyle w:val="NoSpacing"/>
                                  <w:rPr>
                                    <w:rFonts w:ascii="Times New Roman" w:hAnsi="Times New Roman" w:cs="Times New Roman"/>
                                    <w:caps/>
                                    <w:color w:val="595959" w:themeColor="text1" w:themeTint="A6"/>
                                    <w:sz w:val="32"/>
                                    <w:szCs w:val="32"/>
                                  </w:rPr>
                                </w:pPr>
                                <w:r w:rsidRPr="00F02AD9">
                                  <w:rPr>
                                    <w:rFonts w:ascii="Times New Roman" w:hAnsi="Times New Roman" w:cs="Times New Roman"/>
                                    <w:caps/>
                                    <w:color w:val="595959" w:themeColor="text1" w:themeTint="A6"/>
                                    <w:sz w:val="32"/>
                                    <w:szCs w:val="32"/>
                                  </w:rPr>
                                  <w:t>2014305</w:t>
                                </w:r>
                              </w:p>
                              <w:p w14:paraId="39FE5A88" w14:textId="786CC0DB" w:rsidR="00F02AD9" w:rsidRPr="00F02AD9" w:rsidRDefault="00F02AD9" w:rsidP="00F02AD9">
                                <w:pPr>
                                  <w:pStyle w:val="NoSpacing"/>
                                  <w:rPr>
                                    <w:rFonts w:ascii="Times New Roman" w:hAnsi="Times New Roman" w:cs="Times New Roman"/>
                                    <w:color w:val="595959" w:themeColor="text1" w:themeTint="A6"/>
                                    <w:sz w:val="32"/>
                                    <w:szCs w:val="32"/>
                                  </w:rPr>
                                </w:pPr>
                                <w:r w:rsidRPr="00F02AD9">
                                  <w:rPr>
                                    <w:rFonts w:ascii="Times New Roman" w:hAnsi="Times New Roman" w:cs="Times New Roman"/>
                                    <w:caps/>
                                    <w:color w:val="595959" w:themeColor="text1" w:themeTint="A6"/>
                                    <w:sz w:val="32"/>
                                    <w:szCs w:val="32"/>
                                  </w:rPr>
                                  <w:t>Lecturer: Lola Villard-Coles</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0E27C01"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733FFCB" w14:textId="05A061BC" w:rsidR="00DE49F4" w:rsidRPr="00F02AD9" w:rsidRDefault="00000000">
                          <w:pPr>
                            <w:pStyle w:val="NoSpacing"/>
                            <w:rPr>
                              <w:rFonts w:ascii="Times New Roman" w:hAnsi="Times New Roman" w:cs="Times New Roman"/>
                              <w:color w:val="156082" w:themeColor="accent1"/>
                              <w:sz w:val="32"/>
                              <w:szCs w:val="32"/>
                            </w:rPr>
                          </w:pPr>
                          <w:sdt>
                            <w:sdtPr>
                              <w:rPr>
                                <w:rFonts w:ascii="Times New Roman" w:hAnsi="Times New Roman" w:cs="Times New Roman"/>
                                <w:color w:val="156082"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4533C" w:rsidRPr="00F02AD9">
                                <w:rPr>
                                  <w:rFonts w:ascii="Times New Roman" w:hAnsi="Times New Roman" w:cs="Times New Roman"/>
                                  <w:color w:val="156082" w:themeColor="accent1"/>
                                  <w:sz w:val="32"/>
                                  <w:szCs w:val="32"/>
                                </w:rPr>
                                <w:t>Constantin-Bogdan Rusu</w:t>
                              </w:r>
                            </w:sdtContent>
                          </w:sdt>
                        </w:p>
                        <w:p w14:paraId="10E8D94E" w14:textId="61A24B99" w:rsidR="00DE49F4" w:rsidRPr="00F02AD9" w:rsidRDefault="00F02AD9" w:rsidP="00F02AD9">
                          <w:pPr>
                            <w:pStyle w:val="NoSpacing"/>
                            <w:rPr>
                              <w:rFonts w:ascii="Times New Roman" w:hAnsi="Times New Roman" w:cs="Times New Roman"/>
                              <w:caps/>
                              <w:color w:val="595959" w:themeColor="text1" w:themeTint="A6"/>
                              <w:sz w:val="32"/>
                              <w:szCs w:val="32"/>
                            </w:rPr>
                          </w:pPr>
                          <w:r w:rsidRPr="00F02AD9">
                            <w:rPr>
                              <w:rFonts w:ascii="Times New Roman" w:hAnsi="Times New Roman" w:cs="Times New Roman"/>
                              <w:caps/>
                              <w:color w:val="595959" w:themeColor="text1" w:themeTint="A6"/>
                              <w:sz w:val="32"/>
                              <w:szCs w:val="32"/>
                            </w:rPr>
                            <w:t>2014305</w:t>
                          </w:r>
                        </w:p>
                        <w:p w14:paraId="39FE5A88" w14:textId="786CC0DB" w:rsidR="00F02AD9" w:rsidRPr="00F02AD9" w:rsidRDefault="00F02AD9" w:rsidP="00F02AD9">
                          <w:pPr>
                            <w:pStyle w:val="NoSpacing"/>
                            <w:rPr>
                              <w:rFonts w:ascii="Times New Roman" w:hAnsi="Times New Roman" w:cs="Times New Roman"/>
                              <w:color w:val="595959" w:themeColor="text1" w:themeTint="A6"/>
                              <w:sz w:val="32"/>
                              <w:szCs w:val="32"/>
                            </w:rPr>
                          </w:pPr>
                          <w:r w:rsidRPr="00F02AD9">
                            <w:rPr>
                              <w:rFonts w:ascii="Times New Roman" w:hAnsi="Times New Roman" w:cs="Times New Roman"/>
                              <w:caps/>
                              <w:color w:val="595959" w:themeColor="text1" w:themeTint="A6"/>
                              <w:sz w:val="32"/>
                              <w:szCs w:val="32"/>
                            </w:rPr>
                            <w:t>Lecturer: Lola Villard-Coles</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716251B" wp14:editId="279A66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3786F4" w14:textId="24E7F19D" w:rsidR="00DE49F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4533C" w:rsidRPr="0054533C">
                                      <w:rPr>
                                        <w:rFonts w:asciiTheme="majorHAnsi" w:eastAsiaTheme="majorEastAsia" w:hAnsiTheme="majorHAnsi" w:cstheme="majorBidi"/>
                                        <w:color w:val="262626" w:themeColor="text1" w:themeTint="D9"/>
                                        <w:sz w:val="72"/>
                                        <w:szCs w:val="72"/>
                                      </w:rPr>
                                      <w:t>Organisational Report- InterContinental Hotels Group</w:t>
                                    </w:r>
                                  </w:sdtContent>
                                </w:sdt>
                              </w:p>
                              <w:p w14:paraId="3B410D2B" w14:textId="715802B4" w:rsidR="00DE49F4" w:rsidRDefault="00000000">
                                <w:pPr>
                                  <w:spacing w:before="120"/>
                                  <w:rPr>
                                    <w:color w:val="404040" w:themeColor="text1" w:themeTint="BF"/>
                                    <w:sz w:val="36"/>
                                    <w:szCs w:val="36"/>
                                  </w:rPr>
                                </w:pPr>
                                <w:sdt>
                                  <w:sdtPr>
                                    <w:rPr>
                                      <w:color w:val="404040" w:themeColor="text1" w:themeTint="BF"/>
                                      <w:kern w:val="0"/>
                                      <w:sz w:val="36"/>
                                      <w:szCs w:val="36"/>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4533C" w:rsidRPr="0054533C">
                                      <w:rPr>
                                        <w:color w:val="404040" w:themeColor="text1" w:themeTint="BF"/>
                                        <w:kern w:val="0"/>
                                        <w:sz w:val="36"/>
                                        <w:szCs w:val="36"/>
                                        <w14:ligatures w14:val="none"/>
                                      </w:rPr>
                                      <w:t>Module: Management and Organisational Behaviour, code BMIH5004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716251B"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63786F4" w14:textId="24E7F19D" w:rsidR="00DE49F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4533C" w:rsidRPr="0054533C">
                                <w:rPr>
                                  <w:rFonts w:asciiTheme="majorHAnsi" w:eastAsiaTheme="majorEastAsia" w:hAnsiTheme="majorHAnsi" w:cstheme="majorBidi"/>
                                  <w:color w:val="262626" w:themeColor="text1" w:themeTint="D9"/>
                                  <w:sz w:val="72"/>
                                  <w:szCs w:val="72"/>
                                </w:rPr>
                                <w:t>Organisational Report- InterContinental Hotels Group</w:t>
                              </w:r>
                            </w:sdtContent>
                          </w:sdt>
                        </w:p>
                        <w:p w14:paraId="3B410D2B" w14:textId="715802B4" w:rsidR="00DE49F4" w:rsidRDefault="00000000">
                          <w:pPr>
                            <w:spacing w:before="120"/>
                            <w:rPr>
                              <w:color w:val="404040" w:themeColor="text1" w:themeTint="BF"/>
                              <w:sz w:val="36"/>
                              <w:szCs w:val="36"/>
                            </w:rPr>
                          </w:pPr>
                          <w:sdt>
                            <w:sdtPr>
                              <w:rPr>
                                <w:color w:val="404040" w:themeColor="text1" w:themeTint="BF"/>
                                <w:kern w:val="0"/>
                                <w:sz w:val="36"/>
                                <w:szCs w:val="36"/>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4533C" w:rsidRPr="0054533C">
                                <w:rPr>
                                  <w:color w:val="404040" w:themeColor="text1" w:themeTint="BF"/>
                                  <w:kern w:val="0"/>
                                  <w:sz w:val="36"/>
                                  <w:szCs w:val="36"/>
                                  <w14:ligatures w14:val="none"/>
                                </w:rPr>
                                <w:t>Module: Management and Organisational Behaviour, code BMIH5004</w:t>
                              </w:r>
                            </w:sdtContent>
                          </w:sdt>
                        </w:p>
                      </w:txbxContent>
                    </v:textbox>
                    <w10:wrap anchorx="page" anchory="page"/>
                  </v:shape>
                </w:pict>
              </mc:Fallback>
            </mc:AlternateContent>
          </w:r>
        </w:p>
        <w:p w14:paraId="650CE41D" w14:textId="695694E4" w:rsidR="00DE49F4" w:rsidRDefault="00DE49F4">
          <w:r>
            <w:br w:type="page"/>
          </w:r>
        </w:p>
      </w:sdtContent>
    </w:sdt>
    <w:p w14:paraId="1D34509F" w14:textId="0EDA0DC3" w:rsidR="00D80129" w:rsidRDefault="00590EC8" w:rsidP="00590EC8">
      <w:pPr>
        <w:pStyle w:val="Heading1"/>
      </w:pPr>
      <w:bookmarkStart w:id="0" w:name="_Toc168083564"/>
      <w:r>
        <w:lastRenderedPageBreak/>
        <w:t>Executive summary</w:t>
      </w:r>
      <w:bookmarkEnd w:id="0"/>
    </w:p>
    <w:p w14:paraId="6B7EA50D" w14:textId="2A77174C" w:rsidR="008C2892" w:rsidRDefault="008C2892" w:rsidP="008C2892">
      <w:r>
        <w:t>The aim of th</w:t>
      </w:r>
      <w:r>
        <w:t>is</w:t>
      </w:r>
      <w:r>
        <w:t xml:space="preserve"> organisational report is to investigate and critically analyse the InterContinental Hotels Group from the perspective of organisational management and organisational behaviour. The objectives of the case study include the assessment of InterContinental Hotels Group’s organisational structure, culture and goals, change management initiatives, and strategic aim.</w:t>
      </w:r>
    </w:p>
    <w:p w14:paraId="5C9C8DDC" w14:textId="77777777" w:rsidR="008C2892" w:rsidRDefault="008C2892" w:rsidP="008C2892">
      <w:r>
        <w:t xml:space="preserve">As a typical large company, InterContinental Hotels Group has a hierarchical structure, with global functional departments and geographical divisions. </w:t>
      </w:r>
    </w:p>
    <w:p w14:paraId="7CFB2283" w14:textId="77777777" w:rsidR="008C2892" w:rsidRDefault="008C2892" w:rsidP="008C2892">
      <w:r>
        <w:t>IHG's organisational culture can be described as customer-focused, performance-driven, fair, inclusive, supportive of employee wellbeing, responsible, stakeholder-engaged, diverse, transparent, collaborative, long-term focused, proactive in risk management, and committed to high standards of corporate governance.</w:t>
      </w:r>
    </w:p>
    <w:p w14:paraId="4967E384" w14:textId="77777777" w:rsidR="008C2892" w:rsidRDefault="008C2892" w:rsidP="008C2892">
      <w:r>
        <w:t>IHG appears to be focusing its strategic direction on driving growth, enhancing cybersecurity, engaging stakeholders, ensuring effective governance, promoting responsible business practices, and maintaining compliance with regulatory requirements. These strategic priorities align with the organisation's long-term success and sustainability goals.</w:t>
      </w:r>
    </w:p>
    <w:p w14:paraId="281F8776" w14:textId="77777777" w:rsidR="008C2892" w:rsidRDefault="008C2892" w:rsidP="008C2892"/>
    <w:p w14:paraId="26C84152" w14:textId="77777777" w:rsidR="008C2892" w:rsidRPr="008C2892" w:rsidRDefault="008C2892" w:rsidP="008C2892"/>
    <w:p w14:paraId="0D7BBFD2" w14:textId="77777777" w:rsidR="00590EC8" w:rsidRDefault="00590EC8" w:rsidP="00590EC8"/>
    <w:p w14:paraId="7CDD7A33" w14:textId="77777777" w:rsidR="00590EC8" w:rsidRDefault="00590EC8" w:rsidP="00590EC8"/>
    <w:p w14:paraId="11DDD961" w14:textId="77777777" w:rsidR="00590EC8" w:rsidRDefault="00590EC8" w:rsidP="00590EC8"/>
    <w:p w14:paraId="354E172E" w14:textId="77777777" w:rsidR="00590EC8" w:rsidRDefault="00590EC8" w:rsidP="00590EC8"/>
    <w:p w14:paraId="09AD6952" w14:textId="77777777" w:rsidR="00590EC8" w:rsidRDefault="00590EC8" w:rsidP="00590EC8"/>
    <w:p w14:paraId="205F7120" w14:textId="77777777" w:rsidR="00590EC8" w:rsidRDefault="00590EC8" w:rsidP="00590EC8"/>
    <w:p w14:paraId="3D544892" w14:textId="77777777" w:rsidR="00590EC8" w:rsidRDefault="00590EC8" w:rsidP="00590EC8"/>
    <w:sdt>
      <w:sdtPr>
        <w:rPr>
          <w:rFonts w:eastAsiaTheme="minorHAnsi" w:cstheme="minorBidi"/>
          <w:color w:val="auto"/>
          <w:sz w:val="24"/>
          <w:szCs w:val="24"/>
        </w:rPr>
        <w:id w:val="139382971"/>
        <w:docPartObj>
          <w:docPartGallery w:val="Table of Contents"/>
          <w:docPartUnique/>
        </w:docPartObj>
      </w:sdtPr>
      <w:sdtEndPr>
        <w:rPr>
          <w:b/>
          <w:bCs/>
          <w:noProof/>
        </w:rPr>
      </w:sdtEndPr>
      <w:sdtContent>
        <w:p w14:paraId="60DB59DA" w14:textId="3A590524" w:rsidR="00590EC8" w:rsidRDefault="00590EC8">
          <w:pPr>
            <w:pStyle w:val="TOCHeading"/>
          </w:pPr>
          <w:r>
            <w:t>Table of Contents</w:t>
          </w:r>
        </w:p>
        <w:p w14:paraId="1C1A5DE5" w14:textId="7B0D8036" w:rsidR="008C2892" w:rsidRDefault="00590EC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8083564" w:history="1">
            <w:r w:rsidR="008C2892" w:rsidRPr="00213DB6">
              <w:rPr>
                <w:rStyle w:val="Hyperlink"/>
                <w:noProof/>
              </w:rPr>
              <w:t>Executive summary</w:t>
            </w:r>
            <w:r w:rsidR="008C2892">
              <w:rPr>
                <w:noProof/>
                <w:webHidden/>
              </w:rPr>
              <w:tab/>
            </w:r>
            <w:r w:rsidR="008C2892">
              <w:rPr>
                <w:noProof/>
                <w:webHidden/>
              </w:rPr>
              <w:fldChar w:fldCharType="begin"/>
            </w:r>
            <w:r w:rsidR="008C2892">
              <w:rPr>
                <w:noProof/>
                <w:webHidden/>
              </w:rPr>
              <w:instrText xml:space="preserve"> PAGEREF _Toc168083564 \h </w:instrText>
            </w:r>
            <w:r w:rsidR="008C2892">
              <w:rPr>
                <w:noProof/>
                <w:webHidden/>
              </w:rPr>
            </w:r>
            <w:r w:rsidR="008C2892">
              <w:rPr>
                <w:noProof/>
                <w:webHidden/>
              </w:rPr>
              <w:fldChar w:fldCharType="separate"/>
            </w:r>
            <w:r w:rsidR="008C2892">
              <w:rPr>
                <w:noProof/>
                <w:webHidden/>
              </w:rPr>
              <w:t>1</w:t>
            </w:r>
            <w:r w:rsidR="008C2892">
              <w:rPr>
                <w:noProof/>
                <w:webHidden/>
              </w:rPr>
              <w:fldChar w:fldCharType="end"/>
            </w:r>
          </w:hyperlink>
        </w:p>
        <w:p w14:paraId="3A90EA24" w14:textId="6003F52D" w:rsidR="008C2892" w:rsidRDefault="008C2892">
          <w:pPr>
            <w:pStyle w:val="TOC1"/>
            <w:tabs>
              <w:tab w:val="right" w:leader="dot" w:pos="9016"/>
            </w:tabs>
            <w:rPr>
              <w:rFonts w:asciiTheme="minorHAnsi" w:eastAsiaTheme="minorEastAsia" w:hAnsiTheme="minorHAnsi"/>
              <w:noProof/>
              <w:lang w:eastAsia="en-GB"/>
            </w:rPr>
          </w:pPr>
          <w:hyperlink w:anchor="_Toc168083565" w:history="1">
            <w:r w:rsidRPr="00213DB6">
              <w:rPr>
                <w:rStyle w:val="Hyperlink"/>
                <w:noProof/>
              </w:rPr>
              <w:t>Introduction</w:t>
            </w:r>
            <w:r>
              <w:rPr>
                <w:noProof/>
                <w:webHidden/>
              </w:rPr>
              <w:tab/>
            </w:r>
            <w:r>
              <w:rPr>
                <w:noProof/>
                <w:webHidden/>
              </w:rPr>
              <w:fldChar w:fldCharType="begin"/>
            </w:r>
            <w:r>
              <w:rPr>
                <w:noProof/>
                <w:webHidden/>
              </w:rPr>
              <w:instrText xml:space="preserve"> PAGEREF _Toc168083565 \h </w:instrText>
            </w:r>
            <w:r>
              <w:rPr>
                <w:noProof/>
                <w:webHidden/>
              </w:rPr>
            </w:r>
            <w:r>
              <w:rPr>
                <w:noProof/>
                <w:webHidden/>
              </w:rPr>
              <w:fldChar w:fldCharType="separate"/>
            </w:r>
            <w:r>
              <w:rPr>
                <w:noProof/>
                <w:webHidden/>
              </w:rPr>
              <w:t>3</w:t>
            </w:r>
            <w:r>
              <w:rPr>
                <w:noProof/>
                <w:webHidden/>
              </w:rPr>
              <w:fldChar w:fldCharType="end"/>
            </w:r>
          </w:hyperlink>
        </w:p>
        <w:p w14:paraId="647339A6" w14:textId="14D4FB5B" w:rsidR="008C2892" w:rsidRDefault="008C2892">
          <w:pPr>
            <w:pStyle w:val="TOC1"/>
            <w:tabs>
              <w:tab w:val="right" w:leader="dot" w:pos="9016"/>
            </w:tabs>
            <w:rPr>
              <w:rFonts w:asciiTheme="minorHAnsi" w:eastAsiaTheme="minorEastAsia" w:hAnsiTheme="minorHAnsi"/>
              <w:noProof/>
              <w:lang w:eastAsia="en-GB"/>
            </w:rPr>
          </w:pPr>
          <w:hyperlink w:anchor="_Toc168083566" w:history="1">
            <w:r w:rsidRPr="00213DB6">
              <w:rPr>
                <w:rStyle w:val="Hyperlink"/>
                <w:noProof/>
              </w:rPr>
              <w:t>Analysis</w:t>
            </w:r>
            <w:r>
              <w:rPr>
                <w:noProof/>
                <w:webHidden/>
              </w:rPr>
              <w:tab/>
            </w:r>
            <w:r>
              <w:rPr>
                <w:noProof/>
                <w:webHidden/>
              </w:rPr>
              <w:fldChar w:fldCharType="begin"/>
            </w:r>
            <w:r>
              <w:rPr>
                <w:noProof/>
                <w:webHidden/>
              </w:rPr>
              <w:instrText xml:space="preserve"> PAGEREF _Toc168083566 \h </w:instrText>
            </w:r>
            <w:r>
              <w:rPr>
                <w:noProof/>
                <w:webHidden/>
              </w:rPr>
            </w:r>
            <w:r>
              <w:rPr>
                <w:noProof/>
                <w:webHidden/>
              </w:rPr>
              <w:fldChar w:fldCharType="separate"/>
            </w:r>
            <w:r>
              <w:rPr>
                <w:noProof/>
                <w:webHidden/>
              </w:rPr>
              <w:t>4</w:t>
            </w:r>
            <w:r>
              <w:rPr>
                <w:noProof/>
                <w:webHidden/>
              </w:rPr>
              <w:fldChar w:fldCharType="end"/>
            </w:r>
          </w:hyperlink>
        </w:p>
        <w:p w14:paraId="33777597" w14:textId="38ABDE32" w:rsidR="008C2892" w:rsidRDefault="008C2892">
          <w:pPr>
            <w:pStyle w:val="TOC1"/>
            <w:tabs>
              <w:tab w:val="right" w:leader="dot" w:pos="9016"/>
            </w:tabs>
            <w:rPr>
              <w:rFonts w:asciiTheme="minorHAnsi" w:eastAsiaTheme="minorEastAsia" w:hAnsiTheme="minorHAnsi"/>
              <w:noProof/>
              <w:lang w:eastAsia="en-GB"/>
            </w:rPr>
          </w:pPr>
          <w:hyperlink w:anchor="_Toc168083567" w:history="1">
            <w:r w:rsidRPr="00213DB6">
              <w:rPr>
                <w:rStyle w:val="Hyperlink"/>
                <w:noProof/>
              </w:rPr>
              <w:t>Conclusion</w:t>
            </w:r>
            <w:r>
              <w:rPr>
                <w:noProof/>
                <w:webHidden/>
              </w:rPr>
              <w:tab/>
            </w:r>
            <w:r>
              <w:rPr>
                <w:noProof/>
                <w:webHidden/>
              </w:rPr>
              <w:fldChar w:fldCharType="begin"/>
            </w:r>
            <w:r>
              <w:rPr>
                <w:noProof/>
                <w:webHidden/>
              </w:rPr>
              <w:instrText xml:space="preserve"> PAGEREF _Toc168083567 \h </w:instrText>
            </w:r>
            <w:r>
              <w:rPr>
                <w:noProof/>
                <w:webHidden/>
              </w:rPr>
            </w:r>
            <w:r>
              <w:rPr>
                <w:noProof/>
                <w:webHidden/>
              </w:rPr>
              <w:fldChar w:fldCharType="separate"/>
            </w:r>
            <w:r>
              <w:rPr>
                <w:noProof/>
                <w:webHidden/>
              </w:rPr>
              <w:t>9</w:t>
            </w:r>
            <w:r>
              <w:rPr>
                <w:noProof/>
                <w:webHidden/>
              </w:rPr>
              <w:fldChar w:fldCharType="end"/>
            </w:r>
          </w:hyperlink>
        </w:p>
        <w:p w14:paraId="08E6E4FF" w14:textId="0EE2765D" w:rsidR="008C2892" w:rsidRDefault="008C2892">
          <w:pPr>
            <w:pStyle w:val="TOC1"/>
            <w:tabs>
              <w:tab w:val="right" w:leader="dot" w:pos="9016"/>
            </w:tabs>
            <w:rPr>
              <w:rFonts w:asciiTheme="minorHAnsi" w:eastAsiaTheme="minorEastAsia" w:hAnsiTheme="minorHAnsi"/>
              <w:noProof/>
              <w:lang w:eastAsia="en-GB"/>
            </w:rPr>
          </w:pPr>
          <w:hyperlink w:anchor="_Toc168083568" w:history="1">
            <w:r w:rsidRPr="00213DB6">
              <w:rPr>
                <w:rStyle w:val="Hyperlink"/>
                <w:noProof/>
              </w:rPr>
              <w:t>References</w:t>
            </w:r>
            <w:r>
              <w:rPr>
                <w:noProof/>
                <w:webHidden/>
              </w:rPr>
              <w:tab/>
            </w:r>
            <w:r>
              <w:rPr>
                <w:noProof/>
                <w:webHidden/>
              </w:rPr>
              <w:fldChar w:fldCharType="begin"/>
            </w:r>
            <w:r>
              <w:rPr>
                <w:noProof/>
                <w:webHidden/>
              </w:rPr>
              <w:instrText xml:space="preserve"> PAGEREF _Toc168083568 \h </w:instrText>
            </w:r>
            <w:r>
              <w:rPr>
                <w:noProof/>
                <w:webHidden/>
              </w:rPr>
            </w:r>
            <w:r>
              <w:rPr>
                <w:noProof/>
                <w:webHidden/>
              </w:rPr>
              <w:fldChar w:fldCharType="separate"/>
            </w:r>
            <w:r>
              <w:rPr>
                <w:noProof/>
                <w:webHidden/>
              </w:rPr>
              <w:t>11</w:t>
            </w:r>
            <w:r>
              <w:rPr>
                <w:noProof/>
                <w:webHidden/>
              </w:rPr>
              <w:fldChar w:fldCharType="end"/>
            </w:r>
          </w:hyperlink>
        </w:p>
        <w:p w14:paraId="5A12E280" w14:textId="1CEBB486" w:rsidR="00590EC8" w:rsidRDefault="00590EC8">
          <w:r>
            <w:rPr>
              <w:b/>
              <w:bCs/>
              <w:noProof/>
            </w:rPr>
            <w:fldChar w:fldCharType="end"/>
          </w:r>
        </w:p>
      </w:sdtContent>
    </w:sdt>
    <w:p w14:paraId="186054F9" w14:textId="52F60FEA" w:rsidR="008C2892" w:rsidRDefault="008C2892">
      <w:pPr>
        <w:pStyle w:val="TableofFigures"/>
        <w:tabs>
          <w:tab w:val="right" w:leader="dot" w:pos="9016"/>
        </w:tabs>
        <w:rPr>
          <w:noProof/>
        </w:rPr>
      </w:pPr>
      <w:r>
        <w:fldChar w:fldCharType="begin"/>
      </w:r>
      <w:r>
        <w:instrText xml:space="preserve"> TOC \h \z \c "Figure" </w:instrText>
      </w:r>
      <w:r>
        <w:fldChar w:fldCharType="separate"/>
      </w:r>
      <w:hyperlink w:anchor="_Toc168083578" w:history="1">
        <w:r w:rsidRPr="00C33325">
          <w:rPr>
            <w:rStyle w:val="Hyperlink"/>
            <w:noProof/>
          </w:rPr>
          <w:t>Figure 1. IHG hotel brands</w:t>
        </w:r>
        <w:r>
          <w:rPr>
            <w:noProof/>
            <w:webHidden/>
          </w:rPr>
          <w:tab/>
        </w:r>
        <w:r>
          <w:rPr>
            <w:noProof/>
            <w:webHidden/>
          </w:rPr>
          <w:fldChar w:fldCharType="begin"/>
        </w:r>
        <w:r>
          <w:rPr>
            <w:noProof/>
            <w:webHidden/>
          </w:rPr>
          <w:instrText xml:space="preserve"> PAGEREF _Toc168083578 \h </w:instrText>
        </w:r>
        <w:r>
          <w:rPr>
            <w:noProof/>
            <w:webHidden/>
          </w:rPr>
        </w:r>
        <w:r>
          <w:rPr>
            <w:noProof/>
            <w:webHidden/>
          </w:rPr>
          <w:fldChar w:fldCharType="separate"/>
        </w:r>
        <w:r>
          <w:rPr>
            <w:noProof/>
            <w:webHidden/>
          </w:rPr>
          <w:t>3</w:t>
        </w:r>
        <w:r>
          <w:rPr>
            <w:noProof/>
            <w:webHidden/>
          </w:rPr>
          <w:fldChar w:fldCharType="end"/>
        </w:r>
      </w:hyperlink>
    </w:p>
    <w:p w14:paraId="0F58D578" w14:textId="42A883BD" w:rsidR="00590EC8" w:rsidRDefault="008C2892" w:rsidP="00590EC8">
      <w:r>
        <w:fldChar w:fldCharType="end"/>
      </w:r>
    </w:p>
    <w:p w14:paraId="2746ACE3" w14:textId="77777777" w:rsidR="00590EC8" w:rsidRDefault="00590EC8" w:rsidP="00590EC8"/>
    <w:p w14:paraId="45FF85DB" w14:textId="77777777" w:rsidR="00590EC8" w:rsidRDefault="00590EC8" w:rsidP="00590EC8"/>
    <w:p w14:paraId="16D1B325" w14:textId="77777777" w:rsidR="00590EC8" w:rsidRDefault="00590EC8" w:rsidP="00590EC8"/>
    <w:p w14:paraId="709185DE" w14:textId="77777777" w:rsidR="00590EC8" w:rsidRDefault="00590EC8" w:rsidP="00590EC8"/>
    <w:p w14:paraId="611A10E5" w14:textId="77777777" w:rsidR="00590EC8" w:rsidRDefault="00590EC8" w:rsidP="00590EC8"/>
    <w:p w14:paraId="69B072DB" w14:textId="77777777" w:rsidR="00590EC8" w:rsidRDefault="00590EC8" w:rsidP="00590EC8"/>
    <w:p w14:paraId="1471A60F" w14:textId="77777777" w:rsidR="00590EC8" w:rsidRDefault="00590EC8" w:rsidP="00590EC8"/>
    <w:p w14:paraId="78AC5ABD" w14:textId="77777777" w:rsidR="00590EC8" w:rsidRDefault="00590EC8" w:rsidP="00590EC8"/>
    <w:p w14:paraId="3C7822C2" w14:textId="77777777" w:rsidR="00590EC8" w:rsidRDefault="00590EC8" w:rsidP="00590EC8"/>
    <w:p w14:paraId="3AB18FA5" w14:textId="77777777" w:rsidR="00590EC8" w:rsidRDefault="00590EC8" w:rsidP="00590EC8"/>
    <w:p w14:paraId="65387F83" w14:textId="77777777" w:rsidR="00590EC8" w:rsidRDefault="00590EC8" w:rsidP="00590EC8"/>
    <w:p w14:paraId="3B613012" w14:textId="77777777" w:rsidR="00590EC8" w:rsidRDefault="00590EC8" w:rsidP="00590EC8"/>
    <w:p w14:paraId="6B1A6B82" w14:textId="77777777" w:rsidR="00590EC8" w:rsidRDefault="00590EC8" w:rsidP="00590EC8"/>
    <w:p w14:paraId="32654843" w14:textId="77777777" w:rsidR="00590EC8" w:rsidRDefault="00590EC8" w:rsidP="00590EC8"/>
    <w:p w14:paraId="67C793EF" w14:textId="77777777" w:rsidR="00590EC8" w:rsidRDefault="00590EC8" w:rsidP="00590EC8"/>
    <w:p w14:paraId="36E765CF" w14:textId="77777777" w:rsidR="00590EC8" w:rsidRDefault="00590EC8" w:rsidP="00590EC8"/>
    <w:p w14:paraId="12424163" w14:textId="5CE5135C" w:rsidR="00590EC8" w:rsidRDefault="00590EC8" w:rsidP="00590EC8">
      <w:pPr>
        <w:pStyle w:val="Heading1"/>
      </w:pPr>
      <w:bookmarkStart w:id="1" w:name="_Toc168083565"/>
      <w:r>
        <w:t>Introduction</w:t>
      </w:r>
      <w:bookmarkEnd w:id="1"/>
    </w:p>
    <w:p w14:paraId="2FE677BF" w14:textId="77777777" w:rsidR="00AD11FD" w:rsidRDefault="00AD11FD" w:rsidP="00AD11FD">
      <w:r>
        <w:t>The aim of the following organisational report is to investigate and critically analyse the case of the InterContinental Hotels Group (IHG) from the perspective of organisational management and organisational behaviour. The objectives of the case study include the assessment of InterContinental Hotels Group’s organisational structure, culture and goals, change management initiatives, and strategic aim.</w:t>
      </w:r>
    </w:p>
    <w:p w14:paraId="58C9925E" w14:textId="6FF36A1F" w:rsidR="00682D6E" w:rsidRDefault="00AD11FD" w:rsidP="00AD11FD">
      <w:r>
        <w:t xml:space="preserve">A company’s structure, culture, and goals are interrelated, and they have a significant impact on each other. The structure of an organisation encompasses the framework that governs the direction and coordination of specific operations, with the aim of attaining the goals of the company (Kenton, 2024). </w:t>
      </w:r>
      <w:r w:rsidR="00682D6E" w:rsidRPr="00682D6E">
        <w:t xml:space="preserve">Organisational culture </w:t>
      </w:r>
      <w:r w:rsidR="00682D6E" w:rsidRPr="00682D6E">
        <w:t>relate to</w:t>
      </w:r>
      <w:r w:rsidR="00682D6E" w:rsidRPr="00682D6E">
        <w:t xml:space="preserve"> the shared values, beliefs, attitudes, structures, and norms that influence and affect employee behaviour within a corporation (Cooke and Rousseau, 1988).</w:t>
      </w:r>
    </w:p>
    <w:p w14:paraId="71AE5E63" w14:textId="7CC97CE7" w:rsidR="00AD11FD" w:rsidRDefault="00AD11FD" w:rsidP="00AD11FD">
      <w:r>
        <w:t>InterContinental Hotels Group Plc (IHG) is a London-based company that offers services related to hospitality. The corporation possesses, oversees, rents, and grants franchises for hotels and resorts (Global Data, 2024). It manages hotels of different levels of quality and luxury, including midscale, upscale, and luxury establishments.</w:t>
      </w:r>
    </w:p>
    <w:p w14:paraId="5146AB82" w14:textId="1A52B31F" w:rsidR="00B528F9" w:rsidRDefault="00B528F9" w:rsidP="00AD11FD">
      <w:r>
        <w:rPr>
          <w:noProof/>
        </w:rPr>
        <w:drawing>
          <wp:inline distT="0" distB="0" distL="0" distR="0" wp14:anchorId="618562CF" wp14:editId="60FD73ED">
            <wp:extent cx="5731510" cy="1395730"/>
            <wp:effectExtent l="0" t="0" r="2540" b="0"/>
            <wp:docPr id="1226850450" name="Picture 3" descr="A group of logos on a whit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850450" name="Picture 3" descr="A group of logos on a white background"/>
                    <pic:cNvPicPr/>
                  </pic:nvPicPr>
                  <pic:blipFill>
                    <a:blip r:embed="rId8">
                      <a:extLst>
                        <a:ext uri="{28A0092B-C50C-407E-A947-70E740481C1C}">
                          <a14:useLocalDpi xmlns:a14="http://schemas.microsoft.com/office/drawing/2010/main" val="0"/>
                        </a:ext>
                      </a:extLst>
                    </a:blip>
                    <a:stretch>
                      <a:fillRect/>
                    </a:stretch>
                  </pic:blipFill>
                  <pic:spPr>
                    <a:xfrm>
                      <a:off x="0" y="0"/>
                      <a:ext cx="5731510" cy="1395730"/>
                    </a:xfrm>
                    <a:prstGeom prst="rect">
                      <a:avLst/>
                    </a:prstGeom>
                  </pic:spPr>
                </pic:pic>
              </a:graphicData>
            </a:graphic>
          </wp:inline>
        </w:drawing>
      </w:r>
    </w:p>
    <w:p w14:paraId="3B152CB9" w14:textId="6B2394D5" w:rsidR="00B528F9" w:rsidRDefault="00B528F9" w:rsidP="00AD11FD">
      <w:pPr>
        <w:pStyle w:val="Caption"/>
        <w:jc w:val="center"/>
      </w:pPr>
      <w:bookmarkStart w:id="2" w:name="_Toc168083578"/>
      <w:r>
        <w:t xml:space="preserve">Figure </w:t>
      </w:r>
      <w:r>
        <w:fldChar w:fldCharType="begin"/>
      </w:r>
      <w:r>
        <w:instrText xml:space="preserve"> SEQ Figure \* ARABIC </w:instrText>
      </w:r>
      <w:r>
        <w:fldChar w:fldCharType="separate"/>
      </w:r>
      <w:r>
        <w:rPr>
          <w:noProof/>
        </w:rPr>
        <w:t>1</w:t>
      </w:r>
      <w:r>
        <w:fldChar w:fldCharType="end"/>
      </w:r>
      <w:r>
        <w:t>. IHG hotel brands</w:t>
      </w:r>
      <w:bookmarkEnd w:id="2"/>
    </w:p>
    <w:p w14:paraId="747599B4" w14:textId="52822961" w:rsidR="00B528F9" w:rsidRPr="00B528F9" w:rsidRDefault="00B528F9" w:rsidP="00AD11FD">
      <w:pPr>
        <w:jc w:val="center"/>
      </w:pPr>
      <w:r>
        <w:t xml:space="preserve">Source: </w:t>
      </w:r>
      <w:r w:rsidRPr="00B528F9">
        <w:t>InterContinental Hotels Group</w:t>
      </w:r>
      <w:r>
        <w:t>,</w:t>
      </w:r>
      <w:r w:rsidRPr="00B528F9">
        <w:t xml:space="preserve"> 2024</w:t>
      </w:r>
      <w:r w:rsidR="00105534">
        <w:t>a</w:t>
      </w:r>
    </w:p>
    <w:p w14:paraId="712F970D" w14:textId="4C3FC7EA" w:rsidR="00AD11FD" w:rsidRDefault="00AD11FD" w:rsidP="00AD11FD">
      <w:r>
        <w:t xml:space="preserve">Under 19 brand names, these hotels offer lodging, dining </w:t>
      </w:r>
      <w:r w:rsidR="00682D6E">
        <w:t>selections</w:t>
      </w:r>
      <w:r>
        <w:t xml:space="preserve">, lounges, poolside bars, business </w:t>
      </w:r>
      <w:r w:rsidR="00682D6E">
        <w:t>amenities</w:t>
      </w:r>
      <w:r>
        <w:t xml:space="preserve">, wellness </w:t>
      </w:r>
      <w:r w:rsidR="00682D6E">
        <w:t>services</w:t>
      </w:r>
      <w:r>
        <w:t xml:space="preserve">, and </w:t>
      </w:r>
      <w:r w:rsidR="00682D6E">
        <w:t>areas</w:t>
      </w:r>
      <w:r>
        <w:t xml:space="preserve"> for </w:t>
      </w:r>
      <w:r w:rsidR="00682D6E">
        <w:t>conventions</w:t>
      </w:r>
      <w:r>
        <w:t xml:space="preserve"> and events. Moreover, the </w:t>
      </w:r>
      <w:r>
        <w:lastRenderedPageBreak/>
        <w:t>corporation</w:t>
      </w:r>
      <w:r w:rsidR="00682D6E">
        <w:t xml:space="preserve"> activate</w:t>
      </w:r>
      <w:r>
        <w:t>s in the Americas, Europe, the Middle East, Asia, and Africa (Global Data, 2024).</w:t>
      </w:r>
    </w:p>
    <w:p w14:paraId="2DAC272C" w14:textId="49C2AFBB" w:rsidR="00590EC8" w:rsidRDefault="00AD11FD" w:rsidP="00AD11FD">
      <w:r>
        <w:t>Currently, the hotel chain is a prominent global hotel enterprise, employing over 375,000 people in more than 100 countries (InterContinental Hotels Group, 2024). It operates a total of 6,368 hotels, encompassing 946,382 rooms (InterContinental Hotels Group, 2024a).</w:t>
      </w:r>
    </w:p>
    <w:p w14:paraId="3625BE7B" w14:textId="77777777" w:rsidR="00AD11FD" w:rsidRDefault="00AD11FD" w:rsidP="00AD11FD"/>
    <w:p w14:paraId="128DACE4" w14:textId="4002A522" w:rsidR="00590EC8" w:rsidRPr="00590EC8" w:rsidRDefault="00C00799" w:rsidP="00590EC8">
      <w:pPr>
        <w:pStyle w:val="Heading1"/>
      </w:pPr>
      <w:bookmarkStart w:id="3" w:name="_Toc168083566"/>
      <w:r>
        <w:t>Analysis</w:t>
      </w:r>
      <w:bookmarkEnd w:id="3"/>
    </w:p>
    <w:p w14:paraId="6118E7A4" w14:textId="77777777" w:rsidR="00AD11FD" w:rsidRDefault="00AD11FD" w:rsidP="00AD11FD">
      <w:r>
        <w:t>The organisational structure is determined by factors such as the company's size, technological sophistication, internal and external environment, and distinctive aims and vision (Ranson, Hinings, and Greenwood, 1980). As stated in the introduction, IHG is a multinational hotel chain, which implies that due to their large scale, the organisational structure is more sophisticated.</w:t>
      </w:r>
    </w:p>
    <w:p w14:paraId="137B6B9A" w14:textId="548BACF2" w:rsidR="00AD11FD" w:rsidRDefault="00682D6E" w:rsidP="00AD11FD">
      <w:r w:rsidRPr="00682D6E">
        <w:t xml:space="preserve">The IHG's hotel development and operations are organised regionally, as stated in their latest annual report. They include divisions in the Americas, EMEA, and Greater China (InterContinental Hotels Group, 2024b). </w:t>
      </w:r>
      <w:r>
        <w:t>Additionally, t</w:t>
      </w:r>
      <w:r w:rsidR="00AD11FD">
        <w:t xml:space="preserve">hese divisions are backed by worldwide departments in </w:t>
      </w:r>
      <w:r>
        <w:t>m</w:t>
      </w:r>
      <w:r w:rsidR="00AD11FD">
        <w:t xml:space="preserve">arketing, </w:t>
      </w:r>
      <w:r>
        <w:t>sales, IT, f</w:t>
      </w:r>
      <w:r w:rsidR="00AD11FD">
        <w:t>inance, H</w:t>
      </w:r>
      <w:r>
        <w:t>R management</w:t>
      </w:r>
      <w:r w:rsidR="00AD11FD">
        <w:t xml:space="preserve">, </w:t>
      </w:r>
      <w:r>
        <w:t>c</w:t>
      </w:r>
      <w:r w:rsidR="00AD11FD">
        <w:t xml:space="preserve">orporate </w:t>
      </w:r>
      <w:r>
        <w:t>relationships</w:t>
      </w:r>
      <w:r w:rsidR="00AD11FD">
        <w:t xml:space="preserve">, and </w:t>
      </w:r>
      <w:r>
        <w:t>b</w:t>
      </w:r>
      <w:r w:rsidR="00AD11FD">
        <w:t xml:space="preserve">usiness </w:t>
      </w:r>
      <w:r>
        <w:t>r</w:t>
      </w:r>
      <w:r w:rsidR="00AD11FD">
        <w:t xml:space="preserve">eputation and </w:t>
      </w:r>
      <w:r>
        <w:t>r</w:t>
      </w:r>
      <w:r w:rsidR="00AD11FD">
        <w:t>esponsibility. Moreover, the administration of regional and global teams is structured around leadership teams, which have the responsibility of implementing strategic initiatives in a</w:t>
      </w:r>
      <w:r>
        <w:t>n</w:t>
      </w:r>
      <w:r w:rsidR="00AD11FD">
        <w:t xml:space="preserve"> </w:t>
      </w:r>
      <w:r>
        <w:t>approach</w:t>
      </w:r>
      <w:r w:rsidR="00AD11FD">
        <w:t xml:space="preserve"> that is consistent with the corporation's culture and principles. Moreover, hotel chain expansion and capital spending decisions are subject to approval by the appropriate committees (InterContinental Hotels Group, 2024b). Hence, it can be stated that the organisational structure has been shaped by the strategic approach to business development and the specifics of the business model. Considering the leading position of the </w:t>
      </w:r>
      <w:r>
        <w:t>firm</w:t>
      </w:r>
      <w:r w:rsidR="00AD11FD">
        <w:t xml:space="preserve"> in the global hospitality market, it can also be stated that InterContinental Hotels Group has devised and implemented an effective organisational structure that produces positive </w:t>
      </w:r>
      <w:r w:rsidR="00AD11FD">
        <w:lastRenderedPageBreak/>
        <w:t>performance outcomes at the global level. The group’s organisational structure provides a clearly defined chain of command, determining levels of authority and responsibility. Moreover, as a typical large company, InterContinental Hotels Group has a hierarchical structure, with global functional departments and geographical divisions. The corporate legal structure of the hotel chain consists of around 370 subsidiaries globally (InterContinental Hotels Group, 2024b). These businesses establish the necessary legal structure to enable the group to enter into and fulfil specific contracts and obligations (InterContinental Hotels Group, 2024b).</w:t>
      </w:r>
    </w:p>
    <w:p w14:paraId="00DBB171" w14:textId="77777777" w:rsidR="00AD11FD" w:rsidRDefault="00AD11FD" w:rsidP="00AD11FD">
      <w:r>
        <w:t xml:space="preserve">IHG's organisational culture can be described as customer-focused, performance-driven, fair, inclusive, supportive of employee wellbeing, responsible, stakeholder-engaged, diverse, transparent, collaborative, long-term focused, proactive in risk management, and committed to high standards of corporate governance (InterContinental Hotels Group, 2024c). The culture values open communication, constructive debate, diversity, ethical behaviour, adaptability to industry trends and emerging technologies, and consideration of ESG factors. IHG's culture promotes employee engagement, values employee feedback, and aims to create a positive experience for both guests and stakeholders (InterContinental Hotels Group, 2024d). The organisation also emphasises responsible business practices, sustainability, and stakeholder engagement. IHG values diversity and inclusion, with a focus on gender balance and the representation of underrepresented groups in leadership positions. The culture encourages strategic thinking, decision-making based on a clear purpose and values, and a commitment to long-term success and sustainable growth. IHG's culture also prioritises employee wellbeing, with initiatives in place to support employee health, lifestyle, and workplace (InterContinental Hotels Group, 2024d). The organisation maintains a strong focus on governance, transparency, and accountability, with a commitment to ethical practices and compliance with regulatory requirements (InterContinental Hotels Group, 2024c). Overall, IHG's organisational culture </w:t>
      </w:r>
      <w:r>
        <w:lastRenderedPageBreak/>
        <w:t>reflects a commitment to creating a positive and inclusive work environment, driving business growth, and making a positive impact on society and the environment. ​</w:t>
      </w:r>
    </w:p>
    <w:p w14:paraId="0732DBE6" w14:textId="3F2A3B15" w:rsidR="00AD11FD" w:rsidRDefault="00AD11FD" w:rsidP="00AD11FD">
      <w:r>
        <w:t xml:space="preserve">The organisation's main objective is to develop the excellent guest experiences and owner returns that are necessary for the expansion of </w:t>
      </w:r>
      <w:r w:rsidR="00682D6E">
        <w:t xml:space="preserve">the </w:t>
      </w:r>
      <w:r>
        <w:t>brands in the most valued markets and segments of the hospitality sector (InterContinental Hotels Group, 2024e). The organisational culture is the element that serves as the basis for the success of the group. This culture is responsible for retaining and attracting the most talented individuals, as well as welcoming possibilities to positively influence both people and the planet. Moreover, the hotel’s culture can be explained as a combination of market culture and hierarchy culture (Cameron and Sine, 1999), considering that it focuses on achieving performance targets and continuous growth.</w:t>
      </w:r>
    </w:p>
    <w:p w14:paraId="452AC199" w14:textId="0D779065" w:rsidR="00AD11FD" w:rsidRDefault="00AD11FD" w:rsidP="00AD11FD">
      <w:r>
        <w:t xml:space="preserve">InterContinental Hotels Group updated their objectives, strategic pillars, and growth practices in 2023 to boost future development. These improvements build on their recent efforts to restructure the business, which have extended the portfolio from </w:t>
      </w:r>
      <w:r w:rsidR="00682D6E">
        <w:t>eleven</w:t>
      </w:r>
      <w:r>
        <w:t xml:space="preserve"> to </w:t>
      </w:r>
      <w:r w:rsidR="00682D6E">
        <w:t>nineteen</w:t>
      </w:r>
      <w:r>
        <w:t xml:space="preserve"> brands and </w:t>
      </w:r>
      <w:r w:rsidR="00682D6E">
        <w:t>fortified</w:t>
      </w:r>
      <w:r>
        <w:t xml:space="preserve"> the performance of the business (InterContinental Hotels Group, 2024e). This </w:t>
      </w:r>
      <w:r w:rsidR="00682D6E">
        <w:t>contains</w:t>
      </w:r>
      <w:r>
        <w:t xml:space="preserve"> a revamped loyalty programme, new alliances, and an improved digital and mobile </w:t>
      </w:r>
      <w:r w:rsidR="00682D6E">
        <w:t>strategy</w:t>
      </w:r>
      <w:r>
        <w:t xml:space="preserve">, as well as the </w:t>
      </w:r>
      <w:r w:rsidR="00682D6E">
        <w:t>programme ‘</w:t>
      </w:r>
      <w:r>
        <w:t>Journey to Tomorrow</w:t>
      </w:r>
      <w:r w:rsidR="00682D6E">
        <w:t>’</w:t>
      </w:r>
      <w:r>
        <w:t xml:space="preserve"> to invest in employees, improve communities’ wellbeing, and build more sustainable properties (InterContinental Hotels Group, 2024e).</w:t>
      </w:r>
    </w:p>
    <w:p w14:paraId="1451F505" w14:textId="2E16618D" w:rsidR="00AD11FD" w:rsidRDefault="00AD11FD" w:rsidP="00AD11FD">
      <w:r>
        <w:t xml:space="preserve">Their mission of </w:t>
      </w:r>
      <w:r w:rsidR="00682D6E">
        <w:t>‘</w:t>
      </w:r>
      <w:r>
        <w:t>True Hospitality for Good</w:t>
      </w:r>
      <w:r w:rsidR="00682D6E">
        <w:t>’</w:t>
      </w:r>
      <w:r>
        <w:t xml:space="preserve"> </w:t>
      </w:r>
      <w:r w:rsidR="00682D6E">
        <w:t>stays</w:t>
      </w:r>
      <w:r>
        <w:t xml:space="preserve"> at the </w:t>
      </w:r>
      <w:r w:rsidR="00682D6E">
        <w:t>centre</w:t>
      </w:r>
      <w:r>
        <w:t xml:space="preserve"> of their brands and culture, while reducing the organisational aim to focus on what accelerates growth</w:t>
      </w:r>
      <w:r w:rsidR="00682D6E">
        <w:t>, namely</w:t>
      </w:r>
      <w:r>
        <w:t xml:space="preserve"> being the brand of choice for </w:t>
      </w:r>
      <w:r w:rsidR="00682D6E">
        <w:t>customers</w:t>
      </w:r>
      <w:r>
        <w:t xml:space="preserve"> and owners (InterContinental Hotels Group, 2024e). Moreover, they refined the strategic pillars and adopted new habits to improve their mentality for </w:t>
      </w:r>
      <w:r w:rsidR="00682D6E">
        <w:t>accomplishment</w:t>
      </w:r>
      <w:r>
        <w:t xml:space="preserve"> and accelerate growth.</w:t>
      </w:r>
    </w:p>
    <w:p w14:paraId="2731884D" w14:textId="455BF863" w:rsidR="00AD11FD" w:rsidRDefault="00AD11FD" w:rsidP="00AD11FD">
      <w:r>
        <w:t xml:space="preserve">The process of managing a </w:t>
      </w:r>
      <w:r w:rsidR="00684BBD">
        <w:t>firm</w:t>
      </w:r>
      <w:r>
        <w:t xml:space="preserve">'s resources </w:t>
      </w:r>
      <w:r w:rsidR="006F1B2E">
        <w:t>aiming</w:t>
      </w:r>
      <w:r>
        <w:t xml:space="preserve"> to accomplish its </w:t>
      </w:r>
      <w:r w:rsidR="006F1B2E">
        <w:t>ambitions</w:t>
      </w:r>
      <w:r>
        <w:t xml:space="preserve"> and objectives is an essential component of strategic management (Teece, 2009).</w:t>
      </w:r>
    </w:p>
    <w:p w14:paraId="3246B064" w14:textId="77777777" w:rsidR="00AD11FD" w:rsidRDefault="00AD11FD" w:rsidP="00AD11FD">
      <w:r>
        <w:lastRenderedPageBreak/>
        <w:t>Strategic decisions refer to the key organisational decisions that determine the long-term direction and scope of an organisation's activities (Bowman and Faulkner, 1997). These decisions are aimed at gaining a competitive advantage, addressing changes in the business environment, and leveraging the organisation's resources and capabilities. Strategic decisions also consider the values and expectations of stakeholders and their impact on operational decisions. ​</w:t>
      </w:r>
    </w:p>
    <w:p w14:paraId="5CE9AB91" w14:textId="0B856C0C" w:rsidR="00AD11FD" w:rsidRDefault="00AD11FD" w:rsidP="00AD11FD">
      <w:r>
        <w:t xml:space="preserve">On the other hand, strategic direction </w:t>
      </w:r>
      <w:r w:rsidR="006F1B2E">
        <w:t>implies</w:t>
      </w:r>
      <w:r>
        <w:t xml:space="preserve"> </w:t>
      </w:r>
      <w:r w:rsidR="006F1B2E">
        <w:t>a</w:t>
      </w:r>
      <w:r>
        <w:t xml:space="preserve"> clear path or course of action that </w:t>
      </w:r>
      <w:r w:rsidR="006F1B2E">
        <w:t>a business</w:t>
      </w:r>
      <w:r>
        <w:t xml:space="preserve"> takes to </w:t>
      </w:r>
      <w:r w:rsidR="006F1B2E">
        <w:t>fulfil</w:t>
      </w:r>
      <w:r>
        <w:t xml:space="preserve"> its </w:t>
      </w:r>
      <w:r w:rsidR="006F1B2E">
        <w:t>aims</w:t>
      </w:r>
      <w:r>
        <w:t xml:space="preserve"> (Adair, 2010). It provides a sense of purpose and guides the organisation in making decisions and allocating resources. Strategic direction can be defined through various elements such as mission, culture, vision, and values. These elements help align the organisation's strategy with its objectives and ensure consistency over time. ​</w:t>
      </w:r>
    </w:p>
    <w:p w14:paraId="0B67BF35" w14:textId="77777777" w:rsidR="00AD11FD" w:rsidRDefault="00AD11FD" w:rsidP="00AD11FD">
      <w:r>
        <w:t>In summary, strategic decisions are the specific choices made by an organisation to shape its future, while strategic direction is the overall path or orientation that guides these decisions and helps the organisation achieve its goals. ​</w:t>
      </w:r>
    </w:p>
    <w:p w14:paraId="7DF31DAA" w14:textId="261F0C74" w:rsidR="004B2D87" w:rsidRDefault="00AD11FD" w:rsidP="00AD11FD">
      <w:r>
        <w:t>IHG's strategic direction is focused on accelerating growth, enhancing cybersecurity, increasing stakeholder engagement, effective board succession planning, responsible business practices, and governance and compliance (InterContinental Hotels Group, 2024c).</w:t>
      </w:r>
    </w:p>
    <w:p w14:paraId="3A3ADB9D" w14:textId="77777777" w:rsidR="00AD11FD" w:rsidRDefault="00AD11FD" w:rsidP="00AD11FD"/>
    <w:p w14:paraId="2C484461" w14:textId="77777777" w:rsidR="00C00799" w:rsidRPr="00C00799" w:rsidRDefault="00C00799" w:rsidP="00C00799">
      <w:pPr>
        <w:rPr>
          <w:b/>
          <w:bCs/>
        </w:rPr>
      </w:pPr>
      <w:r w:rsidRPr="00C00799">
        <w:rPr>
          <w:b/>
          <w:bCs/>
        </w:rPr>
        <w:t>Accelerating Growth</w:t>
      </w:r>
    </w:p>
    <w:p w14:paraId="328154D7" w14:textId="587BE6C9" w:rsidR="00C00799" w:rsidRDefault="006F1B2E" w:rsidP="00C00799">
      <w:r w:rsidRPr="006F1B2E">
        <w:t>The group's ambition to concentrate on accelerating development has been refined by the Board</w:t>
      </w:r>
      <w:r w:rsidR="00AD11FD" w:rsidRPr="00AD11FD">
        <w:t xml:space="preserve"> (InterContinental Hotels Group, 2024c). This indicates a strategic priority to expand the business and increase market share. The approval of the launch of the Garner brand and the $750 million share buyback programme further support this growth-oriented strategic direction (InterContinental Hotels Group, 2024c). ​</w:t>
      </w:r>
    </w:p>
    <w:p w14:paraId="26A081A4" w14:textId="77777777" w:rsidR="00C00799" w:rsidRDefault="00C00799" w:rsidP="00C00799"/>
    <w:p w14:paraId="08E2640C" w14:textId="77777777" w:rsidR="004B2D87" w:rsidRPr="004B2D87" w:rsidRDefault="00C00799" w:rsidP="00C00799">
      <w:pPr>
        <w:rPr>
          <w:b/>
          <w:bCs/>
        </w:rPr>
      </w:pPr>
      <w:r w:rsidRPr="004B2D87">
        <w:rPr>
          <w:b/>
          <w:bCs/>
        </w:rPr>
        <w:lastRenderedPageBreak/>
        <w:t>Enhancing Cybersecurity</w:t>
      </w:r>
    </w:p>
    <w:p w14:paraId="32DC5890" w14:textId="4DA9B2ED" w:rsidR="004B2D87" w:rsidRDefault="00AD11FD" w:rsidP="00C00799">
      <w:r w:rsidRPr="00AD11FD">
        <w:t>The Board recognises the importance of cybersecurity and has made it a significant area of focus (InterContinental Hotels Group, 2024c). The discussions with external specialists and monitoring of the group's approach to cyber risk demonstrate a proactive approach to mitigating emerging risks and ensuring the security of the organisation's systems and data. ​</w:t>
      </w:r>
    </w:p>
    <w:p w14:paraId="79C0DD2A" w14:textId="77777777" w:rsidR="00AD11FD" w:rsidRDefault="00AD11FD" w:rsidP="00C00799"/>
    <w:p w14:paraId="0ACC6F20" w14:textId="77777777" w:rsidR="004B2D87" w:rsidRPr="004B2D87" w:rsidRDefault="00C00799" w:rsidP="00C00799">
      <w:pPr>
        <w:rPr>
          <w:b/>
          <w:bCs/>
        </w:rPr>
      </w:pPr>
      <w:r w:rsidRPr="004B2D87">
        <w:rPr>
          <w:b/>
          <w:bCs/>
        </w:rPr>
        <w:t>Stakeholder Engagement</w:t>
      </w:r>
    </w:p>
    <w:p w14:paraId="28C4DA03" w14:textId="20418ED9" w:rsidR="00C00799" w:rsidRDefault="00C00799" w:rsidP="00C00799">
      <w:r>
        <w:t>The Board emphasi</w:t>
      </w:r>
      <w:r w:rsidR="00AD11FD">
        <w:t>s</w:t>
      </w:r>
      <w:r>
        <w:t>es extensive engagement and interaction with stakeholders, including shareholders, owners, and employees</w:t>
      </w:r>
      <w:r w:rsidR="004B2D87">
        <w:t xml:space="preserve"> </w:t>
      </w:r>
      <w:r w:rsidR="004B2D87">
        <w:t>(</w:t>
      </w:r>
      <w:r w:rsidR="004B2D87" w:rsidRPr="00B528F9">
        <w:t>InterContinental Hotels Group</w:t>
      </w:r>
      <w:r w:rsidR="004B2D87">
        <w:t xml:space="preserve">, </w:t>
      </w:r>
      <w:r w:rsidR="004B2D87" w:rsidRPr="00B528F9">
        <w:t>2024</w:t>
      </w:r>
      <w:r w:rsidR="004B2D87">
        <w:t>c).</w:t>
      </w:r>
      <w:r w:rsidR="004B2D87">
        <w:t xml:space="preserve"> </w:t>
      </w:r>
      <w:r>
        <w:t xml:space="preserve">The consultation with shareholders on remuneration and the engagement with the CEO of the IHG Owners Association </w:t>
      </w:r>
      <w:r w:rsidR="00CE368F">
        <w:t>(</w:t>
      </w:r>
      <w:r w:rsidR="00CE368F" w:rsidRPr="00B528F9">
        <w:t>InterContinental Hotels Group</w:t>
      </w:r>
      <w:r w:rsidR="00CE368F">
        <w:t xml:space="preserve">, </w:t>
      </w:r>
      <w:r w:rsidR="00CE368F" w:rsidRPr="00B528F9">
        <w:t>2024</w:t>
      </w:r>
      <w:r w:rsidR="00CE368F">
        <w:t xml:space="preserve">c) </w:t>
      </w:r>
      <w:r>
        <w:t>highlight the importance placed on understanding and addressing the perspectives and concerns of key stakeholders. ​</w:t>
      </w:r>
    </w:p>
    <w:p w14:paraId="538EDE1F" w14:textId="77777777" w:rsidR="004B2D87" w:rsidRDefault="004B2D87" w:rsidP="00C00799"/>
    <w:p w14:paraId="59A42625" w14:textId="77777777" w:rsidR="004B2D87" w:rsidRPr="004B2D87" w:rsidRDefault="00C00799" w:rsidP="00C00799">
      <w:pPr>
        <w:rPr>
          <w:b/>
          <w:bCs/>
        </w:rPr>
      </w:pPr>
      <w:r w:rsidRPr="004B2D87">
        <w:rPr>
          <w:b/>
          <w:bCs/>
        </w:rPr>
        <w:t>Board Succession Planning</w:t>
      </w:r>
    </w:p>
    <w:p w14:paraId="3F1BF658" w14:textId="4B3C5DC0" w:rsidR="004B2D87" w:rsidRDefault="00CE368F" w:rsidP="00C00799">
      <w:r w:rsidRPr="00CE368F">
        <w:t>The successful implementation of board succession planning is discussed, encompassing adjustments at both the executive and non-executive levels (InterContinental Hotels Group, 2024c).</w:t>
      </w:r>
      <w:r>
        <w:t xml:space="preserve"> </w:t>
      </w:r>
      <w:r w:rsidR="00AD11FD" w:rsidRPr="00AD11FD">
        <w:t>This indicates a strategic focus on ensuring a diverse and capable board that can effectively lead the organisation and drive its strategic objectives. ​</w:t>
      </w:r>
    </w:p>
    <w:p w14:paraId="279D0866" w14:textId="77777777" w:rsidR="00AD11FD" w:rsidRDefault="00AD11FD" w:rsidP="00C00799"/>
    <w:p w14:paraId="1B98F5A8" w14:textId="77777777" w:rsidR="004B2D87" w:rsidRPr="004B2D87" w:rsidRDefault="00C00799" w:rsidP="00C00799">
      <w:pPr>
        <w:rPr>
          <w:b/>
          <w:bCs/>
        </w:rPr>
      </w:pPr>
      <w:r w:rsidRPr="004B2D87">
        <w:rPr>
          <w:b/>
          <w:bCs/>
        </w:rPr>
        <w:t>Responsible Business Practices</w:t>
      </w:r>
    </w:p>
    <w:p w14:paraId="0458D560" w14:textId="31F03A3D" w:rsidR="00AD11FD" w:rsidRDefault="00AD11FD" w:rsidP="00C00799">
      <w:r w:rsidRPr="00AD11FD">
        <w:t xml:space="preserve">IHG's strategic direction includes a commitment to responsible business practices and sustainability. </w:t>
      </w:r>
      <w:r w:rsidR="00BD7EB2" w:rsidRPr="00BD7EB2">
        <w:t>The Responsible Business Committee concentrates on the advancement of responsible business objectives</w:t>
      </w:r>
      <w:r w:rsidRPr="00AD11FD">
        <w:t>, and IHG exceeds targets for gender diversity and ethnic diversity on the Board. This demonstrates a strategic emphasis on ethical and sustainable business practices.</w:t>
      </w:r>
    </w:p>
    <w:p w14:paraId="0B69CECF" w14:textId="623E1FDA" w:rsidR="004B2D87" w:rsidRPr="004B2D87" w:rsidRDefault="00C00799" w:rsidP="00C00799">
      <w:pPr>
        <w:rPr>
          <w:b/>
          <w:bCs/>
        </w:rPr>
      </w:pPr>
      <w:r w:rsidRPr="004B2D87">
        <w:rPr>
          <w:b/>
          <w:bCs/>
        </w:rPr>
        <w:lastRenderedPageBreak/>
        <w:t xml:space="preserve">Governance and Compliance </w:t>
      </w:r>
    </w:p>
    <w:p w14:paraId="2D29C2CC" w14:textId="1F573B10" w:rsidR="00AD11FD" w:rsidRDefault="00BD7EB2" w:rsidP="00AD11FD">
      <w:r w:rsidRPr="00BD7EB2">
        <w:t>IHG is a dual-listed company that prioritises adherence to corporate governance codes and regulations (InterContinental Hotels Group, 2024c).</w:t>
      </w:r>
      <w:r>
        <w:t xml:space="preserve"> </w:t>
      </w:r>
      <w:r w:rsidR="00AD11FD">
        <w:t>The Board's statement of compliance with the UK Corporate Governance Code and the disclosure of differences in governance practices between the UK and US reflect a commitment to maintaining high standards of governance and transparency.</w:t>
      </w:r>
    </w:p>
    <w:p w14:paraId="49A39D1E" w14:textId="6FB4DCCC" w:rsidR="00091F86" w:rsidRDefault="00AD11FD" w:rsidP="00AD11FD">
      <w:r>
        <w:t>IHG appears to be focusing its strategic direction on driving growth, enhancing cybersecurity, engaging stakeholders, ensuring effective governance, promoting responsible business practices, and maintaining compliance with regulatory requirements. These strategic priorities align with the organisation's long-term success and sustainability goals.</w:t>
      </w:r>
    </w:p>
    <w:p w14:paraId="652D017A" w14:textId="77777777" w:rsidR="00AD11FD" w:rsidRDefault="00AD11FD" w:rsidP="00AD11FD"/>
    <w:p w14:paraId="2D57B5CC" w14:textId="5B3677BB" w:rsidR="00590EC8" w:rsidRDefault="00590EC8" w:rsidP="00590EC8">
      <w:pPr>
        <w:pStyle w:val="Heading1"/>
      </w:pPr>
      <w:bookmarkStart w:id="4" w:name="_Toc168083567"/>
      <w:r>
        <w:t>Conclusion</w:t>
      </w:r>
      <w:bookmarkEnd w:id="4"/>
    </w:p>
    <w:p w14:paraId="34632D21" w14:textId="69B292D0" w:rsidR="008C2892" w:rsidRDefault="008C2892" w:rsidP="008C2892">
      <w:r>
        <w:t>The organisational report investigated and critically analysed the InterContinental Hotels Group from the perspective of organisational management and organisational behaviour. The analysis focused on InterContinental Hotels Group’s organisational structure, culture and goals, change management initiatives, and strategic aim.</w:t>
      </w:r>
    </w:p>
    <w:p w14:paraId="5BC724E7" w14:textId="77777777" w:rsidR="008C2892" w:rsidRDefault="008C2892" w:rsidP="008C2892">
      <w:r>
        <w:t>The strategic approach to business development and the specifics of the business model have shaped the organisational structure. InterContinental Hotels Group is a typical large company with a hierarchical structure, with global functional departments and geographical divisions.</w:t>
      </w:r>
    </w:p>
    <w:p w14:paraId="42C97EC9" w14:textId="77D36537" w:rsidR="00AD11FD" w:rsidRDefault="008C2892" w:rsidP="008C2892">
      <w:r>
        <w:t>IHG's organisational culture can be described as customer-focused, performance-driven, fair, inclusive, supportive of employee wellbeing, responsible, stakeholder-engaged, diverse, transparent, collaborative, long-term focused, proactive in risk management, and committed to high standards of corporate governance.</w:t>
      </w:r>
      <w:r>
        <w:t xml:space="preserve"> </w:t>
      </w:r>
      <w:r w:rsidR="00AD11FD">
        <w:t xml:space="preserve">IHG appears to be focusing its strategic direction on driving growth, enhancing cybersecurity, engaging stakeholders, ensuring effective governance, promoting responsible business practices, and maintaining compliance with </w:t>
      </w:r>
      <w:r w:rsidR="00AD11FD">
        <w:lastRenderedPageBreak/>
        <w:t>regulatory requirements. These strategic priorities align with the organisation's long-term success and sustainability goals</w:t>
      </w:r>
      <w:r w:rsidR="00AD11FD">
        <w:t>.</w:t>
      </w:r>
    </w:p>
    <w:p w14:paraId="502F2545" w14:textId="77777777" w:rsidR="00590EC8" w:rsidRDefault="00590EC8" w:rsidP="00590EC8"/>
    <w:p w14:paraId="3BB5A3EE" w14:textId="77777777" w:rsidR="00590EC8" w:rsidRDefault="00590EC8" w:rsidP="00590EC8"/>
    <w:p w14:paraId="4211DF8E" w14:textId="77777777" w:rsidR="00AD11FD" w:rsidRDefault="00AD11FD" w:rsidP="00590EC8"/>
    <w:p w14:paraId="7B6D2BBF" w14:textId="77777777" w:rsidR="00AD11FD" w:rsidRDefault="00AD11FD" w:rsidP="00590EC8"/>
    <w:p w14:paraId="3DE1B223" w14:textId="77777777" w:rsidR="00AD11FD" w:rsidRDefault="00AD11FD" w:rsidP="00590EC8"/>
    <w:p w14:paraId="23BB8095" w14:textId="77777777" w:rsidR="00AD11FD" w:rsidRDefault="00AD11FD" w:rsidP="00590EC8"/>
    <w:p w14:paraId="25ECB37E" w14:textId="77777777" w:rsidR="00AD11FD" w:rsidRDefault="00AD11FD" w:rsidP="00590EC8"/>
    <w:p w14:paraId="3A314EF9" w14:textId="77777777" w:rsidR="00AD11FD" w:rsidRDefault="00AD11FD" w:rsidP="00590EC8"/>
    <w:p w14:paraId="381EB22E" w14:textId="77777777" w:rsidR="00AD11FD" w:rsidRDefault="00AD11FD" w:rsidP="00590EC8"/>
    <w:p w14:paraId="63A1A1F3" w14:textId="77777777" w:rsidR="00AD11FD" w:rsidRDefault="00AD11FD" w:rsidP="00590EC8"/>
    <w:p w14:paraId="7B4BD11E" w14:textId="77777777" w:rsidR="00AD11FD" w:rsidRDefault="00AD11FD" w:rsidP="00590EC8"/>
    <w:p w14:paraId="3C655DDF" w14:textId="77777777" w:rsidR="00AD11FD" w:rsidRDefault="00AD11FD" w:rsidP="00590EC8"/>
    <w:p w14:paraId="7B22AF15" w14:textId="77777777" w:rsidR="00AD11FD" w:rsidRDefault="00AD11FD" w:rsidP="00590EC8"/>
    <w:p w14:paraId="2F97B978" w14:textId="77777777" w:rsidR="00AD11FD" w:rsidRDefault="00AD11FD" w:rsidP="00590EC8"/>
    <w:p w14:paraId="710E9CB8" w14:textId="77777777" w:rsidR="00AD11FD" w:rsidRDefault="00AD11FD" w:rsidP="00590EC8"/>
    <w:p w14:paraId="6DCFDD4C" w14:textId="77777777" w:rsidR="00AD11FD" w:rsidRDefault="00AD11FD" w:rsidP="00590EC8"/>
    <w:p w14:paraId="20B8F486" w14:textId="77777777" w:rsidR="00AD11FD" w:rsidRDefault="00AD11FD" w:rsidP="00590EC8"/>
    <w:p w14:paraId="20CA00E2" w14:textId="77777777" w:rsidR="00AD11FD" w:rsidRDefault="00AD11FD" w:rsidP="00590EC8"/>
    <w:p w14:paraId="45336C2E" w14:textId="77777777" w:rsidR="00AD11FD" w:rsidRDefault="00AD11FD" w:rsidP="00590EC8"/>
    <w:p w14:paraId="3E505F5C" w14:textId="77777777" w:rsidR="00AD11FD" w:rsidRDefault="00AD11FD" w:rsidP="00590EC8"/>
    <w:p w14:paraId="4A918947" w14:textId="77777777" w:rsidR="007E0393" w:rsidRDefault="007E0393" w:rsidP="00590EC8"/>
    <w:p w14:paraId="425EAF76" w14:textId="77777777" w:rsidR="00590EC8" w:rsidRDefault="00590EC8" w:rsidP="00590EC8">
      <w:pPr>
        <w:pStyle w:val="Heading1"/>
      </w:pPr>
      <w:bookmarkStart w:id="5" w:name="_Toc168083568"/>
      <w:r>
        <w:lastRenderedPageBreak/>
        <w:t>References</w:t>
      </w:r>
      <w:bookmarkEnd w:id="5"/>
    </w:p>
    <w:p w14:paraId="161839A9" w14:textId="77777777" w:rsidR="00AD11FD" w:rsidRPr="00091F86" w:rsidRDefault="00AD11FD" w:rsidP="00C15FB6">
      <w:pPr>
        <w:rPr>
          <w:rFonts w:cs="Times New Roman"/>
        </w:rPr>
      </w:pPr>
      <w:r w:rsidRPr="00350F2D">
        <w:rPr>
          <w:rFonts w:cs="Times New Roman"/>
        </w:rPr>
        <w:t>Adair, J.</w:t>
      </w:r>
      <w:r>
        <w:rPr>
          <w:rFonts w:cs="Times New Roman"/>
        </w:rPr>
        <w:t xml:space="preserve"> (</w:t>
      </w:r>
      <w:r w:rsidRPr="00350F2D">
        <w:rPr>
          <w:rFonts w:cs="Times New Roman"/>
        </w:rPr>
        <w:t>2010</w:t>
      </w:r>
      <w:r>
        <w:rPr>
          <w:rFonts w:cs="Times New Roman"/>
        </w:rPr>
        <w:t>)</w:t>
      </w:r>
      <w:r w:rsidRPr="00350F2D">
        <w:rPr>
          <w:rFonts w:cs="Times New Roman"/>
        </w:rPr>
        <w:t xml:space="preserve"> </w:t>
      </w:r>
      <w:r w:rsidRPr="00350F2D">
        <w:rPr>
          <w:rFonts w:cs="Times New Roman"/>
          <w:i/>
          <w:iCs/>
        </w:rPr>
        <w:t>Strategic leadership: How to think and plan strategically and provide direction</w:t>
      </w:r>
      <w:r w:rsidRPr="00350F2D">
        <w:rPr>
          <w:rFonts w:cs="Times New Roman"/>
        </w:rPr>
        <w:t xml:space="preserve">. </w:t>
      </w:r>
      <w:r>
        <w:rPr>
          <w:rFonts w:cs="Times New Roman"/>
        </w:rPr>
        <w:t xml:space="preserve">London: </w:t>
      </w:r>
      <w:r w:rsidRPr="00350F2D">
        <w:rPr>
          <w:rFonts w:cs="Times New Roman"/>
        </w:rPr>
        <w:t>Kogan Page Publishers.</w:t>
      </w:r>
    </w:p>
    <w:p w14:paraId="3A68D1FA" w14:textId="77777777" w:rsidR="00AD11FD" w:rsidRDefault="00AD11FD" w:rsidP="00C15FB6">
      <w:pPr>
        <w:rPr>
          <w:rFonts w:cs="Times New Roman"/>
          <w:color w:val="222222"/>
          <w:shd w:val="clear" w:color="auto" w:fill="FFFFFF"/>
        </w:rPr>
      </w:pPr>
      <w:r>
        <w:rPr>
          <w:rFonts w:cs="Times New Roman"/>
          <w:color w:val="222222"/>
          <w:shd w:val="clear" w:color="auto" w:fill="FFFFFF"/>
        </w:rPr>
        <w:t xml:space="preserve">Bowman, C., and Faulkner, D. (1997) </w:t>
      </w:r>
      <w:r w:rsidRPr="00091F86">
        <w:rPr>
          <w:rFonts w:cs="Times New Roman"/>
          <w:i/>
          <w:iCs/>
          <w:color w:val="222222"/>
          <w:shd w:val="clear" w:color="auto" w:fill="FFFFFF"/>
        </w:rPr>
        <w:t>Competitive and Corporate Strategy</w:t>
      </w:r>
      <w:r>
        <w:rPr>
          <w:rFonts w:cs="Times New Roman"/>
          <w:color w:val="222222"/>
          <w:shd w:val="clear" w:color="auto" w:fill="FFFFFF"/>
        </w:rPr>
        <w:t xml:space="preserve">. London: Irwin.  </w:t>
      </w:r>
    </w:p>
    <w:p w14:paraId="624C2588" w14:textId="77777777" w:rsidR="00AD11FD" w:rsidRDefault="00AD11FD" w:rsidP="00C15FB6">
      <w:r w:rsidRPr="008014B2">
        <w:t xml:space="preserve">Cameron, K. and Sine, W. </w:t>
      </w:r>
      <w:r>
        <w:t>(</w:t>
      </w:r>
      <w:r w:rsidRPr="008014B2">
        <w:t>1999</w:t>
      </w:r>
      <w:r>
        <w:t>)</w:t>
      </w:r>
      <w:r w:rsidRPr="008014B2">
        <w:t xml:space="preserve"> </w:t>
      </w:r>
      <w:r>
        <w:t>‘</w:t>
      </w:r>
      <w:r w:rsidRPr="008014B2">
        <w:t>A framework for organizational quality culture</w:t>
      </w:r>
      <w:r>
        <w:t>’</w:t>
      </w:r>
      <w:r w:rsidRPr="008014B2">
        <w:t xml:space="preserve">. </w:t>
      </w:r>
      <w:r w:rsidRPr="008014B2">
        <w:rPr>
          <w:i/>
          <w:iCs/>
        </w:rPr>
        <w:t>Quality Management Journal</w:t>
      </w:r>
      <w:r w:rsidRPr="008014B2">
        <w:t>, 6(4), pp.</w:t>
      </w:r>
      <w:r>
        <w:t xml:space="preserve"> </w:t>
      </w:r>
      <w:r w:rsidRPr="008014B2">
        <w:t>7-25.</w:t>
      </w:r>
      <w:r>
        <w:t xml:space="preserve"> DOI </w:t>
      </w:r>
      <w:hyperlink r:id="rId9" w:history="1">
        <w:r w:rsidRPr="000A334D">
          <w:rPr>
            <w:rStyle w:val="Hyperlink"/>
          </w:rPr>
          <w:t>https://doi.org/10.1080/10686967.1999.11919208</w:t>
        </w:r>
      </w:hyperlink>
      <w:r>
        <w:t xml:space="preserve"> </w:t>
      </w:r>
    </w:p>
    <w:p w14:paraId="1E48B7B6" w14:textId="77777777" w:rsidR="00AD11FD" w:rsidRDefault="00AD11FD" w:rsidP="00992F3E">
      <w:pPr>
        <w:rPr>
          <w:shd w:val="clear" w:color="auto" w:fill="FFFFFF"/>
        </w:rPr>
      </w:pPr>
      <w:r w:rsidRPr="00992F3E">
        <w:rPr>
          <w:shd w:val="clear" w:color="auto" w:fill="FFFFFF"/>
        </w:rPr>
        <w:t>Cooke, R.A. and Rousseau, D.M.</w:t>
      </w:r>
      <w:r>
        <w:rPr>
          <w:shd w:val="clear" w:color="auto" w:fill="FFFFFF"/>
        </w:rPr>
        <w:t xml:space="preserve"> (</w:t>
      </w:r>
      <w:r w:rsidRPr="00992F3E">
        <w:rPr>
          <w:shd w:val="clear" w:color="auto" w:fill="FFFFFF"/>
        </w:rPr>
        <w:t>1988</w:t>
      </w:r>
      <w:r>
        <w:rPr>
          <w:shd w:val="clear" w:color="auto" w:fill="FFFFFF"/>
        </w:rPr>
        <w:t>)</w:t>
      </w:r>
      <w:r w:rsidRPr="00992F3E">
        <w:rPr>
          <w:shd w:val="clear" w:color="auto" w:fill="FFFFFF"/>
        </w:rPr>
        <w:t xml:space="preserve"> </w:t>
      </w:r>
      <w:r>
        <w:rPr>
          <w:shd w:val="clear" w:color="auto" w:fill="FFFFFF"/>
        </w:rPr>
        <w:t>‘</w:t>
      </w:r>
      <w:r w:rsidRPr="00992F3E">
        <w:rPr>
          <w:shd w:val="clear" w:color="auto" w:fill="FFFFFF"/>
        </w:rPr>
        <w:t>Behavioral norms and expectations: A quantitative approach to the assessment of organizational culture</w:t>
      </w:r>
      <w:r>
        <w:rPr>
          <w:shd w:val="clear" w:color="auto" w:fill="FFFFFF"/>
        </w:rPr>
        <w:t>’</w:t>
      </w:r>
      <w:r w:rsidRPr="00992F3E">
        <w:rPr>
          <w:shd w:val="clear" w:color="auto" w:fill="FFFFFF"/>
        </w:rPr>
        <w:t xml:space="preserve">. </w:t>
      </w:r>
      <w:r w:rsidRPr="00992F3E">
        <w:rPr>
          <w:i/>
          <w:iCs/>
          <w:shd w:val="clear" w:color="auto" w:fill="FFFFFF"/>
        </w:rPr>
        <w:t>Group &amp; Organization Studies</w:t>
      </w:r>
      <w:r w:rsidRPr="00992F3E">
        <w:rPr>
          <w:shd w:val="clear" w:color="auto" w:fill="FFFFFF"/>
        </w:rPr>
        <w:t>, 13(3), pp.</w:t>
      </w:r>
      <w:r>
        <w:rPr>
          <w:shd w:val="clear" w:color="auto" w:fill="FFFFFF"/>
        </w:rPr>
        <w:t xml:space="preserve"> </w:t>
      </w:r>
      <w:r w:rsidRPr="00992F3E">
        <w:rPr>
          <w:shd w:val="clear" w:color="auto" w:fill="FFFFFF"/>
        </w:rPr>
        <w:t>245-273.</w:t>
      </w:r>
      <w:r>
        <w:rPr>
          <w:shd w:val="clear" w:color="auto" w:fill="FFFFFF"/>
        </w:rPr>
        <w:t xml:space="preserve"> DOI: </w:t>
      </w:r>
      <w:hyperlink r:id="rId10" w:history="1">
        <w:r w:rsidRPr="0062428C">
          <w:rPr>
            <w:rStyle w:val="Hyperlink"/>
            <w:shd w:val="clear" w:color="auto" w:fill="FFFFFF"/>
          </w:rPr>
          <w:t>https://doi.org/10.1177/105960118801300302</w:t>
        </w:r>
      </w:hyperlink>
      <w:r>
        <w:rPr>
          <w:shd w:val="clear" w:color="auto" w:fill="FFFFFF"/>
        </w:rPr>
        <w:t xml:space="preserve"> </w:t>
      </w:r>
    </w:p>
    <w:p w14:paraId="66BC8AC5" w14:textId="77777777" w:rsidR="00AD11FD" w:rsidRDefault="00AD11FD" w:rsidP="00C15FB6">
      <w:r>
        <w:rPr>
          <w:shd w:val="clear" w:color="auto" w:fill="FFFFFF"/>
        </w:rPr>
        <w:t xml:space="preserve">Global Data (2024) </w:t>
      </w:r>
      <w:r w:rsidRPr="00C15FB6">
        <w:rPr>
          <w:i/>
          <w:iCs/>
          <w:shd w:val="clear" w:color="auto" w:fill="FFFFFF"/>
        </w:rPr>
        <w:t>InterContinental Hotels Group Plc - Company Profile</w:t>
      </w:r>
      <w:r>
        <w:rPr>
          <w:shd w:val="clear" w:color="auto" w:fill="FFFFFF"/>
        </w:rPr>
        <w:t xml:space="preserve">. Available at: </w:t>
      </w:r>
      <w:hyperlink r:id="rId11" w:history="1">
        <w:r w:rsidRPr="0062428C">
          <w:rPr>
            <w:rStyle w:val="Hyperlink"/>
            <w:shd w:val="clear" w:color="auto" w:fill="FFFFFF"/>
          </w:rPr>
          <w:t>https://www.globaldata.com/company-profile/intercontinental-hotels-group-plc/</w:t>
        </w:r>
      </w:hyperlink>
      <w:r>
        <w:rPr>
          <w:shd w:val="clear" w:color="auto" w:fill="FFFFFF"/>
        </w:rPr>
        <w:t xml:space="preserve"> </w:t>
      </w:r>
      <w:r>
        <w:t>(Accessed: 16 May 2024)</w:t>
      </w:r>
    </w:p>
    <w:p w14:paraId="6A24969C" w14:textId="77777777" w:rsidR="00AD11FD" w:rsidRDefault="00AD11FD" w:rsidP="00B528F9">
      <w:r w:rsidRPr="00B528F9">
        <w:t xml:space="preserve">InterContinental Hotels Group </w:t>
      </w:r>
      <w:r>
        <w:t>(</w:t>
      </w:r>
      <w:r w:rsidRPr="00B528F9">
        <w:t>2024</w:t>
      </w:r>
      <w:r>
        <w:t xml:space="preserve">a) </w:t>
      </w:r>
      <w:r w:rsidRPr="00BC4263">
        <w:rPr>
          <w:i/>
          <w:iCs/>
        </w:rPr>
        <w:t>About us</w:t>
      </w:r>
      <w:r>
        <w:t xml:space="preserve">. Available at: </w:t>
      </w:r>
      <w:hyperlink r:id="rId12" w:history="1">
        <w:r w:rsidRPr="000A334D">
          <w:rPr>
            <w:rStyle w:val="Hyperlink"/>
          </w:rPr>
          <w:t>https://www.ihgplc.com/en/about-us</w:t>
        </w:r>
      </w:hyperlink>
      <w:r>
        <w:t xml:space="preserve"> </w:t>
      </w:r>
      <w:r>
        <w:t>(Accessed: 16 May 2024)</w:t>
      </w:r>
    </w:p>
    <w:p w14:paraId="18B2BFDB" w14:textId="77777777" w:rsidR="00AD11FD" w:rsidRDefault="00AD11FD" w:rsidP="00C15FB6">
      <w:r w:rsidRPr="00B528F9">
        <w:t xml:space="preserve">InterContinental Hotels Group </w:t>
      </w:r>
      <w:r>
        <w:t>(</w:t>
      </w:r>
      <w:r w:rsidRPr="00B528F9">
        <w:t>2024</w:t>
      </w:r>
      <w:r>
        <w:t>b</w:t>
      </w:r>
      <w:r>
        <w:t>)</w:t>
      </w:r>
      <w:r>
        <w:t xml:space="preserve"> </w:t>
      </w:r>
      <w:r w:rsidRPr="00BC4263">
        <w:rPr>
          <w:i/>
          <w:iCs/>
        </w:rPr>
        <w:t>IHG Annual Report and Form 20-F 2023</w:t>
      </w:r>
      <w:r>
        <w:t xml:space="preserve">. Available at: </w:t>
      </w:r>
      <w:hyperlink r:id="rId13" w:history="1">
        <w:r w:rsidRPr="000A334D">
          <w:rPr>
            <w:rStyle w:val="Hyperlink"/>
          </w:rPr>
          <w:t>https://www.ihgplc.com/~/media/Files/I/Ihg-Plc/investors/annual-report/2023/ihg-2023-annual-report-and-form-20-f.pdf</w:t>
        </w:r>
      </w:hyperlink>
      <w:r>
        <w:t xml:space="preserve"> </w:t>
      </w:r>
      <w:r>
        <w:t>(Accessed: 16 May 2024)</w:t>
      </w:r>
    </w:p>
    <w:p w14:paraId="1C76FE97" w14:textId="77777777" w:rsidR="00AD11FD" w:rsidRDefault="00AD11FD" w:rsidP="00C15FB6">
      <w:r w:rsidRPr="00B528F9">
        <w:t xml:space="preserve">InterContinental Hotels Group </w:t>
      </w:r>
      <w:r>
        <w:t>(</w:t>
      </w:r>
      <w:r w:rsidRPr="00B528F9">
        <w:t>2024</w:t>
      </w:r>
      <w:r>
        <w:t>c</w:t>
      </w:r>
      <w:r>
        <w:t>)</w:t>
      </w:r>
      <w:r>
        <w:t xml:space="preserve"> </w:t>
      </w:r>
      <w:r w:rsidRPr="00740E53">
        <w:rPr>
          <w:i/>
          <w:iCs/>
        </w:rPr>
        <w:t>Governance</w:t>
      </w:r>
      <w:r w:rsidRPr="00740E53">
        <w:rPr>
          <w:i/>
          <w:iCs/>
        </w:rPr>
        <w:t xml:space="preserve"> Report 2023</w:t>
      </w:r>
      <w:r>
        <w:t xml:space="preserve">. </w:t>
      </w:r>
      <w:r>
        <w:t>Available at:</w:t>
      </w:r>
      <w:r>
        <w:t xml:space="preserve"> </w:t>
      </w:r>
      <w:hyperlink r:id="rId14" w:history="1">
        <w:r w:rsidRPr="000A334D">
          <w:rPr>
            <w:rStyle w:val="Hyperlink"/>
          </w:rPr>
          <w:t>https://www.ihgplc.com/~/media/Files/I/Ihg-Plc/investors/annual-report/2023/downloads/governance-report-ar2023.pdf</w:t>
        </w:r>
      </w:hyperlink>
      <w:r>
        <w:t xml:space="preserve"> </w:t>
      </w:r>
      <w:r>
        <w:t>(Accessed: 16 May 2024)</w:t>
      </w:r>
    </w:p>
    <w:p w14:paraId="1C11AC04" w14:textId="77777777" w:rsidR="00AD11FD" w:rsidRDefault="00AD11FD" w:rsidP="00C15FB6">
      <w:r w:rsidRPr="00B528F9">
        <w:t xml:space="preserve">InterContinental Hotels Group </w:t>
      </w:r>
      <w:r>
        <w:t>(</w:t>
      </w:r>
      <w:r w:rsidRPr="00B528F9">
        <w:t>2024</w:t>
      </w:r>
      <w:r>
        <w:t>d</w:t>
      </w:r>
      <w:r>
        <w:t>)</w:t>
      </w:r>
      <w:r>
        <w:t xml:space="preserve"> </w:t>
      </w:r>
      <w:r w:rsidRPr="00685837">
        <w:rPr>
          <w:i/>
          <w:iCs/>
        </w:rPr>
        <w:t>What we stand for</w:t>
      </w:r>
      <w:r>
        <w:t xml:space="preserve">. </w:t>
      </w:r>
      <w:r>
        <w:t>Available at:</w:t>
      </w:r>
      <w:r>
        <w:t xml:space="preserve"> </w:t>
      </w:r>
      <w:hyperlink r:id="rId15" w:history="1">
        <w:r w:rsidRPr="000A334D">
          <w:rPr>
            <w:rStyle w:val="Hyperlink"/>
          </w:rPr>
          <w:t>https://www.ihgplc.com/en/about-us/what-we-stand-for#:~:text=Our%20culture%20of%20Diversity%2C%20Equity%20and%20Inclusion&amp;text=Working%20in%20hotels%20and%20offices,world%20such%20a%20wonderful%20place</w:t>
        </w:r>
      </w:hyperlink>
      <w:r w:rsidRPr="00685837">
        <w:t>.</w:t>
      </w:r>
      <w:r>
        <w:t xml:space="preserve"> </w:t>
      </w:r>
      <w:r>
        <w:t>(Accessed: 16 May 2024)</w:t>
      </w:r>
    </w:p>
    <w:p w14:paraId="6D00E207" w14:textId="77777777" w:rsidR="00AD11FD" w:rsidRDefault="00AD11FD" w:rsidP="00C15FB6">
      <w:r w:rsidRPr="00B528F9">
        <w:lastRenderedPageBreak/>
        <w:t xml:space="preserve">InterContinental Hotels Group </w:t>
      </w:r>
      <w:r>
        <w:t>(</w:t>
      </w:r>
      <w:r w:rsidRPr="00B528F9">
        <w:t>2024</w:t>
      </w:r>
      <w:r>
        <w:t>e</w:t>
      </w:r>
      <w:r>
        <w:t>)</w:t>
      </w:r>
      <w:r>
        <w:t xml:space="preserve"> </w:t>
      </w:r>
      <w:r w:rsidRPr="00316B6C">
        <w:rPr>
          <w:i/>
          <w:iCs/>
        </w:rPr>
        <w:t>Our strategy</w:t>
      </w:r>
      <w:r>
        <w:t xml:space="preserve">. </w:t>
      </w:r>
      <w:r>
        <w:t>Available at:</w:t>
      </w:r>
      <w:r>
        <w:t xml:space="preserve"> </w:t>
      </w:r>
      <w:hyperlink r:id="rId16" w:history="1">
        <w:r w:rsidRPr="000A334D">
          <w:rPr>
            <w:rStyle w:val="Hyperlink"/>
          </w:rPr>
          <w:t>https://www.ihgplc.com/en/about-us/our-strategy</w:t>
        </w:r>
      </w:hyperlink>
      <w:r>
        <w:t xml:space="preserve"> </w:t>
      </w:r>
      <w:r>
        <w:t>(Accessed: 1</w:t>
      </w:r>
      <w:r>
        <w:t>7</w:t>
      </w:r>
      <w:r>
        <w:t xml:space="preserve"> May 2024)</w:t>
      </w:r>
    </w:p>
    <w:p w14:paraId="55EC18CF" w14:textId="77777777" w:rsidR="00AD11FD" w:rsidRDefault="00AD11FD" w:rsidP="00590EC8">
      <w:r>
        <w:t xml:space="preserve">Kenton, W. (2024) </w:t>
      </w:r>
      <w:r w:rsidRPr="00992F3E">
        <w:rPr>
          <w:i/>
          <w:iCs/>
        </w:rPr>
        <w:t>Organizational Structure for Companies With Examples and Benefits</w:t>
      </w:r>
      <w:r>
        <w:t xml:space="preserve">. Available at: </w:t>
      </w:r>
      <w:hyperlink r:id="rId17" w:history="1">
        <w:r w:rsidRPr="0062428C">
          <w:rPr>
            <w:rStyle w:val="Hyperlink"/>
          </w:rPr>
          <w:t>https://www.investopedia.com/terms/o/organizational-structure.asp</w:t>
        </w:r>
      </w:hyperlink>
      <w:r>
        <w:t xml:space="preserve"> (Accessed: 16 May 2024)</w:t>
      </w:r>
    </w:p>
    <w:p w14:paraId="5D809730" w14:textId="77777777" w:rsidR="00AD11FD" w:rsidRDefault="00AD11FD" w:rsidP="00C15FB6">
      <w:r w:rsidRPr="00885D43">
        <w:t>Ranson, S., Hinings, B. and Greenwood, R.</w:t>
      </w:r>
      <w:r>
        <w:t xml:space="preserve"> (</w:t>
      </w:r>
      <w:r w:rsidRPr="00885D43">
        <w:t>1980</w:t>
      </w:r>
      <w:r>
        <w:t>)</w:t>
      </w:r>
      <w:r w:rsidRPr="00885D43">
        <w:t xml:space="preserve"> </w:t>
      </w:r>
      <w:r>
        <w:t>‘</w:t>
      </w:r>
      <w:r w:rsidRPr="00885D43">
        <w:t>The structuring of organizational structures</w:t>
      </w:r>
      <w:r>
        <w:t>’</w:t>
      </w:r>
      <w:r w:rsidRPr="00885D43">
        <w:t xml:space="preserve">. </w:t>
      </w:r>
      <w:r w:rsidRPr="00885D43">
        <w:rPr>
          <w:i/>
          <w:iCs/>
        </w:rPr>
        <w:t>Administrative science quarterly</w:t>
      </w:r>
      <w:r w:rsidRPr="00885D43">
        <w:t>, pp.</w:t>
      </w:r>
      <w:r>
        <w:t xml:space="preserve"> </w:t>
      </w:r>
      <w:r w:rsidRPr="00885D43">
        <w:t>1-17.</w:t>
      </w:r>
      <w:r>
        <w:t xml:space="preserve"> DOI: </w:t>
      </w:r>
      <w:hyperlink r:id="rId18" w:history="1">
        <w:r w:rsidRPr="000A334D">
          <w:rPr>
            <w:rStyle w:val="Hyperlink"/>
          </w:rPr>
          <w:t>https://doi.org/10.2307/2392223</w:t>
        </w:r>
      </w:hyperlink>
      <w:r>
        <w:t xml:space="preserve"> </w:t>
      </w:r>
    </w:p>
    <w:p w14:paraId="2934EC0C" w14:textId="77777777" w:rsidR="00AD11FD" w:rsidRDefault="00AD11FD" w:rsidP="00C15FB6">
      <w:pPr>
        <w:rPr>
          <w:rFonts w:cs="Times New Roman"/>
          <w:color w:val="222222"/>
          <w:shd w:val="clear" w:color="auto" w:fill="FFFFFF"/>
        </w:rPr>
      </w:pPr>
      <w:r w:rsidRPr="00091F86">
        <w:rPr>
          <w:rFonts w:cs="Times New Roman"/>
          <w:color w:val="222222"/>
          <w:shd w:val="clear" w:color="auto" w:fill="FFFFFF"/>
        </w:rPr>
        <w:t xml:space="preserve">Teece, D.J. </w:t>
      </w:r>
      <w:r>
        <w:rPr>
          <w:rFonts w:cs="Times New Roman"/>
          <w:color w:val="222222"/>
          <w:shd w:val="clear" w:color="auto" w:fill="FFFFFF"/>
        </w:rPr>
        <w:t>(</w:t>
      </w:r>
      <w:r w:rsidRPr="00091F86">
        <w:rPr>
          <w:rFonts w:cs="Times New Roman"/>
          <w:color w:val="222222"/>
          <w:shd w:val="clear" w:color="auto" w:fill="FFFFFF"/>
        </w:rPr>
        <w:t>2009</w:t>
      </w:r>
      <w:r>
        <w:rPr>
          <w:rFonts w:cs="Times New Roman"/>
          <w:color w:val="222222"/>
          <w:shd w:val="clear" w:color="auto" w:fill="FFFFFF"/>
        </w:rPr>
        <w:t>)</w:t>
      </w:r>
      <w:r w:rsidRPr="00091F86">
        <w:rPr>
          <w:rFonts w:cs="Times New Roman"/>
          <w:color w:val="222222"/>
          <w:shd w:val="clear" w:color="auto" w:fill="FFFFFF"/>
        </w:rPr>
        <w:t> </w:t>
      </w:r>
      <w:r w:rsidRPr="00091F86">
        <w:rPr>
          <w:rFonts w:cs="Times New Roman"/>
          <w:i/>
          <w:iCs/>
          <w:color w:val="222222"/>
          <w:shd w:val="clear" w:color="auto" w:fill="FFFFFF"/>
        </w:rPr>
        <w:t>Dynamic capabilities and strategic management: Organizing for innovation and growth</w:t>
      </w:r>
      <w:r w:rsidRPr="00091F86">
        <w:rPr>
          <w:rFonts w:cs="Times New Roman"/>
          <w:color w:val="222222"/>
          <w:shd w:val="clear" w:color="auto" w:fill="FFFFFF"/>
        </w:rPr>
        <w:t>. Oxford University Press, USA.</w:t>
      </w:r>
    </w:p>
    <w:p w14:paraId="256AD395" w14:textId="77777777" w:rsidR="00554650" w:rsidRDefault="00554650" w:rsidP="00C15FB6"/>
    <w:p w14:paraId="37BD7AE2" w14:textId="253E4D79" w:rsidR="00C15FB6" w:rsidRDefault="00C15FB6" w:rsidP="00992F3E">
      <w:pPr>
        <w:rPr>
          <w:shd w:val="clear" w:color="auto" w:fill="FFFFFF"/>
        </w:rPr>
      </w:pPr>
    </w:p>
    <w:p w14:paraId="229E6903" w14:textId="1FFB29B4" w:rsidR="00992F3E" w:rsidRDefault="00992F3E" w:rsidP="00992F3E">
      <w:r>
        <w:tab/>
        <w:t xml:space="preserve"> </w:t>
      </w:r>
    </w:p>
    <w:p w14:paraId="5D0D1D2E" w14:textId="77777777" w:rsidR="00590EC8" w:rsidRDefault="00590EC8" w:rsidP="00590EC8"/>
    <w:p w14:paraId="41E02AC1" w14:textId="77777777" w:rsidR="00590EC8" w:rsidRDefault="00590EC8" w:rsidP="00590EC8"/>
    <w:p w14:paraId="5F885863" w14:textId="77777777" w:rsidR="00590EC8" w:rsidRDefault="00590EC8" w:rsidP="00590EC8"/>
    <w:p w14:paraId="663CEB7A" w14:textId="77777777" w:rsidR="00590EC8" w:rsidRDefault="00590EC8" w:rsidP="00590EC8"/>
    <w:p w14:paraId="2B62754E" w14:textId="77777777" w:rsidR="00590EC8" w:rsidRPr="00590EC8" w:rsidRDefault="00590EC8" w:rsidP="00590EC8"/>
    <w:p w14:paraId="12CA3636" w14:textId="77777777" w:rsidR="00590EC8" w:rsidRPr="00590EC8" w:rsidRDefault="00590EC8" w:rsidP="00590EC8"/>
    <w:sectPr w:rsidR="00590EC8" w:rsidRPr="00590EC8" w:rsidSect="00DE49F4">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AE77B8" w14:textId="77777777" w:rsidR="0059023C" w:rsidRDefault="0059023C" w:rsidP="00590EC8">
      <w:pPr>
        <w:spacing w:after="0" w:line="240" w:lineRule="auto"/>
      </w:pPr>
      <w:r>
        <w:separator/>
      </w:r>
    </w:p>
  </w:endnote>
  <w:endnote w:type="continuationSeparator" w:id="0">
    <w:p w14:paraId="6920EC58" w14:textId="77777777" w:rsidR="0059023C" w:rsidRDefault="0059023C" w:rsidP="00590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2791561"/>
      <w:docPartObj>
        <w:docPartGallery w:val="Page Numbers (Bottom of Page)"/>
        <w:docPartUnique/>
      </w:docPartObj>
    </w:sdtPr>
    <w:sdtEndPr>
      <w:rPr>
        <w:noProof/>
      </w:rPr>
    </w:sdtEndPr>
    <w:sdtContent>
      <w:p w14:paraId="5D5E0AC5" w14:textId="76655DDB" w:rsidR="00590EC8" w:rsidRDefault="00590EC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57C3F8" w14:textId="77777777" w:rsidR="00590EC8" w:rsidRDefault="00590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9B5A73" w14:textId="77777777" w:rsidR="0059023C" w:rsidRDefault="0059023C" w:rsidP="00590EC8">
      <w:pPr>
        <w:spacing w:after="0" w:line="240" w:lineRule="auto"/>
      </w:pPr>
      <w:r>
        <w:separator/>
      </w:r>
    </w:p>
  </w:footnote>
  <w:footnote w:type="continuationSeparator" w:id="0">
    <w:p w14:paraId="5425DADD" w14:textId="77777777" w:rsidR="0059023C" w:rsidRDefault="0059023C" w:rsidP="00590E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9F4"/>
    <w:rsid w:val="00026E6B"/>
    <w:rsid w:val="00091F86"/>
    <w:rsid w:val="00105534"/>
    <w:rsid w:val="00110C75"/>
    <w:rsid w:val="00183BF6"/>
    <w:rsid w:val="00263BEA"/>
    <w:rsid w:val="00316B6C"/>
    <w:rsid w:val="00350F2D"/>
    <w:rsid w:val="003553A3"/>
    <w:rsid w:val="00465887"/>
    <w:rsid w:val="004B2D87"/>
    <w:rsid w:val="004E29B7"/>
    <w:rsid w:val="004E4864"/>
    <w:rsid w:val="00540D02"/>
    <w:rsid w:val="0054533C"/>
    <w:rsid w:val="00554650"/>
    <w:rsid w:val="005767CA"/>
    <w:rsid w:val="0059023C"/>
    <w:rsid w:val="00590EC8"/>
    <w:rsid w:val="005963A3"/>
    <w:rsid w:val="005D1AA0"/>
    <w:rsid w:val="00676AB0"/>
    <w:rsid w:val="00682D6E"/>
    <w:rsid w:val="00684BBD"/>
    <w:rsid w:val="006852C3"/>
    <w:rsid w:val="00685837"/>
    <w:rsid w:val="00695782"/>
    <w:rsid w:val="006A7B9E"/>
    <w:rsid w:val="006E7A21"/>
    <w:rsid w:val="006F12B5"/>
    <w:rsid w:val="006F1B2E"/>
    <w:rsid w:val="006F3843"/>
    <w:rsid w:val="00740E53"/>
    <w:rsid w:val="007A0173"/>
    <w:rsid w:val="007E0393"/>
    <w:rsid w:val="008014B2"/>
    <w:rsid w:val="00885D43"/>
    <w:rsid w:val="008C2892"/>
    <w:rsid w:val="00977257"/>
    <w:rsid w:val="00992F3E"/>
    <w:rsid w:val="009D3C3E"/>
    <w:rsid w:val="00AA4764"/>
    <w:rsid w:val="00AD11FD"/>
    <w:rsid w:val="00B114D0"/>
    <w:rsid w:val="00B1290F"/>
    <w:rsid w:val="00B528F9"/>
    <w:rsid w:val="00B828EA"/>
    <w:rsid w:val="00BC4263"/>
    <w:rsid w:val="00BD7EB2"/>
    <w:rsid w:val="00C00799"/>
    <w:rsid w:val="00C15FB6"/>
    <w:rsid w:val="00C81571"/>
    <w:rsid w:val="00CE368F"/>
    <w:rsid w:val="00D43676"/>
    <w:rsid w:val="00D80129"/>
    <w:rsid w:val="00DE49F4"/>
    <w:rsid w:val="00E87010"/>
    <w:rsid w:val="00E87270"/>
    <w:rsid w:val="00F02AD9"/>
    <w:rsid w:val="00F32EDF"/>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CB7EE"/>
  <w15:chartTrackingRefBased/>
  <w15:docId w15:val="{910CA2CF-3D6A-43AA-9F98-74434B627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0EC8"/>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590EC8"/>
    <w:pPr>
      <w:keepNext/>
      <w:keepLines/>
      <w:spacing w:before="240" w:after="0"/>
      <w:jc w:val="left"/>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590EC8"/>
    <w:pPr>
      <w:keepNext/>
      <w:keepLines/>
      <w:spacing w:before="40" w:after="0"/>
      <w:jc w:val="left"/>
      <w:outlineLvl w:val="1"/>
    </w:pPr>
    <w:rPr>
      <w:rFonts w:eastAsiaTheme="majorEastAsia"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DE49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E49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9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9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9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9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EC8"/>
    <w:rPr>
      <w:rFonts w:ascii="Times New Roman" w:eastAsiaTheme="majorEastAsia" w:hAnsi="Times New Roman"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590EC8"/>
    <w:rPr>
      <w:rFonts w:ascii="Times New Roman" w:eastAsiaTheme="majorEastAsia" w:hAnsi="Times New Roman" w:cstheme="majorBidi"/>
      <w:color w:val="0F4761" w:themeColor="accent1" w:themeShade="BF"/>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DE49F4"/>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DE49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9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9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9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9F4"/>
    <w:rPr>
      <w:rFonts w:eastAsiaTheme="majorEastAsia" w:cstheme="majorBidi"/>
      <w:color w:val="272727" w:themeColor="text1" w:themeTint="D8"/>
    </w:rPr>
  </w:style>
  <w:style w:type="paragraph" w:styleId="Title">
    <w:name w:val="Title"/>
    <w:basedOn w:val="Normal"/>
    <w:next w:val="Normal"/>
    <w:link w:val="TitleChar"/>
    <w:uiPriority w:val="10"/>
    <w:qFormat/>
    <w:rsid w:val="00DE49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9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9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9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9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49F4"/>
    <w:rPr>
      <w:i/>
      <w:iCs/>
      <w:color w:val="404040" w:themeColor="text1" w:themeTint="BF"/>
    </w:rPr>
  </w:style>
  <w:style w:type="character" w:styleId="IntenseEmphasis">
    <w:name w:val="Intense Emphasis"/>
    <w:basedOn w:val="DefaultParagraphFont"/>
    <w:uiPriority w:val="21"/>
    <w:qFormat/>
    <w:rsid w:val="00DE49F4"/>
    <w:rPr>
      <w:i/>
      <w:iCs/>
      <w:color w:val="0F4761" w:themeColor="accent1" w:themeShade="BF"/>
    </w:rPr>
  </w:style>
  <w:style w:type="paragraph" w:styleId="IntenseQuote">
    <w:name w:val="Intense Quote"/>
    <w:basedOn w:val="Normal"/>
    <w:next w:val="Normal"/>
    <w:link w:val="IntenseQuoteChar"/>
    <w:uiPriority w:val="30"/>
    <w:qFormat/>
    <w:rsid w:val="00DE49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9F4"/>
    <w:rPr>
      <w:i/>
      <w:iCs/>
      <w:color w:val="0F4761" w:themeColor="accent1" w:themeShade="BF"/>
    </w:rPr>
  </w:style>
  <w:style w:type="character" w:styleId="IntenseReference">
    <w:name w:val="Intense Reference"/>
    <w:basedOn w:val="DefaultParagraphFont"/>
    <w:uiPriority w:val="32"/>
    <w:qFormat/>
    <w:rsid w:val="00DE49F4"/>
    <w:rPr>
      <w:b/>
      <w:bCs/>
      <w:smallCaps/>
      <w:color w:val="0F4761" w:themeColor="accent1" w:themeShade="BF"/>
      <w:spacing w:val="5"/>
    </w:rPr>
  </w:style>
  <w:style w:type="paragraph" w:styleId="Header">
    <w:name w:val="header"/>
    <w:basedOn w:val="Normal"/>
    <w:link w:val="HeaderChar"/>
    <w:uiPriority w:val="99"/>
    <w:unhideWhenUsed/>
    <w:rsid w:val="00590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EC8"/>
    <w:rPr>
      <w:rFonts w:ascii="Times New Roman" w:hAnsi="Times New Roman"/>
    </w:rPr>
  </w:style>
  <w:style w:type="paragraph" w:styleId="Footer">
    <w:name w:val="footer"/>
    <w:basedOn w:val="Normal"/>
    <w:link w:val="FooterChar"/>
    <w:uiPriority w:val="99"/>
    <w:unhideWhenUsed/>
    <w:rsid w:val="00590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EC8"/>
    <w:rPr>
      <w:rFonts w:ascii="Times New Roman" w:hAnsi="Times New Roman"/>
    </w:rPr>
  </w:style>
  <w:style w:type="paragraph" w:styleId="TOC1">
    <w:name w:val="toc 1"/>
    <w:basedOn w:val="Normal"/>
    <w:next w:val="Normal"/>
    <w:autoRedefine/>
    <w:uiPriority w:val="39"/>
    <w:unhideWhenUsed/>
    <w:rsid w:val="00590EC8"/>
    <w:pPr>
      <w:spacing w:after="100"/>
    </w:pPr>
  </w:style>
  <w:style w:type="character" w:styleId="Hyperlink">
    <w:name w:val="Hyperlink"/>
    <w:basedOn w:val="DefaultParagraphFont"/>
    <w:uiPriority w:val="99"/>
    <w:unhideWhenUsed/>
    <w:rsid w:val="00590EC8"/>
    <w:rPr>
      <w:color w:val="467886" w:themeColor="hyperlink"/>
      <w:u w:val="single"/>
    </w:rPr>
  </w:style>
  <w:style w:type="character" w:styleId="UnresolvedMention">
    <w:name w:val="Unresolved Mention"/>
    <w:basedOn w:val="DefaultParagraphFont"/>
    <w:uiPriority w:val="99"/>
    <w:semiHidden/>
    <w:unhideWhenUsed/>
    <w:rsid w:val="00992F3E"/>
    <w:rPr>
      <w:color w:val="605E5C"/>
      <w:shd w:val="clear" w:color="auto" w:fill="E1DFDD"/>
    </w:rPr>
  </w:style>
  <w:style w:type="paragraph" w:styleId="TableofFigures">
    <w:name w:val="table of figures"/>
    <w:basedOn w:val="Normal"/>
    <w:next w:val="Normal"/>
    <w:uiPriority w:val="99"/>
    <w:unhideWhenUsed/>
    <w:rsid w:val="008C289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6328">
      <w:bodyDiv w:val="1"/>
      <w:marLeft w:val="0"/>
      <w:marRight w:val="0"/>
      <w:marTop w:val="0"/>
      <w:marBottom w:val="0"/>
      <w:divBdr>
        <w:top w:val="none" w:sz="0" w:space="0" w:color="auto"/>
        <w:left w:val="none" w:sz="0" w:space="0" w:color="auto"/>
        <w:bottom w:val="none" w:sz="0" w:space="0" w:color="auto"/>
        <w:right w:val="none" w:sz="0" w:space="0" w:color="auto"/>
      </w:divBdr>
    </w:div>
    <w:div w:id="27680984">
      <w:bodyDiv w:val="1"/>
      <w:marLeft w:val="0"/>
      <w:marRight w:val="0"/>
      <w:marTop w:val="0"/>
      <w:marBottom w:val="0"/>
      <w:divBdr>
        <w:top w:val="none" w:sz="0" w:space="0" w:color="auto"/>
        <w:left w:val="none" w:sz="0" w:space="0" w:color="auto"/>
        <w:bottom w:val="none" w:sz="0" w:space="0" w:color="auto"/>
        <w:right w:val="none" w:sz="0" w:space="0" w:color="auto"/>
      </w:divBdr>
      <w:divsChild>
        <w:div w:id="123474774">
          <w:marLeft w:val="0"/>
          <w:marRight w:val="0"/>
          <w:marTop w:val="0"/>
          <w:marBottom w:val="0"/>
          <w:divBdr>
            <w:top w:val="none" w:sz="0" w:space="0" w:color="auto"/>
            <w:left w:val="none" w:sz="0" w:space="0" w:color="auto"/>
            <w:bottom w:val="none" w:sz="0" w:space="0" w:color="auto"/>
            <w:right w:val="none" w:sz="0" w:space="0" w:color="auto"/>
          </w:divBdr>
        </w:div>
      </w:divsChild>
    </w:div>
    <w:div w:id="285820899">
      <w:bodyDiv w:val="1"/>
      <w:marLeft w:val="0"/>
      <w:marRight w:val="0"/>
      <w:marTop w:val="0"/>
      <w:marBottom w:val="0"/>
      <w:divBdr>
        <w:top w:val="none" w:sz="0" w:space="0" w:color="auto"/>
        <w:left w:val="none" w:sz="0" w:space="0" w:color="auto"/>
        <w:bottom w:val="none" w:sz="0" w:space="0" w:color="auto"/>
        <w:right w:val="none" w:sz="0" w:space="0" w:color="auto"/>
      </w:divBdr>
    </w:div>
    <w:div w:id="303312772">
      <w:bodyDiv w:val="1"/>
      <w:marLeft w:val="0"/>
      <w:marRight w:val="0"/>
      <w:marTop w:val="0"/>
      <w:marBottom w:val="0"/>
      <w:divBdr>
        <w:top w:val="none" w:sz="0" w:space="0" w:color="auto"/>
        <w:left w:val="none" w:sz="0" w:space="0" w:color="auto"/>
        <w:bottom w:val="none" w:sz="0" w:space="0" w:color="auto"/>
        <w:right w:val="none" w:sz="0" w:space="0" w:color="auto"/>
      </w:divBdr>
    </w:div>
    <w:div w:id="374476526">
      <w:bodyDiv w:val="1"/>
      <w:marLeft w:val="0"/>
      <w:marRight w:val="0"/>
      <w:marTop w:val="0"/>
      <w:marBottom w:val="0"/>
      <w:divBdr>
        <w:top w:val="none" w:sz="0" w:space="0" w:color="auto"/>
        <w:left w:val="none" w:sz="0" w:space="0" w:color="auto"/>
        <w:bottom w:val="none" w:sz="0" w:space="0" w:color="auto"/>
        <w:right w:val="none" w:sz="0" w:space="0" w:color="auto"/>
      </w:divBdr>
      <w:divsChild>
        <w:div w:id="901793968">
          <w:marLeft w:val="0"/>
          <w:marRight w:val="0"/>
          <w:marTop w:val="0"/>
          <w:marBottom w:val="0"/>
          <w:divBdr>
            <w:top w:val="none" w:sz="0" w:space="0" w:color="auto"/>
            <w:left w:val="none" w:sz="0" w:space="0" w:color="auto"/>
            <w:bottom w:val="none" w:sz="0" w:space="0" w:color="auto"/>
            <w:right w:val="none" w:sz="0" w:space="0" w:color="auto"/>
          </w:divBdr>
          <w:divsChild>
            <w:div w:id="99726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358898">
      <w:bodyDiv w:val="1"/>
      <w:marLeft w:val="0"/>
      <w:marRight w:val="0"/>
      <w:marTop w:val="0"/>
      <w:marBottom w:val="0"/>
      <w:divBdr>
        <w:top w:val="none" w:sz="0" w:space="0" w:color="auto"/>
        <w:left w:val="none" w:sz="0" w:space="0" w:color="auto"/>
        <w:bottom w:val="none" w:sz="0" w:space="0" w:color="auto"/>
        <w:right w:val="none" w:sz="0" w:space="0" w:color="auto"/>
      </w:divBdr>
    </w:div>
    <w:div w:id="471675902">
      <w:bodyDiv w:val="1"/>
      <w:marLeft w:val="0"/>
      <w:marRight w:val="0"/>
      <w:marTop w:val="0"/>
      <w:marBottom w:val="0"/>
      <w:divBdr>
        <w:top w:val="none" w:sz="0" w:space="0" w:color="auto"/>
        <w:left w:val="none" w:sz="0" w:space="0" w:color="auto"/>
        <w:bottom w:val="none" w:sz="0" w:space="0" w:color="auto"/>
        <w:right w:val="none" w:sz="0" w:space="0" w:color="auto"/>
      </w:divBdr>
      <w:divsChild>
        <w:div w:id="1015157881">
          <w:marLeft w:val="0"/>
          <w:marRight w:val="0"/>
          <w:marTop w:val="0"/>
          <w:marBottom w:val="0"/>
          <w:divBdr>
            <w:top w:val="none" w:sz="0" w:space="0" w:color="auto"/>
            <w:left w:val="none" w:sz="0" w:space="0" w:color="auto"/>
            <w:bottom w:val="none" w:sz="0" w:space="0" w:color="auto"/>
            <w:right w:val="none" w:sz="0" w:space="0" w:color="auto"/>
          </w:divBdr>
        </w:div>
      </w:divsChild>
    </w:div>
    <w:div w:id="481309581">
      <w:bodyDiv w:val="1"/>
      <w:marLeft w:val="0"/>
      <w:marRight w:val="0"/>
      <w:marTop w:val="0"/>
      <w:marBottom w:val="0"/>
      <w:divBdr>
        <w:top w:val="none" w:sz="0" w:space="0" w:color="auto"/>
        <w:left w:val="none" w:sz="0" w:space="0" w:color="auto"/>
        <w:bottom w:val="none" w:sz="0" w:space="0" w:color="auto"/>
        <w:right w:val="none" w:sz="0" w:space="0" w:color="auto"/>
      </w:divBdr>
    </w:div>
    <w:div w:id="500006006">
      <w:bodyDiv w:val="1"/>
      <w:marLeft w:val="0"/>
      <w:marRight w:val="0"/>
      <w:marTop w:val="0"/>
      <w:marBottom w:val="0"/>
      <w:divBdr>
        <w:top w:val="none" w:sz="0" w:space="0" w:color="auto"/>
        <w:left w:val="none" w:sz="0" w:space="0" w:color="auto"/>
        <w:bottom w:val="none" w:sz="0" w:space="0" w:color="auto"/>
        <w:right w:val="none" w:sz="0" w:space="0" w:color="auto"/>
      </w:divBdr>
    </w:div>
    <w:div w:id="509175986">
      <w:bodyDiv w:val="1"/>
      <w:marLeft w:val="0"/>
      <w:marRight w:val="0"/>
      <w:marTop w:val="0"/>
      <w:marBottom w:val="0"/>
      <w:divBdr>
        <w:top w:val="none" w:sz="0" w:space="0" w:color="auto"/>
        <w:left w:val="none" w:sz="0" w:space="0" w:color="auto"/>
        <w:bottom w:val="none" w:sz="0" w:space="0" w:color="auto"/>
        <w:right w:val="none" w:sz="0" w:space="0" w:color="auto"/>
      </w:divBdr>
    </w:div>
    <w:div w:id="509217641">
      <w:bodyDiv w:val="1"/>
      <w:marLeft w:val="0"/>
      <w:marRight w:val="0"/>
      <w:marTop w:val="0"/>
      <w:marBottom w:val="0"/>
      <w:divBdr>
        <w:top w:val="none" w:sz="0" w:space="0" w:color="auto"/>
        <w:left w:val="none" w:sz="0" w:space="0" w:color="auto"/>
        <w:bottom w:val="none" w:sz="0" w:space="0" w:color="auto"/>
        <w:right w:val="none" w:sz="0" w:space="0" w:color="auto"/>
      </w:divBdr>
    </w:div>
    <w:div w:id="608050337">
      <w:bodyDiv w:val="1"/>
      <w:marLeft w:val="0"/>
      <w:marRight w:val="0"/>
      <w:marTop w:val="0"/>
      <w:marBottom w:val="0"/>
      <w:divBdr>
        <w:top w:val="none" w:sz="0" w:space="0" w:color="auto"/>
        <w:left w:val="none" w:sz="0" w:space="0" w:color="auto"/>
        <w:bottom w:val="none" w:sz="0" w:space="0" w:color="auto"/>
        <w:right w:val="none" w:sz="0" w:space="0" w:color="auto"/>
      </w:divBdr>
      <w:divsChild>
        <w:div w:id="505442612">
          <w:marLeft w:val="0"/>
          <w:marRight w:val="0"/>
          <w:marTop w:val="0"/>
          <w:marBottom w:val="0"/>
          <w:divBdr>
            <w:top w:val="none" w:sz="0" w:space="0" w:color="auto"/>
            <w:left w:val="none" w:sz="0" w:space="0" w:color="auto"/>
            <w:bottom w:val="none" w:sz="0" w:space="0" w:color="auto"/>
            <w:right w:val="none" w:sz="0" w:space="0" w:color="auto"/>
          </w:divBdr>
          <w:divsChild>
            <w:div w:id="1048650328">
              <w:marLeft w:val="0"/>
              <w:marRight w:val="0"/>
              <w:marTop w:val="0"/>
              <w:marBottom w:val="0"/>
              <w:divBdr>
                <w:top w:val="none" w:sz="0" w:space="0" w:color="auto"/>
                <w:left w:val="none" w:sz="0" w:space="0" w:color="auto"/>
                <w:bottom w:val="none" w:sz="0" w:space="0" w:color="auto"/>
                <w:right w:val="none" w:sz="0" w:space="0" w:color="auto"/>
              </w:divBdr>
              <w:divsChild>
                <w:div w:id="126703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473931">
          <w:marLeft w:val="0"/>
          <w:marRight w:val="0"/>
          <w:marTop w:val="0"/>
          <w:marBottom w:val="0"/>
          <w:divBdr>
            <w:top w:val="none" w:sz="0" w:space="0" w:color="auto"/>
            <w:left w:val="none" w:sz="0" w:space="0" w:color="auto"/>
            <w:bottom w:val="none" w:sz="0" w:space="0" w:color="auto"/>
            <w:right w:val="none" w:sz="0" w:space="0" w:color="auto"/>
          </w:divBdr>
          <w:divsChild>
            <w:div w:id="339506986">
              <w:marLeft w:val="-225"/>
              <w:marRight w:val="-225"/>
              <w:marTop w:val="0"/>
              <w:marBottom w:val="0"/>
              <w:divBdr>
                <w:top w:val="none" w:sz="0" w:space="0" w:color="auto"/>
                <w:left w:val="none" w:sz="0" w:space="0" w:color="auto"/>
                <w:bottom w:val="none" w:sz="0" w:space="0" w:color="auto"/>
                <w:right w:val="none" w:sz="0" w:space="0" w:color="auto"/>
              </w:divBdr>
              <w:divsChild>
                <w:div w:id="1521893134">
                  <w:marLeft w:val="225"/>
                  <w:marRight w:val="225"/>
                  <w:marTop w:val="0"/>
                  <w:marBottom w:val="0"/>
                  <w:divBdr>
                    <w:top w:val="none" w:sz="0" w:space="0" w:color="auto"/>
                    <w:left w:val="none" w:sz="0" w:space="0" w:color="auto"/>
                    <w:bottom w:val="none" w:sz="0" w:space="0" w:color="auto"/>
                    <w:right w:val="none" w:sz="0" w:space="0" w:color="auto"/>
                  </w:divBdr>
                  <w:divsChild>
                    <w:div w:id="249240337">
                      <w:marLeft w:val="0"/>
                      <w:marRight w:val="0"/>
                      <w:marTop w:val="0"/>
                      <w:marBottom w:val="0"/>
                      <w:divBdr>
                        <w:top w:val="none" w:sz="0" w:space="0" w:color="auto"/>
                        <w:left w:val="none" w:sz="0" w:space="0" w:color="auto"/>
                        <w:bottom w:val="none" w:sz="0" w:space="0" w:color="auto"/>
                        <w:right w:val="none" w:sz="0" w:space="0" w:color="auto"/>
                      </w:divBdr>
                      <w:divsChild>
                        <w:div w:id="87385916">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6881318">
      <w:bodyDiv w:val="1"/>
      <w:marLeft w:val="0"/>
      <w:marRight w:val="0"/>
      <w:marTop w:val="0"/>
      <w:marBottom w:val="0"/>
      <w:divBdr>
        <w:top w:val="none" w:sz="0" w:space="0" w:color="auto"/>
        <w:left w:val="none" w:sz="0" w:space="0" w:color="auto"/>
        <w:bottom w:val="none" w:sz="0" w:space="0" w:color="auto"/>
        <w:right w:val="none" w:sz="0" w:space="0" w:color="auto"/>
      </w:divBdr>
    </w:div>
    <w:div w:id="771826567">
      <w:bodyDiv w:val="1"/>
      <w:marLeft w:val="0"/>
      <w:marRight w:val="0"/>
      <w:marTop w:val="0"/>
      <w:marBottom w:val="0"/>
      <w:divBdr>
        <w:top w:val="none" w:sz="0" w:space="0" w:color="auto"/>
        <w:left w:val="none" w:sz="0" w:space="0" w:color="auto"/>
        <w:bottom w:val="none" w:sz="0" w:space="0" w:color="auto"/>
        <w:right w:val="none" w:sz="0" w:space="0" w:color="auto"/>
      </w:divBdr>
      <w:divsChild>
        <w:div w:id="1280524326">
          <w:marLeft w:val="0"/>
          <w:marRight w:val="0"/>
          <w:marTop w:val="0"/>
          <w:marBottom w:val="0"/>
          <w:divBdr>
            <w:top w:val="none" w:sz="0" w:space="0" w:color="auto"/>
            <w:left w:val="none" w:sz="0" w:space="0" w:color="auto"/>
            <w:bottom w:val="none" w:sz="0" w:space="0" w:color="auto"/>
            <w:right w:val="none" w:sz="0" w:space="0" w:color="auto"/>
          </w:divBdr>
        </w:div>
      </w:divsChild>
    </w:div>
    <w:div w:id="777454753">
      <w:bodyDiv w:val="1"/>
      <w:marLeft w:val="0"/>
      <w:marRight w:val="0"/>
      <w:marTop w:val="0"/>
      <w:marBottom w:val="0"/>
      <w:divBdr>
        <w:top w:val="none" w:sz="0" w:space="0" w:color="auto"/>
        <w:left w:val="none" w:sz="0" w:space="0" w:color="auto"/>
        <w:bottom w:val="none" w:sz="0" w:space="0" w:color="auto"/>
        <w:right w:val="none" w:sz="0" w:space="0" w:color="auto"/>
      </w:divBdr>
    </w:div>
    <w:div w:id="843010650">
      <w:bodyDiv w:val="1"/>
      <w:marLeft w:val="0"/>
      <w:marRight w:val="0"/>
      <w:marTop w:val="0"/>
      <w:marBottom w:val="0"/>
      <w:divBdr>
        <w:top w:val="none" w:sz="0" w:space="0" w:color="auto"/>
        <w:left w:val="none" w:sz="0" w:space="0" w:color="auto"/>
        <w:bottom w:val="none" w:sz="0" w:space="0" w:color="auto"/>
        <w:right w:val="none" w:sz="0" w:space="0" w:color="auto"/>
      </w:divBdr>
    </w:div>
    <w:div w:id="866406564">
      <w:bodyDiv w:val="1"/>
      <w:marLeft w:val="0"/>
      <w:marRight w:val="0"/>
      <w:marTop w:val="0"/>
      <w:marBottom w:val="0"/>
      <w:divBdr>
        <w:top w:val="none" w:sz="0" w:space="0" w:color="auto"/>
        <w:left w:val="none" w:sz="0" w:space="0" w:color="auto"/>
        <w:bottom w:val="none" w:sz="0" w:space="0" w:color="auto"/>
        <w:right w:val="none" w:sz="0" w:space="0" w:color="auto"/>
      </w:divBdr>
    </w:div>
    <w:div w:id="890925461">
      <w:bodyDiv w:val="1"/>
      <w:marLeft w:val="0"/>
      <w:marRight w:val="0"/>
      <w:marTop w:val="0"/>
      <w:marBottom w:val="0"/>
      <w:divBdr>
        <w:top w:val="none" w:sz="0" w:space="0" w:color="auto"/>
        <w:left w:val="none" w:sz="0" w:space="0" w:color="auto"/>
        <w:bottom w:val="none" w:sz="0" w:space="0" w:color="auto"/>
        <w:right w:val="none" w:sz="0" w:space="0" w:color="auto"/>
      </w:divBdr>
      <w:divsChild>
        <w:div w:id="1485314898">
          <w:marLeft w:val="0"/>
          <w:marRight w:val="0"/>
          <w:marTop w:val="0"/>
          <w:marBottom w:val="0"/>
          <w:divBdr>
            <w:top w:val="none" w:sz="0" w:space="0" w:color="auto"/>
            <w:left w:val="none" w:sz="0" w:space="0" w:color="auto"/>
            <w:bottom w:val="none" w:sz="0" w:space="0" w:color="auto"/>
            <w:right w:val="none" w:sz="0" w:space="0" w:color="auto"/>
          </w:divBdr>
          <w:divsChild>
            <w:div w:id="2084645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750553">
      <w:bodyDiv w:val="1"/>
      <w:marLeft w:val="0"/>
      <w:marRight w:val="0"/>
      <w:marTop w:val="0"/>
      <w:marBottom w:val="0"/>
      <w:divBdr>
        <w:top w:val="none" w:sz="0" w:space="0" w:color="auto"/>
        <w:left w:val="none" w:sz="0" w:space="0" w:color="auto"/>
        <w:bottom w:val="none" w:sz="0" w:space="0" w:color="auto"/>
        <w:right w:val="none" w:sz="0" w:space="0" w:color="auto"/>
      </w:divBdr>
      <w:divsChild>
        <w:div w:id="1692536604">
          <w:marLeft w:val="0"/>
          <w:marRight w:val="0"/>
          <w:marTop w:val="0"/>
          <w:marBottom w:val="0"/>
          <w:divBdr>
            <w:top w:val="none" w:sz="0" w:space="0" w:color="auto"/>
            <w:left w:val="none" w:sz="0" w:space="0" w:color="auto"/>
            <w:bottom w:val="none" w:sz="0" w:space="0" w:color="auto"/>
            <w:right w:val="none" w:sz="0" w:space="0" w:color="auto"/>
          </w:divBdr>
          <w:divsChild>
            <w:div w:id="56252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434207">
      <w:bodyDiv w:val="1"/>
      <w:marLeft w:val="0"/>
      <w:marRight w:val="0"/>
      <w:marTop w:val="0"/>
      <w:marBottom w:val="0"/>
      <w:divBdr>
        <w:top w:val="none" w:sz="0" w:space="0" w:color="auto"/>
        <w:left w:val="none" w:sz="0" w:space="0" w:color="auto"/>
        <w:bottom w:val="none" w:sz="0" w:space="0" w:color="auto"/>
        <w:right w:val="none" w:sz="0" w:space="0" w:color="auto"/>
      </w:divBdr>
    </w:div>
    <w:div w:id="1167751428">
      <w:bodyDiv w:val="1"/>
      <w:marLeft w:val="0"/>
      <w:marRight w:val="0"/>
      <w:marTop w:val="0"/>
      <w:marBottom w:val="0"/>
      <w:divBdr>
        <w:top w:val="none" w:sz="0" w:space="0" w:color="auto"/>
        <w:left w:val="none" w:sz="0" w:space="0" w:color="auto"/>
        <w:bottom w:val="none" w:sz="0" w:space="0" w:color="auto"/>
        <w:right w:val="none" w:sz="0" w:space="0" w:color="auto"/>
      </w:divBdr>
    </w:div>
    <w:div w:id="1220365585">
      <w:bodyDiv w:val="1"/>
      <w:marLeft w:val="0"/>
      <w:marRight w:val="0"/>
      <w:marTop w:val="0"/>
      <w:marBottom w:val="0"/>
      <w:divBdr>
        <w:top w:val="none" w:sz="0" w:space="0" w:color="auto"/>
        <w:left w:val="none" w:sz="0" w:space="0" w:color="auto"/>
        <w:bottom w:val="none" w:sz="0" w:space="0" w:color="auto"/>
        <w:right w:val="none" w:sz="0" w:space="0" w:color="auto"/>
      </w:divBdr>
      <w:divsChild>
        <w:div w:id="88351808">
          <w:marLeft w:val="0"/>
          <w:marRight w:val="0"/>
          <w:marTop w:val="0"/>
          <w:marBottom w:val="0"/>
          <w:divBdr>
            <w:top w:val="none" w:sz="0" w:space="0" w:color="auto"/>
            <w:left w:val="none" w:sz="0" w:space="0" w:color="auto"/>
            <w:bottom w:val="none" w:sz="0" w:space="0" w:color="auto"/>
            <w:right w:val="none" w:sz="0" w:space="0" w:color="auto"/>
          </w:divBdr>
          <w:divsChild>
            <w:div w:id="200824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588991">
      <w:bodyDiv w:val="1"/>
      <w:marLeft w:val="0"/>
      <w:marRight w:val="0"/>
      <w:marTop w:val="0"/>
      <w:marBottom w:val="0"/>
      <w:divBdr>
        <w:top w:val="none" w:sz="0" w:space="0" w:color="auto"/>
        <w:left w:val="none" w:sz="0" w:space="0" w:color="auto"/>
        <w:bottom w:val="none" w:sz="0" w:space="0" w:color="auto"/>
        <w:right w:val="none" w:sz="0" w:space="0" w:color="auto"/>
      </w:divBdr>
    </w:div>
    <w:div w:id="1301957941">
      <w:bodyDiv w:val="1"/>
      <w:marLeft w:val="0"/>
      <w:marRight w:val="0"/>
      <w:marTop w:val="0"/>
      <w:marBottom w:val="0"/>
      <w:divBdr>
        <w:top w:val="none" w:sz="0" w:space="0" w:color="auto"/>
        <w:left w:val="none" w:sz="0" w:space="0" w:color="auto"/>
        <w:bottom w:val="none" w:sz="0" w:space="0" w:color="auto"/>
        <w:right w:val="none" w:sz="0" w:space="0" w:color="auto"/>
      </w:divBdr>
    </w:div>
    <w:div w:id="1334652033">
      <w:bodyDiv w:val="1"/>
      <w:marLeft w:val="0"/>
      <w:marRight w:val="0"/>
      <w:marTop w:val="0"/>
      <w:marBottom w:val="0"/>
      <w:divBdr>
        <w:top w:val="none" w:sz="0" w:space="0" w:color="auto"/>
        <w:left w:val="none" w:sz="0" w:space="0" w:color="auto"/>
        <w:bottom w:val="none" w:sz="0" w:space="0" w:color="auto"/>
        <w:right w:val="none" w:sz="0" w:space="0" w:color="auto"/>
      </w:divBdr>
    </w:div>
    <w:div w:id="1343127346">
      <w:bodyDiv w:val="1"/>
      <w:marLeft w:val="0"/>
      <w:marRight w:val="0"/>
      <w:marTop w:val="0"/>
      <w:marBottom w:val="0"/>
      <w:divBdr>
        <w:top w:val="none" w:sz="0" w:space="0" w:color="auto"/>
        <w:left w:val="none" w:sz="0" w:space="0" w:color="auto"/>
        <w:bottom w:val="none" w:sz="0" w:space="0" w:color="auto"/>
        <w:right w:val="none" w:sz="0" w:space="0" w:color="auto"/>
      </w:divBdr>
    </w:div>
    <w:div w:id="1396927822">
      <w:bodyDiv w:val="1"/>
      <w:marLeft w:val="0"/>
      <w:marRight w:val="0"/>
      <w:marTop w:val="0"/>
      <w:marBottom w:val="0"/>
      <w:divBdr>
        <w:top w:val="none" w:sz="0" w:space="0" w:color="auto"/>
        <w:left w:val="none" w:sz="0" w:space="0" w:color="auto"/>
        <w:bottom w:val="none" w:sz="0" w:space="0" w:color="auto"/>
        <w:right w:val="none" w:sz="0" w:space="0" w:color="auto"/>
      </w:divBdr>
    </w:div>
    <w:div w:id="1418092879">
      <w:bodyDiv w:val="1"/>
      <w:marLeft w:val="0"/>
      <w:marRight w:val="0"/>
      <w:marTop w:val="0"/>
      <w:marBottom w:val="0"/>
      <w:divBdr>
        <w:top w:val="none" w:sz="0" w:space="0" w:color="auto"/>
        <w:left w:val="none" w:sz="0" w:space="0" w:color="auto"/>
        <w:bottom w:val="none" w:sz="0" w:space="0" w:color="auto"/>
        <w:right w:val="none" w:sz="0" w:space="0" w:color="auto"/>
      </w:divBdr>
    </w:div>
    <w:div w:id="1469586067">
      <w:bodyDiv w:val="1"/>
      <w:marLeft w:val="0"/>
      <w:marRight w:val="0"/>
      <w:marTop w:val="0"/>
      <w:marBottom w:val="0"/>
      <w:divBdr>
        <w:top w:val="none" w:sz="0" w:space="0" w:color="auto"/>
        <w:left w:val="none" w:sz="0" w:space="0" w:color="auto"/>
        <w:bottom w:val="none" w:sz="0" w:space="0" w:color="auto"/>
        <w:right w:val="none" w:sz="0" w:space="0" w:color="auto"/>
      </w:divBdr>
    </w:div>
    <w:div w:id="1510488342">
      <w:bodyDiv w:val="1"/>
      <w:marLeft w:val="0"/>
      <w:marRight w:val="0"/>
      <w:marTop w:val="0"/>
      <w:marBottom w:val="0"/>
      <w:divBdr>
        <w:top w:val="none" w:sz="0" w:space="0" w:color="auto"/>
        <w:left w:val="none" w:sz="0" w:space="0" w:color="auto"/>
        <w:bottom w:val="none" w:sz="0" w:space="0" w:color="auto"/>
        <w:right w:val="none" w:sz="0" w:space="0" w:color="auto"/>
      </w:divBdr>
    </w:div>
    <w:div w:id="1533760219">
      <w:bodyDiv w:val="1"/>
      <w:marLeft w:val="0"/>
      <w:marRight w:val="0"/>
      <w:marTop w:val="0"/>
      <w:marBottom w:val="0"/>
      <w:divBdr>
        <w:top w:val="none" w:sz="0" w:space="0" w:color="auto"/>
        <w:left w:val="none" w:sz="0" w:space="0" w:color="auto"/>
        <w:bottom w:val="none" w:sz="0" w:space="0" w:color="auto"/>
        <w:right w:val="none" w:sz="0" w:space="0" w:color="auto"/>
      </w:divBdr>
    </w:div>
    <w:div w:id="1538271334">
      <w:bodyDiv w:val="1"/>
      <w:marLeft w:val="0"/>
      <w:marRight w:val="0"/>
      <w:marTop w:val="0"/>
      <w:marBottom w:val="0"/>
      <w:divBdr>
        <w:top w:val="none" w:sz="0" w:space="0" w:color="auto"/>
        <w:left w:val="none" w:sz="0" w:space="0" w:color="auto"/>
        <w:bottom w:val="none" w:sz="0" w:space="0" w:color="auto"/>
        <w:right w:val="none" w:sz="0" w:space="0" w:color="auto"/>
      </w:divBdr>
      <w:divsChild>
        <w:div w:id="1946420969">
          <w:marLeft w:val="0"/>
          <w:marRight w:val="0"/>
          <w:marTop w:val="0"/>
          <w:marBottom w:val="0"/>
          <w:divBdr>
            <w:top w:val="none" w:sz="0" w:space="0" w:color="auto"/>
            <w:left w:val="none" w:sz="0" w:space="0" w:color="auto"/>
            <w:bottom w:val="none" w:sz="0" w:space="0" w:color="auto"/>
            <w:right w:val="none" w:sz="0" w:space="0" w:color="auto"/>
          </w:divBdr>
        </w:div>
      </w:divsChild>
    </w:div>
    <w:div w:id="1625844310">
      <w:bodyDiv w:val="1"/>
      <w:marLeft w:val="0"/>
      <w:marRight w:val="0"/>
      <w:marTop w:val="0"/>
      <w:marBottom w:val="0"/>
      <w:divBdr>
        <w:top w:val="none" w:sz="0" w:space="0" w:color="auto"/>
        <w:left w:val="none" w:sz="0" w:space="0" w:color="auto"/>
        <w:bottom w:val="none" w:sz="0" w:space="0" w:color="auto"/>
        <w:right w:val="none" w:sz="0" w:space="0" w:color="auto"/>
      </w:divBdr>
    </w:div>
    <w:div w:id="1626958073">
      <w:bodyDiv w:val="1"/>
      <w:marLeft w:val="0"/>
      <w:marRight w:val="0"/>
      <w:marTop w:val="0"/>
      <w:marBottom w:val="0"/>
      <w:divBdr>
        <w:top w:val="none" w:sz="0" w:space="0" w:color="auto"/>
        <w:left w:val="none" w:sz="0" w:space="0" w:color="auto"/>
        <w:bottom w:val="none" w:sz="0" w:space="0" w:color="auto"/>
        <w:right w:val="none" w:sz="0" w:space="0" w:color="auto"/>
      </w:divBdr>
    </w:div>
    <w:div w:id="1904753349">
      <w:bodyDiv w:val="1"/>
      <w:marLeft w:val="0"/>
      <w:marRight w:val="0"/>
      <w:marTop w:val="0"/>
      <w:marBottom w:val="0"/>
      <w:divBdr>
        <w:top w:val="none" w:sz="0" w:space="0" w:color="auto"/>
        <w:left w:val="none" w:sz="0" w:space="0" w:color="auto"/>
        <w:bottom w:val="none" w:sz="0" w:space="0" w:color="auto"/>
        <w:right w:val="none" w:sz="0" w:space="0" w:color="auto"/>
      </w:divBdr>
    </w:div>
    <w:div w:id="1926567977">
      <w:bodyDiv w:val="1"/>
      <w:marLeft w:val="0"/>
      <w:marRight w:val="0"/>
      <w:marTop w:val="0"/>
      <w:marBottom w:val="0"/>
      <w:divBdr>
        <w:top w:val="none" w:sz="0" w:space="0" w:color="auto"/>
        <w:left w:val="none" w:sz="0" w:space="0" w:color="auto"/>
        <w:bottom w:val="none" w:sz="0" w:space="0" w:color="auto"/>
        <w:right w:val="none" w:sz="0" w:space="0" w:color="auto"/>
      </w:divBdr>
    </w:div>
    <w:div w:id="1941447722">
      <w:bodyDiv w:val="1"/>
      <w:marLeft w:val="0"/>
      <w:marRight w:val="0"/>
      <w:marTop w:val="0"/>
      <w:marBottom w:val="0"/>
      <w:divBdr>
        <w:top w:val="none" w:sz="0" w:space="0" w:color="auto"/>
        <w:left w:val="none" w:sz="0" w:space="0" w:color="auto"/>
        <w:bottom w:val="none" w:sz="0" w:space="0" w:color="auto"/>
        <w:right w:val="none" w:sz="0" w:space="0" w:color="auto"/>
      </w:divBdr>
    </w:div>
    <w:div w:id="1960259404">
      <w:bodyDiv w:val="1"/>
      <w:marLeft w:val="0"/>
      <w:marRight w:val="0"/>
      <w:marTop w:val="0"/>
      <w:marBottom w:val="0"/>
      <w:divBdr>
        <w:top w:val="none" w:sz="0" w:space="0" w:color="auto"/>
        <w:left w:val="none" w:sz="0" w:space="0" w:color="auto"/>
        <w:bottom w:val="none" w:sz="0" w:space="0" w:color="auto"/>
        <w:right w:val="none" w:sz="0" w:space="0" w:color="auto"/>
      </w:divBdr>
    </w:div>
    <w:div w:id="2042783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hgplc.com/~/media/Files/I/Ihg-Plc/investors/annual-report/2023/ihg-2023-annual-report-and-form-20-f.pdf" TargetMode="External"/><Relationship Id="rId18" Type="http://schemas.openxmlformats.org/officeDocument/2006/relationships/hyperlink" Target="https://doi.org/10.2307/239222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hgplc.com/en/about-us" TargetMode="External"/><Relationship Id="rId17" Type="http://schemas.openxmlformats.org/officeDocument/2006/relationships/hyperlink" Target="https://www.investopedia.com/terms/o/organizational-structure.asp" TargetMode="External"/><Relationship Id="rId2" Type="http://schemas.openxmlformats.org/officeDocument/2006/relationships/customXml" Target="../customXml/item2.xml"/><Relationship Id="rId16" Type="http://schemas.openxmlformats.org/officeDocument/2006/relationships/hyperlink" Target="https://www.ihgplc.com/en/about-us/our-strateg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obaldata.com/company-profile/intercontinental-hotels-group-plc/" TargetMode="External"/><Relationship Id="rId5" Type="http://schemas.openxmlformats.org/officeDocument/2006/relationships/webSettings" Target="webSettings.xml"/><Relationship Id="rId15" Type="http://schemas.openxmlformats.org/officeDocument/2006/relationships/hyperlink" Target="https://www.ihgplc.com/en/about-us/what-we-stand-for#:~:text=Our%20culture%20of%20Diversity%2C%20Equity%20and%20Inclusion&amp;text=Working%20in%20hotels%20and%20offices,world%20such%20a%20wonderful%20place" TargetMode="External"/><Relationship Id="rId10" Type="http://schemas.openxmlformats.org/officeDocument/2006/relationships/hyperlink" Target="https://doi.org/10.1177/105960118801300302"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10686967.1999.11919208" TargetMode="External"/><Relationship Id="rId14" Type="http://schemas.openxmlformats.org/officeDocument/2006/relationships/hyperlink" Target="https://www.ihgplc.com/~/media/Files/I/Ihg-Plc/investors/annual-report/2023/downloads/governance-report-ar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99A50E-1917-46EA-9281-374117B60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13</Pages>
  <Words>2747</Words>
  <Characters>15663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Organisational Report- InterContinental Hotels Group</vt:lpstr>
    </vt:vector>
  </TitlesOfParts>
  <Company/>
  <LinksUpToDate>false</LinksUpToDate>
  <CharactersWithSpaces>18374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Report- InterContinental Hotels Group</dc:title>
  <dc:subject>Module: Management and Organisational Behaviour, code BMIH5004</dc:subject>
  <dc:creator>Constantin-Bogdan Rusu</dc:creator>
  <cp:keywords/>
  <dc:description/>
  <cp:lastModifiedBy>sonia badulescu</cp:lastModifiedBy>
  <cp:revision>38</cp:revision>
  <dcterms:created xsi:type="dcterms:W3CDTF">2024-05-31T10:34:00Z</dcterms:created>
  <dcterms:modified xsi:type="dcterms:W3CDTF">2024-05-31T21:20:00Z</dcterms:modified>
</cp:coreProperties>
</file>