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500" w:rsidRPr="00153500" w:rsidRDefault="00413C27" w:rsidP="007A4F01">
      <w:pPr>
        <w:jc w:val="center"/>
        <w:rPr>
          <w:rFonts w:ascii="Palatino Linotype" w:hAnsi="Palatino Linotype"/>
          <w:sz w:val="28"/>
          <w:szCs w:val="28"/>
        </w:rPr>
      </w:pPr>
      <w:bookmarkStart w:id="0" w:name="_GoBack"/>
      <w:bookmarkEnd w:id="0"/>
      <w:r>
        <w:rPr>
          <w:rFonts w:ascii="Palatino Linotype" w:hAnsi="Palatino Linotype"/>
          <w:sz w:val="28"/>
          <w:szCs w:val="28"/>
        </w:rPr>
        <w:t>Contemporary Animism and the Meaning Behind ‘Other than Human’</w:t>
      </w:r>
    </w:p>
    <w:p w:rsidR="003B577E" w:rsidRDefault="003B577E">
      <w:pPr>
        <w:rPr>
          <w:rFonts w:ascii="Palatino Linotype" w:hAnsi="Palatino Linotype"/>
        </w:rPr>
      </w:pPr>
    </w:p>
    <w:p w:rsidR="007542D1" w:rsidRPr="0004456D" w:rsidRDefault="003B577E">
      <w:pPr>
        <w:rPr>
          <w:rFonts w:ascii="Palatino Linotype" w:hAnsi="Palatino Linotype"/>
        </w:rPr>
      </w:pPr>
      <w:r w:rsidRPr="0004456D">
        <w:rPr>
          <w:rFonts w:ascii="Palatino Linotype" w:hAnsi="Palatino Linotype"/>
        </w:rPr>
        <w:t>In this essay, I aim to outline what Animism is, and where it aligns in modern societies</w:t>
      </w:r>
      <w:r w:rsidR="00061C7D" w:rsidRPr="00235360">
        <w:rPr>
          <w:rFonts w:ascii="Palatino Linotype" w:hAnsi="Palatino Linotype"/>
          <w:noProof/>
        </w:rPr>
        <w:t>;</w:t>
      </w:r>
      <w:r w:rsidR="00061C7D">
        <w:rPr>
          <w:rFonts w:ascii="Palatino Linotype" w:hAnsi="Palatino Linotype"/>
        </w:rPr>
        <w:t xml:space="preserve"> I will first introduce the original concepts of the beliefs</w:t>
      </w:r>
      <w:r w:rsidR="0015282E">
        <w:rPr>
          <w:rFonts w:ascii="Palatino Linotype" w:hAnsi="Palatino Linotype"/>
        </w:rPr>
        <w:t xml:space="preserve"> and theories of their development</w:t>
      </w:r>
      <w:r w:rsidR="00061C7D">
        <w:rPr>
          <w:rFonts w:ascii="Palatino Linotype" w:hAnsi="Palatino Linotype"/>
        </w:rPr>
        <w:t xml:space="preserve">, and indeed the </w:t>
      </w:r>
      <w:r w:rsidR="003B2B95">
        <w:rPr>
          <w:rFonts w:ascii="Palatino Linotype" w:hAnsi="Palatino Linotype"/>
        </w:rPr>
        <w:t>people that practice such beliefs</w:t>
      </w:r>
      <w:r w:rsidR="00061C7D">
        <w:rPr>
          <w:rFonts w:ascii="Palatino Linotype" w:hAnsi="Palatino Linotype"/>
        </w:rPr>
        <w:t>,</w:t>
      </w:r>
      <w:r w:rsidR="005819B1">
        <w:rPr>
          <w:rFonts w:ascii="Palatino Linotype" w:hAnsi="Palatino Linotype"/>
        </w:rPr>
        <w:t xml:space="preserve"> in literature </w:t>
      </w:r>
      <w:r w:rsidR="00061C7D">
        <w:rPr>
          <w:rFonts w:ascii="Palatino Linotype" w:hAnsi="Palatino Linotype"/>
        </w:rPr>
        <w:t>dating back to the 19</w:t>
      </w:r>
      <w:r w:rsidR="00061C7D" w:rsidRPr="00061C7D">
        <w:rPr>
          <w:rFonts w:ascii="Palatino Linotype" w:hAnsi="Palatino Linotype"/>
          <w:vertAlign w:val="superscript"/>
        </w:rPr>
        <w:t>th</w:t>
      </w:r>
      <w:r w:rsidR="00061C7D">
        <w:rPr>
          <w:rFonts w:ascii="Palatino Linotype" w:hAnsi="Palatino Linotype"/>
        </w:rPr>
        <w:t xml:space="preserve"> Century. Although much of the work from this period is no longer recognisable as </w:t>
      </w:r>
      <w:r w:rsidR="00B51790">
        <w:rPr>
          <w:rFonts w:ascii="Palatino Linotype" w:hAnsi="Palatino Linotype"/>
        </w:rPr>
        <w:t>a</w:t>
      </w:r>
      <w:r w:rsidR="00061C7D">
        <w:rPr>
          <w:rFonts w:ascii="Palatino Linotype" w:hAnsi="Palatino Linotype"/>
        </w:rPr>
        <w:t>nthropology as</w:t>
      </w:r>
      <w:r w:rsidR="00B76256">
        <w:rPr>
          <w:rFonts w:ascii="Palatino Linotype" w:hAnsi="Palatino Linotype"/>
        </w:rPr>
        <w:t xml:space="preserve"> it</w:t>
      </w:r>
      <w:r w:rsidR="00061C7D">
        <w:rPr>
          <w:rFonts w:ascii="Palatino Linotype" w:hAnsi="Palatino Linotype"/>
        </w:rPr>
        <w:t xml:space="preserve"> is </w:t>
      </w:r>
      <w:r w:rsidR="00061C7D" w:rsidRPr="00701BD3">
        <w:rPr>
          <w:rFonts w:ascii="Palatino Linotype" w:hAnsi="Palatino Linotype"/>
          <w:noProof/>
        </w:rPr>
        <w:t>practi</w:t>
      </w:r>
      <w:r w:rsidR="00701BD3">
        <w:rPr>
          <w:rFonts w:ascii="Palatino Linotype" w:hAnsi="Palatino Linotype"/>
          <w:noProof/>
        </w:rPr>
        <w:t>s</w:t>
      </w:r>
      <w:r w:rsidR="00061C7D" w:rsidRPr="00701BD3">
        <w:rPr>
          <w:rFonts w:ascii="Palatino Linotype" w:hAnsi="Palatino Linotype"/>
          <w:noProof/>
        </w:rPr>
        <w:t>ed</w:t>
      </w:r>
      <w:r w:rsidR="00061C7D">
        <w:rPr>
          <w:rFonts w:ascii="Palatino Linotype" w:hAnsi="Palatino Linotype"/>
        </w:rPr>
        <w:t xml:space="preserve"> today, there are surviving elements of </w:t>
      </w:r>
      <w:r w:rsidR="00061C7D" w:rsidRPr="00701BD3">
        <w:rPr>
          <w:rFonts w:ascii="Palatino Linotype" w:hAnsi="Palatino Linotype"/>
          <w:noProof/>
        </w:rPr>
        <w:t>well</w:t>
      </w:r>
      <w:r w:rsidR="00701BD3">
        <w:rPr>
          <w:rFonts w:ascii="Palatino Linotype" w:hAnsi="Palatino Linotype"/>
          <w:noProof/>
        </w:rPr>
        <w:t>-</w:t>
      </w:r>
      <w:r w:rsidR="00061C7D" w:rsidRPr="00701BD3">
        <w:rPr>
          <w:rFonts w:ascii="Palatino Linotype" w:hAnsi="Palatino Linotype"/>
          <w:noProof/>
        </w:rPr>
        <w:t>outdated</w:t>
      </w:r>
      <w:r w:rsidR="00061C7D">
        <w:rPr>
          <w:rFonts w:ascii="Palatino Linotype" w:hAnsi="Palatino Linotype"/>
        </w:rPr>
        <w:t xml:space="preserve"> theories</w:t>
      </w:r>
      <w:r w:rsidR="00B76256">
        <w:rPr>
          <w:rFonts w:ascii="Palatino Linotype" w:hAnsi="Palatino Linotype"/>
        </w:rPr>
        <w:t xml:space="preserve"> and</w:t>
      </w:r>
      <w:r w:rsidR="00153500">
        <w:rPr>
          <w:rFonts w:ascii="Palatino Linotype" w:hAnsi="Palatino Linotype"/>
        </w:rPr>
        <w:t xml:space="preserve"> assertions</w:t>
      </w:r>
      <w:r w:rsidR="00630E48">
        <w:rPr>
          <w:rFonts w:ascii="Palatino Linotype" w:hAnsi="Palatino Linotype"/>
        </w:rPr>
        <w:t xml:space="preserve">, as well as misconceptions of spirit worship, magic and witchcraft. </w:t>
      </w:r>
      <w:r w:rsidR="00AA57F7">
        <w:rPr>
          <w:rFonts w:ascii="Palatino Linotype" w:hAnsi="Palatino Linotype"/>
        </w:rPr>
        <w:t xml:space="preserve">In contrast to this, there were many scholars at the time beginning to think outside the ‘box’ of colonial anthropology; Europeans had become obsessed with attempting to </w:t>
      </w:r>
      <w:r w:rsidR="00126977">
        <w:rPr>
          <w:rFonts w:ascii="Palatino Linotype" w:hAnsi="Palatino Linotype"/>
        </w:rPr>
        <w:t>categorise</w:t>
      </w:r>
      <w:r w:rsidR="00AA57F7">
        <w:rPr>
          <w:rFonts w:ascii="Palatino Linotype" w:hAnsi="Palatino Linotype"/>
        </w:rPr>
        <w:t xml:space="preserve"> and </w:t>
      </w:r>
      <w:r w:rsidR="00126977">
        <w:rPr>
          <w:rFonts w:ascii="Palatino Linotype" w:hAnsi="Palatino Linotype"/>
        </w:rPr>
        <w:t>analyse</w:t>
      </w:r>
      <w:r w:rsidR="00AA57F7">
        <w:rPr>
          <w:rFonts w:ascii="Palatino Linotype" w:hAnsi="Palatino Linotype"/>
        </w:rPr>
        <w:t xml:space="preserve"> the cultures of those they had </w:t>
      </w:r>
      <w:r w:rsidR="00AA57F7" w:rsidRPr="00AA57F7">
        <w:rPr>
          <w:rFonts w:ascii="Palatino Linotype" w:hAnsi="Palatino Linotype"/>
          <w:noProof/>
        </w:rPr>
        <w:t>conquered.</w:t>
      </w:r>
      <w:r w:rsidR="00AA57F7">
        <w:rPr>
          <w:rFonts w:ascii="Palatino Linotype" w:hAnsi="Palatino Linotype"/>
          <w:noProof/>
        </w:rPr>
        <w:t xml:space="preserve"> This often led to </w:t>
      </w:r>
      <w:r w:rsidR="00A2725A">
        <w:rPr>
          <w:rFonts w:ascii="Palatino Linotype" w:hAnsi="Palatino Linotype"/>
          <w:noProof/>
        </w:rPr>
        <w:t xml:space="preserve">the </w:t>
      </w:r>
      <w:r w:rsidR="00AA57F7" w:rsidRPr="00A2725A">
        <w:rPr>
          <w:rFonts w:ascii="Palatino Linotype" w:hAnsi="Palatino Linotype"/>
          <w:noProof/>
        </w:rPr>
        <w:t>generalization</w:t>
      </w:r>
      <w:r w:rsidR="00907D69">
        <w:rPr>
          <w:rFonts w:ascii="Palatino Linotype" w:hAnsi="Palatino Linotype"/>
          <w:noProof/>
        </w:rPr>
        <w:t xml:space="preserve"> of terms, suggestions of inferiority and questions of validity</w:t>
      </w:r>
      <w:r w:rsidR="006F72E7">
        <w:rPr>
          <w:rFonts w:ascii="Palatino Linotype" w:hAnsi="Palatino Linotype"/>
          <w:noProof/>
        </w:rPr>
        <w:t>, rationality and intellect</w:t>
      </w:r>
      <w:r w:rsidR="00907D69">
        <w:rPr>
          <w:rFonts w:ascii="Palatino Linotype" w:hAnsi="Palatino Linotype"/>
          <w:noProof/>
        </w:rPr>
        <w:t>; many anthropologists of the time were motivated by science</w:t>
      </w:r>
      <w:r w:rsidR="00061215">
        <w:rPr>
          <w:rFonts w:ascii="Palatino Linotype" w:hAnsi="Palatino Linotype"/>
          <w:noProof/>
        </w:rPr>
        <w:t xml:space="preserve">, and seemingly incapable of forming unbiased opinions, as the majority of their subjects of </w:t>
      </w:r>
      <w:r w:rsidR="00061215" w:rsidRPr="00FA6C49">
        <w:rPr>
          <w:rFonts w:ascii="Palatino Linotype" w:hAnsi="Palatino Linotype"/>
          <w:noProof/>
        </w:rPr>
        <w:t>study</w:t>
      </w:r>
      <w:r w:rsidR="00061215">
        <w:rPr>
          <w:rFonts w:ascii="Palatino Linotype" w:hAnsi="Palatino Linotype"/>
          <w:noProof/>
        </w:rPr>
        <w:t xml:space="preserve"> were deemed to be superstitious ‘savages’ and ‘heathens’</w:t>
      </w:r>
      <w:r w:rsidR="006F72E7">
        <w:rPr>
          <w:rFonts w:ascii="Palatino Linotype" w:hAnsi="Palatino Linotype"/>
          <w:noProof/>
        </w:rPr>
        <w:t>.</w:t>
      </w:r>
    </w:p>
    <w:p w:rsidR="00FA6C49" w:rsidRDefault="00815406" w:rsidP="008F67D3">
      <w:pPr>
        <w:rPr>
          <w:rFonts w:ascii="Palatino Linotype" w:hAnsi="Palatino Linotype" w:cs="Arial"/>
          <w:color w:val="222222"/>
          <w:shd w:val="clear" w:color="auto" w:fill="FFFFFF"/>
        </w:rPr>
      </w:pPr>
      <w:r w:rsidRPr="0004456D">
        <w:rPr>
          <w:rFonts w:ascii="Palatino Linotype" w:hAnsi="Palatino Linotype"/>
        </w:rPr>
        <w:t xml:space="preserve">Anthropology in Religion has developed considerably over the years since its conception; Edward Tylor’s book, </w:t>
      </w:r>
      <w:r w:rsidRPr="0004456D">
        <w:rPr>
          <w:rFonts w:ascii="Palatino Linotype" w:hAnsi="Palatino Linotype"/>
          <w:i/>
        </w:rPr>
        <w:t>Primitive Culture</w:t>
      </w:r>
      <w:r w:rsidRPr="0004456D">
        <w:rPr>
          <w:rFonts w:ascii="Palatino Linotype" w:hAnsi="Palatino Linotype"/>
        </w:rPr>
        <w:t>, published in 1871 outlined what he believed to be the ‘essence of religion’</w:t>
      </w:r>
      <w:r w:rsidR="00C06E77" w:rsidRPr="0004456D">
        <w:rPr>
          <w:rFonts w:ascii="Palatino Linotype" w:hAnsi="Palatino Linotype"/>
        </w:rPr>
        <w:t xml:space="preserve">, which though it was not received well even at the time, it seems to have had an impact lasting nearly 150 years; the modern dictionary citing for </w:t>
      </w:r>
      <w:r w:rsidR="00C06E77" w:rsidRPr="0004456D">
        <w:rPr>
          <w:rFonts w:ascii="Palatino Linotype" w:hAnsi="Palatino Linotype"/>
          <w:i/>
        </w:rPr>
        <w:t xml:space="preserve">animism </w:t>
      </w:r>
      <w:r w:rsidR="00C06E77" w:rsidRPr="0004456D">
        <w:rPr>
          <w:rFonts w:ascii="Palatino Linotype" w:hAnsi="Palatino Linotype"/>
        </w:rPr>
        <w:t xml:space="preserve">is thus: </w:t>
      </w:r>
      <w:r w:rsidR="0004456D" w:rsidRPr="0004456D">
        <w:rPr>
          <w:rFonts w:ascii="Palatino Linotype" w:hAnsi="Palatino Linotype"/>
        </w:rPr>
        <w:t>‘</w:t>
      </w:r>
      <w:r w:rsidR="0004456D" w:rsidRPr="0004456D">
        <w:rPr>
          <w:rFonts w:ascii="Palatino Linotype" w:hAnsi="Palatino Linotype" w:cs="Arial"/>
          <w:color w:val="222222"/>
          <w:shd w:val="clear" w:color="auto" w:fill="FFFFFF"/>
        </w:rPr>
        <w:t>the attribution of a living soul to plants, inanimate objects, and natural phenomena.</w:t>
      </w:r>
      <w:r w:rsidR="0004456D">
        <w:rPr>
          <w:rFonts w:ascii="Palatino Linotype" w:hAnsi="Palatino Linotype" w:cs="Arial"/>
          <w:color w:val="222222"/>
          <w:shd w:val="clear" w:color="auto" w:fill="FFFFFF"/>
        </w:rPr>
        <w:t>’</w:t>
      </w:r>
      <w:r w:rsidR="001B6481">
        <w:rPr>
          <w:rFonts w:ascii="Palatino Linotype" w:hAnsi="Palatino Linotype" w:cs="Arial"/>
          <w:color w:val="222222"/>
          <w:shd w:val="clear" w:color="auto" w:fill="FFFFFF"/>
        </w:rPr>
        <w:t xml:space="preserve"> This definition is still in line with Tylor’s notion of animism as an evolutionary basic or ‘primitive’ form of ‘religion’, placing it at the bottom of the pile in his ‘scheme’ of religions, with the rationality of science at the top, making religion unnecessary</w:t>
      </w:r>
      <w:r w:rsidR="005D54A7">
        <w:rPr>
          <w:rFonts w:ascii="Palatino Linotype" w:hAnsi="Palatino Linotype" w:cs="Arial"/>
          <w:color w:val="222222"/>
          <w:shd w:val="clear" w:color="auto" w:fill="FFFFFF"/>
        </w:rPr>
        <w:t>, which can be seen as inspired by Darwin’s earlier theories</w:t>
      </w:r>
      <w:r w:rsidR="001B6481">
        <w:rPr>
          <w:rFonts w:ascii="Palatino Linotype" w:hAnsi="Palatino Linotype" w:cs="Arial"/>
          <w:color w:val="222222"/>
          <w:shd w:val="clear" w:color="auto" w:fill="FFFFFF"/>
        </w:rPr>
        <w:t xml:space="preserve"> (Tylor, 1871). </w:t>
      </w:r>
      <w:r w:rsidR="007B1A0F">
        <w:rPr>
          <w:rFonts w:ascii="Palatino Linotype" w:hAnsi="Palatino Linotype" w:cs="Arial"/>
          <w:color w:val="222222"/>
          <w:shd w:val="clear" w:color="auto" w:fill="FFFFFF"/>
        </w:rPr>
        <w:t xml:space="preserve">For most, Tylor’s misconceptions of the meaning of religion and indeed his methods of conducting and presenting his research do not align with the ethics or responsibilities of anthropologists today. However, it was Tylor himself who coined the term animism, using the Latin word </w:t>
      </w:r>
      <w:r w:rsidR="007B1A0F">
        <w:rPr>
          <w:rFonts w:ascii="Palatino Linotype" w:hAnsi="Palatino Linotype" w:cs="Arial"/>
          <w:i/>
          <w:color w:val="222222"/>
          <w:shd w:val="clear" w:color="auto" w:fill="FFFFFF"/>
        </w:rPr>
        <w:t>anima</w:t>
      </w:r>
      <w:r w:rsidR="007B1A0F">
        <w:rPr>
          <w:rFonts w:ascii="Palatino Linotype" w:hAnsi="Palatino Linotype" w:cs="Arial"/>
          <w:color w:val="222222"/>
          <w:shd w:val="clear" w:color="auto" w:fill="FFFFFF"/>
        </w:rPr>
        <w:t>, meaning ‘soul’, a Christian term itself, with the</w:t>
      </w:r>
      <w:r w:rsidR="000B290C">
        <w:rPr>
          <w:rFonts w:ascii="Palatino Linotype" w:hAnsi="Palatino Linotype" w:cs="Arial"/>
          <w:color w:val="222222"/>
          <w:shd w:val="clear" w:color="auto" w:fill="FFFFFF"/>
        </w:rPr>
        <w:t xml:space="preserve"> suffix</w:t>
      </w:r>
      <w:r w:rsidR="007B1A0F">
        <w:rPr>
          <w:rFonts w:ascii="Palatino Linotype" w:hAnsi="Palatino Linotype" w:cs="Arial"/>
          <w:color w:val="222222"/>
          <w:shd w:val="clear" w:color="auto" w:fill="FFFFFF"/>
        </w:rPr>
        <w:t xml:space="preserve"> ‘</w:t>
      </w:r>
      <w:r w:rsidR="007B1A0F" w:rsidRPr="000B290C">
        <w:rPr>
          <w:rFonts w:ascii="Palatino Linotype" w:hAnsi="Palatino Linotype" w:cs="Arial"/>
          <w:noProof/>
          <w:color w:val="222222"/>
          <w:shd w:val="clear" w:color="auto" w:fill="FFFFFF"/>
        </w:rPr>
        <w:t>ism</w:t>
      </w:r>
      <w:r w:rsidR="007B1A0F">
        <w:rPr>
          <w:rFonts w:ascii="Palatino Linotype" w:hAnsi="Palatino Linotype" w:cs="Arial"/>
          <w:color w:val="222222"/>
          <w:shd w:val="clear" w:color="auto" w:fill="FFFFFF"/>
        </w:rPr>
        <w:t>’ to form a blanket term</w:t>
      </w:r>
      <w:r w:rsidR="000B290C">
        <w:rPr>
          <w:rFonts w:ascii="Palatino Linotype" w:hAnsi="Palatino Linotype" w:cs="Arial"/>
          <w:color w:val="222222"/>
          <w:shd w:val="clear" w:color="auto" w:fill="FFFFFF"/>
        </w:rPr>
        <w:t xml:space="preserve">; as monotheism is the belief in one god, and polytheism the belief in many gods, </w:t>
      </w:r>
      <w:r w:rsidR="000B290C" w:rsidRPr="000B290C">
        <w:rPr>
          <w:rFonts w:ascii="Palatino Linotype" w:hAnsi="Palatino Linotype" w:cs="Arial"/>
          <w:noProof/>
          <w:color w:val="222222"/>
          <w:shd w:val="clear" w:color="auto" w:fill="FFFFFF"/>
        </w:rPr>
        <w:t>animism</w:t>
      </w:r>
      <w:r w:rsidR="000B290C">
        <w:rPr>
          <w:rFonts w:ascii="Palatino Linotype" w:hAnsi="Palatino Linotype" w:cs="Arial"/>
          <w:color w:val="222222"/>
          <w:shd w:val="clear" w:color="auto" w:fill="FFFFFF"/>
        </w:rPr>
        <w:t xml:space="preserve"> for Tylor is everything ‘else’, using a generalized term that is in the same realms as ‘heathens’, an attempt to diminish beliefs by claiming they were invalid or </w:t>
      </w:r>
      <w:r w:rsidR="000B290C" w:rsidRPr="00701BD3">
        <w:rPr>
          <w:rFonts w:ascii="Palatino Linotype" w:hAnsi="Palatino Linotype" w:cs="Arial"/>
          <w:noProof/>
          <w:color w:val="222222"/>
          <w:shd w:val="clear" w:color="auto" w:fill="FFFFFF"/>
        </w:rPr>
        <w:t>irrationa</w:t>
      </w:r>
      <w:r w:rsidR="0066527E" w:rsidRPr="00701BD3">
        <w:rPr>
          <w:rFonts w:ascii="Palatino Linotype" w:hAnsi="Palatino Linotype" w:cs="Arial"/>
          <w:noProof/>
          <w:color w:val="222222"/>
          <w:shd w:val="clear" w:color="auto" w:fill="FFFFFF"/>
        </w:rPr>
        <w:t>l</w:t>
      </w:r>
      <w:r w:rsidR="0066527E">
        <w:rPr>
          <w:rFonts w:ascii="Palatino Linotype" w:hAnsi="Palatino Linotype" w:cs="Arial"/>
          <w:color w:val="222222"/>
          <w:shd w:val="clear" w:color="auto" w:fill="FFFFFF"/>
        </w:rPr>
        <w:t xml:space="preserve"> and simplistic in their origins.</w:t>
      </w:r>
      <w:r w:rsidR="005D54A7">
        <w:rPr>
          <w:rFonts w:ascii="Palatino Linotype" w:hAnsi="Palatino Linotype" w:cs="Arial"/>
          <w:color w:val="222222"/>
          <w:shd w:val="clear" w:color="auto" w:fill="FFFFFF"/>
        </w:rPr>
        <w:t xml:space="preserve"> </w:t>
      </w:r>
    </w:p>
    <w:p w:rsidR="008F67D3" w:rsidRDefault="005D54A7" w:rsidP="008F67D3">
      <w:pPr>
        <w:rPr>
          <w:rFonts w:ascii="Palatino Linotype" w:hAnsi="Palatino Linotype" w:cs="Arial"/>
          <w:color w:val="222222"/>
          <w:shd w:val="clear" w:color="auto" w:fill="FFFFFF"/>
        </w:rPr>
      </w:pPr>
      <w:r>
        <w:rPr>
          <w:rFonts w:ascii="Palatino Linotype" w:hAnsi="Palatino Linotype" w:cs="Arial"/>
          <w:color w:val="222222"/>
          <w:shd w:val="clear" w:color="auto" w:fill="FFFFFF"/>
        </w:rPr>
        <w:t xml:space="preserve">This attitude was common in the era; James Frazer released the first volume of his Classical Study in Magic and Religion; </w:t>
      </w:r>
      <w:r>
        <w:rPr>
          <w:rFonts w:ascii="Palatino Linotype" w:hAnsi="Palatino Linotype" w:cs="Arial"/>
          <w:i/>
          <w:color w:val="222222"/>
          <w:shd w:val="clear" w:color="auto" w:fill="FFFFFF"/>
        </w:rPr>
        <w:t>The Golden Bough</w:t>
      </w:r>
      <w:r>
        <w:rPr>
          <w:rFonts w:ascii="Palatino Linotype" w:hAnsi="Palatino Linotype" w:cs="Arial"/>
          <w:color w:val="222222"/>
          <w:shd w:val="clear" w:color="auto" w:fill="FFFFFF"/>
        </w:rPr>
        <w:t xml:space="preserve"> in 1890, taking specific interest in magic and spirits, with a large section of the later abridged edition (Frazer, 1922) devoted to the worship of trees, tree spirits, and The King of The Wood. Frazer himself admits in the preface that he could not ignore the significance of the story of The Golden Bough, which inspired his title. Yet,</w:t>
      </w:r>
      <w:r w:rsidR="003B577E">
        <w:rPr>
          <w:rFonts w:ascii="Palatino Linotype" w:hAnsi="Palatino Linotype" w:cs="Arial"/>
          <w:color w:val="222222"/>
          <w:shd w:val="clear" w:color="auto" w:fill="FFFFFF"/>
        </w:rPr>
        <w:t xml:space="preserve"> he also claims that the beliefs which he studied and wrote of in such depth </w:t>
      </w:r>
      <w:r w:rsidR="003B577E" w:rsidRPr="00701BD3">
        <w:rPr>
          <w:rFonts w:ascii="Palatino Linotype" w:hAnsi="Palatino Linotype" w:cs="Arial"/>
          <w:noProof/>
          <w:color w:val="222222"/>
          <w:shd w:val="clear" w:color="auto" w:fill="FFFFFF"/>
        </w:rPr>
        <w:t>w</w:t>
      </w:r>
      <w:r w:rsidR="00701BD3">
        <w:rPr>
          <w:rFonts w:ascii="Palatino Linotype" w:hAnsi="Palatino Linotype" w:cs="Arial"/>
          <w:noProof/>
          <w:color w:val="222222"/>
          <w:shd w:val="clear" w:color="auto" w:fill="FFFFFF"/>
        </w:rPr>
        <w:t>ere</w:t>
      </w:r>
      <w:r w:rsidR="003B577E">
        <w:rPr>
          <w:rFonts w:ascii="Palatino Linotype" w:hAnsi="Palatino Linotype" w:cs="Arial"/>
          <w:color w:val="222222"/>
          <w:shd w:val="clear" w:color="auto" w:fill="FFFFFF"/>
        </w:rPr>
        <w:t xml:space="preserve"> ‘not merely false, but preposterous and absurd’; a further</w:t>
      </w:r>
      <w:r>
        <w:rPr>
          <w:rFonts w:ascii="Palatino Linotype" w:hAnsi="Palatino Linotype" w:cs="Arial"/>
          <w:color w:val="222222"/>
          <w:shd w:val="clear" w:color="auto" w:fill="FFFFFF"/>
        </w:rPr>
        <w:t xml:space="preserve"> observation of his later in the book declares that the ‘Savages [speaking of Aborigines] </w:t>
      </w:r>
      <w:r w:rsidRPr="00701BD3">
        <w:rPr>
          <w:rFonts w:ascii="Palatino Linotype" w:hAnsi="Palatino Linotype" w:cs="Arial"/>
          <w:noProof/>
          <w:color w:val="222222"/>
          <w:shd w:val="clear" w:color="auto" w:fill="FFFFFF"/>
        </w:rPr>
        <w:t>practi</w:t>
      </w:r>
      <w:r w:rsidR="00701BD3">
        <w:rPr>
          <w:rFonts w:ascii="Palatino Linotype" w:hAnsi="Palatino Linotype" w:cs="Arial"/>
          <w:noProof/>
          <w:color w:val="222222"/>
          <w:shd w:val="clear" w:color="auto" w:fill="FFFFFF"/>
        </w:rPr>
        <w:t>s</w:t>
      </w:r>
      <w:r w:rsidRPr="00701BD3">
        <w:rPr>
          <w:rFonts w:ascii="Palatino Linotype" w:hAnsi="Palatino Linotype" w:cs="Arial"/>
          <w:noProof/>
          <w:color w:val="222222"/>
          <w:shd w:val="clear" w:color="auto" w:fill="FFFFFF"/>
        </w:rPr>
        <w:t>ed</w:t>
      </w:r>
      <w:r>
        <w:rPr>
          <w:rFonts w:ascii="Palatino Linotype" w:hAnsi="Palatino Linotype" w:cs="Arial"/>
          <w:color w:val="222222"/>
          <w:shd w:val="clear" w:color="auto" w:fill="FFFFFF"/>
        </w:rPr>
        <w:t xml:space="preserve"> </w:t>
      </w:r>
      <w:r>
        <w:rPr>
          <w:rFonts w:ascii="Palatino Linotype" w:hAnsi="Palatino Linotype" w:cs="Arial"/>
          <w:i/>
          <w:color w:val="222222"/>
          <w:shd w:val="clear" w:color="auto" w:fill="FFFFFF"/>
        </w:rPr>
        <w:t>magic</w:t>
      </w:r>
      <w:r>
        <w:rPr>
          <w:rFonts w:ascii="Palatino Linotype" w:hAnsi="Palatino Linotype" w:cs="Arial"/>
          <w:color w:val="222222"/>
          <w:shd w:val="clear" w:color="auto" w:fill="FFFFFF"/>
        </w:rPr>
        <w:t xml:space="preserve">, but did not have religion, in the sense of a propitiation of the higher powers’. </w:t>
      </w:r>
      <w:r w:rsidR="003B577E">
        <w:rPr>
          <w:rFonts w:ascii="Palatino Linotype" w:hAnsi="Palatino Linotype" w:cs="Arial"/>
          <w:color w:val="222222"/>
          <w:shd w:val="clear" w:color="auto" w:fill="FFFFFF"/>
        </w:rPr>
        <w:t xml:space="preserve">It must be noted also that </w:t>
      </w:r>
      <w:r w:rsidR="003B577E">
        <w:rPr>
          <w:rFonts w:ascii="Palatino Linotype" w:hAnsi="Palatino Linotype" w:cs="Arial"/>
          <w:color w:val="222222"/>
          <w:shd w:val="clear" w:color="auto" w:fill="FFFFFF"/>
        </w:rPr>
        <w:lastRenderedPageBreak/>
        <w:t>Frazer included a short disclaimer, welcoming future academics and scholars to challenge his work, and indeed his ‘serious misconceptions’ (Frazer, 1922).</w:t>
      </w:r>
    </w:p>
    <w:p w:rsidR="008F67D3" w:rsidRDefault="008F67D3" w:rsidP="008F67D3">
      <w:pPr>
        <w:rPr>
          <w:rFonts w:ascii="Palatino Linotype" w:hAnsi="Palatino Linotype" w:cs="Arial"/>
          <w:color w:val="222222"/>
          <w:shd w:val="clear" w:color="auto" w:fill="FFFFFF"/>
        </w:rPr>
      </w:pPr>
      <w:r>
        <w:rPr>
          <w:rFonts w:ascii="Palatino Linotype" w:hAnsi="Palatino Linotype" w:cs="Arial"/>
          <w:color w:val="222222"/>
          <w:shd w:val="clear" w:color="auto" w:fill="FFFFFF"/>
        </w:rPr>
        <w:t>Anthropology has, over the years, become a far more objective study; rather than reporting how an experience has affected us</w:t>
      </w:r>
      <w:r w:rsidR="00276306">
        <w:rPr>
          <w:rFonts w:ascii="Palatino Linotype" w:hAnsi="Palatino Linotype" w:cs="Arial"/>
          <w:color w:val="222222"/>
          <w:shd w:val="clear" w:color="auto" w:fill="FFFFFF"/>
        </w:rPr>
        <w:t xml:space="preserve"> as the onlooker</w:t>
      </w:r>
      <w:r>
        <w:rPr>
          <w:rFonts w:ascii="Palatino Linotype" w:hAnsi="Palatino Linotype" w:cs="Arial"/>
          <w:color w:val="222222"/>
          <w:shd w:val="clear" w:color="auto" w:fill="FFFFFF"/>
        </w:rPr>
        <w:t>, we look to describe the event, and attempt to understand what is being experienced by the participators</w:t>
      </w:r>
      <w:r w:rsidR="00730D34">
        <w:rPr>
          <w:rFonts w:ascii="Palatino Linotype" w:hAnsi="Palatino Linotype" w:cs="Arial"/>
          <w:color w:val="222222"/>
          <w:shd w:val="clear" w:color="auto" w:fill="FFFFFF"/>
        </w:rPr>
        <w:t>. Victor Turner and his wife Edith, both revered fieldworkers, scholars and teachers, took this approach straight into the classroom, encouraging students to join them in traditional rituals of African tribes</w:t>
      </w:r>
      <w:r w:rsidR="00892A66">
        <w:rPr>
          <w:rFonts w:ascii="Palatino Linotype" w:hAnsi="Palatino Linotype" w:cs="Arial"/>
          <w:color w:val="222222"/>
          <w:shd w:val="clear" w:color="auto" w:fill="FFFFFF"/>
        </w:rPr>
        <w:t>, encouraging the engagement of imagination</w:t>
      </w:r>
      <w:r w:rsidR="00730D34">
        <w:rPr>
          <w:rFonts w:ascii="Palatino Linotype" w:hAnsi="Palatino Linotype" w:cs="Arial"/>
          <w:color w:val="222222"/>
          <w:shd w:val="clear" w:color="auto" w:fill="FFFFFF"/>
        </w:rPr>
        <w:t xml:space="preserve"> (Turner</w:t>
      </w:r>
      <w:r w:rsidR="00724B3C">
        <w:rPr>
          <w:rFonts w:ascii="Palatino Linotype" w:hAnsi="Palatino Linotype" w:cs="Arial"/>
          <w:color w:val="222222"/>
          <w:shd w:val="clear" w:color="auto" w:fill="FFFFFF"/>
        </w:rPr>
        <w:t xml:space="preserve"> </w:t>
      </w:r>
      <w:r w:rsidR="00906181">
        <w:rPr>
          <w:rFonts w:ascii="Palatino Linotype" w:hAnsi="Palatino Linotype" w:cs="Arial"/>
          <w:color w:val="222222"/>
          <w:shd w:val="clear" w:color="auto" w:fill="FFFFFF"/>
        </w:rPr>
        <w:t>1992</w:t>
      </w:r>
      <w:r w:rsidR="00730D34">
        <w:rPr>
          <w:rFonts w:ascii="Palatino Linotype" w:hAnsi="Palatino Linotype" w:cs="Arial"/>
          <w:color w:val="222222"/>
          <w:shd w:val="clear" w:color="auto" w:fill="FFFFFF"/>
        </w:rPr>
        <w:t>).</w:t>
      </w:r>
      <w:r w:rsidR="009A55DE">
        <w:rPr>
          <w:rFonts w:ascii="Palatino Linotype" w:hAnsi="Palatino Linotype" w:cs="Arial"/>
          <w:color w:val="222222"/>
          <w:shd w:val="clear" w:color="auto" w:fill="FFFFFF"/>
        </w:rPr>
        <w:t xml:space="preserve"> </w:t>
      </w:r>
      <w:r w:rsidR="00892A66">
        <w:rPr>
          <w:rFonts w:ascii="Palatino Linotype" w:hAnsi="Palatino Linotype" w:cs="Arial"/>
          <w:color w:val="222222"/>
          <w:shd w:val="clear" w:color="auto" w:fill="FFFFFF"/>
        </w:rPr>
        <w:t xml:space="preserve">These teaching methods, combined with their efforts in pushing </w:t>
      </w:r>
      <w:r w:rsidR="00892A66" w:rsidRPr="00892A66">
        <w:rPr>
          <w:rFonts w:ascii="Palatino Linotype" w:hAnsi="Palatino Linotype" w:cs="Arial"/>
          <w:noProof/>
          <w:color w:val="222222"/>
          <w:shd w:val="clear" w:color="auto" w:fill="FFFFFF"/>
        </w:rPr>
        <w:t>participant</w:t>
      </w:r>
      <w:r w:rsidR="00892A66">
        <w:rPr>
          <w:rFonts w:ascii="Palatino Linotype" w:hAnsi="Palatino Linotype" w:cs="Arial"/>
          <w:color w:val="222222"/>
          <w:shd w:val="clear" w:color="auto" w:fill="FFFFFF"/>
        </w:rPr>
        <w:t xml:space="preserve"> observation type fieldwork</w:t>
      </w:r>
      <w:r w:rsidR="00AA5260">
        <w:rPr>
          <w:rFonts w:ascii="Palatino Linotype" w:hAnsi="Palatino Linotype" w:cs="Arial"/>
          <w:color w:val="222222"/>
          <w:shd w:val="clear" w:color="auto" w:fill="FFFFFF"/>
        </w:rPr>
        <w:t xml:space="preserve"> (a revolutionary method often </w:t>
      </w:r>
      <w:r w:rsidR="00AA5260" w:rsidRPr="00AA5260">
        <w:rPr>
          <w:rFonts w:ascii="Palatino Linotype" w:hAnsi="Palatino Linotype" w:cs="Arial"/>
          <w:noProof/>
          <w:color w:val="222222"/>
          <w:shd w:val="clear" w:color="auto" w:fill="FFFFFF"/>
        </w:rPr>
        <w:t xml:space="preserve">attributed to </w:t>
      </w:r>
      <w:r w:rsidR="00AA5260">
        <w:rPr>
          <w:rFonts w:ascii="Palatino Linotype" w:hAnsi="Palatino Linotype" w:cs="Arial"/>
          <w:noProof/>
          <w:color w:val="222222"/>
          <w:shd w:val="clear" w:color="auto" w:fill="FFFFFF"/>
        </w:rPr>
        <w:t xml:space="preserve">Malinowski – </w:t>
      </w:r>
      <w:r w:rsidR="00AA5260" w:rsidRPr="00E433E5">
        <w:rPr>
          <w:rFonts w:ascii="Palatino Linotype" w:hAnsi="Palatino Linotype" w:cs="Arial"/>
          <w:noProof/>
          <w:color w:val="222222"/>
          <w:shd w:val="clear" w:color="auto" w:fill="FFFFFF"/>
        </w:rPr>
        <w:t xml:space="preserve">see </w:t>
      </w:r>
      <w:r w:rsidR="00E433E5" w:rsidRPr="00E433E5">
        <w:rPr>
          <w:rFonts w:ascii="Palatino Linotype" w:hAnsi="Palatino Linotype" w:cs="Arial"/>
          <w:i/>
          <w:noProof/>
          <w:color w:val="222222"/>
          <w:shd w:val="clear" w:color="auto" w:fill="FFFFFF"/>
        </w:rPr>
        <w:t xml:space="preserve">The </w:t>
      </w:r>
      <w:r w:rsidR="001277A3">
        <w:rPr>
          <w:rFonts w:ascii="Palatino Linotype" w:hAnsi="Palatino Linotype" w:cs="Arial"/>
          <w:i/>
          <w:noProof/>
          <w:color w:val="222222"/>
          <w:shd w:val="clear" w:color="auto" w:fill="FFFFFF"/>
        </w:rPr>
        <w:t>S</w:t>
      </w:r>
      <w:r w:rsidR="00E433E5" w:rsidRPr="001277A3">
        <w:rPr>
          <w:rFonts w:ascii="Palatino Linotype" w:hAnsi="Palatino Linotype" w:cs="Arial"/>
          <w:i/>
          <w:noProof/>
          <w:color w:val="222222"/>
          <w:shd w:val="clear" w:color="auto" w:fill="FFFFFF"/>
        </w:rPr>
        <w:t>exual</w:t>
      </w:r>
      <w:r w:rsidR="00E433E5" w:rsidRPr="00E433E5">
        <w:rPr>
          <w:rFonts w:ascii="Palatino Linotype" w:hAnsi="Palatino Linotype" w:cs="Arial"/>
          <w:i/>
          <w:noProof/>
          <w:color w:val="222222"/>
          <w:shd w:val="clear" w:color="auto" w:fill="FFFFFF"/>
        </w:rPr>
        <w:t xml:space="preserve"> Li</w:t>
      </w:r>
      <w:r w:rsidR="00E433E5">
        <w:rPr>
          <w:rFonts w:ascii="Palatino Linotype" w:hAnsi="Palatino Linotype" w:cs="Arial"/>
          <w:i/>
          <w:noProof/>
          <w:color w:val="222222"/>
          <w:shd w:val="clear" w:color="auto" w:fill="FFFFFF"/>
        </w:rPr>
        <w:t xml:space="preserve">fe of Savages, </w:t>
      </w:r>
      <w:r w:rsidR="00E433E5">
        <w:rPr>
          <w:rFonts w:ascii="Palatino Linotype" w:hAnsi="Palatino Linotype" w:cs="Arial"/>
          <w:noProof/>
          <w:color w:val="222222"/>
          <w:shd w:val="clear" w:color="auto" w:fill="FFFFFF"/>
        </w:rPr>
        <w:t>1932 for details)</w:t>
      </w:r>
      <w:r w:rsidR="00892A66" w:rsidRPr="00E433E5">
        <w:rPr>
          <w:rFonts w:ascii="Palatino Linotype" w:hAnsi="Palatino Linotype" w:cs="Arial"/>
          <w:noProof/>
          <w:color w:val="222222"/>
          <w:shd w:val="clear" w:color="auto" w:fill="FFFFFF"/>
        </w:rPr>
        <w:t xml:space="preserve"> as</w:t>
      </w:r>
      <w:r w:rsidR="00892A66">
        <w:rPr>
          <w:rFonts w:ascii="Palatino Linotype" w:hAnsi="Palatino Linotype" w:cs="Arial"/>
          <w:color w:val="222222"/>
          <w:shd w:val="clear" w:color="auto" w:fill="FFFFFF"/>
        </w:rPr>
        <w:t xml:space="preserve"> the ‘Gold Standard’</w:t>
      </w:r>
      <w:r w:rsidR="00FB53E7">
        <w:rPr>
          <w:rFonts w:ascii="Palatino Linotype" w:hAnsi="Palatino Linotype" w:cs="Arial"/>
          <w:color w:val="222222"/>
          <w:shd w:val="clear" w:color="auto" w:fill="FFFFFF"/>
        </w:rPr>
        <w:t xml:space="preserve"> for their would-be academic successors have been key players in the evolution of Anthropology, especially that of religion and spirituality.</w:t>
      </w:r>
    </w:p>
    <w:p w:rsidR="00902C96" w:rsidRPr="00B803D6" w:rsidRDefault="00172DA9" w:rsidP="008F67D3">
      <w:pPr>
        <w:rPr>
          <w:rFonts w:ascii="Palatino Linotype" w:hAnsi="Palatino Linotype" w:cs="Arial"/>
          <w:color w:val="FF0000"/>
          <w:shd w:val="clear" w:color="auto" w:fill="FFFFFF"/>
        </w:rPr>
      </w:pPr>
      <w:r>
        <w:rPr>
          <w:rFonts w:ascii="Palatino Linotype" w:hAnsi="Palatino Linotype" w:cs="Arial"/>
          <w:color w:val="222222"/>
          <w:shd w:val="clear" w:color="auto" w:fill="FFFFFF"/>
        </w:rPr>
        <w:t xml:space="preserve">Among the modern textbooks, </w:t>
      </w:r>
      <w:r>
        <w:rPr>
          <w:rFonts w:ascii="Palatino Linotype" w:hAnsi="Palatino Linotype" w:cs="Arial"/>
          <w:i/>
          <w:color w:val="222222"/>
          <w:shd w:val="clear" w:color="auto" w:fill="FFFFFF"/>
        </w:rPr>
        <w:t xml:space="preserve">The Anthropology of Religion, Magic and Witchcraft </w:t>
      </w:r>
      <w:r>
        <w:rPr>
          <w:rFonts w:ascii="Palatino Linotype" w:hAnsi="Palatino Linotype" w:cs="Arial"/>
          <w:color w:val="222222"/>
          <w:shd w:val="clear" w:color="auto" w:fill="FFFFFF"/>
        </w:rPr>
        <w:t>(Stein</w:t>
      </w:r>
      <w:r w:rsidR="00C22F9B">
        <w:rPr>
          <w:rFonts w:ascii="Palatino Linotype" w:hAnsi="Palatino Linotype" w:cs="Arial"/>
          <w:color w:val="222222"/>
          <w:shd w:val="clear" w:color="auto" w:fill="FFFFFF"/>
        </w:rPr>
        <w:t xml:space="preserve"> and Stein</w:t>
      </w:r>
      <w:r>
        <w:rPr>
          <w:rFonts w:ascii="Palatino Linotype" w:hAnsi="Palatino Linotype" w:cs="Arial"/>
          <w:color w:val="222222"/>
          <w:shd w:val="clear" w:color="auto" w:fill="FFFFFF"/>
        </w:rPr>
        <w:t>, 2017)</w:t>
      </w:r>
      <w:r w:rsidR="00C22F9B">
        <w:rPr>
          <w:rFonts w:ascii="Palatino Linotype" w:hAnsi="Palatino Linotype" w:cs="Arial"/>
          <w:color w:val="222222"/>
          <w:shd w:val="clear" w:color="auto" w:fill="FFFFFF"/>
        </w:rPr>
        <w:t xml:space="preserve"> provides an encouraging platform of approaches to understanding contemporary animism.</w:t>
      </w:r>
      <w:r w:rsidR="00712857">
        <w:rPr>
          <w:rFonts w:ascii="Palatino Linotype" w:hAnsi="Palatino Linotype" w:cs="Arial"/>
          <w:color w:val="222222"/>
          <w:shd w:val="clear" w:color="auto" w:fill="FFFFFF"/>
        </w:rPr>
        <w:t xml:space="preserve"> </w:t>
      </w:r>
      <w:r w:rsidR="00FA0809">
        <w:rPr>
          <w:rFonts w:ascii="Palatino Linotype" w:hAnsi="Palatino Linotype" w:cs="Arial"/>
          <w:shd w:val="clear" w:color="auto" w:fill="FFFFFF"/>
        </w:rPr>
        <w:t>One of the main points of focus in the introduction is to move away from ethnocentricism</w:t>
      </w:r>
      <w:r w:rsidR="003520A9">
        <w:rPr>
          <w:rFonts w:ascii="Palatino Linotype" w:hAnsi="Palatino Linotype" w:cs="Arial"/>
          <w:shd w:val="clear" w:color="auto" w:fill="FFFFFF"/>
        </w:rPr>
        <w:t xml:space="preserve"> as an approach </w:t>
      </w:r>
      <w:r w:rsidR="003520A9">
        <w:rPr>
          <w:rFonts w:ascii="Palatino Linotype" w:hAnsi="Palatino Linotype" w:cs="Arial"/>
          <w:noProof/>
          <w:shd w:val="clear" w:color="auto" w:fill="FFFFFF"/>
        </w:rPr>
        <w:t>to</w:t>
      </w:r>
      <w:r w:rsidR="003520A9">
        <w:rPr>
          <w:rFonts w:ascii="Palatino Linotype" w:hAnsi="Palatino Linotype" w:cs="Arial"/>
          <w:shd w:val="clear" w:color="auto" w:fill="FFFFFF"/>
        </w:rPr>
        <w:t xml:space="preserve"> study, and towards cultural relativism, where we allow ourselves </w:t>
      </w:r>
      <w:r w:rsidR="003520A9" w:rsidRPr="003520A9">
        <w:rPr>
          <w:rFonts w:ascii="Palatino Linotype" w:hAnsi="Palatino Linotype" w:cs="Arial"/>
          <w:noProof/>
          <w:shd w:val="clear" w:color="auto" w:fill="FFFFFF"/>
        </w:rPr>
        <w:t>to see the</w:t>
      </w:r>
      <w:r w:rsidR="003520A9">
        <w:rPr>
          <w:rFonts w:ascii="Palatino Linotype" w:hAnsi="Palatino Linotype" w:cs="Arial"/>
          <w:noProof/>
          <w:shd w:val="clear" w:color="auto" w:fill="FFFFFF"/>
        </w:rPr>
        <w:t xml:space="preserve"> practices and beliefs of others from their own point of view as a society, without judging or deciding whether or not they are valid, moral or true by our own standards, but by theirs.</w:t>
      </w:r>
      <w:r w:rsidR="003520A9" w:rsidRPr="003520A9">
        <w:rPr>
          <w:rFonts w:ascii="Palatino Linotype" w:hAnsi="Palatino Linotype" w:cs="Arial"/>
          <w:noProof/>
          <w:shd w:val="clear" w:color="auto" w:fill="FFFFFF"/>
        </w:rPr>
        <w:t xml:space="preserve"> </w:t>
      </w:r>
      <w:r w:rsidR="003520A9">
        <w:rPr>
          <w:rFonts w:ascii="Palatino Linotype" w:hAnsi="Palatino Linotype" w:cs="Arial"/>
          <w:noProof/>
          <w:shd w:val="clear" w:color="auto" w:fill="FFFFFF"/>
        </w:rPr>
        <w:t xml:space="preserve">This method is also referred to as </w:t>
      </w:r>
      <w:r w:rsidR="003520A9" w:rsidRPr="00B00CF2">
        <w:rPr>
          <w:rFonts w:ascii="Palatino Linotype" w:hAnsi="Palatino Linotype" w:cs="Arial"/>
          <w:noProof/>
          <w:shd w:val="clear" w:color="auto" w:fill="FFFFFF"/>
        </w:rPr>
        <w:t>imminent</w:t>
      </w:r>
      <w:r w:rsidR="003520A9">
        <w:rPr>
          <w:rFonts w:ascii="Palatino Linotype" w:hAnsi="Palatino Linotype" w:cs="Arial"/>
          <w:noProof/>
          <w:shd w:val="clear" w:color="auto" w:fill="FFFFFF"/>
        </w:rPr>
        <w:t xml:space="preserve"> critique. </w:t>
      </w:r>
      <w:r w:rsidR="004071C4">
        <w:rPr>
          <w:rFonts w:ascii="Palatino Linotype" w:hAnsi="Palatino Linotype" w:cs="Arial"/>
          <w:noProof/>
          <w:shd w:val="clear" w:color="auto" w:fill="FFFFFF"/>
        </w:rPr>
        <w:t xml:space="preserve">Stein also provides </w:t>
      </w:r>
      <w:r w:rsidR="00B803D6">
        <w:rPr>
          <w:rFonts w:ascii="Palatino Linotype" w:hAnsi="Palatino Linotype" w:cs="Arial"/>
          <w:noProof/>
          <w:shd w:val="clear" w:color="auto" w:fill="FFFFFF"/>
        </w:rPr>
        <w:t xml:space="preserve">descriptions of ‘gods’ as opposed to ‘spirits’; similar in effect, but spirits inhabit the plane of humans, whereas gods are ‘other-worldly’, yet still representative of humans. Both, </w:t>
      </w:r>
      <w:r w:rsidR="00B803D6" w:rsidRPr="00B803D6">
        <w:rPr>
          <w:rFonts w:ascii="Palatino Linotype" w:hAnsi="Palatino Linotype" w:cs="Arial"/>
          <w:noProof/>
          <w:shd w:val="clear" w:color="auto" w:fill="FFFFFF"/>
        </w:rPr>
        <w:t>however</w:t>
      </w:r>
      <w:r w:rsidR="00B803D6">
        <w:rPr>
          <w:rFonts w:ascii="Palatino Linotype" w:hAnsi="Palatino Linotype" w:cs="Arial"/>
          <w:noProof/>
          <w:shd w:val="clear" w:color="auto" w:fill="FFFFFF"/>
        </w:rPr>
        <w:t xml:space="preserve">, are often </w:t>
      </w:r>
      <w:r w:rsidR="00B803D6" w:rsidRPr="00B803D6">
        <w:rPr>
          <w:rFonts w:ascii="Palatino Linotype" w:hAnsi="Palatino Linotype" w:cs="Arial"/>
          <w:noProof/>
          <w:shd w:val="clear" w:color="auto" w:fill="FFFFFF"/>
        </w:rPr>
        <w:t>anthropomorphic</w:t>
      </w:r>
      <w:r w:rsidR="00B803D6">
        <w:rPr>
          <w:rFonts w:ascii="Palatino Linotype" w:hAnsi="Palatino Linotype" w:cs="Arial"/>
          <w:noProof/>
          <w:shd w:val="clear" w:color="auto" w:fill="FFFFFF"/>
        </w:rPr>
        <w:t xml:space="preserve"> in their representations, whether by name, given roles or qualities of character, gender assignment etc. (Stein, 2017, pp. 205-230). However, despite the similarities, it is often the stories of tree spirits or faeries that are romanticised – these assumptions are evident in </w:t>
      </w:r>
      <w:r w:rsidR="00B803D6">
        <w:rPr>
          <w:rFonts w:ascii="Palatino Linotype" w:hAnsi="Palatino Linotype" w:cs="Arial"/>
          <w:i/>
          <w:noProof/>
          <w:shd w:val="clear" w:color="auto" w:fill="FFFFFF"/>
        </w:rPr>
        <w:t>The Golden Bough</w:t>
      </w:r>
      <w:r w:rsidR="00B803D6">
        <w:rPr>
          <w:rFonts w:ascii="Palatino Linotype" w:hAnsi="Palatino Linotype" w:cs="Arial"/>
          <w:noProof/>
          <w:shd w:val="clear" w:color="auto" w:fill="FFFFFF"/>
        </w:rPr>
        <w:t>.</w:t>
      </w:r>
    </w:p>
    <w:p w:rsidR="003B577E" w:rsidRDefault="008F67D3" w:rsidP="00317F63">
      <w:pPr>
        <w:tabs>
          <w:tab w:val="left" w:pos="2839"/>
        </w:tabs>
        <w:rPr>
          <w:rFonts w:ascii="Palatino Linotype" w:hAnsi="Palatino Linotype" w:cs="Arial"/>
          <w:color w:val="222222"/>
          <w:shd w:val="clear" w:color="auto" w:fill="FFFFFF"/>
        </w:rPr>
      </w:pPr>
      <w:r>
        <w:rPr>
          <w:rFonts w:ascii="Palatino Linotype" w:hAnsi="Palatino Linotype" w:cs="Arial"/>
          <w:color w:val="222222"/>
          <w:shd w:val="clear" w:color="auto" w:fill="FFFFFF"/>
        </w:rPr>
        <w:t xml:space="preserve">Irving Hallowell </w:t>
      </w:r>
      <w:r w:rsidR="005B5ED1">
        <w:rPr>
          <w:rFonts w:ascii="Palatino Linotype" w:hAnsi="Palatino Linotype" w:cs="Arial"/>
          <w:color w:val="222222"/>
          <w:shd w:val="clear" w:color="auto" w:fill="FFFFFF"/>
        </w:rPr>
        <w:t>took particular interest</w:t>
      </w:r>
      <w:r w:rsidR="00630E48">
        <w:rPr>
          <w:rFonts w:ascii="Palatino Linotype" w:hAnsi="Palatino Linotype" w:cs="Arial"/>
          <w:color w:val="222222"/>
          <w:shd w:val="clear" w:color="auto" w:fill="FFFFFF"/>
        </w:rPr>
        <w:t xml:space="preserve"> </w:t>
      </w:r>
      <w:r>
        <w:rPr>
          <w:rFonts w:ascii="Palatino Linotype" w:hAnsi="Palatino Linotype" w:cs="Arial"/>
          <w:color w:val="222222"/>
          <w:shd w:val="clear" w:color="auto" w:fill="FFFFFF"/>
        </w:rPr>
        <w:t xml:space="preserve">in the relationships between the African Ojibwa and the </w:t>
      </w:r>
      <w:r w:rsidRPr="008F67D3">
        <w:rPr>
          <w:rFonts w:ascii="Palatino Linotype" w:hAnsi="Palatino Linotype" w:cs="Arial"/>
          <w:color w:val="222222"/>
          <w:shd w:val="clear" w:color="auto" w:fill="FFFFFF"/>
        </w:rPr>
        <w:t>things</w:t>
      </w:r>
      <w:r>
        <w:rPr>
          <w:rFonts w:ascii="Palatino Linotype" w:hAnsi="Palatino Linotype" w:cs="Arial"/>
          <w:color w:val="222222"/>
          <w:shd w:val="clear" w:color="auto" w:fill="FFFFFF"/>
        </w:rPr>
        <w:t xml:space="preserve"> that inhabited their environment</w:t>
      </w:r>
      <w:r w:rsidR="00A74891">
        <w:rPr>
          <w:rFonts w:ascii="Palatino Linotype" w:hAnsi="Palatino Linotype" w:cs="Arial"/>
          <w:color w:val="222222"/>
          <w:shd w:val="clear" w:color="auto" w:fill="FFFFFF"/>
        </w:rPr>
        <w:t>, what he called ‘other-than-human’</w:t>
      </w:r>
      <w:r>
        <w:rPr>
          <w:rFonts w:ascii="Palatino Linotype" w:hAnsi="Palatino Linotype" w:cs="Arial"/>
          <w:color w:val="222222"/>
          <w:shd w:val="clear" w:color="auto" w:fill="FFFFFF"/>
        </w:rPr>
        <w:t xml:space="preserve"> (Hallowell, </w:t>
      </w:r>
      <w:r w:rsidR="00C14880">
        <w:rPr>
          <w:rFonts w:ascii="Palatino Linotype" w:hAnsi="Palatino Linotype" w:cs="Arial"/>
          <w:color w:val="222222"/>
          <w:shd w:val="clear" w:color="auto" w:fill="FFFFFF"/>
        </w:rPr>
        <w:t>1952</w:t>
      </w:r>
      <w:r>
        <w:rPr>
          <w:rFonts w:ascii="Palatino Linotype" w:hAnsi="Palatino Linotype" w:cs="Arial"/>
          <w:color w:val="222222"/>
          <w:shd w:val="clear" w:color="auto" w:fill="FFFFFF"/>
        </w:rPr>
        <w:t>).</w:t>
      </w:r>
      <w:r w:rsidR="009A55DE">
        <w:rPr>
          <w:rFonts w:ascii="Palatino Linotype" w:hAnsi="Palatino Linotype" w:cs="Arial"/>
          <w:color w:val="222222"/>
          <w:shd w:val="clear" w:color="auto" w:fill="FFFFFF"/>
        </w:rPr>
        <w:t xml:space="preserve"> This term defined the other ‘persons’</w:t>
      </w:r>
      <w:r w:rsidR="00271366">
        <w:rPr>
          <w:rFonts w:ascii="Palatino Linotype" w:hAnsi="Palatino Linotype" w:cs="Arial"/>
          <w:color w:val="222222"/>
          <w:shd w:val="clear" w:color="auto" w:fill="FFFFFF"/>
        </w:rPr>
        <w:t xml:space="preserve"> that inhabited the landscape of the Ojibwa, concluding for Hallowell tha</w:t>
      </w:r>
      <w:r w:rsidR="006737B7">
        <w:rPr>
          <w:rFonts w:ascii="Palatino Linotype" w:hAnsi="Palatino Linotype" w:cs="Arial"/>
          <w:color w:val="222222"/>
          <w:shd w:val="clear" w:color="auto" w:fill="FFFFFF"/>
        </w:rPr>
        <w:t>t rather than a belief system, their ‘relations’ to the world around them were logical and ordered, to their own understanding of the world; an ontology instead of a religion.</w:t>
      </w:r>
      <w:r w:rsidR="00A74891">
        <w:rPr>
          <w:rFonts w:ascii="Palatino Linotype" w:hAnsi="Palatino Linotype" w:cs="Arial"/>
          <w:color w:val="222222"/>
          <w:shd w:val="clear" w:color="auto" w:fill="FFFFFF"/>
        </w:rPr>
        <w:t xml:space="preserve"> This notion</w:t>
      </w:r>
      <w:r w:rsidR="006737B7">
        <w:rPr>
          <w:rFonts w:ascii="Palatino Linotype" w:hAnsi="Palatino Linotype" w:cs="Arial"/>
          <w:color w:val="222222"/>
          <w:shd w:val="clear" w:color="auto" w:fill="FFFFFF"/>
        </w:rPr>
        <w:t xml:space="preserve"> of relating</w:t>
      </w:r>
      <w:r w:rsidR="00A74891">
        <w:rPr>
          <w:rFonts w:ascii="Palatino Linotype" w:hAnsi="Palatino Linotype" w:cs="Arial"/>
          <w:color w:val="222222"/>
          <w:shd w:val="clear" w:color="auto" w:fill="FFFFFF"/>
        </w:rPr>
        <w:t xml:space="preserve"> can be seen as an ongoing thread of thought for current scholars;</w:t>
      </w:r>
      <w:r>
        <w:rPr>
          <w:rFonts w:ascii="Palatino Linotype" w:hAnsi="Palatino Linotype" w:cs="Arial"/>
          <w:color w:val="222222"/>
          <w:shd w:val="clear" w:color="auto" w:fill="FFFFFF"/>
        </w:rPr>
        <w:t xml:space="preserve"> Ingold’s</w:t>
      </w:r>
      <w:r w:rsidR="00630E48">
        <w:rPr>
          <w:rFonts w:ascii="Palatino Linotype" w:hAnsi="Palatino Linotype" w:cs="Arial"/>
          <w:color w:val="222222"/>
          <w:shd w:val="clear" w:color="auto" w:fill="FFFFFF"/>
        </w:rPr>
        <w:t xml:space="preserve"> theories of a </w:t>
      </w:r>
      <w:r w:rsidR="00630E48">
        <w:rPr>
          <w:rFonts w:ascii="Palatino Linotype" w:hAnsi="Palatino Linotype" w:cs="Arial"/>
          <w:i/>
          <w:color w:val="222222"/>
          <w:shd w:val="clear" w:color="auto" w:fill="FFFFFF"/>
        </w:rPr>
        <w:t>meshwork</w:t>
      </w:r>
      <w:r w:rsidR="00630E48">
        <w:rPr>
          <w:rFonts w:ascii="Palatino Linotype" w:hAnsi="Palatino Linotype" w:cs="Arial"/>
          <w:color w:val="222222"/>
          <w:shd w:val="clear" w:color="auto" w:fill="FFFFFF"/>
        </w:rPr>
        <w:t xml:space="preserve"> between people and </w:t>
      </w:r>
      <w:r w:rsidR="00630E48">
        <w:rPr>
          <w:rFonts w:ascii="Palatino Linotype" w:hAnsi="Palatino Linotype" w:cs="Arial"/>
          <w:i/>
          <w:color w:val="222222"/>
          <w:shd w:val="clear" w:color="auto" w:fill="FFFFFF"/>
        </w:rPr>
        <w:t>things</w:t>
      </w:r>
      <w:r w:rsidR="00630E48">
        <w:rPr>
          <w:rFonts w:ascii="Palatino Linotype" w:hAnsi="Palatino Linotype" w:cs="Arial"/>
          <w:color w:val="222222"/>
          <w:shd w:val="clear" w:color="auto" w:fill="FFFFFF"/>
        </w:rPr>
        <w:t xml:space="preserve"> - what some would see as inanimate objects – are somewhat eye-opening, and if thought of in the sense of spirituality, the ‘life’ or </w:t>
      </w:r>
      <w:r w:rsidR="00630E48" w:rsidRPr="00630E48">
        <w:rPr>
          <w:rFonts w:ascii="Palatino Linotype" w:hAnsi="Palatino Linotype" w:cs="Arial"/>
          <w:i/>
          <w:color w:val="222222"/>
          <w:shd w:val="clear" w:color="auto" w:fill="FFFFFF"/>
        </w:rPr>
        <w:t>agency</w:t>
      </w:r>
      <w:r w:rsidR="00630E48">
        <w:rPr>
          <w:rFonts w:ascii="Palatino Linotype" w:hAnsi="Palatino Linotype" w:cs="Arial"/>
          <w:color w:val="222222"/>
          <w:shd w:val="clear" w:color="auto" w:fill="FFFFFF"/>
        </w:rPr>
        <w:t xml:space="preserve"> which he assigns to our environment and </w:t>
      </w:r>
      <w:r w:rsidR="00A74891">
        <w:rPr>
          <w:rFonts w:ascii="Palatino Linotype" w:hAnsi="Palatino Linotype" w:cs="Arial"/>
          <w:color w:val="222222"/>
          <w:shd w:val="clear" w:color="auto" w:fill="FFFFFF"/>
        </w:rPr>
        <w:t xml:space="preserve">its </w:t>
      </w:r>
      <w:r w:rsidR="007A1DFE">
        <w:rPr>
          <w:rFonts w:ascii="Palatino Linotype" w:hAnsi="Palatino Linotype" w:cs="Arial"/>
          <w:color w:val="222222"/>
          <w:shd w:val="clear" w:color="auto" w:fill="FFFFFF"/>
        </w:rPr>
        <w:t>‘inhabitants’</w:t>
      </w:r>
      <w:r w:rsidR="00A74891">
        <w:rPr>
          <w:rFonts w:ascii="Palatino Linotype" w:hAnsi="Palatino Linotype" w:cs="Arial"/>
          <w:color w:val="222222"/>
          <w:shd w:val="clear" w:color="auto" w:fill="FFFFFF"/>
        </w:rPr>
        <w:t xml:space="preserve"> </w:t>
      </w:r>
      <w:r w:rsidR="00C14880">
        <w:rPr>
          <w:rFonts w:ascii="Palatino Linotype" w:hAnsi="Palatino Linotype" w:cs="Arial"/>
          <w:color w:val="222222"/>
          <w:shd w:val="clear" w:color="auto" w:fill="FFFFFF"/>
        </w:rPr>
        <w:t>(Ingold, 2010)</w:t>
      </w:r>
      <w:r w:rsidR="00407E45">
        <w:rPr>
          <w:rFonts w:ascii="Palatino Linotype" w:hAnsi="Palatino Linotype" w:cs="Arial"/>
          <w:color w:val="222222"/>
          <w:shd w:val="clear" w:color="auto" w:fill="FFFFFF"/>
        </w:rPr>
        <w:t>.</w:t>
      </w:r>
      <w:r w:rsidR="009A55DE">
        <w:rPr>
          <w:rFonts w:ascii="Palatino Linotype" w:hAnsi="Palatino Linotype" w:cs="Arial"/>
          <w:color w:val="222222"/>
          <w:shd w:val="clear" w:color="auto" w:fill="FFFFFF"/>
        </w:rPr>
        <w:t xml:space="preserve"> </w:t>
      </w:r>
    </w:p>
    <w:p w:rsidR="00D26151" w:rsidRDefault="004335EC">
      <w:pPr>
        <w:rPr>
          <w:rFonts w:ascii="Palatino Linotype" w:hAnsi="Palatino Linotype" w:cs="Arial"/>
          <w:noProof/>
          <w:color w:val="222222"/>
          <w:shd w:val="clear" w:color="auto" w:fill="FFFFFF"/>
        </w:rPr>
      </w:pPr>
      <w:r>
        <w:rPr>
          <w:rFonts w:ascii="Palatino Linotype" w:hAnsi="Palatino Linotype" w:cs="Arial"/>
          <w:color w:val="222222"/>
          <w:shd w:val="clear" w:color="auto" w:fill="FFFFFF"/>
        </w:rPr>
        <w:t xml:space="preserve">Of all the aspects of belief and </w:t>
      </w:r>
      <w:r w:rsidRPr="004335EC">
        <w:rPr>
          <w:rFonts w:ascii="Palatino Linotype" w:hAnsi="Palatino Linotype" w:cs="Arial"/>
          <w:noProof/>
          <w:color w:val="222222"/>
          <w:shd w:val="clear" w:color="auto" w:fill="FFFFFF"/>
        </w:rPr>
        <w:t>spirituali</w:t>
      </w:r>
      <w:r>
        <w:rPr>
          <w:rFonts w:ascii="Palatino Linotype" w:hAnsi="Palatino Linotype" w:cs="Arial"/>
          <w:noProof/>
          <w:color w:val="222222"/>
          <w:shd w:val="clear" w:color="auto" w:fill="FFFFFF"/>
        </w:rPr>
        <w:t xml:space="preserve">ty, the term </w:t>
      </w:r>
      <w:r>
        <w:rPr>
          <w:rFonts w:ascii="Palatino Linotype" w:hAnsi="Palatino Linotype" w:cs="Arial"/>
          <w:i/>
          <w:noProof/>
          <w:color w:val="222222"/>
          <w:shd w:val="clear" w:color="auto" w:fill="FFFFFF"/>
        </w:rPr>
        <w:t>animism</w:t>
      </w:r>
      <w:r>
        <w:rPr>
          <w:rFonts w:ascii="Palatino Linotype" w:hAnsi="Palatino Linotype" w:cs="Arial"/>
          <w:noProof/>
          <w:color w:val="222222"/>
          <w:shd w:val="clear" w:color="auto" w:fill="FFFFFF"/>
        </w:rPr>
        <w:t xml:space="preserve"> may well account for the largest number of ‘followers’</w:t>
      </w:r>
      <w:r w:rsidR="00D26151">
        <w:rPr>
          <w:rFonts w:ascii="Palatino Linotype" w:hAnsi="Palatino Linotype" w:cs="Arial"/>
          <w:noProof/>
          <w:color w:val="222222"/>
          <w:shd w:val="clear" w:color="auto" w:fill="FFFFFF"/>
        </w:rPr>
        <w:t xml:space="preserve">, simply because of the vast numbers of possibilities and variations from one indigenous population to the next (seen clearly in The Golden Bough), and the evolutions and adaptations into the modern world. This does make it difficult for one to speak of animists in an incorporative sense. For example, we know when we speak of Christians, by whichever denomination, that they Worship God, the Holy Trinity, have </w:t>
      </w:r>
      <w:r w:rsidR="00D26151">
        <w:rPr>
          <w:rFonts w:ascii="Palatino Linotype" w:hAnsi="Palatino Linotype" w:cs="Arial"/>
          <w:noProof/>
          <w:color w:val="222222"/>
          <w:shd w:val="clear" w:color="auto" w:fill="FFFFFF"/>
        </w:rPr>
        <w:lastRenderedPageBreak/>
        <w:t xml:space="preserve">buildings of worship etc. However, for many ‘animists’, such as the Maori of New Zealand, there is a relationship with the environment, governed by respect and reciprocity; a morally good, respectable person will have a strong </w:t>
      </w:r>
      <w:r w:rsidR="00D26151">
        <w:rPr>
          <w:rFonts w:ascii="Palatino Linotype" w:hAnsi="Palatino Linotype" w:cs="Arial"/>
          <w:i/>
          <w:noProof/>
          <w:color w:val="222222"/>
          <w:shd w:val="clear" w:color="auto" w:fill="FFFFFF"/>
        </w:rPr>
        <w:t>Mana</w:t>
      </w:r>
      <w:r w:rsidR="00D26151">
        <w:rPr>
          <w:rFonts w:ascii="Palatino Linotype" w:hAnsi="Palatino Linotype" w:cs="Arial"/>
          <w:noProof/>
          <w:color w:val="222222"/>
          <w:shd w:val="clear" w:color="auto" w:fill="FFFFFF"/>
        </w:rPr>
        <w:t>; this is</w:t>
      </w:r>
      <w:r>
        <w:rPr>
          <w:rFonts w:ascii="Palatino Linotype" w:hAnsi="Palatino Linotype" w:cs="Arial"/>
          <w:noProof/>
          <w:color w:val="222222"/>
          <w:shd w:val="clear" w:color="auto" w:fill="FFFFFF"/>
        </w:rPr>
        <w:t xml:space="preserve"> </w:t>
      </w:r>
      <w:r w:rsidR="00073A41">
        <w:rPr>
          <w:rFonts w:ascii="Palatino Linotype" w:hAnsi="Palatino Linotype" w:cs="Arial"/>
          <w:noProof/>
          <w:color w:val="222222"/>
          <w:shd w:val="clear" w:color="auto" w:fill="FFFFFF"/>
        </w:rPr>
        <w:t xml:space="preserve">as powerful a doctrine as </w:t>
      </w:r>
      <w:r w:rsidR="00DA457D">
        <w:rPr>
          <w:rFonts w:ascii="Palatino Linotype" w:hAnsi="Palatino Linotype" w:cs="Arial"/>
          <w:noProof/>
          <w:color w:val="222222"/>
          <w:shd w:val="clear" w:color="auto" w:fill="FFFFFF"/>
        </w:rPr>
        <w:t xml:space="preserve">that of a Christian faith, moreover as a way of life, it is equally complex; Maori children learn about the landscape, their ancestors, and grow to live by a moral code. This, in my </w:t>
      </w:r>
      <w:r w:rsidR="00DA457D" w:rsidRPr="001277A3">
        <w:rPr>
          <w:rFonts w:ascii="Palatino Linotype" w:hAnsi="Palatino Linotype" w:cs="Arial"/>
          <w:noProof/>
          <w:color w:val="222222"/>
          <w:shd w:val="clear" w:color="auto" w:fill="FFFFFF"/>
        </w:rPr>
        <w:t>opinion</w:t>
      </w:r>
      <w:r w:rsidR="001277A3">
        <w:rPr>
          <w:rFonts w:ascii="Palatino Linotype" w:hAnsi="Palatino Linotype" w:cs="Arial"/>
          <w:noProof/>
          <w:color w:val="222222"/>
          <w:shd w:val="clear" w:color="auto" w:fill="FFFFFF"/>
        </w:rPr>
        <w:t>,</w:t>
      </w:r>
      <w:r w:rsidR="00DA457D">
        <w:rPr>
          <w:rFonts w:ascii="Palatino Linotype" w:hAnsi="Palatino Linotype" w:cs="Arial"/>
          <w:noProof/>
          <w:color w:val="222222"/>
          <w:shd w:val="clear" w:color="auto" w:fill="FFFFFF"/>
        </w:rPr>
        <w:t xml:space="preserve"> is the </w:t>
      </w:r>
      <w:r w:rsidR="001277A3">
        <w:rPr>
          <w:rFonts w:ascii="Palatino Linotype" w:hAnsi="Palatino Linotype" w:cs="Arial"/>
          <w:noProof/>
          <w:color w:val="222222"/>
          <w:shd w:val="clear" w:color="auto" w:fill="FFFFFF"/>
        </w:rPr>
        <w:t xml:space="preserve">most </w:t>
      </w:r>
      <w:r w:rsidR="00DA457D">
        <w:rPr>
          <w:rFonts w:ascii="Palatino Linotype" w:hAnsi="Palatino Linotype" w:cs="Arial"/>
          <w:noProof/>
          <w:color w:val="222222"/>
          <w:shd w:val="clear" w:color="auto" w:fill="FFFFFF"/>
        </w:rPr>
        <w:t xml:space="preserve">important and effective part of any belief system; the cultivation of </w:t>
      </w:r>
      <w:r w:rsidR="001277A3">
        <w:rPr>
          <w:rFonts w:ascii="Palatino Linotype" w:hAnsi="Palatino Linotype" w:cs="Arial"/>
          <w:noProof/>
          <w:color w:val="222222"/>
          <w:shd w:val="clear" w:color="auto" w:fill="FFFFFF"/>
        </w:rPr>
        <w:t xml:space="preserve">people with </w:t>
      </w:r>
      <w:r w:rsidR="001277A3" w:rsidRPr="001277A3">
        <w:rPr>
          <w:rFonts w:ascii="Palatino Linotype" w:hAnsi="Palatino Linotype" w:cs="Arial"/>
          <w:noProof/>
          <w:color w:val="222222"/>
          <w:shd w:val="clear" w:color="auto" w:fill="FFFFFF"/>
        </w:rPr>
        <w:t>good</w:t>
      </w:r>
      <w:r w:rsidR="001277A3">
        <w:rPr>
          <w:rFonts w:ascii="Palatino Linotype" w:hAnsi="Palatino Linotype" w:cs="Arial"/>
          <w:noProof/>
          <w:color w:val="222222"/>
          <w:shd w:val="clear" w:color="auto" w:fill="FFFFFF"/>
        </w:rPr>
        <w:t xml:space="preserve"> moral standing, with respect for others, a term which here </w:t>
      </w:r>
      <w:r w:rsidR="001277A3" w:rsidRPr="00706110">
        <w:rPr>
          <w:rFonts w:ascii="Palatino Linotype" w:hAnsi="Palatino Linotype" w:cs="Arial"/>
          <w:noProof/>
          <w:color w:val="222222"/>
          <w:shd w:val="clear" w:color="auto" w:fill="FFFFFF"/>
        </w:rPr>
        <w:t>implies</w:t>
      </w:r>
      <w:r w:rsidR="001277A3">
        <w:rPr>
          <w:rFonts w:ascii="Palatino Linotype" w:hAnsi="Palatino Linotype" w:cs="Arial"/>
          <w:noProof/>
          <w:color w:val="222222"/>
          <w:shd w:val="clear" w:color="auto" w:fill="FFFFFF"/>
        </w:rPr>
        <w:t xml:space="preserve"> not only other humans, but Hallowell’s ‘Other-than-human’ also.</w:t>
      </w:r>
    </w:p>
    <w:p w:rsidR="00871ACD" w:rsidRPr="00161273" w:rsidRDefault="00871ACD">
      <w:pPr>
        <w:rPr>
          <w:rFonts w:ascii="Palatino Linotype" w:hAnsi="Palatino Linotype" w:cs="Arial"/>
          <w:noProof/>
          <w:color w:val="222222"/>
          <w:shd w:val="clear" w:color="auto" w:fill="FFFFFF"/>
        </w:rPr>
      </w:pPr>
      <w:r>
        <w:rPr>
          <w:rFonts w:ascii="Palatino Linotype" w:hAnsi="Palatino Linotype" w:cs="Arial"/>
          <w:noProof/>
          <w:color w:val="222222"/>
          <w:shd w:val="clear" w:color="auto" w:fill="FFFFFF"/>
        </w:rPr>
        <w:t xml:space="preserve">Graham Harvey </w:t>
      </w:r>
      <w:r w:rsidR="005959D6">
        <w:rPr>
          <w:rFonts w:ascii="Palatino Linotype" w:hAnsi="Palatino Linotype" w:cs="Arial"/>
          <w:noProof/>
          <w:color w:val="222222"/>
          <w:shd w:val="clear" w:color="auto" w:fill="FFFFFF"/>
        </w:rPr>
        <w:t xml:space="preserve">is another important scholar when it comes to new forms of animism, and will make my final point before concluding. Harvey’s approach is to find new meanings in behind the roles animistic beliefs play in peoples’ lives; he believes that the ‘free-flowing nature’ of the animist provides pathways for engagements with psychologists and philosophers, for example, to further understand consciousness. </w:t>
      </w:r>
      <w:r w:rsidR="00794692">
        <w:rPr>
          <w:rFonts w:ascii="Palatino Linotype" w:hAnsi="Palatino Linotype" w:cs="Arial"/>
          <w:noProof/>
          <w:color w:val="222222"/>
          <w:shd w:val="clear" w:color="auto" w:fill="FFFFFF"/>
        </w:rPr>
        <w:t>Harvey’s conclusion of animists is that their perceptions of the world and the way they relate to it</w:t>
      </w:r>
      <w:r w:rsidR="00161273">
        <w:rPr>
          <w:rFonts w:ascii="Palatino Linotype" w:hAnsi="Palatino Linotype" w:cs="Arial"/>
          <w:noProof/>
          <w:color w:val="222222"/>
          <w:shd w:val="clear" w:color="auto" w:fill="FFFFFF"/>
        </w:rPr>
        <w:t xml:space="preserve"> give the </w:t>
      </w:r>
      <w:r w:rsidR="00161273" w:rsidRPr="00161273">
        <w:rPr>
          <w:rFonts w:ascii="Palatino Linotype" w:hAnsi="Palatino Linotype" w:cs="Arial"/>
          <w:noProof/>
          <w:color w:val="222222"/>
          <w:shd w:val="clear" w:color="auto" w:fill="FFFFFF"/>
        </w:rPr>
        <w:t>perim</w:t>
      </w:r>
      <w:r w:rsidR="00161273">
        <w:rPr>
          <w:rFonts w:ascii="Palatino Linotype" w:hAnsi="Palatino Linotype" w:cs="Arial"/>
          <w:noProof/>
          <w:color w:val="222222"/>
          <w:shd w:val="clear" w:color="auto" w:fill="FFFFFF"/>
        </w:rPr>
        <w:t>e</w:t>
      </w:r>
      <w:r w:rsidR="00161273" w:rsidRPr="00161273">
        <w:rPr>
          <w:rFonts w:ascii="Palatino Linotype" w:hAnsi="Palatino Linotype" w:cs="Arial"/>
          <w:noProof/>
          <w:color w:val="222222"/>
          <w:shd w:val="clear" w:color="auto" w:fill="FFFFFF"/>
        </w:rPr>
        <w:t>ters</w:t>
      </w:r>
      <w:r w:rsidR="00161273">
        <w:rPr>
          <w:rFonts w:ascii="Palatino Linotype" w:hAnsi="Palatino Linotype" w:cs="Arial"/>
          <w:noProof/>
          <w:color w:val="222222"/>
          <w:shd w:val="clear" w:color="auto" w:fill="FFFFFF"/>
        </w:rPr>
        <w:t xml:space="preserve"> for living a ‘good life’, beginning with ‘respectful acknowledgement of the presence of persons human and other-than-humans, who make up the community of life’ (Harvey, 2006). This chimes well with Ingold’s ontology of entanglements in the </w:t>
      </w:r>
      <w:r w:rsidR="00161273">
        <w:rPr>
          <w:rFonts w:ascii="Palatino Linotype" w:hAnsi="Palatino Linotype" w:cs="Arial"/>
          <w:i/>
          <w:noProof/>
          <w:color w:val="222222"/>
          <w:shd w:val="clear" w:color="auto" w:fill="FFFFFF"/>
        </w:rPr>
        <w:t>meshwork</w:t>
      </w:r>
      <w:r w:rsidR="00161273">
        <w:rPr>
          <w:rFonts w:ascii="Palatino Linotype" w:hAnsi="Palatino Linotype" w:cs="Arial"/>
          <w:noProof/>
          <w:color w:val="222222"/>
          <w:shd w:val="clear" w:color="auto" w:fill="FFFFFF"/>
        </w:rPr>
        <w:t xml:space="preserve"> that forms our world (Ingold 2010), between ‘inanimate objects’ and humans, creating infinite possibilities of relation and interaction, and countless causes and effects; one of the common explanations for the logic behind witchcraft and shamanism. It is compelling when seen in this manner, that to disrespect the environment in which you dwell - perhaps displeasing a spirit</w:t>
      </w:r>
      <w:r w:rsidR="0097382A">
        <w:rPr>
          <w:rFonts w:ascii="Palatino Linotype" w:hAnsi="Palatino Linotype" w:cs="Arial"/>
          <w:noProof/>
          <w:color w:val="222222"/>
          <w:shd w:val="clear" w:color="auto" w:fill="FFFFFF"/>
        </w:rPr>
        <w:t xml:space="preserve"> by cutting trees from their forest without permission</w:t>
      </w:r>
      <w:r w:rsidR="00161273">
        <w:rPr>
          <w:rFonts w:ascii="Palatino Linotype" w:hAnsi="Palatino Linotype" w:cs="Arial"/>
          <w:noProof/>
          <w:color w:val="222222"/>
          <w:shd w:val="clear" w:color="auto" w:fill="FFFFFF"/>
        </w:rPr>
        <w:t xml:space="preserve"> </w:t>
      </w:r>
      <w:r w:rsidR="0097382A">
        <w:rPr>
          <w:rFonts w:ascii="Palatino Linotype" w:hAnsi="Palatino Linotype" w:cs="Arial"/>
          <w:noProof/>
          <w:color w:val="222222"/>
          <w:shd w:val="clear" w:color="auto" w:fill="FFFFFF"/>
        </w:rPr>
        <w:t>- that</w:t>
      </w:r>
      <w:r w:rsidR="00161273">
        <w:rPr>
          <w:rFonts w:ascii="Palatino Linotype" w:hAnsi="Palatino Linotype" w:cs="Arial"/>
          <w:noProof/>
          <w:color w:val="222222"/>
          <w:shd w:val="clear" w:color="auto" w:fill="FFFFFF"/>
        </w:rPr>
        <w:t xml:space="preserve"> there must be some kind of </w:t>
      </w:r>
      <w:r w:rsidR="0097382A">
        <w:rPr>
          <w:rFonts w:ascii="Palatino Linotype" w:hAnsi="Palatino Linotype" w:cs="Arial"/>
          <w:noProof/>
          <w:color w:val="222222"/>
          <w:shd w:val="clear" w:color="auto" w:fill="FFFFFF"/>
        </w:rPr>
        <w:t>consequence.</w:t>
      </w:r>
    </w:p>
    <w:p w:rsidR="00B171FE" w:rsidRDefault="00B52510">
      <w:pPr>
        <w:rPr>
          <w:rFonts w:ascii="Palatino Linotype" w:hAnsi="Palatino Linotype" w:cs="Arial"/>
          <w:noProof/>
          <w:shd w:val="clear" w:color="auto" w:fill="FFFFFF"/>
        </w:rPr>
      </w:pPr>
      <w:r w:rsidRPr="004335EC">
        <w:rPr>
          <w:rFonts w:ascii="Palatino Linotype" w:hAnsi="Palatino Linotype" w:cs="Arial"/>
          <w:noProof/>
          <w:color w:val="222222"/>
          <w:shd w:val="clear" w:color="auto" w:fill="FFFFFF"/>
        </w:rPr>
        <w:t>Having</w:t>
      </w:r>
      <w:r>
        <w:rPr>
          <w:rFonts w:ascii="Palatino Linotype" w:hAnsi="Palatino Linotype" w:cs="Arial"/>
          <w:color w:val="222222"/>
          <w:shd w:val="clear" w:color="auto" w:fill="FFFFFF"/>
        </w:rPr>
        <w:t xml:space="preserve"> </w:t>
      </w:r>
      <w:r w:rsidRPr="004335EC">
        <w:rPr>
          <w:rFonts w:ascii="Palatino Linotype" w:hAnsi="Palatino Linotype" w:cs="Arial"/>
          <w:noProof/>
          <w:color w:val="222222"/>
          <w:shd w:val="clear" w:color="auto" w:fill="FFFFFF"/>
        </w:rPr>
        <w:t>taken</w:t>
      </w:r>
      <w:r>
        <w:rPr>
          <w:rFonts w:ascii="Palatino Linotype" w:hAnsi="Palatino Linotype" w:cs="Arial"/>
          <w:color w:val="222222"/>
          <w:shd w:val="clear" w:color="auto" w:fill="FFFFFF"/>
        </w:rPr>
        <w:t xml:space="preserve"> all this into account, you could say that the contemporary themes of animism</w:t>
      </w:r>
      <w:r w:rsidR="0094145F">
        <w:rPr>
          <w:rFonts w:ascii="Palatino Linotype" w:hAnsi="Palatino Linotype" w:cs="Arial"/>
          <w:color w:val="222222"/>
          <w:shd w:val="clear" w:color="auto" w:fill="FFFFFF"/>
        </w:rPr>
        <w:t xml:space="preserve"> -which</w:t>
      </w:r>
      <w:r>
        <w:rPr>
          <w:rFonts w:ascii="Palatino Linotype" w:hAnsi="Palatino Linotype" w:cs="Arial"/>
          <w:color w:val="222222"/>
          <w:shd w:val="clear" w:color="auto" w:fill="FFFFFF"/>
        </w:rPr>
        <w:t xml:space="preserve"> may not identify with Tylor’s definition, </w:t>
      </w:r>
      <w:r w:rsidR="0094145F">
        <w:rPr>
          <w:rFonts w:ascii="Palatino Linotype" w:hAnsi="Palatino Linotype" w:cs="Arial"/>
          <w:color w:val="222222"/>
          <w:shd w:val="clear" w:color="auto" w:fill="FFFFFF"/>
        </w:rPr>
        <w:t xml:space="preserve">but many of </w:t>
      </w:r>
      <w:r w:rsidR="0094145F" w:rsidRPr="004335EC">
        <w:rPr>
          <w:rFonts w:ascii="Palatino Linotype" w:hAnsi="Palatino Linotype" w:cs="Arial"/>
          <w:noProof/>
          <w:color w:val="222222"/>
          <w:shd w:val="clear" w:color="auto" w:fill="FFFFFF"/>
        </w:rPr>
        <w:t>the subjects</w:t>
      </w:r>
      <w:r w:rsidRPr="004335EC">
        <w:rPr>
          <w:rFonts w:ascii="Palatino Linotype" w:hAnsi="Palatino Linotype" w:cs="Arial"/>
          <w:noProof/>
          <w:color w:val="222222"/>
          <w:shd w:val="clear" w:color="auto" w:fill="FFFFFF"/>
        </w:rPr>
        <w:t xml:space="preserve"> </w:t>
      </w:r>
      <w:r w:rsidR="0094145F" w:rsidRPr="004335EC">
        <w:rPr>
          <w:rFonts w:ascii="Palatino Linotype" w:hAnsi="Palatino Linotype" w:cs="Arial"/>
          <w:noProof/>
          <w:color w:val="222222"/>
          <w:shd w:val="clear" w:color="auto" w:fill="FFFFFF"/>
        </w:rPr>
        <w:t>self</w:t>
      </w:r>
      <w:r w:rsidR="004335EC">
        <w:rPr>
          <w:rFonts w:ascii="Palatino Linotype" w:hAnsi="Palatino Linotype" w:cs="Arial"/>
          <w:color w:val="222222"/>
          <w:shd w:val="clear" w:color="auto" w:fill="FFFFFF"/>
        </w:rPr>
        <w:t>-</w:t>
      </w:r>
      <w:r w:rsidR="0094145F">
        <w:rPr>
          <w:rFonts w:ascii="Palatino Linotype" w:hAnsi="Palatino Linotype" w:cs="Arial"/>
          <w:color w:val="222222"/>
          <w:shd w:val="clear" w:color="auto" w:fill="FFFFFF"/>
        </w:rPr>
        <w:t>identify as</w:t>
      </w:r>
      <w:r w:rsidR="002808E5">
        <w:rPr>
          <w:rFonts w:ascii="Palatino Linotype" w:hAnsi="Palatino Linotype" w:cs="Arial"/>
          <w:color w:val="222222"/>
          <w:shd w:val="clear" w:color="auto" w:fill="FFFFFF"/>
        </w:rPr>
        <w:t xml:space="preserve"> </w:t>
      </w:r>
      <w:r w:rsidR="009B4340">
        <w:rPr>
          <w:rFonts w:ascii="Palatino Linotype" w:hAnsi="Palatino Linotype" w:cs="Arial"/>
          <w:color w:val="222222"/>
          <w:shd w:val="clear" w:color="auto" w:fill="FFFFFF"/>
        </w:rPr>
        <w:t>a</w:t>
      </w:r>
      <w:r w:rsidR="002808E5">
        <w:rPr>
          <w:rFonts w:ascii="Palatino Linotype" w:hAnsi="Palatino Linotype" w:cs="Arial"/>
          <w:color w:val="222222"/>
          <w:shd w:val="clear" w:color="auto" w:fill="FFFFFF"/>
        </w:rPr>
        <w:t>nimists</w:t>
      </w:r>
      <w:r w:rsidR="0094145F">
        <w:rPr>
          <w:rFonts w:ascii="Palatino Linotype" w:hAnsi="Palatino Linotype" w:cs="Arial"/>
          <w:color w:val="222222"/>
          <w:shd w:val="clear" w:color="auto" w:fill="FFFFFF"/>
        </w:rPr>
        <w:t>;</w:t>
      </w:r>
      <w:r w:rsidR="002808E5">
        <w:rPr>
          <w:rFonts w:ascii="Palatino Linotype" w:hAnsi="Palatino Linotype" w:cs="Arial"/>
          <w:color w:val="222222"/>
          <w:shd w:val="clear" w:color="auto" w:fill="FFFFFF"/>
        </w:rPr>
        <w:t xml:space="preserve"> </w:t>
      </w:r>
      <w:r w:rsidR="00D26151">
        <w:rPr>
          <w:rFonts w:ascii="Palatino Linotype" w:hAnsi="Palatino Linotype" w:cs="Arial"/>
          <w:color w:val="222222"/>
          <w:shd w:val="clear" w:color="auto" w:fill="FFFFFF"/>
        </w:rPr>
        <w:t>could be simplified as much as</w:t>
      </w:r>
      <w:r w:rsidR="002808E5">
        <w:rPr>
          <w:rFonts w:ascii="Palatino Linotype" w:hAnsi="Palatino Linotype" w:cs="Arial"/>
          <w:color w:val="222222"/>
          <w:shd w:val="clear" w:color="auto" w:fill="FFFFFF"/>
        </w:rPr>
        <w:t xml:space="preserve"> </w:t>
      </w:r>
      <w:r w:rsidR="00D26151">
        <w:rPr>
          <w:rFonts w:ascii="Palatino Linotype" w:hAnsi="Palatino Linotype" w:cs="Arial"/>
          <w:color w:val="222222"/>
          <w:shd w:val="clear" w:color="auto" w:fill="FFFFFF"/>
        </w:rPr>
        <w:t>‘</w:t>
      </w:r>
      <w:r w:rsidR="0043310F">
        <w:rPr>
          <w:rFonts w:ascii="Palatino Linotype" w:hAnsi="Palatino Linotype" w:cs="Arial"/>
          <w:i/>
          <w:color w:val="222222"/>
          <w:shd w:val="clear" w:color="auto" w:fill="FFFFFF"/>
        </w:rPr>
        <w:t>persons,</w:t>
      </w:r>
      <w:r w:rsidR="002808E5">
        <w:rPr>
          <w:rFonts w:ascii="Palatino Linotype" w:hAnsi="Palatino Linotype" w:cs="Arial"/>
          <w:color w:val="222222"/>
          <w:shd w:val="clear" w:color="auto" w:fill="FFFFFF"/>
        </w:rPr>
        <w:t xml:space="preserve"> </w:t>
      </w:r>
      <w:r w:rsidR="0043310F">
        <w:rPr>
          <w:rFonts w:ascii="Palatino Linotype" w:hAnsi="Palatino Linotype" w:cs="Arial"/>
          <w:i/>
          <w:color w:val="222222"/>
          <w:shd w:val="clear" w:color="auto" w:fill="FFFFFF"/>
        </w:rPr>
        <w:t>d</w:t>
      </w:r>
      <w:r w:rsidR="0043310F" w:rsidRPr="0043310F">
        <w:rPr>
          <w:rFonts w:ascii="Palatino Linotype" w:hAnsi="Palatino Linotype" w:cs="Arial"/>
          <w:i/>
          <w:color w:val="222222"/>
          <w:shd w:val="clear" w:color="auto" w:fill="FFFFFF"/>
        </w:rPr>
        <w:t>welling</w:t>
      </w:r>
      <w:r w:rsidR="00D26151">
        <w:rPr>
          <w:rFonts w:ascii="Palatino Linotype" w:hAnsi="Palatino Linotype" w:cs="Arial"/>
          <w:i/>
          <w:color w:val="222222"/>
          <w:shd w:val="clear" w:color="auto" w:fill="FFFFFF"/>
        </w:rPr>
        <w:t>’</w:t>
      </w:r>
      <w:r w:rsidR="00367A3B">
        <w:rPr>
          <w:rFonts w:ascii="Palatino Linotype" w:hAnsi="Palatino Linotype" w:cs="Arial"/>
          <w:i/>
          <w:color w:val="222222"/>
          <w:shd w:val="clear" w:color="auto" w:fill="FFFFFF"/>
        </w:rPr>
        <w:t xml:space="preserve">, </w:t>
      </w:r>
      <w:r w:rsidR="009B4340">
        <w:rPr>
          <w:rFonts w:ascii="Palatino Linotype" w:hAnsi="Palatino Linotype" w:cs="Arial"/>
          <w:color w:val="222222"/>
          <w:shd w:val="clear" w:color="auto" w:fill="FFFFFF"/>
        </w:rPr>
        <w:t>in the</w:t>
      </w:r>
      <w:r w:rsidR="002808E5">
        <w:rPr>
          <w:rFonts w:ascii="Palatino Linotype" w:hAnsi="Palatino Linotype" w:cs="Arial"/>
          <w:color w:val="222222"/>
          <w:shd w:val="clear" w:color="auto" w:fill="FFFFFF"/>
        </w:rPr>
        <w:t xml:space="preserve"> EWO (Environment Without Objects), as set out by Gibson (19</w:t>
      </w:r>
      <w:r w:rsidR="00467C5D">
        <w:rPr>
          <w:rFonts w:ascii="Palatino Linotype" w:hAnsi="Palatino Linotype" w:cs="Arial"/>
          <w:color w:val="222222"/>
          <w:shd w:val="clear" w:color="auto" w:fill="FFFFFF"/>
        </w:rPr>
        <w:t>86</w:t>
      </w:r>
      <w:r w:rsidR="002808E5">
        <w:rPr>
          <w:rFonts w:ascii="Palatino Linotype" w:hAnsi="Palatino Linotype" w:cs="Arial"/>
          <w:color w:val="222222"/>
          <w:shd w:val="clear" w:color="auto" w:fill="FFFFFF"/>
        </w:rPr>
        <w:t>) and developed by Ingold</w:t>
      </w:r>
      <w:r w:rsidR="004B1B57">
        <w:rPr>
          <w:rFonts w:ascii="Palatino Linotype" w:hAnsi="Palatino Linotype" w:cs="Arial"/>
          <w:color w:val="222222"/>
          <w:shd w:val="clear" w:color="auto" w:fill="FFFFFF"/>
        </w:rPr>
        <w:t xml:space="preserve"> (2010)</w:t>
      </w:r>
      <w:r w:rsidR="0043310F">
        <w:rPr>
          <w:rFonts w:ascii="Palatino Linotype" w:hAnsi="Palatino Linotype" w:cs="Arial"/>
          <w:color w:val="222222"/>
          <w:shd w:val="clear" w:color="auto" w:fill="FFFFFF"/>
        </w:rPr>
        <w:t>.</w:t>
      </w:r>
      <w:r w:rsidR="006958E3">
        <w:rPr>
          <w:rFonts w:ascii="Palatino Linotype" w:hAnsi="Palatino Linotype" w:cs="Arial"/>
          <w:color w:val="222222"/>
          <w:shd w:val="clear" w:color="auto" w:fill="FFFFFF"/>
        </w:rPr>
        <w:t xml:space="preserve"> </w:t>
      </w:r>
      <w:r w:rsidR="00367A3B">
        <w:rPr>
          <w:rFonts w:ascii="Palatino Linotype" w:hAnsi="Palatino Linotype" w:cs="Arial"/>
          <w:color w:val="222222"/>
          <w:shd w:val="clear" w:color="auto" w:fill="FFFFFF"/>
        </w:rPr>
        <w:t>The reason I use ‘persons’ here is that as animists give personhood to the things in their environment, we too</w:t>
      </w:r>
      <w:r w:rsidR="00AE1B25">
        <w:rPr>
          <w:rFonts w:ascii="Palatino Linotype" w:hAnsi="Palatino Linotype" w:cs="Arial"/>
          <w:color w:val="222222"/>
          <w:shd w:val="clear" w:color="auto" w:fill="FFFFFF"/>
        </w:rPr>
        <w:t xml:space="preserve"> are</w:t>
      </w:r>
      <w:r w:rsidR="00367A3B">
        <w:rPr>
          <w:rFonts w:ascii="Palatino Linotype" w:hAnsi="Palatino Linotype" w:cs="Arial"/>
          <w:color w:val="222222"/>
          <w:shd w:val="clear" w:color="auto" w:fill="FFFFFF"/>
        </w:rPr>
        <w:t xml:space="preserve"> ‘persons’ </w:t>
      </w:r>
      <w:r w:rsidR="00367A3B" w:rsidRPr="00047206">
        <w:rPr>
          <w:rFonts w:ascii="Palatino Linotype" w:hAnsi="Palatino Linotype" w:cs="Arial"/>
          <w:shd w:val="clear" w:color="auto" w:fill="FFFFFF"/>
        </w:rPr>
        <w:t>in Mary Black’s take on the ‘belief in souls’.</w:t>
      </w:r>
      <w:r w:rsidR="00AE1B25">
        <w:rPr>
          <w:rFonts w:ascii="Palatino Linotype" w:hAnsi="Palatino Linotype" w:cs="Arial"/>
          <w:shd w:val="clear" w:color="auto" w:fill="FFFFFF"/>
        </w:rPr>
        <w:t xml:space="preserve"> This reflects the mutual respect, the relationship between a </w:t>
      </w:r>
      <w:r w:rsidR="00411DEA">
        <w:rPr>
          <w:rFonts w:ascii="Palatino Linotype" w:hAnsi="Palatino Linotype" w:cs="Arial"/>
          <w:i/>
          <w:shd w:val="clear" w:color="auto" w:fill="FFFFFF"/>
        </w:rPr>
        <w:t xml:space="preserve">person </w:t>
      </w:r>
      <w:r w:rsidR="00411DEA">
        <w:rPr>
          <w:rFonts w:ascii="Palatino Linotype" w:hAnsi="Palatino Linotype" w:cs="Arial"/>
          <w:shd w:val="clear" w:color="auto" w:fill="FFFFFF"/>
        </w:rPr>
        <w:t xml:space="preserve">and another </w:t>
      </w:r>
      <w:r w:rsidR="00411DEA">
        <w:rPr>
          <w:rFonts w:ascii="Palatino Linotype" w:hAnsi="Palatino Linotype" w:cs="Arial"/>
          <w:i/>
          <w:shd w:val="clear" w:color="auto" w:fill="FFFFFF"/>
        </w:rPr>
        <w:t>person</w:t>
      </w:r>
      <w:r w:rsidR="00411DEA">
        <w:rPr>
          <w:rFonts w:ascii="Palatino Linotype" w:hAnsi="Palatino Linotype" w:cs="Arial"/>
          <w:shd w:val="clear" w:color="auto" w:fill="FFFFFF"/>
        </w:rPr>
        <w:t>; the trees, plants, animals and even weather patterns demanding the same effectual treatment as one would bestow on another human.</w:t>
      </w:r>
      <w:r w:rsidR="00367A3B" w:rsidRPr="00047206">
        <w:rPr>
          <w:rFonts w:ascii="Palatino Linotype" w:hAnsi="Palatino Linotype" w:cs="Arial"/>
          <w:shd w:val="clear" w:color="auto" w:fill="FFFFFF"/>
        </w:rPr>
        <w:t xml:space="preserve"> </w:t>
      </w:r>
      <w:r w:rsidR="007B0013" w:rsidRPr="00047206">
        <w:rPr>
          <w:rFonts w:ascii="Palatino Linotype" w:hAnsi="Palatino Linotype" w:cs="Arial"/>
          <w:shd w:val="clear" w:color="auto" w:fill="FFFFFF"/>
        </w:rPr>
        <w:t xml:space="preserve">And when I speak </w:t>
      </w:r>
      <w:r w:rsidR="0043310F" w:rsidRPr="00047206">
        <w:rPr>
          <w:rFonts w:ascii="Palatino Linotype" w:hAnsi="Palatino Linotype" w:cs="Arial"/>
          <w:shd w:val="clear" w:color="auto" w:fill="FFFFFF"/>
        </w:rPr>
        <w:t xml:space="preserve">of </w:t>
      </w:r>
      <w:r w:rsidR="0043310F" w:rsidRPr="00411DEA">
        <w:rPr>
          <w:rFonts w:ascii="Palatino Linotype" w:hAnsi="Palatino Linotype" w:cs="Arial"/>
          <w:i/>
          <w:shd w:val="clear" w:color="auto" w:fill="FFFFFF"/>
        </w:rPr>
        <w:t>dwelling</w:t>
      </w:r>
      <w:r w:rsidR="007B0013" w:rsidRPr="00047206">
        <w:rPr>
          <w:rFonts w:ascii="Palatino Linotype" w:hAnsi="Palatino Linotype" w:cs="Arial"/>
          <w:shd w:val="clear" w:color="auto" w:fill="FFFFFF"/>
        </w:rPr>
        <w:t>, it is in the sense</w:t>
      </w:r>
      <w:r w:rsidR="0043310F" w:rsidRPr="00047206">
        <w:rPr>
          <w:rFonts w:ascii="Palatino Linotype" w:hAnsi="Palatino Linotype" w:cs="Arial"/>
          <w:shd w:val="clear" w:color="auto" w:fill="FFFFFF"/>
        </w:rPr>
        <w:t xml:space="preserve"> of</w:t>
      </w:r>
      <w:r w:rsidR="007B0013" w:rsidRPr="00047206">
        <w:rPr>
          <w:rFonts w:ascii="Palatino Linotype" w:hAnsi="Palatino Linotype" w:cs="Arial"/>
          <w:shd w:val="clear" w:color="auto" w:fill="FFFFFF"/>
        </w:rPr>
        <w:t xml:space="preserve"> another of</w:t>
      </w:r>
      <w:r w:rsidR="0043310F" w:rsidRPr="00047206">
        <w:rPr>
          <w:rFonts w:ascii="Palatino Linotype" w:hAnsi="Palatino Linotype" w:cs="Arial"/>
          <w:shd w:val="clear" w:color="auto" w:fill="FFFFFF"/>
        </w:rPr>
        <w:t xml:space="preserve"> Ingold’s ontological theories</w:t>
      </w:r>
      <w:r w:rsidR="009A591F" w:rsidRPr="00047206">
        <w:rPr>
          <w:rFonts w:ascii="Palatino Linotype" w:hAnsi="Palatino Linotype" w:cs="Arial"/>
          <w:shd w:val="clear" w:color="auto" w:fill="FFFFFF"/>
        </w:rPr>
        <w:t xml:space="preserve">, owed again to Hallowell’s earlier work with the </w:t>
      </w:r>
      <w:r w:rsidR="009A591F" w:rsidRPr="00047206">
        <w:rPr>
          <w:rFonts w:ascii="Palatino Linotype" w:hAnsi="Palatino Linotype" w:cs="Arial"/>
          <w:noProof/>
          <w:shd w:val="clear" w:color="auto" w:fill="FFFFFF"/>
        </w:rPr>
        <w:t>Ojibwa</w:t>
      </w:r>
      <w:r w:rsidR="006171B3" w:rsidRPr="00047206">
        <w:rPr>
          <w:rFonts w:ascii="Palatino Linotype" w:hAnsi="Palatino Linotype" w:cs="Arial"/>
          <w:noProof/>
          <w:shd w:val="clear" w:color="auto" w:fill="FFFFFF"/>
        </w:rPr>
        <w:t>, meaning more than simply ‘to live upon the landscape’, instead he is setting the grounds for a way of being, of existing</w:t>
      </w:r>
      <w:r w:rsidR="00FB0871" w:rsidRPr="00047206">
        <w:rPr>
          <w:rFonts w:ascii="Palatino Linotype" w:hAnsi="Palatino Linotype" w:cs="Arial"/>
          <w:noProof/>
          <w:shd w:val="clear" w:color="auto" w:fill="FFFFFF"/>
        </w:rPr>
        <w:t xml:space="preserve"> and perceiving/interacting with the environment and the beings </w:t>
      </w:r>
      <w:r w:rsidR="009A591F" w:rsidRPr="00047206">
        <w:rPr>
          <w:rFonts w:ascii="Palatino Linotype" w:hAnsi="Palatino Linotype" w:cs="Arial"/>
          <w:noProof/>
          <w:shd w:val="clear" w:color="auto" w:fill="FFFFFF"/>
        </w:rPr>
        <w:t xml:space="preserve">; Ingold’s suggestion is that </w:t>
      </w:r>
      <w:r w:rsidR="006958E3" w:rsidRPr="00047206">
        <w:rPr>
          <w:rFonts w:ascii="Palatino Linotype" w:hAnsi="Palatino Linotype" w:cs="Arial"/>
          <w:noProof/>
          <w:shd w:val="clear" w:color="auto" w:fill="FFFFFF"/>
        </w:rPr>
        <w:t>to construct a balanced understanding of animism, and indeed of our world</w:t>
      </w:r>
      <w:r w:rsidR="006171B3" w:rsidRPr="00047206">
        <w:rPr>
          <w:rFonts w:ascii="Palatino Linotype" w:hAnsi="Palatino Linotype" w:cs="Arial"/>
          <w:noProof/>
          <w:shd w:val="clear" w:color="auto" w:fill="FFFFFF"/>
        </w:rPr>
        <w:t>,</w:t>
      </w:r>
      <w:r w:rsidR="006958E3" w:rsidRPr="00047206">
        <w:rPr>
          <w:rFonts w:ascii="Palatino Linotype" w:hAnsi="Palatino Linotype" w:cs="Arial"/>
          <w:noProof/>
          <w:shd w:val="clear" w:color="auto" w:fill="FFFFFF"/>
        </w:rPr>
        <w:t xml:space="preserve"> as perc</w:t>
      </w:r>
      <w:r w:rsidR="00AA6597" w:rsidRPr="00047206">
        <w:rPr>
          <w:rFonts w:ascii="Palatino Linotype" w:hAnsi="Palatino Linotype" w:cs="Arial"/>
          <w:noProof/>
          <w:shd w:val="clear" w:color="auto" w:fill="FFFFFF"/>
        </w:rPr>
        <w:t>ei</w:t>
      </w:r>
      <w:r w:rsidR="006958E3" w:rsidRPr="00047206">
        <w:rPr>
          <w:rFonts w:ascii="Palatino Linotype" w:hAnsi="Palatino Linotype" w:cs="Arial"/>
          <w:noProof/>
          <w:shd w:val="clear" w:color="auto" w:fill="FFFFFF"/>
        </w:rPr>
        <w:t>ved by the anthropologist and the indigenous populations, is that the scientific and the ‘poetic</w:t>
      </w:r>
      <w:r w:rsidR="00317F63" w:rsidRPr="00047206">
        <w:rPr>
          <w:rFonts w:ascii="Palatino Linotype" w:hAnsi="Palatino Linotype" w:cs="Arial"/>
          <w:noProof/>
          <w:shd w:val="clear" w:color="auto" w:fill="FFFFFF"/>
        </w:rPr>
        <w:t>al abstract</w:t>
      </w:r>
      <w:r w:rsidR="006958E3" w:rsidRPr="00047206">
        <w:rPr>
          <w:rFonts w:ascii="Palatino Linotype" w:hAnsi="Palatino Linotype" w:cs="Arial"/>
          <w:noProof/>
          <w:shd w:val="clear" w:color="auto" w:fill="FFFFFF"/>
        </w:rPr>
        <w:t xml:space="preserve">’ </w:t>
      </w:r>
      <w:r w:rsidR="00FB1E97" w:rsidRPr="00047206">
        <w:rPr>
          <w:rFonts w:ascii="Palatino Linotype" w:hAnsi="Palatino Linotype" w:cs="Arial"/>
          <w:noProof/>
          <w:shd w:val="clear" w:color="auto" w:fill="FFFFFF"/>
        </w:rPr>
        <w:t>deserve</w:t>
      </w:r>
      <w:r w:rsidR="00D903FC" w:rsidRPr="00047206">
        <w:rPr>
          <w:rFonts w:ascii="Palatino Linotype" w:hAnsi="Palatino Linotype" w:cs="Arial"/>
          <w:noProof/>
          <w:shd w:val="clear" w:color="auto" w:fill="FFFFFF"/>
        </w:rPr>
        <w:t xml:space="preserve"> equal part</w:t>
      </w:r>
      <w:r w:rsidR="00FB1E97" w:rsidRPr="00047206">
        <w:rPr>
          <w:rFonts w:ascii="Palatino Linotype" w:hAnsi="Palatino Linotype" w:cs="Arial"/>
          <w:noProof/>
          <w:shd w:val="clear" w:color="auto" w:fill="FFFFFF"/>
        </w:rPr>
        <w:t xml:space="preserve"> in forming our conclusions</w:t>
      </w:r>
      <w:r w:rsidR="009A591F" w:rsidRPr="00047206">
        <w:rPr>
          <w:rFonts w:ascii="Palatino Linotype" w:hAnsi="Palatino Linotype" w:cs="Arial"/>
          <w:noProof/>
          <w:shd w:val="clear" w:color="auto" w:fill="FFFFFF"/>
        </w:rPr>
        <w:t xml:space="preserve"> (</w:t>
      </w:r>
      <w:r w:rsidR="00D903FC" w:rsidRPr="00047206">
        <w:rPr>
          <w:rFonts w:ascii="Palatino Linotype" w:hAnsi="Palatino Linotype" w:cs="Arial"/>
          <w:noProof/>
          <w:shd w:val="clear" w:color="auto" w:fill="FFFFFF"/>
        </w:rPr>
        <w:t xml:space="preserve">Ingold, </w:t>
      </w:r>
      <w:r w:rsidR="009A591F" w:rsidRPr="00047206">
        <w:rPr>
          <w:rFonts w:ascii="Palatino Linotype" w:hAnsi="Palatino Linotype" w:cs="Arial"/>
          <w:noProof/>
          <w:shd w:val="clear" w:color="auto" w:fill="FFFFFF"/>
        </w:rPr>
        <w:t>2000)</w:t>
      </w:r>
      <w:r w:rsidR="00D903FC" w:rsidRPr="00047206">
        <w:rPr>
          <w:rFonts w:ascii="Palatino Linotype" w:hAnsi="Palatino Linotype" w:cs="Arial"/>
          <w:noProof/>
          <w:shd w:val="clear" w:color="auto" w:fill="FFFFFF"/>
        </w:rPr>
        <w:t xml:space="preserve">. </w:t>
      </w:r>
    </w:p>
    <w:p w:rsidR="00E01A00" w:rsidRDefault="00B171FE">
      <w:pPr>
        <w:rPr>
          <w:rFonts w:ascii="Palatino Linotype" w:hAnsi="Palatino Linotype" w:cs="Arial"/>
          <w:noProof/>
          <w:shd w:val="clear" w:color="auto" w:fill="FFFFFF"/>
        </w:rPr>
      </w:pPr>
      <w:r>
        <w:rPr>
          <w:rFonts w:ascii="Palatino Linotype" w:hAnsi="Palatino Linotype" w:cs="Arial"/>
          <w:noProof/>
          <w:shd w:val="clear" w:color="auto" w:fill="FFFFFF"/>
        </w:rPr>
        <w:t xml:space="preserve">These new definitions of animism are especially important in the contemporary world for many reasons; global religions have been sinking into decline for many years, with census counts of religious devotees vastly lower than in previous years. However, this has opened </w:t>
      </w:r>
      <w:r>
        <w:rPr>
          <w:rFonts w:ascii="Palatino Linotype" w:hAnsi="Palatino Linotype" w:cs="Arial"/>
          <w:noProof/>
          <w:shd w:val="clear" w:color="auto" w:fill="FFFFFF"/>
        </w:rPr>
        <w:lastRenderedPageBreak/>
        <w:t xml:space="preserve">the floodgate on new ideas, with </w:t>
      </w:r>
      <w:r w:rsidRPr="00B171FE">
        <w:rPr>
          <w:rFonts w:ascii="Palatino Linotype" w:hAnsi="Palatino Linotype" w:cs="Arial"/>
          <w:noProof/>
          <w:shd w:val="clear" w:color="auto" w:fill="FFFFFF"/>
        </w:rPr>
        <w:t>spirituality</w:t>
      </w:r>
      <w:r>
        <w:rPr>
          <w:rFonts w:ascii="Palatino Linotype" w:hAnsi="Palatino Linotype" w:cs="Arial"/>
          <w:noProof/>
          <w:shd w:val="clear" w:color="auto" w:fill="FFFFFF"/>
        </w:rPr>
        <w:t xml:space="preserve"> of one degree or another becoming more and more popular, especially in the followings of pop culture. Another almost blindingly obvious point is </w:t>
      </w:r>
      <w:r w:rsidRPr="00B171FE">
        <w:rPr>
          <w:rFonts w:ascii="Palatino Linotype" w:hAnsi="Palatino Linotype" w:cs="Arial"/>
          <w:noProof/>
          <w:shd w:val="clear" w:color="auto" w:fill="FFFFFF"/>
        </w:rPr>
        <w:t>the lack of respect held for our planet by many humans, indeed entire nations, and this is somewhere that academics such as Harvey and Ingold have key roles, and inspire future stud</w:t>
      </w:r>
      <w:r>
        <w:rPr>
          <w:rFonts w:ascii="Palatino Linotype" w:hAnsi="Palatino Linotype" w:cs="Arial"/>
          <w:noProof/>
          <w:shd w:val="clear" w:color="auto" w:fill="FFFFFF"/>
        </w:rPr>
        <w:t xml:space="preserve">ents of anthropology to follow in their footsteps, on a path to providing the </w:t>
      </w:r>
      <w:r w:rsidRPr="00B171FE">
        <w:rPr>
          <w:rFonts w:ascii="Palatino Linotype" w:hAnsi="Palatino Linotype" w:cs="Arial"/>
          <w:noProof/>
          <w:shd w:val="clear" w:color="auto" w:fill="FFFFFF"/>
        </w:rPr>
        <w:t>basis</w:t>
      </w:r>
      <w:r>
        <w:rPr>
          <w:rFonts w:ascii="Palatino Linotype" w:hAnsi="Palatino Linotype" w:cs="Arial"/>
          <w:noProof/>
          <w:shd w:val="clear" w:color="auto" w:fill="FFFFFF"/>
        </w:rPr>
        <w:t xml:space="preserve"> for changing the way humans relate to their environment. </w:t>
      </w:r>
      <w:r w:rsidR="000315A5">
        <w:rPr>
          <w:rFonts w:ascii="Palatino Linotype" w:hAnsi="Palatino Linotype" w:cs="Arial"/>
          <w:noProof/>
          <w:shd w:val="clear" w:color="auto" w:fill="FFFFFF"/>
        </w:rPr>
        <w:t>Ingold’s theories are studies in t</w:t>
      </w:r>
      <w:r>
        <w:rPr>
          <w:rFonts w:ascii="Palatino Linotype" w:hAnsi="Palatino Linotype" w:cs="Arial"/>
          <w:noProof/>
          <w:shd w:val="clear" w:color="auto" w:fill="FFFFFF"/>
        </w:rPr>
        <w:t>he subject of New Materialities</w:t>
      </w:r>
      <w:r w:rsidR="000315A5">
        <w:rPr>
          <w:rFonts w:ascii="Palatino Linotype" w:hAnsi="Palatino Linotype" w:cs="Arial"/>
          <w:noProof/>
          <w:shd w:val="clear" w:color="auto" w:fill="FFFFFF"/>
        </w:rPr>
        <w:t xml:space="preserve">, which I found to be spiritually inspiring too. </w:t>
      </w:r>
    </w:p>
    <w:p w:rsidR="00724B3C" w:rsidRPr="004B3D13" w:rsidRDefault="00EC62EB">
      <w:pPr>
        <w:rPr>
          <w:rFonts w:ascii="Palatino Linotype" w:hAnsi="Palatino Linotype" w:cs="Arial"/>
          <w:color w:val="222222"/>
          <w:shd w:val="clear" w:color="auto" w:fill="FFFFFF"/>
        </w:rPr>
      </w:pPr>
      <w:r w:rsidRPr="00047206">
        <w:rPr>
          <w:rFonts w:ascii="Palatino Linotype" w:hAnsi="Palatino Linotype" w:cs="Arial"/>
          <w:noProof/>
          <w:shd w:val="clear" w:color="auto" w:fill="FFFFFF"/>
        </w:rPr>
        <w:t>Furthermore, it is the obligation of the participant/observer not to question</w:t>
      </w:r>
      <w:r w:rsidR="00892A66" w:rsidRPr="00047206">
        <w:rPr>
          <w:rFonts w:ascii="Palatino Linotype" w:hAnsi="Palatino Linotype" w:cs="Arial"/>
          <w:noProof/>
          <w:shd w:val="clear" w:color="auto" w:fill="FFFFFF"/>
        </w:rPr>
        <w:t xml:space="preserve"> </w:t>
      </w:r>
      <w:r w:rsidR="004B3D13" w:rsidRPr="00047206">
        <w:rPr>
          <w:rFonts w:ascii="Palatino Linotype" w:hAnsi="Palatino Linotype" w:cs="Arial"/>
          <w:noProof/>
          <w:shd w:val="clear" w:color="auto" w:fill="FFFFFF"/>
        </w:rPr>
        <w:t>whether what people believe is true or false</w:t>
      </w:r>
      <w:r w:rsidR="00235360" w:rsidRPr="00047206">
        <w:rPr>
          <w:rFonts w:ascii="Palatino Linotype" w:hAnsi="Palatino Linotype" w:cs="Arial"/>
          <w:noProof/>
          <w:shd w:val="clear" w:color="auto" w:fill="FFFFFF"/>
        </w:rPr>
        <w:t>, but to find out what people believe on an individual as well as a communal level, what they experience inside or outside that group</w:t>
      </w:r>
      <w:r w:rsidR="00C20D68">
        <w:rPr>
          <w:rFonts w:ascii="Palatino Linotype" w:hAnsi="Palatino Linotype" w:cs="Arial"/>
          <w:noProof/>
          <w:shd w:val="clear" w:color="auto" w:fill="FFFFFF"/>
        </w:rPr>
        <w:t xml:space="preserve"> </w:t>
      </w:r>
      <w:r w:rsidR="00C20D68" w:rsidRPr="00C20D68">
        <w:rPr>
          <w:rFonts w:ascii="Palatino Linotype" w:hAnsi="Palatino Linotype" w:cs="Arial"/>
          <w:noProof/>
          <w:shd w:val="clear" w:color="auto" w:fill="FFFFFF"/>
        </w:rPr>
        <w:t>and how the</w:t>
      </w:r>
      <w:r w:rsidR="00C20D68">
        <w:rPr>
          <w:rFonts w:ascii="Palatino Linotype" w:hAnsi="Palatino Linotype" w:cs="Arial"/>
          <w:noProof/>
          <w:shd w:val="clear" w:color="auto" w:fill="FFFFFF"/>
        </w:rPr>
        <w:t>y relate to the world around them</w:t>
      </w:r>
      <w:r w:rsidR="00235360" w:rsidRPr="00C20D68">
        <w:rPr>
          <w:rFonts w:ascii="Palatino Linotype" w:hAnsi="Palatino Linotype" w:cs="Arial"/>
          <w:noProof/>
          <w:shd w:val="clear" w:color="auto" w:fill="FFFFFF"/>
        </w:rPr>
        <w:t>.</w:t>
      </w:r>
      <w:r w:rsidR="00892A66" w:rsidRPr="00047206">
        <w:rPr>
          <w:rFonts w:ascii="Palatino Linotype" w:hAnsi="Palatino Linotype" w:cs="Arial"/>
          <w:noProof/>
          <w:shd w:val="clear" w:color="auto" w:fill="FFFFFF"/>
        </w:rPr>
        <w:t xml:space="preserve"> </w:t>
      </w:r>
      <w:r w:rsidR="0021440F" w:rsidRPr="00047206">
        <w:rPr>
          <w:rFonts w:ascii="Palatino Linotype" w:hAnsi="Palatino Linotype"/>
        </w:rPr>
        <w:t>The fact</w:t>
      </w:r>
      <w:r w:rsidR="00187980" w:rsidRPr="00047206">
        <w:rPr>
          <w:rFonts w:ascii="Palatino Linotype" w:hAnsi="Palatino Linotype"/>
        </w:rPr>
        <w:t>s</w:t>
      </w:r>
      <w:r w:rsidR="0021440F" w:rsidRPr="00047206">
        <w:rPr>
          <w:rFonts w:ascii="Palatino Linotype" w:hAnsi="Palatino Linotype"/>
        </w:rPr>
        <w:t xml:space="preserve"> cannot be ignored; there are still scholars working under the guise of </w:t>
      </w:r>
      <w:r w:rsidR="0021440F" w:rsidRPr="00047206">
        <w:rPr>
          <w:rFonts w:ascii="Palatino Linotype" w:hAnsi="Palatino Linotype"/>
          <w:noProof/>
        </w:rPr>
        <w:t>anthropology,</w:t>
      </w:r>
      <w:r w:rsidR="0021440F" w:rsidRPr="00047206">
        <w:rPr>
          <w:rFonts w:ascii="Palatino Linotype" w:hAnsi="Palatino Linotype"/>
        </w:rPr>
        <w:t xml:space="preserve"> who </w:t>
      </w:r>
      <w:r w:rsidR="0021440F" w:rsidRPr="00047206">
        <w:rPr>
          <w:rFonts w:ascii="Palatino Linotype" w:hAnsi="Palatino Linotype"/>
          <w:noProof/>
        </w:rPr>
        <w:t>have</w:t>
      </w:r>
      <w:r w:rsidR="0021440F" w:rsidRPr="00047206">
        <w:rPr>
          <w:rFonts w:ascii="Palatino Linotype" w:hAnsi="Palatino Linotype"/>
        </w:rPr>
        <w:t xml:space="preserve"> been granted publication of their works</w:t>
      </w:r>
      <w:r w:rsidR="00593661" w:rsidRPr="00047206">
        <w:rPr>
          <w:rFonts w:ascii="Palatino Linotype" w:hAnsi="Palatino Linotype"/>
        </w:rPr>
        <w:t xml:space="preserve">, despite rebelling against the modern codes of practice within </w:t>
      </w:r>
      <w:r w:rsidR="00593661" w:rsidRPr="00593661">
        <w:rPr>
          <w:rFonts w:ascii="Palatino Linotype" w:hAnsi="Palatino Linotype"/>
        </w:rPr>
        <w:t>the community;</w:t>
      </w:r>
      <w:r w:rsidR="00724B3C" w:rsidRPr="00593661">
        <w:rPr>
          <w:rFonts w:ascii="Palatino Linotype" w:hAnsi="Palatino Linotype"/>
        </w:rPr>
        <w:t xml:space="preserve"> ‘When anthropologists fail to publicly proclaim the falsity of religious beliefs, they fail to live up to their ethical responsibilities in this regard’ (Lett, 1997)</w:t>
      </w:r>
      <w:r w:rsidR="00593661" w:rsidRPr="00593661">
        <w:rPr>
          <w:rFonts w:ascii="Palatino Linotype" w:hAnsi="Palatino Linotype"/>
        </w:rPr>
        <w:t xml:space="preserve">. </w:t>
      </w:r>
      <w:r w:rsidR="005F7D5B">
        <w:rPr>
          <w:rFonts w:ascii="Palatino Linotype" w:hAnsi="Palatino Linotype"/>
        </w:rPr>
        <w:t xml:space="preserve">This statement echoes too loudly the thought of </w:t>
      </w:r>
      <w:r w:rsidR="005F7D5B" w:rsidRPr="005F7D5B">
        <w:rPr>
          <w:rFonts w:ascii="Palatino Linotype" w:hAnsi="Palatino Linotype"/>
          <w:noProof/>
        </w:rPr>
        <w:t>long</w:t>
      </w:r>
      <w:r w:rsidR="005F7D5B">
        <w:rPr>
          <w:rFonts w:ascii="Palatino Linotype" w:hAnsi="Palatino Linotype"/>
          <w:noProof/>
        </w:rPr>
        <w:t>-</w:t>
      </w:r>
      <w:r w:rsidR="005F7D5B" w:rsidRPr="005F7D5B">
        <w:rPr>
          <w:rFonts w:ascii="Palatino Linotype" w:hAnsi="Palatino Linotype"/>
          <w:noProof/>
        </w:rPr>
        <w:t>dead</w:t>
      </w:r>
      <w:r w:rsidR="005F7D5B">
        <w:rPr>
          <w:rFonts w:ascii="Palatino Linotype" w:hAnsi="Palatino Linotype"/>
        </w:rPr>
        <w:t xml:space="preserve"> scholars </w:t>
      </w:r>
      <w:r w:rsidR="005F7D5B" w:rsidRPr="005F7D5B">
        <w:rPr>
          <w:rFonts w:ascii="Palatino Linotype" w:hAnsi="Palatino Linotype"/>
          <w:noProof/>
        </w:rPr>
        <w:t>and idea</w:t>
      </w:r>
      <w:r w:rsidR="005F7D5B">
        <w:rPr>
          <w:rFonts w:ascii="Palatino Linotype" w:hAnsi="Palatino Linotype"/>
          <w:noProof/>
        </w:rPr>
        <w:t>s, making it clear</w:t>
      </w:r>
      <w:r w:rsidR="005F7D5B" w:rsidRPr="005F7D5B">
        <w:rPr>
          <w:rFonts w:ascii="Palatino Linotype" w:hAnsi="Palatino Linotype"/>
          <w:noProof/>
        </w:rPr>
        <w:t xml:space="preserve"> that</w:t>
      </w:r>
      <w:r w:rsidR="005F7D5B">
        <w:rPr>
          <w:rFonts w:ascii="Palatino Linotype" w:hAnsi="Palatino Linotype"/>
        </w:rPr>
        <w:t xml:space="preserve"> anthropology still has much work to be done, much of it arguably somewhat </w:t>
      </w:r>
      <w:r w:rsidR="005F7D5B" w:rsidRPr="004965BB">
        <w:rPr>
          <w:rFonts w:ascii="Palatino Linotype" w:hAnsi="Palatino Linotype"/>
          <w:noProof/>
        </w:rPr>
        <w:t>its</w:t>
      </w:r>
      <w:r w:rsidR="005F7D5B">
        <w:rPr>
          <w:rFonts w:ascii="Palatino Linotype" w:hAnsi="Palatino Linotype"/>
        </w:rPr>
        <w:t xml:space="preserve"> own making.</w:t>
      </w:r>
    </w:p>
    <w:p w:rsidR="009E79CF" w:rsidRDefault="009E79CF">
      <w:pPr>
        <w:rPr>
          <w:rFonts w:ascii="Palatino Linotype" w:hAnsi="Palatino Linotype"/>
          <w:color w:val="FF0000"/>
        </w:rPr>
      </w:pPr>
    </w:p>
    <w:p w:rsidR="00730D34" w:rsidRDefault="00730D34">
      <w:pPr>
        <w:rPr>
          <w:rFonts w:ascii="Palatino Linotype" w:hAnsi="Palatino Linotype"/>
          <w:color w:val="000000" w:themeColor="text1"/>
          <w:sz w:val="24"/>
          <w:szCs w:val="24"/>
        </w:rPr>
      </w:pPr>
      <w:r w:rsidRPr="00730D34">
        <w:rPr>
          <w:rFonts w:ascii="Palatino Linotype" w:hAnsi="Palatino Linotype"/>
          <w:color w:val="000000" w:themeColor="text1"/>
          <w:sz w:val="24"/>
          <w:szCs w:val="24"/>
        </w:rPr>
        <w:t>Reference List:</w:t>
      </w:r>
    </w:p>
    <w:p w:rsidR="004B3D13" w:rsidRPr="00B803D6" w:rsidRDefault="004B3D13">
      <w:pPr>
        <w:rPr>
          <w:rFonts w:ascii="Palatino Linotype" w:hAnsi="Palatino Linotype"/>
          <w:color w:val="000000" w:themeColor="text1"/>
        </w:rPr>
      </w:pPr>
      <w:r>
        <w:rPr>
          <w:rFonts w:ascii="Palatino Linotype" w:hAnsi="Palatino Linotype"/>
          <w:color w:val="000000" w:themeColor="text1"/>
        </w:rPr>
        <w:t xml:space="preserve">Black, M., </w:t>
      </w:r>
      <w:r w:rsidR="00B803D6">
        <w:rPr>
          <w:rFonts w:ascii="Palatino Linotype" w:hAnsi="Palatino Linotype"/>
          <w:color w:val="000000" w:themeColor="text1"/>
        </w:rPr>
        <w:t xml:space="preserve">1977, </w:t>
      </w:r>
      <w:r w:rsidR="00B803D6">
        <w:rPr>
          <w:rFonts w:ascii="Palatino Linotype" w:hAnsi="Palatino Linotype"/>
          <w:i/>
          <w:color w:val="000000" w:themeColor="text1"/>
        </w:rPr>
        <w:t>Ojibway Power Belief Systems</w:t>
      </w:r>
      <w:r w:rsidR="00B803D6">
        <w:rPr>
          <w:rFonts w:ascii="Palatino Linotype" w:hAnsi="Palatino Linotype"/>
          <w:color w:val="000000" w:themeColor="text1"/>
        </w:rPr>
        <w:t xml:space="preserve">, in </w:t>
      </w:r>
      <w:r w:rsidR="00B803D6">
        <w:rPr>
          <w:rFonts w:ascii="Palatino Linotype" w:hAnsi="Palatino Linotype"/>
          <w:i/>
          <w:color w:val="000000" w:themeColor="text1"/>
        </w:rPr>
        <w:t xml:space="preserve">The </w:t>
      </w:r>
      <w:r w:rsidR="004B1B57">
        <w:rPr>
          <w:rFonts w:ascii="Palatino Linotype" w:hAnsi="Palatino Linotype"/>
          <w:i/>
          <w:noProof/>
          <w:color w:val="000000" w:themeColor="text1"/>
        </w:rPr>
        <w:t>A</w:t>
      </w:r>
      <w:r w:rsidR="00B803D6" w:rsidRPr="004B1B57">
        <w:rPr>
          <w:rFonts w:ascii="Palatino Linotype" w:hAnsi="Palatino Linotype"/>
          <w:i/>
          <w:noProof/>
          <w:color w:val="000000" w:themeColor="text1"/>
        </w:rPr>
        <w:t>nthropology</w:t>
      </w:r>
      <w:r w:rsidR="00B803D6">
        <w:rPr>
          <w:rFonts w:ascii="Palatino Linotype" w:hAnsi="Palatino Linotype"/>
          <w:i/>
          <w:color w:val="000000" w:themeColor="text1"/>
        </w:rPr>
        <w:t xml:space="preserve"> of Power, </w:t>
      </w:r>
      <w:r w:rsidR="00B803D6">
        <w:rPr>
          <w:rFonts w:ascii="Palatino Linotype" w:hAnsi="Palatino Linotype"/>
          <w:color w:val="000000" w:themeColor="text1"/>
        </w:rPr>
        <w:t>New York Academic, pp 141-151</w:t>
      </w:r>
    </w:p>
    <w:p w:rsidR="00730D34" w:rsidRDefault="00A961DE">
      <w:pPr>
        <w:rPr>
          <w:rFonts w:ascii="Palatino Linotype" w:hAnsi="Palatino Linotype"/>
          <w:color w:val="000000" w:themeColor="text1"/>
        </w:rPr>
      </w:pPr>
      <w:r>
        <w:rPr>
          <w:rFonts w:ascii="Palatino Linotype" w:hAnsi="Palatino Linotype"/>
          <w:color w:val="000000" w:themeColor="text1"/>
        </w:rPr>
        <w:t xml:space="preserve">Frazer, J.G., 1922, </w:t>
      </w:r>
      <w:r>
        <w:rPr>
          <w:rFonts w:ascii="Palatino Linotype" w:hAnsi="Palatino Linotype"/>
          <w:i/>
          <w:color w:val="000000" w:themeColor="text1"/>
        </w:rPr>
        <w:t>The Golden Bough, The Classic Study in Magic and Religion,</w:t>
      </w:r>
      <w:r>
        <w:rPr>
          <w:rFonts w:ascii="Palatino Linotype" w:hAnsi="Palatino Linotype"/>
          <w:color w:val="000000" w:themeColor="text1"/>
        </w:rPr>
        <w:t xml:space="preserve"> </w:t>
      </w:r>
      <w:r w:rsidR="00986EF1">
        <w:rPr>
          <w:rFonts w:ascii="Palatino Linotype" w:hAnsi="Palatino Linotype"/>
          <w:color w:val="000000" w:themeColor="text1"/>
        </w:rPr>
        <w:t>Macmillan Publishers, London</w:t>
      </w:r>
    </w:p>
    <w:p w:rsidR="00D92C34" w:rsidRPr="00D92C34" w:rsidRDefault="00D92C34">
      <w:pPr>
        <w:rPr>
          <w:rFonts w:ascii="Palatino Linotype" w:hAnsi="Palatino Linotype"/>
          <w:color w:val="000000" w:themeColor="text1"/>
        </w:rPr>
      </w:pPr>
      <w:r>
        <w:rPr>
          <w:rFonts w:ascii="Palatino Linotype" w:hAnsi="Palatino Linotype"/>
          <w:color w:val="000000" w:themeColor="text1"/>
        </w:rPr>
        <w:t xml:space="preserve">Gibson, J., 1986, </w:t>
      </w:r>
      <w:r>
        <w:rPr>
          <w:rFonts w:ascii="Palatino Linotype" w:hAnsi="Palatino Linotype"/>
          <w:i/>
          <w:color w:val="000000" w:themeColor="text1"/>
        </w:rPr>
        <w:t xml:space="preserve">The Ecological Approach to Visual Perception, </w:t>
      </w:r>
      <w:r w:rsidR="00437172">
        <w:rPr>
          <w:rFonts w:ascii="Palatino Linotype" w:hAnsi="Palatino Linotype"/>
          <w:color w:val="000000" w:themeColor="text1"/>
        </w:rPr>
        <w:t>Psychology Press, Taylor and Francis Group, London and New York</w:t>
      </w:r>
    </w:p>
    <w:p w:rsidR="00C14880" w:rsidRDefault="00C14880">
      <w:pPr>
        <w:rPr>
          <w:rFonts w:ascii="Palatino Linotype" w:hAnsi="Palatino Linotype"/>
          <w:color w:val="000000" w:themeColor="text1"/>
        </w:rPr>
      </w:pPr>
      <w:r>
        <w:rPr>
          <w:rFonts w:ascii="Palatino Linotype" w:hAnsi="Palatino Linotype"/>
          <w:color w:val="000000" w:themeColor="text1"/>
        </w:rPr>
        <w:t xml:space="preserve">Hallowell, I., 1952, </w:t>
      </w:r>
      <w:r w:rsidR="00986EF1">
        <w:rPr>
          <w:rFonts w:ascii="Palatino Linotype" w:hAnsi="Palatino Linotype"/>
          <w:i/>
          <w:color w:val="000000" w:themeColor="text1"/>
        </w:rPr>
        <w:t xml:space="preserve">Ojibway Ontology, </w:t>
      </w:r>
      <w:r w:rsidR="00986EF1" w:rsidRPr="00D92C34">
        <w:rPr>
          <w:rFonts w:ascii="Palatino Linotype" w:hAnsi="Palatino Linotype"/>
          <w:i/>
          <w:noProof/>
          <w:color w:val="000000" w:themeColor="text1"/>
        </w:rPr>
        <w:t>Behaviou</w:t>
      </w:r>
      <w:r w:rsidR="00D92C34">
        <w:rPr>
          <w:rFonts w:ascii="Palatino Linotype" w:hAnsi="Palatino Linotype"/>
          <w:i/>
          <w:noProof/>
          <w:color w:val="000000" w:themeColor="text1"/>
        </w:rPr>
        <w:t>r</w:t>
      </w:r>
      <w:r w:rsidR="00986EF1">
        <w:rPr>
          <w:rFonts w:ascii="Palatino Linotype" w:hAnsi="Palatino Linotype"/>
          <w:i/>
          <w:color w:val="000000" w:themeColor="text1"/>
        </w:rPr>
        <w:t xml:space="preserve"> and World View, Culture and History: Essays in Honor of Paul Radin</w:t>
      </w:r>
      <w:r w:rsidR="00986EF1">
        <w:rPr>
          <w:rFonts w:ascii="Palatino Linotype" w:hAnsi="Palatino Linotype"/>
          <w:color w:val="000000" w:themeColor="text1"/>
        </w:rPr>
        <w:t xml:space="preserve">, Columbia University Press, </w:t>
      </w:r>
      <w:r w:rsidR="00986EF1" w:rsidRPr="00986EF1">
        <w:rPr>
          <w:rFonts w:ascii="Palatino Linotype" w:hAnsi="Palatino Linotype"/>
          <w:color w:val="000000" w:themeColor="text1"/>
        </w:rPr>
        <w:t xml:space="preserve"> </w:t>
      </w:r>
      <w:r w:rsidR="00986EF1">
        <w:rPr>
          <w:rFonts w:ascii="Palatino Linotype" w:hAnsi="Palatino Linotype"/>
          <w:color w:val="000000" w:themeColor="text1"/>
        </w:rPr>
        <w:t>New York</w:t>
      </w:r>
    </w:p>
    <w:p w:rsidR="00FB0871" w:rsidRPr="00FB0871" w:rsidRDefault="00FB0871">
      <w:pPr>
        <w:rPr>
          <w:rFonts w:ascii="Palatino Linotype" w:hAnsi="Palatino Linotype"/>
          <w:color w:val="000000" w:themeColor="text1"/>
        </w:rPr>
      </w:pPr>
      <w:r>
        <w:rPr>
          <w:rFonts w:ascii="Palatino Linotype" w:hAnsi="Palatino Linotype"/>
          <w:color w:val="000000" w:themeColor="text1"/>
        </w:rPr>
        <w:t xml:space="preserve">Harvey, G., 2006, </w:t>
      </w:r>
      <w:r>
        <w:rPr>
          <w:rFonts w:ascii="Palatino Linotype" w:hAnsi="Palatino Linotype"/>
          <w:i/>
          <w:color w:val="000000" w:themeColor="text1"/>
        </w:rPr>
        <w:t xml:space="preserve">Animism: Respecting the Living World, </w:t>
      </w:r>
      <w:r>
        <w:rPr>
          <w:rFonts w:ascii="Palatino Linotype" w:hAnsi="Palatino Linotype"/>
          <w:color w:val="000000" w:themeColor="text1"/>
        </w:rPr>
        <w:t>Columbia University Press, New York</w:t>
      </w:r>
    </w:p>
    <w:p w:rsidR="00730D34" w:rsidRPr="00407E45" w:rsidRDefault="00C14880" w:rsidP="00407E45">
      <w:pPr>
        <w:jc w:val="both"/>
        <w:rPr>
          <w:rFonts w:ascii="Palatino Linotype" w:hAnsi="Palatino Linotype"/>
          <w:color w:val="000000" w:themeColor="text1"/>
        </w:rPr>
      </w:pPr>
      <w:r>
        <w:rPr>
          <w:rFonts w:ascii="Palatino Linotype" w:hAnsi="Palatino Linotype"/>
          <w:color w:val="000000" w:themeColor="text1"/>
        </w:rPr>
        <w:t xml:space="preserve">Ingold, T., 2000, </w:t>
      </w:r>
      <w:r w:rsidR="00407E45">
        <w:rPr>
          <w:rFonts w:ascii="Palatino Linotype" w:hAnsi="Palatino Linotype"/>
          <w:i/>
          <w:color w:val="000000" w:themeColor="text1"/>
        </w:rPr>
        <w:t xml:space="preserve">The </w:t>
      </w:r>
      <w:r>
        <w:rPr>
          <w:rFonts w:ascii="Palatino Linotype" w:hAnsi="Palatino Linotype"/>
          <w:i/>
          <w:color w:val="000000" w:themeColor="text1"/>
        </w:rPr>
        <w:t xml:space="preserve">Perception of the Environment, </w:t>
      </w:r>
      <w:r w:rsidR="00407E45">
        <w:rPr>
          <w:rFonts w:ascii="Palatino Linotype" w:hAnsi="Palatino Linotype"/>
          <w:i/>
          <w:color w:val="000000" w:themeColor="text1"/>
        </w:rPr>
        <w:t>Essays on Dwelling, Livelihood and Skill</w:t>
      </w:r>
      <w:r w:rsidR="00986EF1">
        <w:rPr>
          <w:rFonts w:ascii="Palatino Linotype" w:hAnsi="Palatino Linotype"/>
          <w:color w:val="000000" w:themeColor="text1"/>
        </w:rPr>
        <w:t>, Routledge,</w:t>
      </w:r>
      <w:r w:rsidR="00407E45">
        <w:rPr>
          <w:rFonts w:ascii="Palatino Linotype" w:hAnsi="Palatino Linotype"/>
          <w:i/>
          <w:color w:val="000000" w:themeColor="text1"/>
        </w:rPr>
        <w:t xml:space="preserve"> </w:t>
      </w:r>
      <w:r w:rsidR="00407E45">
        <w:rPr>
          <w:rFonts w:ascii="Palatino Linotype" w:hAnsi="Palatino Linotype"/>
          <w:color w:val="000000" w:themeColor="text1"/>
        </w:rPr>
        <w:t>London</w:t>
      </w:r>
    </w:p>
    <w:p w:rsidR="00C14880" w:rsidRDefault="00C14880" w:rsidP="00C14880">
      <w:pPr>
        <w:rPr>
          <w:rFonts w:ascii="Palatino Linotype" w:hAnsi="Palatino Linotype"/>
        </w:rPr>
      </w:pPr>
      <w:r>
        <w:rPr>
          <w:rFonts w:ascii="Palatino Linotype" w:hAnsi="Palatino Linotype"/>
        </w:rPr>
        <w:t xml:space="preserve">Ingold, T. 2010, </w:t>
      </w:r>
      <w:r w:rsidRPr="003E5164">
        <w:rPr>
          <w:rFonts w:ascii="Palatino Linotype" w:hAnsi="Palatino Linotype"/>
          <w:i/>
        </w:rPr>
        <w:t>Bringing Things to Life: Creative Entanglements in a World of Materials</w:t>
      </w:r>
      <w:r>
        <w:rPr>
          <w:rFonts w:ascii="Palatino Linotype" w:hAnsi="Palatino Linotype"/>
        </w:rPr>
        <w:t>, Southampton: National Centre for Research Methods</w:t>
      </w:r>
    </w:p>
    <w:p w:rsidR="00847BC0" w:rsidRPr="00847BC0" w:rsidRDefault="00847BC0" w:rsidP="00847BC0">
      <w:pPr>
        <w:pStyle w:val="Heading2"/>
        <w:rPr>
          <w:rFonts w:ascii="Palatino Linotype" w:eastAsiaTheme="minorHAnsi" w:hAnsi="Palatino Linotype" w:cstheme="minorBidi"/>
          <w:b w:val="0"/>
          <w:bCs w:val="0"/>
          <w:sz w:val="22"/>
          <w:szCs w:val="22"/>
          <w:lang w:eastAsia="en-US"/>
        </w:rPr>
      </w:pPr>
      <w:r>
        <w:rPr>
          <w:rFonts w:ascii="Palatino Linotype" w:eastAsiaTheme="minorHAnsi" w:hAnsi="Palatino Linotype" w:cstheme="minorBidi"/>
          <w:b w:val="0"/>
          <w:bCs w:val="0"/>
          <w:sz w:val="22"/>
          <w:szCs w:val="22"/>
          <w:lang w:eastAsia="en-US"/>
        </w:rPr>
        <w:t xml:space="preserve">Ingold, T., 2012, </w:t>
      </w:r>
      <w:r>
        <w:rPr>
          <w:rFonts w:ascii="Palatino Linotype" w:eastAsiaTheme="minorHAnsi" w:hAnsi="Palatino Linotype" w:cstheme="minorBidi"/>
          <w:b w:val="0"/>
          <w:bCs w:val="0"/>
          <w:i/>
          <w:sz w:val="22"/>
          <w:szCs w:val="22"/>
          <w:lang w:eastAsia="en-US"/>
        </w:rPr>
        <w:t xml:space="preserve">Toward an Ecology of Materials, Annual Review of Anthropology, </w:t>
      </w:r>
      <w:r>
        <w:rPr>
          <w:rFonts w:ascii="Palatino Linotype" w:eastAsiaTheme="minorHAnsi" w:hAnsi="Palatino Linotype" w:cstheme="minorBidi"/>
          <w:b w:val="0"/>
          <w:bCs w:val="0"/>
          <w:sz w:val="22"/>
          <w:szCs w:val="22"/>
          <w:lang w:eastAsia="en-US"/>
        </w:rPr>
        <w:t>University of Maryland, College Park.</w:t>
      </w:r>
    </w:p>
    <w:p w:rsidR="00724B3C" w:rsidRDefault="00724B3C" w:rsidP="00C14880">
      <w:pPr>
        <w:rPr>
          <w:rFonts w:ascii="Palatino Linotype" w:hAnsi="Palatino Linotype"/>
        </w:rPr>
      </w:pPr>
      <w:r>
        <w:rPr>
          <w:rFonts w:ascii="Palatino Linotype" w:hAnsi="Palatino Linotype"/>
        </w:rPr>
        <w:lastRenderedPageBreak/>
        <w:t xml:space="preserve">Lett, J., 1997, </w:t>
      </w:r>
      <w:r w:rsidR="00AA57F7">
        <w:rPr>
          <w:rFonts w:ascii="Palatino Linotype" w:hAnsi="Palatino Linotype"/>
          <w:i/>
        </w:rPr>
        <w:t xml:space="preserve">Science, Reason and Anthropology; The Principles of Rational Inquiry, </w:t>
      </w:r>
      <w:r w:rsidR="00AA57F7">
        <w:rPr>
          <w:rFonts w:ascii="Palatino Linotype" w:hAnsi="Palatino Linotype"/>
        </w:rPr>
        <w:t>Rowman and Littlefield, Maryland, USA</w:t>
      </w:r>
    </w:p>
    <w:p w:rsidR="00AA5260" w:rsidRPr="00AA5260" w:rsidRDefault="00AA5260" w:rsidP="00AA5260">
      <w:pPr>
        <w:pStyle w:val="citation"/>
        <w:shd w:val="clear" w:color="auto" w:fill="FFFFFF"/>
        <w:spacing w:after="150" w:afterAutospacing="0" w:line="312" w:lineRule="atLeast"/>
        <w:rPr>
          <w:rFonts w:ascii="Palatino Linotype" w:hAnsi="Palatino Linotype" w:cs="Arial"/>
          <w:color w:val="000000"/>
        </w:rPr>
      </w:pPr>
      <w:r w:rsidRPr="00686EBB">
        <w:rPr>
          <w:rFonts w:ascii="Palatino Linotype" w:hAnsi="Palatino Linotype" w:cs="Arial"/>
          <w:color w:val="000000"/>
        </w:rPr>
        <w:t xml:space="preserve">Malinowski, B., 1932, </w:t>
      </w:r>
      <w:r w:rsidRPr="00686EBB">
        <w:rPr>
          <w:rFonts w:ascii="Palatino Linotype" w:hAnsi="Palatino Linotype" w:cs="Arial"/>
          <w:i/>
          <w:color w:val="000000"/>
        </w:rPr>
        <w:t>The Sexual Life of Savages, 3</w:t>
      </w:r>
      <w:r w:rsidRPr="00686EBB">
        <w:rPr>
          <w:rFonts w:ascii="Palatino Linotype" w:hAnsi="Palatino Linotype" w:cs="Arial"/>
          <w:i/>
          <w:color w:val="000000"/>
          <w:vertAlign w:val="superscript"/>
        </w:rPr>
        <w:t>rd</w:t>
      </w:r>
      <w:r w:rsidRPr="00686EBB">
        <w:rPr>
          <w:rFonts w:ascii="Palatino Linotype" w:hAnsi="Palatino Linotype" w:cs="Arial"/>
          <w:i/>
          <w:color w:val="000000"/>
        </w:rPr>
        <w:t xml:space="preserve"> Edition, </w:t>
      </w:r>
      <w:r w:rsidRPr="00686EBB">
        <w:rPr>
          <w:rFonts w:ascii="Palatino Linotype" w:hAnsi="Palatino Linotype" w:cs="Arial"/>
          <w:color w:val="000000"/>
        </w:rPr>
        <w:t>Routledge and Kegan Paul, London</w:t>
      </w:r>
    </w:p>
    <w:p w:rsidR="00724B3C" w:rsidRDefault="00724B3C" w:rsidP="00C14880">
      <w:pPr>
        <w:rPr>
          <w:rFonts w:ascii="Palatino Linotype" w:hAnsi="Palatino Linotype"/>
        </w:rPr>
      </w:pPr>
      <w:r>
        <w:rPr>
          <w:rFonts w:ascii="Palatino Linotype" w:hAnsi="Palatino Linotype"/>
        </w:rPr>
        <w:t>Stein</w:t>
      </w:r>
      <w:r w:rsidR="00821562">
        <w:rPr>
          <w:rFonts w:ascii="Palatino Linotype" w:hAnsi="Palatino Linotype"/>
        </w:rPr>
        <w:t>,</w:t>
      </w:r>
      <w:r>
        <w:rPr>
          <w:rFonts w:ascii="Palatino Linotype" w:hAnsi="Palatino Linotype"/>
        </w:rPr>
        <w:t xml:space="preserve"> R. and Stein L. 2017, </w:t>
      </w:r>
      <w:r>
        <w:rPr>
          <w:rFonts w:ascii="Palatino Linotype" w:hAnsi="Palatino Linotype"/>
          <w:i/>
        </w:rPr>
        <w:t>The Anthropology of Religion, Magic and Witchcraft</w:t>
      </w:r>
      <w:r>
        <w:rPr>
          <w:rFonts w:ascii="Palatino Linotype" w:hAnsi="Palatino Linotype"/>
        </w:rPr>
        <w:t xml:space="preserve">, </w:t>
      </w:r>
      <w:r>
        <w:rPr>
          <w:rFonts w:ascii="Palatino Linotype" w:hAnsi="Palatino Linotype"/>
          <w:i/>
        </w:rPr>
        <w:t>4</w:t>
      </w:r>
      <w:r w:rsidRPr="001E0013">
        <w:rPr>
          <w:rFonts w:ascii="Palatino Linotype" w:hAnsi="Palatino Linotype"/>
          <w:i/>
          <w:vertAlign w:val="superscript"/>
        </w:rPr>
        <w:t>th</w:t>
      </w:r>
      <w:r>
        <w:rPr>
          <w:rFonts w:ascii="Palatino Linotype" w:hAnsi="Palatino Linotype"/>
          <w:i/>
        </w:rPr>
        <w:t xml:space="preserve"> Edition, </w:t>
      </w:r>
      <w:r>
        <w:rPr>
          <w:rFonts w:ascii="Palatino Linotype" w:hAnsi="Palatino Linotype"/>
        </w:rPr>
        <w:t>Routledge, Oxon, UK</w:t>
      </w:r>
    </w:p>
    <w:p w:rsidR="001B6481" w:rsidRPr="00730D34" w:rsidRDefault="00730D34">
      <w:pPr>
        <w:rPr>
          <w:rFonts w:ascii="Palatino Linotype" w:hAnsi="Palatino Linotype"/>
          <w:color w:val="000000" w:themeColor="text1"/>
        </w:rPr>
      </w:pPr>
      <w:r w:rsidRPr="00730D34">
        <w:rPr>
          <w:rFonts w:ascii="Palatino Linotype" w:hAnsi="Palatino Linotype"/>
          <w:color w:val="000000" w:themeColor="text1"/>
        </w:rPr>
        <w:t xml:space="preserve">Turner, E., 1992, </w:t>
      </w:r>
      <w:r w:rsidRPr="00730D34">
        <w:rPr>
          <w:rFonts w:ascii="Palatino Linotype" w:hAnsi="Palatino Linotype"/>
          <w:i/>
          <w:iCs/>
          <w:color w:val="000000" w:themeColor="text1"/>
        </w:rPr>
        <w:t>Experiencing Ritual</w:t>
      </w:r>
      <w:r w:rsidRPr="00730D34">
        <w:rPr>
          <w:rFonts w:ascii="Palatino Linotype" w:hAnsi="Palatino Linotype"/>
          <w:color w:val="000000" w:themeColor="text1"/>
        </w:rPr>
        <w:t>, University of Pennsylvania Press, USA</w:t>
      </w:r>
    </w:p>
    <w:p w:rsidR="001B6481" w:rsidRPr="00730D34" w:rsidRDefault="001B6481">
      <w:pPr>
        <w:rPr>
          <w:rFonts w:ascii="Palatino Linotype" w:hAnsi="Palatino Linotype"/>
          <w:color w:val="000000" w:themeColor="text1"/>
        </w:rPr>
      </w:pPr>
      <w:r w:rsidRPr="004B1B57">
        <w:rPr>
          <w:rFonts w:ascii="Palatino Linotype" w:hAnsi="Palatino Linotype"/>
          <w:noProof/>
          <w:color w:val="000000" w:themeColor="text1"/>
        </w:rPr>
        <w:t>Tylor</w:t>
      </w:r>
      <w:r w:rsidRPr="00730D34">
        <w:rPr>
          <w:rFonts w:ascii="Palatino Linotype" w:hAnsi="Palatino Linotype"/>
          <w:color w:val="000000" w:themeColor="text1"/>
        </w:rPr>
        <w:t xml:space="preserve">, E.B, 1871, </w:t>
      </w:r>
      <w:r w:rsidRPr="00730D34">
        <w:rPr>
          <w:rFonts w:ascii="Palatino Linotype" w:hAnsi="Palatino Linotype"/>
          <w:i/>
          <w:color w:val="000000" w:themeColor="text1"/>
        </w:rPr>
        <w:t xml:space="preserve">Primitive Culture, </w:t>
      </w:r>
      <w:r w:rsidR="00E76B56">
        <w:rPr>
          <w:rFonts w:ascii="Palatino Linotype" w:hAnsi="Palatino Linotype"/>
          <w:color w:val="000000" w:themeColor="text1"/>
        </w:rPr>
        <w:t xml:space="preserve">Murray, </w:t>
      </w:r>
      <w:r w:rsidRPr="00730D34">
        <w:rPr>
          <w:rFonts w:ascii="Palatino Linotype" w:hAnsi="Palatino Linotype"/>
          <w:color w:val="000000" w:themeColor="text1"/>
        </w:rPr>
        <w:t>London</w:t>
      </w:r>
    </w:p>
    <w:sectPr w:rsidR="001B6481" w:rsidRPr="00730D3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0B2" w:rsidRDefault="004040B2" w:rsidP="00706110">
      <w:pPr>
        <w:spacing w:after="0" w:line="240" w:lineRule="auto"/>
      </w:pPr>
      <w:r>
        <w:separator/>
      </w:r>
    </w:p>
  </w:endnote>
  <w:endnote w:type="continuationSeparator" w:id="0">
    <w:p w:rsidR="004040B2" w:rsidRDefault="004040B2" w:rsidP="00706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110" w:rsidRDefault="007061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110" w:rsidRDefault="007061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110" w:rsidRDefault="00706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0B2" w:rsidRDefault="004040B2" w:rsidP="00706110">
      <w:pPr>
        <w:spacing w:after="0" w:line="240" w:lineRule="auto"/>
      </w:pPr>
      <w:r>
        <w:separator/>
      </w:r>
    </w:p>
  </w:footnote>
  <w:footnote w:type="continuationSeparator" w:id="0">
    <w:p w:rsidR="004040B2" w:rsidRDefault="004040B2" w:rsidP="00706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110" w:rsidRDefault="007061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110" w:rsidRDefault="007061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110" w:rsidRDefault="007061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OwMDE2NzIyNDIxNzdV0lEKTi0uzszPAykwrgUAdtkLRiwAAAA="/>
  </w:docVars>
  <w:rsids>
    <w:rsidRoot w:val="007542D1"/>
    <w:rsid w:val="00024813"/>
    <w:rsid w:val="000315A5"/>
    <w:rsid w:val="0004456D"/>
    <w:rsid w:val="00047206"/>
    <w:rsid w:val="00061215"/>
    <w:rsid w:val="00061C7D"/>
    <w:rsid w:val="00064124"/>
    <w:rsid w:val="000728A6"/>
    <w:rsid w:val="00073A41"/>
    <w:rsid w:val="00085C0F"/>
    <w:rsid w:val="000B290C"/>
    <w:rsid w:val="000E266E"/>
    <w:rsid w:val="00126977"/>
    <w:rsid w:val="001277A3"/>
    <w:rsid w:val="0015282E"/>
    <w:rsid w:val="00153500"/>
    <w:rsid w:val="00161273"/>
    <w:rsid w:val="00172DA9"/>
    <w:rsid w:val="00187980"/>
    <w:rsid w:val="001B6481"/>
    <w:rsid w:val="001D3CA1"/>
    <w:rsid w:val="0021440F"/>
    <w:rsid w:val="002170C7"/>
    <w:rsid w:val="00235360"/>
    <w:rsid w:val="00271366"/>
    <w:rsid w:val="00275D2D"/>
    <w:rsid w:val="00276306"/>
    <w:rsid w:val="002808E5"/>
    <w:rsid w:val="002A643C"/>
    <w:rsid w:val="00317F63"/>
    <w:rsid w:val="003457BA"/>
    <w:rsid w:val="003520A9"/>
    <w:rsid w:val="00367A3B"/>
    <w:rsid w:val="00384EDB"/>
    <w:rsid w:val="003B2B95"/>
    <w:rsid w:val="003B577E"/>
    <w:rsid w:val="003C376F"/>
    <w:rsid w:val="004040B2"/>
    <w:rsid w:val="004071C4"/>
    <w:rsid w:val="00407E45"/>
    <w:rsid w:val="00411DEA"/>
    <w:rsid w:val="00413C27"/>
    <w:rsid w:val="0043310F"/>
    <w:rsid w:val="004335EC"/>
    <w:rsid w:val="00437172"/>
    <w:rsid w:val="0046720B"/>
    <w:rsid w:val="00467C5D"/>
    <w:rsid w:val="004965BB"/>
    <w:rsid w:val="004A3417"/>
    <w:rsid w:val="004B1B57"/>
    <w:rsid w:val="004B3D13"/>
    <w:rsid w:val="005819B1"/>
    <w:rsid w:val="00593661"/>
    <w:rsid w:val="005959D6"/>
    <w:rsid w:val="005B5ED1"/>
    <w:rsid w:val="005B72DD"/>
    <w:rsid w:val="005D54A7"/>
    <w:rsid w:val="005F7D5B"/>
    <w:rsid w:val="006171B3"/>
    <w:rsid w:val="00630E48"/>
    <w:rsid w:val="0066527E"/>
    <w:rsid w:val="006737B7"/>
    <w:rsid w:val="006743D8"/>
    <w:rsid w:val="006958E3"/>
    <w:rsid w:val="006E4143"/>
    <w:rsid w:val="006F566D"/>
    <w:rsid w:val="006F72E7"/>
    <w:rsid w:val="00701BD3"/>
    <w:rsid w:val="00706110"/>
    <w:rsid w:val="00712857"/>
    <w:rsid w:val="00724B3C"/>
    <w:rsid w:val="00730D34"/>
    <w:rsid w:val="007542D1"/>
    <w:rsid w:val="00794692"/>
    <w:rsid w:val="007A1DFE"/>
    <w:rsid w:val="007A4F01"/>
    <w:rsid w:val="007B0013"/>
    <w:rsid w:val="007B1A0F"/>
    <w:rsid w:val="007E260D"/>
    <w:rsid w:val="00815406"/>
    <w:rsid w:val="00821562"/>
    <w:rsid w:val="00825C6B"/>
    <w:rsid w:val="008335BF"/>
    <w:rsid w:val="00847BC0"/>
    <w:rsid w:val="00871ACD"/>
    <w:rsid w:val="00892A66"/>
    <w:rsid w:val="00893EEA"/>
    <w:rsid w:val="008F67D3"/>
    <w:rsid w:val="00902C96"/>
    <w:rsid w:val="00906181"/>
    <w:rsid w:val="00907D69"/>
    <w:rsid w:val="00912A5A"/>
    <w:rsid w:val="009409CE"/>
    <w:rsid w:val="0094145F"/>
    <w:rsid w:val="009437E6"/>
    <w:rsid w:val="0097382A"/>
    <w:rsid w:val="009825A9"/>
    <w:rsid w:val="00986EF1"/>
    <w:rsid w:val="009A55DE"/>
    <w:rsid w:val="009A591F"/>
    <w:rsid w:val="009B4340"/>
    <w:rsid w:val="009E79CF"/>
    <w:rsid w:val="00A2725A"/>
    <w:rsid w:val="00A73D80"/>
    <w:rsid w:val="00A74891"/>
    <w:rsid w:val="00A916DF"/>
    <w:rsid w:val="00A961DE"/>
    <w:rsid w:val="00AA5260"/>
    <w:rsid w:val="00AA57F7"/>
    <w:rsid w:val="00AA6597"/>
    <w:rsid w:val="00AD33E5"/>
    <w:rsid w:val="00AD5707"/>
    <w:rsid w:val="00AE1B25"/>
    <w:rsid w:val="00B00CF2"/>
    <w:rsid w:val="00B171FE"/>
    <w:rsid w:val="00B51790"/>
    <w:rsid w:val="00B52510"/>
    <w:rsid w:val="00B554A9"/>
    <w:rsid w:val="00B6093F"/>
    <w:rsid w:val="00B64915"/>
    <w:rsid w:val="00B76256"/>
    <w:rsid w:val="00B803D6"/>
    <w:rsid w:val="00C06E77"/>
    <w:rsid w:val="00C14880"/>
    <w:rsid w:val="00C20D68"/>
    <w:rsid w:val="00C22F9B"/>
    <w:rsid w:val="00C620AB"/>
    <w:rsid w:val="00CA6A0E"/>
    <w:rsid w:val="00CF1DF7"/>
    <w:rsid w:val="00CF3103"/>
    <w:rsid w:val="00D26151"/>
    <w:rsid w:val="00D80253"/>
    <w:rsid w:val="00D903FC"/>
    <w:rsid w:val="00D92C34"/>
    <w:rsid w:val="00DA457D"/>
    <w:rsid w:val="00DC6D88"/>
    <w:rsid w:val="00DD0D19"/>
    <w:rsid w:val="00DD175F"/>
    <w:rsid w:val="00E01A00"/>
    <w:rsid w:val="00E433E5"/>
    <w:rsid w:val="00E76B56"/>
    <w:rsid w:val="00EC62EB"/>
    <w:rsid w:val="00EF702D"/>
    <w:rsid w:val="00F73C4B"/>
    <w:rsid w:val="00F966D7"/>
    <w:rsid w:val="00FA0809"/>
    <w:rsid w:val="00FA6C49"/>
    <w:rsid w:val="00FB0871"/>
    <w:rsid w:val="00FB1E97"/>
    <w:rsid w:val="00FB53E7"/>
    <w:rsid w:val="00FC7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94E009-5FA6-4160-BDE7-3BF83EA2F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47BC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7BC0"/>
    <w:rPr>
      <w:rFonts w:ascii="Times New Roman" w:eastAsia="Times New Roman" w:hAnsi="Times New Roman" w:cs="Times New Roman"/>
      <w:b/>
      <w:bCs/>
      <w:sz w:val="36"/>
      <w:szCs w:val="36"/>
      <w:lang w:eastAsia="en-GB"/>
    </w:rPr>
  </w:style>
  <w:style w:type="paragraph" w:customStyle="1" w:styleId="citation">
    <w:name w:val="citation"/>
    <w:basedOn w:val="Normal"/>
    <w:rsid w:val="00AA52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6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110"/>
  </w:style>
  <w:style w:type="paragraph" w:styleId="Footer">
    <w:name w:val="footer"/>
    <w:basedOn w:val="Normal"/>
    <w:link w:val="FooterChar"/>
    <w:uiPriority w:val="99"/>
    <w:unhideWhenUsed/>
    <w:rsid w:val="00706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71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 Hughes</cp:lastModifiedBy>
  <cp:revision>14</cp:revision>
  <dcterms:created xsi:type="dcterms:W3CDTF">2019-03-08T11:13:00Z</dcterms:created>
  <dcterms:modified xsi:type="dcterms:W3CDTF">2019-03-08T20:49:00Z</dcterms:modified>
</cp:coreProperties>
</file>