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157D7" w14:textId="7BB71181" w:rsidR="00423FF1" w:rsidRDefault="00423FF1" w:rsidP="00B71044">
      <w:pPr>
        <w:spacing w:line="360" w:lineRule="auto"/>
        <w:jc w:val="center"/>
        <w:rPr>
          <w:rFonts w:ascii="Times New Roman" w:eastAsia="Times New Roman" w:hAnsi="Times New Roman" w:cs="Times New Roman"/>
          <w:sz w:val="24"/>
          <w:szCs w:val="24"/>
        </w:rPr>
      </w:pPr>
    </w:p>
    <w:p w14:paraId="5A3ED0F5" w14:textId="59398F7F" w:rsidR="00F118FF" w:rsidRDefault="00F118FF" w:rsidP="00F118FF">
      <w:pPr>
        <w:spacing w:line="360" w:lineRule="auto"/>
        <w:jc w:val="center"/>
        <w:rPr>
          <w:rFonts w:ascii="Times New Roman" w:eastAsia="Times New Roman" w:hAnsi="Times New Roman" w:cs="Times New Roman"/>
          <w:b/>
          <w:bCs/>
          <w:sz w:val="44"/>
          <w:szCs w:val="44"/>
        </w:rPr>
      </w:pPr>
      <w:r>
        <w:rPr>
          <w:rFonts w:ascii="Times New Roman" w:eastAsia="Times New Roman" w:hAnsi="Times New Roman" w:cs="Times New Roman"/>
          <w:b/>
          <w:bCs/>
          <w:sz w:val="44"/>
          <w:szCs w:val="44"/>
        </w:rPr>
        <w:t>Community Engagement</w:t>
      </w:r>
    </w:p>
    <w:p w14:paraId="1042D67A" w14:textId="77777777" w:rsidR="00F118FF" w:rsidRDefault="00F118FF" w:rsidP="00F118FF">
      <w:pPr>
        <w:spacing w:line="360" w:lineRule="auto"/>
        <w:jc w:val="center"/>
        <w:rPr>
          <w:rFonts w:ascii="Times New Roman" w:eastAsia="Times New Roman" w:hAnsi="Times New Roman" w:cs="Times New Roman"/>
          <w:b/>
          <w:bCs/>
          <w:sz w:val="44"/>
          <w:szCs w:val="44"/>
        </w:rPr>
      </w:pPr>
    </w:p>
    <w:p w14:paraId="5DB91365" w14:textId="2029F2D1" w:rsidR="00F118FF" w:rsidRPr="00F118FF" w:rsidRDefault="00F118FF" w:rsidP="00F118FF">
      <w:pPr>
        <w:spacing w:line="360" w:lineRule="auto"/>
        <w:jc w:val="center"/>
        <w:rPr>
          <w:rFonts w:ascii="Times New Roman" w:eastAsia="Times New Roman" w:hAnsi="Times New Roman" w:cs="Times New Roman"/>
          <w:b/>
          <w:bCs/>
          <w:color w:val="000000" w:themeColor="text1"/>
          <w:sz w:val="36"/>
          <w:szCs w:val="36"/>
        </w:rPr>
      </w:pPr>
      <w:r w:rsidRPr="00F118FF">
        <w:rPr>
          <w:rFonts w:ascii="Times New Roman" w:eastAsia="Times New Roman" w:hAnsi="Times New Roman" w:cs="Times New Roman"/>
          <w:b/>
          <w:bCs/>
          <w:color w:val="000000" w:themeColor="text1"/>
          <w:sz w:val="36"/>
          <w:szCs w:val="36"/>
        </w:rPr>
        <w:t>Reflective Evaluation</w:t>
      </w:r>
    </w:p>
    <w:p w14:paraId="04550FB3" w14:textId="77777777" w:rsidR="00F118FF" w:rsidRPr="00F118FF" w:rsidRDefault="00F118FF" w:rsidP="00F118FF">
      <w:pPr>
        <w:spacing w:line="360" w:lineRule="auto"/>
        <w:jc w:val="center"/>
        <w:rPr>
          <w:rFonts w:ascii="Times New Roman" w:eastAsia="Times New Roman" w:hAnsi="Times New Roman" w:cs="Times New Roman"/>
          <w:b/>
          <w:bCs/>
          <w:color w:val="000000" w:themeColor="text1"/>
          <w:sz w:val="24"/>
          <w:szCs w:val="24"/>
        </w:rPr>
      </w:pPr>
    </w:p>
    <w:p w14:paraId="59C3050F" w14:textId="77777777" w:rsidR="00F118FF" w:rsidRDefault="00F118FF" w:rsidP="00F118FF">
      <w:pPr>
        <w:rPr>
          <w:sz w:val="28"/>
          <w:szCs w:val="28"/>
        </w:rPr>
      </w:pPr>
    </w:p>
    <w:p w14:paraId="29A60052" w14:textId="77777777" w:rsidR="00F118FF" w:rsidRDefault="00F118FF" w:rsidP="00F118FF">
      <w:pPr>
        <w:rPr>
          <w:b/>
          <w:bCs/>
          <w:sz w:val="28"/>
          <w:szCs w:val="28"/>
        </w:rPr>
      </w:pPr>
      <w:r>
        <w:rPr>
          <w:sz w:val="28"/>
          <w:szCs w:val="28"/>
        </w:rPr>
        <w:t xml:space="preserve">                                          </w:t>
      </w:r>
      <w:r>
        <w:rPr>
          <w:b/>
          <w:bCs/>
          <w:sz w:val="28"/>
          <w:szCs w:val="28"/>
        </w:rPr>
        <w:t xml:space="preserve">Student Name: George </w:t>
      </w:r>
      <w:proofErr w:type="spellStart"/>
      <w:r>
        <w:rPr>
          <w:b/>
          <w:bCs/>
          <w:sz w:val="28"/>
          <w:szCs w:val="28"/>
        </w:rPr>
        <w:t>Nitulescu</w:t>
      </w:r>
      <w:proofErr w:type="spellEnd"/>
    </w:p>
    <w:p w14:paraId="60670488" w14:textId="77777777" w:rsidR="00F118FF" w:rsidRDefault="00F118FF" w:rsidP="00F118FF">
      <w:pPr>
        <w:rPr>
          <w:b/>
          <w:bCs/>
          <w:sz w:val="28"/>
          <w:szCs w:val="28"/>
        </w:rPr>
      </w:pPr>
      <w:r>
        <w:rPr>
          <w:b/>
          <w:bCs/>
          <w:sz w:val="28"/>
          <w:szCs w:val="28"/>
        </w:rPr>
        <w:t xml:space="preserve">                                                   Student ID: 2123688</w:t>
      </w:r>
    </w:p>
    <w:p w14:paraId="392775C7" w14:textId="39DE2D22" w:rsidR="0095792A" w:rsidRDefault="0095792A" w:rsidP="00B71044">
      <w:pPr>
        <w:spacing w:line="360" w:lineRule="auto"/>
        <w:jc w:val="center"/>
        <w:rPr>
          <w:rFonts w:ascii="Times New Roman" w:eastAsia="Times New Roman" w:hAnsi="Times New Roman" w:cs="Times New Roman"/>
          <w:sz w:val="24"/>
          <w:szCs w:val="24"/>
        </w:rPr>
      </w:pPr>
    </w:p>
    <w:p w14:paraId="1B764307" w14:textId="22F61692" w:rsidR="0095792A" w:rsidRDefault="0095792A" w:rsidP="00B71044">
      <w:pPr>
        <w:spacing w:line="360" w:lineRule="auto"/>
        <w:jc w:val="center"/>
        <w:rPr>
          <w:rFonts w:ascii="Times New Roman" w:eastAsia="Times New Roman" w:hAnsi="Times New Roman" w:cs="Times New Roman"/>
          <w:sz w:val="24"/>
          <w:szCs w:val="24"/>
        </w:rPr>
      </w:pPr>
    </w:p>
    <w:p w14:paraId="55CCAD43" w14:textId="281FD575" w:rsidR="0095792A" w:rsidRDefault="0095792A" w:rsidP="00B71044">
      <w:pPr>
        <w:spacing w:line="360" w:lineRule="auto"/>
        <w:jc w:val="center"/>
        <w:rPr>
          <w:rFonts w:ascii="Times New Roman" w:eastAsia="Times New Roman" w:hAnsi="Times New Roman" w:cs="Times New Roman"/>
          <w:sz w:val="24"/>
          <w:szCs w:val="24"/>
        </w:rPr>
      </w:pPr>
    </w:p>
    <w:p w14:paraId="684CB57B" w14:textId="61DB1090" w:rsidR="0095792A" w:rsidRDefault="0095792A" w:rsidP="00B71044">
      <w:pPr>
        <w:spacing w:line="360" w:lineRule="auto"/>
        <w:jc w:val="center"/>
        <w:rPr>
          <w:rFonts w:ascii="Times New Roman" w:eastAsia="Times New Roman" w:hAnsi="Times New Roman" w:cs="Times New Roman"/>
          <w:sz w:val="24"/>
          <w:szCs w:val="24"/>
        </w:rPr>
      </w:pPr>
    </w:p>
    <w:p w14:paraId="2C175F32" w14:textId="17ABD6CF" w:rsidR="0095792A" w:rsidRDefault="0095792A" w:rsidP="00B71044">
      <w:pPr>
        <w:spacing w:line="360" w:lineRule="auto"/>
        <w:jc w:val="center"/>
        <w:rPr>
          <w:rFonts w:ascii="Times New Roman" w:eastAsia="Times New Roman" w:hAnsi="Times New Roman" w:cs="Times New Roman"/>
          <w:sz w:val="24"/>
          <w:szCs w:val="24"/>
        </w:rPr>
      </w:pPr>
    </w:p>
    <w:p w14:paraId="365C8E47" w14:textId="17CB13C9" w:rsidR="0095792A" w:rsidRDefault="0095792A" w:rsidP="00B71044">
      <w:pPr>
        <w:spacing w:line="360" w:lineRule="auto"/>
        <w:jc w:val="center"/>
        <w:rPr>
          <w:rFonts w:ascii="Times New Roman" w:eastAsia="Times New Roman" w:hAnsi="Times New Roman" w:cs="Times New Roman"/>
          <w:sz w:val="24"/>
          <w:szCs w:val="24"/>
        </w:rPr>
      </w:pPr>
    </w:p>
    <w:p w14:paraId="64C2BF43" w14:textId="1E3064DA" w:rsidR="0095792A" w:rsidRDefault="0095792A" w:rsidP="00B71044">
      <w:pPr>
        <w:spacing w:line="360" w:lineRule="auto"/>
        <w:jc w:val="center"/>
        <w:rPr>
          <w:rFonts w:ascii="Times New Roman" w:eastAsia="Times New Roman" w:hAnsi="Times New Roman" w:cs="Times New Roman"/>
          <w:sz w:val="24"/>
          <w:szCs w:val="24"/>
        </w:rPr>
      </w:pPr>
    </w:p>
    <w:p w14:paraId="4199CE2C" w14:textId="448732B2" w:rsidR="0095792A" w:rsidRDefault="0095792A" w:rsidP="00B71044">
      <w:pPr>
        <w:spacing w:line="360" w:lineRule="auto"/>
        <w:jc w:val="center"/>
        <w:rPr>
          <w:rFonts w:ascii="Times New Roman" w:eastAsia="Times New Roman" w:hAnsi="Times New Roman" w:cs="Times New Roman"/>
          <w:sz w:val="24"/>
          <w:szCs w:val="24"/>
        </w:rPr>
      </w:pPr>
    </w:p>
    <w:p w14:paraId="11B09FCC" w14:textId="3FEF1360" w:rsidR="0095792A" w:rsidRDefault="0095792A" w:rsidP="00B71044">
      <w:pPr>
        <w:spacing w:line="360" w:lineRule="auto"/>
        <w:jc w:val="center"/>
        <w:rPr>
          <w:rFonts w:ascii="Times New Roman" w:eastAsia="Times New Roman" w:hAnsi="Times New Roman" w:cs="Times New Roman"/>
          <w:sz w:val="24"/>
          <w:szCs w:val="24"/>
        </w:rPr>
      </w:pPr>
    </w:p>
    <w:p w14:paraId="51C7218A" w14:textId="77777777" w:rsidR="0095792A" w:rsidRDefault="0095792A" w:rsidP="00B71044">
      <w:pPr>
        <w:spacing w:line="360" w:lineRule="auto"/>
        <w:jc w:val="center"/>
        <w:rPr>
          <w:rFonts w:ascii="Times New Roman" w:eastAsia="Times New Roman" w:hAnsi="Times New Roman" w:cs="Times New Roman"/>
          <w:sz w:val="24"/>
          <w:szCs w:val="24"/>
        </w:rPr>
      </w:pPr>
    </w:p>
    <w:p w14:paraId="180BAF31" w14:textId="134CA061" w:rsidR="00423FF1" w:rsidRPr="005B0351" w:rsidRDefault="00423FF1" w:rsidP="00423FF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2034294001"/>
        <w:docPartObj>
          <w:docPartGallery w:val="Table of Contents"/>
          <w:docPartUnique/>
        </w:docPartObj>
      </w:sdtPr>
      <w:sdtEndPr>
        <w:rPr>
          <w:noProof/>
        </w:rPr>
      </w:sdtEndPr>
      <w:sdtContent>
        <w:p w14:paraId="4C49EE4A" w14:textId="2B3F760B" w:rsidR="00423FF1" w:rsidRPr="0095792A" w:rsidRDefault="00423FF1">
          <w:pPr>
            <w:pStyle w:val="TOCHeading"/>
            <w:rPr>
              <w:rFonts w:ascii="Times New Roman" w:hAnsi="Times New Roman" w:cs="Times New Roman"/>
              <w:b/>
              <w:bCs/>
              <w:color w:val="000000" w:themeColor="text1"/>
              <w:sz w:val="24"/>
              <w:szCs w:val="24"/>
            </w:rPr>
          </w:pPr>
          <w:r w:rsidRPr="0095792A">
            <w:rPr>
              <w:rFonts w:ascii="Times New Roman" w:hAnsi="Times New Roman" w:cs="Times New Roman"/>
              <w:b/>
              <w:bCs/>
              <w:color w:val="000000" w:themeColor="text1"/>
              <w:sz w:val="24"/>
              <w:szCs w:val="24"/>
            </w:rPr>
            <w:t>Table of Contents</w:t>
          </w:r>
        </w:p>
        <w:p w14:paraId="4676682F" w14:textId="61E2F89D" w:rsidR="0095792A" w:rsidRPr="0095792A" w:rsidRDefault="00423FF1">
          <w:pPr>
            <w:pStyle w:val="TOC1"/>
            <w:tabs>
              <w:tab w:val="right" w:leader="dot" w:pos="9350"/>
            </w:tabs>
            <w:rPr>
              <w:rFonts w:ascii="Times New Roman" w:eastAsiaTheme="minorEastAsia" w:hAnsi="Times New Roman" w:cs="Times New Roman"/>
              <w:noProof/>
              <w:sz w:val="24"/>
              <w:szCs w:val="24"/>
              <w:lang w:val="en-US"/>
            </w:rPr>
          </w:pPr>
          <w:r w:rsidRPr="0095792A">
            <w:rPr>
              <w:rFonts w:ascii="Times New Roman" w:hAnsi="Times New Roman" w:cs="Times New Roman"/>
              <w:noProof/>
              <w:sz w:val="24"/>
              <w:szCs w:val="24"/>
            </w:rPr>
            <w:fldChar w:fldCharType="begin"/>
          </w:r>
          <w:r w:rsidRPr="0095792A">
            <w:rPr>
              <w:rFonts w:ascii="Times New Roman" w:hAnsi="Times New Roman" w:cs="Times New Roman"/>
              <w:noProof/>
              <w:sz w:val="24"/>
              <w:szCs w:val="24"/>
            </w:rPr>
            <w:instrText xml:space="preserve"> TOC \o "1-3" \h \z \u </w:instrText>
          </w:r>
          <w:r w:rsidRPr="0095792A">
            <w:rPr>
              <w:rFonts w:ascii="Times New Roman" w:hAnsi="Times New Roman" w:cs="Times New Roman"/>
              <w:noProof/>
              <w:sz w:val="24"/>
              <w:szCs w:val="24"/>
            </w:rPr>
            <w:fldChar w:fldCharType="separate"/>
          </w:r>
          <w:hyperlink w:anchor="_Toc110233651" w:history="1">
            <w:r w:rsidR="0095792A" w:rsidRPr="0095792A">
              <w:rPr>
                <w:rStyle w:val="Hyperlink"/>
                <w:rFonts w:ascii="Times New Roman" w:eastAsia="Times New Roman" w:hAnsi="Times New Roman" w:cs="Times New Roman"/>
                <w:noProof/>
                <w:sz w:val="24"/>
                <w:szCs w:val="24"/>
              </w:rPr>
              <w:t>Introduction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_Toc110233651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2</w:t>
            </w:r>
            <w:r w:rsidR="0095792A" w:rsidRPr="0095792A">
              <w:rPr>
                <w:rFonts w:ascii="Times New Roman" w:hAnsi="Times New Roman" w:cs="Times New Roman"/>
                <w:noProof/>
                <w:webHidden/>
                <w:sz w:val="24"/>
                <w:szCs w:val="24"/>
              </w:rPr>
              <w:fldChar w:fldCharType="end"/>
            </w:r>
          </w:hyperlink>
        </w:p>
        <w:p w14:paraId="4787A738" w14:textId="0E3247F4" w:rsidR="0095792A" w:rsidRPr="0095792A" w:rsidRDefault="00000000">
          <w:pPr>
            <w:pStyle w:val="TOC1"/>
            <w:tabs>
              <w:tab w:val="right" w:leader="dot" w:pos="9350"/>
            </w:tabs>
            <w:rPr>
              <w:rFonts w:ascii="Times New Roman" w:eastAsiaTheme="minorEastAsia" w:hAnsi="Times New Roman" w:cs="Times New Roman"/>
              <w:noProof/>
              <w:sz w:val="24"/>
              <w:szCs w:val="24"/>
              <w:lang w:val="en-US"/>
            </w:rPr>
          </w:pPr>
          <w:hyperlink w:anchor="_Toc110233652" w:history="1">
            <w:r w:rsidR="0095792A" w:rsidRPr="0095792A">
              <w:rPr>
                <w:rStyle w:val="Hyperlink"/>
                <w:rFonts w:ascii="Times New Roman" w:eastAsia="Times New Roman" w:hAnsi="Times New Roman" w:cs="Times New Roman"/>
                <w:noProof/>
                <w:sz w:val="24"/>
                <w:szCs w:val="24"/>
              </w:rPr>
              <w:t>Gibbs reflection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_Toc110233652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2</w:t>
            </w:r>
            <w:r w:rsidR="0095792A" w:rsidRPr="0095792A">
              <w:rPr>
                <w:rFonts w:ascii="Times New Roman" w:hAnsi="Times New Roman" w:cs="Times New Roman"/>
                <w:noProof/>
                <w:webHidden/>
                <w:sz w:val="24"/>
                <w:szCs w:val="24"/>
              </w:rPr>
              <w:fldChar w:fldCharType="end"/>
            </w:r>
          </w:hyperlink>
        </w:p>
        <w:p w14:paraId="3A26E882" w14:textId="21B37C69"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3" w:history="1">
            <w:r w:rsidR="0095792A" w:rsidRPr="0095792A">
              <w:rPr>
                <w:rStyle w:val="Hyperlink"/>
                <w:rFonts w:ascii="Times New Roman" w:eastAsia="Times New Roman" w:hAnsi="Times New Roman" w:cs="Times New Roman"/>
                <w:noProof/>
                <w:sz w:val="24"/>
                <w:szCs w:val="24"/>
              </w:rPr>
              <w:t>Description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_Toc110233653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2</w:t>
            </w:r>
            <w:r w:rsidR="0095792A" w:rsidRPr="0095792A">
              <w:rPr>
                <w:rFonts w:ascii="Times New Roman" w:hAnsi="Times New Roman" w:cs="Times New Roman"/>
                <w:noProof/>
                <w:webHidden/>
                <w:sz w:val="24"/>
                <w:szCs w:val="24"/>
              </w:rPr>
              <w:fldChar w:fldCharType="end"/>
            </w:r>
          </w:hyperlink>
        </w:p>
        <w:p w14:paraId="01B2A2EA" w14:textId="2A9DE99A"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4" w:history="1">
            <w:r w:rsidR="0095792A" w:rsidRPr="0095792A">
              <w:rPr>
                <w:rStyle w:val="Hyperlink"/>
                <w:rFonts w:ascii="Times New Roman" w:eastAsia="Times New Roman" w:hAnsi="Times New Roman" w:cs="Times New Roman"/>
                <w:noProof/>
                <w:sz w:val="24"/>
                <w:szCs w:val="24"/>
              </w:rPr>
              <w:t>Feelings</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_Toc110233654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4</w:t>
            </w:r>
            <w:r w:rsidR="0095792A" w:rsidRPr="0095792A">
              <w:rPr>
                <w:rFonts w:ascii="Times New Roman" w:hAnsi="Times New Roman" w:cs="Times New Roman"/>
                <w:noProof/>
                <w:webHidden/>
                <w:sz w:val="24"/>
                <w:szCs w:val="24"/>
              </w:rPr>
              <w:fldChar w:fldCharType="end"/>
            </w:r>
          </w:hyperlink>
        </w:p>
        <w:p w14:paraId="3D209CC3" w14:textId="4085FD70"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5" w:history="1">
            <w:r w:rsidR="0095792A" w:rsidRPr="0095792A">
              <w:rPr>
                <w:rStyle w:val="Hyperlink"/>
                <w:rFonts w:ascii="Times New Roman" w:eastAsia="Times New Roman" w:hAnsi="Times New Roman" w:cs="Times New Roman"/>
                <w:noProof/>
                <w:sz w:val="24"/>
                <w:szCs w:val="24"/>
              </w:rPr>
              <w:t>Evaluation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_Toc110233655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5</w:t>
            </w:r>
            <w:r w:rsidR="0095792A" w:rsidRPr="0095792A">
              <w:rPr>
                <w:rFonts w:ascii="Times New Roman" w:hAnsi="Times New Roman" w:cs="Times New Roman"/>
                <w:noProof/>
                <w:webHidden/>
                <w:sz w:val="24"/>
                <w:szCs w:val="24"/>
              </w:rPr>
              <w:fldChar w:fldCharType="end"/>
            </w:r>
          </w:hyperlink>
        </w:p>
        <w:p w14:paraId="272AAFB3" w14:textId="5DD78AA8"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6" w:history="1">
            <w:r w:rsidR="0095792A" w:rsidRPr="0095792A">
              <w:rPr>
                <w:rStyle w:val="Hyperlink"/>
                <w:rFonts w:ascii="Times New Roman" w:eastAsia="Times New Roman" w:hAnsi="Times New Roman" w:cs="Times New Roman"/>
                <w:noProof/>
                <w:sz w:val="24"/>
                <w:szCs w:val="24"/>
              </w:rPr>
              <w:t>Analysis</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_Toc110233656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5</w:t>
            </w:r>
            <w:r w:rsidR="0095792A" w:rsidRPr="0095792A">
              <w:rPr>
                <w:rFonts w:ascii="Times New Roman" w:hAnsi="Times New Roman" w:cs="Times New Roman"/>
                <w:noProof/>
                <w:webHidden/>
                <w:sz w:val="24"/>
                <w:szCs w:val="24"/>
              </w:rPr>
              <w:fldChar w:fldCharType="end"/>
            </w:r>
          </w:hyperlink>
        </w:p>
        <w:p w14:paraId="2BA31BC1" w14:textId="597C3ED2"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7" w:history="1">
            <w:r w:rsidR="0095792A" w:rsidRPr="0095792A">
              <w:rPr>
                <w:rStyle w:val="Hyperlink"/>
                <w:rFonts w:ascii="Times New Roman" w:eastAsia="Times New Roman" w:hAnsi="Times New Roman" w:cs="Times New Roman"/>
                <w:noProof/>
                <w:sz w:val="24"/>
                <w:szCs w:val="24"/>
              </w:rPr>
              <w:t>Conclusion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_Toc110233657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6</w:t>
            </w:r>
            <w:r w:rsidR="0095792A" w:rsidRPr="0095792A">
              <w:rPr>
                <w:rFonts w:ascii="Times New Roman" w:hAnsi="Times New Roman" w:cs="Times New Roman"/>
                <w:noProof/>
                <w:webHidden/>
                <w:sz w:val="24"/>
                <w:szCs w:val="24"/>
              </w:rPr>
              <w:fldChar w:fldCharType="end"/>
            </w:r>
          </w:hyperlink>
        </w:p>
        <w:p w14:paraId="2B6C77A8" w14:textId="64901E0B" w:rsidR="0095792A" w:rsidRPr="0095792A" w:rsidRDefault="00000000">
          <w:pPr>
            <w:pStyle w:val="TOC2"/>
            <w:tabs>
              <w:tab w:val="right" w:leader="dot" w:pos="9350"/>
            </w:tabs>
            <w:rPr>
              <w:rFonts w:ascii="Times New Roman" w:eastAsiaTheme="minorEastAsia" w:hAnsi="Times New Roman" w:cs="Times New Roman"/>
              <w:noProof/>
              <w:sz w:val="24"/>
              <w:szCs w:val="24"/>
              <w:lang w:val="en-US"/>
            </w:rPr>
          </w:pPr>
          <w:hyperlink w:anchor="_Toc110233658" w:history="1">
            <w:r w:rsidR="0095792A" w:rsidRPr="0095792A">
              <w:rPr>
                <w:rStyle w:val="Hyperlink"/>
                <w:rFonts w:ascii="Times New Roman" w:eastAsia="Times New Roman" w:hAnsi="Times New Roman" w:cs="Times New Roman"/>
                <w:noProof/>
                <w:sz w:val="24"/>
                <w:szCs w:val="24"/>
              </w:rPr>
              <w:t>Action plan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_Toc110233658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6</w:t>
            </w:r>
            <w:r w:rsidR="0095792A" w:rsidRPr="0095792A">
              <w:rPr>
                <w:rFonts w:ascii="Times New Roman" w:hAnsi="Times New Roman" w:cs="Times New Roman"/>
                <w:noProof/>
                <w:webHidden/>
                <w:sz w:val="24"/>
                <w:szCs w:val="24"/>
              </w:rPr>
              <w:fldChar w:fldCharType="end"/>
            </w:r>
          </w:hyperlink>
        </w:p>
        <w:p w14:paraId="7B3738E0" w14:textId="174B5E1C" w:rsidR="0095792A" w:rsidRPr="0095792A" w:rsidRDefault="00000000">
          <w:pPr>
            <w:pStyle w:val="TOC1"/>
            <w:tabs>
              <w:tab w:val="right" w:leader="dot" w:pos="9350"/>
            </w:tabs>
            <w:rPr>
              <w:rFonts w:ascii="Times New Roman" w:eastAsiaTheme="minorEastAsia" w:hAnsi="Times New Roman" w:cs="Times New Roman"/>
              <w:noProof/>
              <w:sz w:val="24"/>
              <w:szCs w:val="24"/>
              <w:lang w:val="en-US"/>
            </w:rPr>
          </w:pPr>
          <w:hyperlink w:anchor="_Toc110233659" w:history="1">
            <w:r w:rsidR="0095792A" w:rsidRPr="0095792A">
              <w:rPr>
                <w:rStyle w:val="Hyperlink"/>
                <w:rFonts w:ascii="Times New Roman" w:eastAsia="Times New Roman" w:hAnsi="Times New Roman" w:cs="Times New Roman"/>
                <w:noProof/>
                <w:sz w:val="24"/>
                <w:szCs w:val="24"/>
              </w:rPr>
              <w:t>Conclusion</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_Toc110233659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6</w:t>
            </w:r>
            <w:r w:rsidR="0095792A" w:rsidRPr="0095792A">
              <w:rPr>
                <w:rFonts w:ascii="Times New Roman" w:hAnsi="Times New Roman" w:cs="Times New Roman"/>
                <w:noProof/>
                <w:webHidden/>
                <w:sz w:val="24"/>
                <w:szCs w:val="24"/>
              </w:rPr>
              <w:fldChar w:fldCharType="end"/>
            </w:r>
          </w:hyperlink>
        </w:p>
        <w:p w14:paraId="108DE935" w14:textId="79DDB22F" w:rsidR="0095792A" w:rsidRPr="0095792A" w:rsidRDefault="00000000">
          <w:pPr>
            <w:pStyle w:val="TOC1"/>
            <w:tabs>
              <w:tab w:val="right" w:leader="dot" w:pos="9350"/>
            </w:tabs>
            <w:rPr>
              <w:rFonts w:ascii="Times New Roman" w:eastAsiaTheme="minorEastAsia" w:hAnsi="Times New Roman" w:cs="Times New Roman"/>
              <w:noProof/>
              <w:sz w:val="24"/>
              <w:szCs w:val="24"/>
              <w:lang w:val="en-US"/>
            </w:rPr>
          </w:pPr>
          <w:hyperlink w:anchor="_Toc110233660" w:history="1">
            <w:r w:rsidR="0095792A" w:rsidRPr="0095792A">
              <w:rPr>
                <w:rStyle w:val="Hyperlink"/>
                <w:rFonts w:ascii="Times New Roman" w:eastAsia="Times New Roman" w:hAnsi="Times New Roman" w:cs="Times New Roman"/>
                <w:noProof/>
                <w:sz w:val="24"/>
                <w:szCs w:val="24"/>
              </w:rPr>
              <w:t>References</w:t>
            </w:r>
            <w:r w:rsidR="0095792A" w:rsidRPr="0095792A">
              <w:rPr>
                <w:rFonts w:ascii="Times New Roman" w:hAnsi="Times New Roman" w:cs="Times New Roman"/>
                <w:noProof/>
                <w:webHidden/>
                <w:sz w:val="24"/>
                <w:szCs w:val="24"/>
              </w:rPr>
              <w:tab/>
            </w:r>
            <w:r w:rsidR="0095792A" w:rsidRPr="0095792A">
              <w:rPr>
                <w:rFonts w:ascii="Times New Roman" w:hAnsi="Times New Roman" w:cs="Times New Roman"/>
                <w:noProof/>
                <w:webHidden/>
                <w:sz w:val="24"/>
                <w:szCs w:val="24"/>
              </w:rPr>
              <w:fldChar w:fldCharType="begin"/>
            </w:r>
            <w:r w:rsidR="0095792A" w:rsidRPr="0095792A">
              <w:rPr>
                <w:rFonts w:ascii="Times New Roman" w:hAnsi="Times New Roman" w:cs="Times New Roman"/>
                <w:noProof/>
                <w:webHidden/>
                <w:sz w:val="24"/>
                <w:szCs w:val="24"/>
              </w:rPr>
              <w:instrText xml:space="preserve"> PAGEREF _Toc110233660 \h </w:instrText>
            </w:r>
            <w:r w:rsidR="0095792A" w:rsidRPr="0095792A">
              <w:rPr>
                <w:rFonts w:ascii="Times New Roman" w:hAnsi="Times New Roman" w:cs="Times New Roman"/>
                <w:noProof/>
                <w:webHidden/>
                <w:sz w:val="24"/>
                <w:szCs w:val="24"/>
              </w:rPr>
            </w:r>
            <w:r w:rsidR="0095792A" w:rsidRPr="0095792A">
              <w:rPr>
                <w:rFonts w:ascii="Times New Roman" w:hAnsi="Times New Roman" w:cs="Times New Roman"/>
                <w:noProof/>
                <w:webHidden/>
                <w:sz w:val="24"/>
                <w:szCs w:val="24"/>
              </w:rPr>
              <w:fldChar w:fldCharType="separate"/>
            </w:r>
            <w:r w:rsidR="00F118FF">
              <w:rPr>
                <w:rFonts w:ascii="Times New Roman" w:hAnsi="Times New Roman" w:cs="Times New Roman"/>
                <w:noProof/>
                <w:webHidden/>
                <w:sz w:val="24"/>
                <w:szCs w:val="24"/>
              </w:rPr>
              <w:t>8</w:t>
            </w:r>
            <w:r w:rsidR="0095792A" w:rsidRPr="0095792A">
              <w:rPr>
                <w:rFonts w:ascii="Times New Roman" w:hAnsi="Times New Roman" w:cs="Times New Roman"/>
                <w:noProof/>
                <w:webHidden/>
                <w:sz w:val="24"/>
                <w:szCs w:val="24"/>
              </w:rPr>
              <w:fldChar w:fldCharType="end"/>
            </w:r>
          </w:hyperlink>
        </w:p>
        <w:p w14:paraId="4B47611A" w14:textId="2F38453C" w:rsidR="00423FF1" w:rsidRDefault="00423FF1">
          <w:r w:rsidRPr="0095792A">
            <w:rPr>
              <w:rFonts w:ascii="Times New Roman" w:hAnsi="Times New Roman" w:cs="Times New Roman"/>
              <w:noProof/>
              <w:sz w:val="24"/>
              <w:szCs w:val="24"/>
            </w:rPr>
            <w:fldChar w:fldCharType="end"/>
          </w:r>
        </w:p>
      </w:sdtContent>
    </w:sdt>
    <w:p w14:paraId="00159067" w14:textId="3ACF14C1" w:rsidR="002C06F1" w:rsidRPr="005B0351" w:rsidRDefault="002C06F1" w:rsidP="005B0351">
      <w:pPr>
        <w:spacing w:line="360" w:lineRule="auto"/>
        <w:jc w:val="both"/>
        <w:rPr>
          <w:rFonts w:ascii="Times New Roman" w:eastAsia="Times New Roman" w:hAnsi="Times New Roman" w:cs="Times New Roman"/>
          <w:sz w:val="24"/>
          <w:szCs w:val="24"/>
        </w:rPr>
      </w:pPr>
      <w:r w:rsidRPr="005B0351">
        <w:rPr>
          <w:rFonts w:ascii="Times New Roman" w:eastAsia="Times New Roman" w:hAnsi="Times New Roman" w:cs="Times New Roman"/>
          <w:sz w:val="24"/>
          <w:szCs w:val="24"/>
        </w:rPr>
        <w:br w:type="page"/>
      </w:r>
    </w:p>
    <w:p w14:paraId="46FCB95F" w14:textId="7BB2CEC5" w:rsidR="785C60EA" w:rsidRPr="0095792A" w:rsidRDefault="785C60EA" w:rsidP="0095792A">
      <w:pPr>
        <w:pStyle w:val="Heading1"/>
        <w:spacing w:before="0" w:line="240" w:lineRule="auto"/>
        <w:jc w:val="both"/>
        <w:rPr>
          <w:rFonts w:ascii="Times New Roman" w:eastAsia="Times New Roman" w:hAnsi="Times New Roman" w:cs="Times New Roman"/>
          <w:b/>
          <w:color w:val="auto"/>
          <w:sz w:val="24"/>
          <w:szCs w:val="24"/>
        </w:rPr>
      </w:pPr>
      <w:bookmarkStart w:id="0" w:name="_Toc110233651"/>
      <w:r w:rsidRPr="0095792A">
        <w:rPr>
          <w:rFonts w:ascii="Times New Roman" w:eastAsia="Times New Roman" w:hAnsi="Times New Roman" w:cs="Times New Roman"/>
          <w:b/>
          <w:color w:val="auto"/>
          <w:sz w:val="24"/>
          <w:szCs w:val="24"/>
        </w:rPr>
        <w:t>Introduction</w:t>
      </w:r>
      <w:bookmarkEnd w:id="0"/>
    </w:p>
    <w:p w14:paraId="306B7058" w14:textId="4B5B9073"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Community engagement refers to the practice of involving the members of a given community in the processes that involves making the important decisions, evaluating, planning, implementing, and assessing solutions to problems that have an impact on their everyday lives and surroundings as stated by Holzer, Ellis and Merritt (2014). Community involvement puts a strong emphasis on the requirements, aspirations, and goals of the residents and is centred on respect, communications, and cooperation. According to Watson and Waterton (2010), effective involvement practices help in building trust across societies, ensuring efficient decision-making, and improving service provision. Engagement can occur during the exploration, preparation, and implementation phases of the project and program, as well as during any activity intended to solve community issues or produce solutions.</w:t>
      </w:r>
    </w:p>
    <w:p w14:paraId="1A31C7AD" w14:textId="247B2D36"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 Effective engagement assists in enhancing ties within the society and creating a greater awareness of the larger community (Watson and Waterton, 2010). This reflective evaluation will discuss the activities done by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 xml:space="preserve">. This is a community arts organisation that collaborates with Sandwell residents to create artwork that depicts their life. It will therefore use Gibbs' Reflective Cycle to reflect on their tasks and consider what they could change to increase public awareness about their projects. The reflection will analyse the best ways to strengthen the </w:t>
      </w:r>
      <w:r w:rsidR="00B71044" w:rsidRPr="005B0351">
        <w:rPr>
          <w:rFonts w:ascii="Times New Roman" w:eastAsia="Times New Roman" w:hAnsi="Times New Roman" w:cs="Times New Roman"/>
          <w:color w:val="000000" w:themeColor="text1"/>
          <w:sz w:val="24"/>
          <w:szCs w:val="24"/>
        </w:rPr>
        <w:t>inter</w:t>
      </w:r>
      <w:r w:rsidR="00B71044">
        <w:rPr>
          <w:rFonts w:ascii="Times New Roman" w:eastAsia="Times New Roman" w:hAnsi="Times New Roman" w:cs="Times New Roman"/>
          <w:color w:val="000000" w:themeColor="text1"/>
          <w:sz w:val="24"/>
          <w:szCs w:val="24"/>
        </w:rPr>
        <w:t>a</w:t>
      </w:r>
      <w:r w:rsidR="00B71044" w:rsidRPr="005B0351">
        <w:rPr>
          <w:rFonts w:ascii="Times New Roman" w:eastAsia="Times New Roman" w:hAnsi="Times New Roman" w:cs="Times New Roman"/>
          <w:color w:val="000000" w:themeColor="text1"/>
          <w:sz w:val="24"/>
          <w:szCs w:val="24"/>
        </w:rPr>
        <w:t>ction</w:t>
      </w:r>
      <w:r w:rsidRPr="005B0351">
        <w:rPr>
          <w:rFonts w:ascii="Times New Roman" w:eastAsia="Times New Roman" w:hAnsi="Times New Roman" w:cs="Times New Roman"/>
          <w:color w:val="000000" w:themeColor="text1"/>
          <w:sz w:val="24"/>
          <w:szCs w:val="24"/>
        </w:rPr>
        <w:t xml:space="preserve"> among the stakeholders and giving the appropriate approaches for involving them. This evaluation will examine practical ways to encourage community involvement, cooperation, diversity, including inclusion </w:t>
      </w:r>
      <w:proofErr w:type="gramStart"/>
      <w:r w:rsidRPr="005B0351">
        <w:rPr>
          <w:rFonts w:ascii="Times New Roman" w:eastAsia="Times New Roman" w:hAnsi="Times New Roman" w:cs="Times New Roman"/>
          <w:color w:val="000000" w:themeColor="text1"/>
          <w:sz w:val="24"/>
          <w:szCs w:val="24"/>
        </w:rPr>
        <w:t>in order to</w:t>
      </w:r>
      <w:proofErr w:type="gramEnd"/>
      <w:r w:rsidRPr="005B0351">
        <w:rPr>
          <w:rFonts w:ascii="Times New Roman" w:eastAsia="Times New Roman" w:hAnsi="Times New Roman" w:cs="Times New Roman"/>
          <w:color w:val="000000" w:themeColor="text1"/>
          <w:sz w:val="24"/>
          <w:szCs w:val="24"/>
        </w:rPr>
        <w:t xml:space="preserve"> facilitate intercultural alignment and multicultural society.</w:t>
      </w:r>
    </w:p>
    <w:p w14:paraId="7DDFB0AC" w14:textId="2727D04C" w:rsidR="785C60EA"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According to Brown (2021), Gibbs' Reflective Cycle was created by Graham Gibbs to provide a structure to experience-based learning. It provides the framework that is used for analysing events and, considering that it is cyclical, adapts itself perfectly to repeated encounters, enabling people to draw lessons from both good and bad experiences and prepare for the future (Brown, 2021). </w:t>
      </w:r>
    </w:p>
    <w:p w14:paraId="3D6EB266" w14:textId="1AB34E0F" w:rsidR="0095792A" w:rsidRPr="0095792A" w:rsidRDefault="0095792A" w:rsidP="0095792A">
      <w:pPr>
        <w:pStyle w:val="Heading1"/>
        <w:spacing w:before="0" w:line="240" w:lineRule="auto"/>
        <w:rPr>
          <w:rFonts w:ascii="Times New Roman" w:eastAsia="Times New Roman" w:hAnsi="Times New Roman" w:cs="Times New Roman"/>
          <w:b/>
          <w:color w:val="auto"/>
          <w:sz w:val="24"/>
          <w:szCs w:val="24"/>
        </w:rPr>
      </w:pPr>
      <w:bookmarkStart w:id="1" w:name="_Toc110233652"/>
      <w:r w:rsidRPr="0095792A">
        <w:rPr>
          <w:rFonts w:ascii="Times New Roman" w:eastAsia="Times New Roman" w:hAnsi="Times New Roman" w:cs="Times New Roman"/>
          <w:b/>
          <w:color w:val="auto"/>
          <w:sz w:val="24"/>
          <w:szCs w:val="24"/>
        </w:rPr>
        <w:t>Gibbs reflection</w:t>
      </w:r>
      <w:bookmarkEnd w:id="1"/>
    </w:p>
    <w:p w14:paraId="418A4F7E" w14:textId="1AD18450" w:rsidR="785C60EA" w:rsidRPr="0095792A" w:rsidRDefault="785C60EA" w:rsidP="0095792A">
      <w:pPr>
        <w:pStyle w:val="Heading2"/>
        <w:rPr>
          <w:rFonts w:ascii="Times New Roman" w:eastAsia="Times New Roman" w:hAnsi="Times New Roman" w:cs="Times New Roman"/>
          <w:b/>
          <w:bCs/>
          <w:color w:val="auto"/>
          <w:sz w:val="24"/>
          <w:szCs w:val="24"/>
        </w:rPr>
      </w:pPr>
      <w:bookmarkStart w:id="2" w:name="_Toc110233653"/>
      <w:r w:rsidRPr="0095792A">
        <w:rPr>
          <w:rFonts w:ascii="Times New Roman" w:eastAsia="Times New Roman" w:hAnsi="Times New Roman" w:cs="Times New Roman"/>
          <w:b/>
          <w:bCs/>
          <w:color w:val="auto"/>
          <w:sz w:val="24"/>
          <w:szCs w:val="24"/>
        </w:rPr>
        <w:t>Description</w:t>
      </w:r>
      <w:bookmarkEnd w:id="2"/>
    </w:p>
    <w:p w14:paraId="37AF89C9" w14:textId="3CF9B9D5"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Many aspects of community engagement have been discussed and it very important to reflect on the tasks and activities </w:t>
      </w:r>
      <w:proofErr w:type="gramStart"/>
      <w:r w:rsidRPr="005B0351">
        <w:rPr>
          <w:rFonts w:ascii="Times New Roman" w:eastAsia="Times New Roman" w:hAnsi="Times New Roman" w:cs="Times New Roman"/>
          <w:color w:val="000000" w:themeColor="text1"/>
          <w:sz w:val="24"/>
          <w:szCs w:val="24"/>
        </w:rPr>
        <w:t>in order to</w:t>
      </w:r>
      <w:proofErr w:type="gramEnd"/>
      <w:r w:rsidRPr="005B0351">
        <w:rPr>
          <w:rFonts w:ascii="Times New Roman" w:eastAsia="Times New Roman" w:hAnsi="Times New Roman" w:cs="Times New Roman"/>
          <w:color w:val="000000" w:themeColor="text1"/>
          <w:sz w:val="24"/>
          <w:szCs w:val="24"/>
        </w:rPr>
        <w:t xml:space="preserve"> provide a conclusion on how community engagement should be done. In this reflective evaluation, the case study of Beyond Bricks will be studied. Over the course of two years, between 2008 through 2010, substantial neighbourhood regions of Birmingham including Sandwell hosted a series of artistic participatory initiatives. The initiative was created and funded by the Urban Living, with the Arts Council England.  This project was controlled by an organisation dealing with arts in the community known </w:t>
      </w:r>
      <w:r w:rsidR="00843449">
        <w:rPr>
          <w:rFonts w:ascii="Times New Roman" w:eastAsia="Times New Roman" w:hAnsi="Times New Roman" w:cs="Times New Roman"/>
          <w:color w:val="000000" w:themeColor="text1"/>
          <w:sz w:val="24"/>
          <w:szCs w:val="24"/>
        </w:rPr>
        <w:t xml:space="preserve">as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w:t>
      </w:r>
    </w:p>
    <w:p w14:paraId="57BEEA76" w14:textId="17FED390"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Beyond Bricks sought to unite a variety of locals and artists </w:t>
      </w:r>
      <w:proofErr w:type="gramStart"/>
      <w:r w:rsidRPr="005B0351">
        <w:rPr>
          <w:rFonts w:ascii="Times New Roman" w:eastAsia="Times New Roman" w:hAnsi="Times New Roman" w:cs="Times New Roman"/>
          <w:color w:val="000000" w:themeColor="text1"/>
          <w:sz w:val="24"/>
          <w:szCs w:val="24"/>
        </w:rPr>
        <w:t>in order to</w:t>
      </w:r>
      <w:proofErr w:type="gramEnd"/>
      <w:r w:rsidRPr="005B0351">
        <w:rPr>
          <w:rFonts w:ascii="Times New Roman" w:eastAsia="Times New Roman" w:hAnsi="Times New Roman" w:cs="Times New Roman"/>
          <w:color w:val="000000" w:themeColor="text1"/>
          <w:sz w:val="24"/>
          <w:szCs w:val="24"/>
        </w:rPr>
        <w:t xml:space="preserve"> foster relationships and create several projects which represented the thoughts, skills, and goals of the community. They were able to run several important projects that aimed at bringing the local communities together. Globally, the community projects have a significant impact on how societies develop. These initiatives can range from social organisations in several of world's most impoverished remote regions to initiatives aimed at improving the living standards for the most vulnerable citizens in any given nation or region as stated by Mughal (2017). </w:t>
      </w:r>
    </w:p>
    <w:p w14:paraId="7E61B59A" w14:textId="734C9295"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Reflecting on the key projects, phase one initiative was conducted in East Handsworth Ward as well as </w:t>
      </w:r>
      <w:proofErr w:type="spellStart"/>
      <w:r w:rsidRPr="005B0351">
        <w:rPr>
          <w:rFonts w:ascii="Times New Roman" w:eastAsia="Times New Roman" w:hAnsi="Times New Roman" w:cs="Times New Roman"/>
          <w:color w:val="000000" w:themeColor="text1"/>
          <w:sz w:val="24"/>
          <w:szCs w:val="24"/>
        </w:rPr>
        <w:t>Lozells</w:t>
      </w:r>
      <w:proofErr w:type="spellEnd"/>
      <w:r w:rsidRPr="005B0351">
        <w:rPr>
          <w:rFonts w:ascii="Times New Roman" w:eastAsia="Times New Roman" w:hAnsi="Times New Roman" w:cs="Times New Roman"/>
          <w:color w:val="000000" w:themeColor="text1"/>
          <w:sz w:val="24"/>
          <w:szCs w:val="24"/>
        </w:rPr>
        <w:t xml:space="preserve"> found in Birmingham in the year 2008. The project has a purpose of establishing the fascinating readily accessible strategy for engaging the local people in the community through creative arts as well as developing imaginative tasks that can be comprehended and taught across the larger community. </w:t>
      </w:r>
      <w:proofErr w:type="gramStart"/>
      <w:r w:rsidRPr="005B0351">
        <w:rPr>
          <w:rFonts w:ascii="Times New Roman" w:eastAsia="Times New Roman" w:hAnsi="Times New Roman" w:cs="Times New Roman"/>
          <w:color w:val="000000" w:themeColor="text1"/>
          <w:sz w:val="24"/>
          <w:szCs w:val="24"/>
        </w:rPr>
        <w:t>In order to</w:t>
      </w:r>
      <w:proofErr w:type="gramEnd"/>
      <w:r w:rsidRPr="005B0351">
        <w:rPr>
          <w:rFonts w:ascii="Times New Roman" w:eastAsia="Times New Roman" w:hAnsi="Times New Roman" w:cs="Times New Roman"/>
          <w:color w:val="000000" w:themeColor="text1"/>
          <w:sz w:val="24"/>
          <w:szCs w:val="24"/>
        </w:rPr>
        <w:t xml:space="preserve"> build a strong structure and plan of initiatives to promote the significance and value of the active arts sector towards development initiatives and reconstruction, this stage of the project was crucial in identifying local and essential partners.</w:t>
      </w:r>
    </w:p>
    <w:p w14:paraId="69BCEA5F" w14:textId="73F4582A"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There is an informal community organisation called Mothers in Pain made up of people who have lost family members to gun, as knife crime, either fatally or critically. For Mothers in Pain to create a video concerning their encounters that they can use as a tool for teaching while dealing with children, Beyond Bricks assisted them in locating and collaborating with the theatre group Geese Theatre and the grassroots film making organisation called Reel Access. After Beyond Bricks and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 xml:space="preserve"> secured further money to help Mothers in Pain develop a workshop toolbox and conduct an annual schedule of progra</w:t>
      </w:r>
      <w:r w:rsidR="00843449">
        <w:rPr>
          <w:rFonts w:ascii="Times New Roman" w:eastAsia="Times New Roman" w:hAnsi="Times New Roman" w:cs="Times New Roman"/>
          <w:color w:val="000000" w:themeColor="text1"/>
          <w:sz w:val="24"/>
          <w:szCs w:val="24"/>
        </w:rPr>
        <w:t xml:space="preserve">ms in institutions from 2009 to </w:t>
      </w:r>
      <w:r w:rsidRPr="005B0351">
        <w:rPr>
          <w:rFonts w:ascii="Times New Roman" w:eastAsia="Times New Roman" w:hAnsi="Times New Roman" w:cs="Times New Roman"/>
          <w:color w:val="000000" w:themeColor="text1"/>
          <w:sz w:val="24"/>
          <w:szCs w:val="24"/>
        </w:rPr>
        <w:t>2010. Mothers in Pain was also successful in establishing themselves as recognized corporation.</w:t>
      </w:r>
    </w:p>
    <w:p w14:paraId="14134594" w14:textId="280FA7D9"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Sound It Out, a music group, carried out the community entertainment project titled Building Bridges. The initiative inspired youngsters, their families, and neighbourhood residents to write original songs and lyrics that artistically reflected the region's variety and the ongoing rebirth of the area. Young people were trained and supported in the production of a movie about their community by a local organisation, known as Aspire and Succeed, in collaboration with a filmmaker. The purpose of this movie was to dispel inaccurate perceptions and pictures of </w:t>
      </w:r>
      <w:proofErr w:type="spellStart"/>
      <w:r w:rsidRPr="005B0351">
        <w:rPr>
          <w:rFonts w:ascii="Times New Roman" w:eastAsia="Times New Roman" w:hAnsi="Times New Roman" w:cs="Times New Roman"/>
          <w:color w:val="000000" w:themeColor="text1"/>
          <w:sz w:val="24"/>
          <w:szCs w:val="24"/>
        </w:rPr>
        <w:t>Lozells</w:t>
      </w:r>
      <w:proofErr w:type="spellEnd"/>
      <w:r w:rsidRPr="005B0351">
        <w:rPr>
          <w:rFonts w:ascii="Times New Roman" w:eastAsia="Times New Roman" w:hAnsi="Times New Roman" w:cs="Times New Roman"/>
          <w:color w:val="000000" w:themeColor="text1"/>
          <w:sz w:val="24"/>
          <w:szCs w:val="24"/>
        </w:rPr>
        <w:t xml:space="preserve">. This provided an opportunity for locals to showcase the true character of </w:t>
      </w:r>
      <w:proofErr w:type="spellStart"/>
      <w:r w:rsidRPr="005B0351">
        <w:rPr>
          <w:rFonts w:ascii="Times New Roman" w:eastAsia="Times New Roman" w:hAnsi="Times New Roman" w:cs="Times New Roman"/>
          <w:color w:val="000000" w:themeColor="text1"/>
          <w:sz w:val="24"/>
          <w:szCs w:val="24"/>
        </w:rPr>
        <w:t>Lozells</w:t>
      </w:r>
      <w:proofErr w:type="spellEnd"/>
      <w:r w:rsidRPr="005B0351">
        <w:rPr>
          <w:rFonts w:ascii="Times New Roman" w:eastAsia="Times New Roman" w:hAnsi="Times New Roman" w:cs="Times New Roman"/>
          <w:color w:val="000000" w:themeColor="text1"/>
          <w:sz w:val="24"/>
          <w:szCs w:val="24"/>
        </w:rPr>
        <w:t xml:space="preserve"> as well as to promote the neighbourhood.</w:t>
      </w:r>
    </w:p>
    <w:p w14:paraId="355C00AA" w14:textId="77777777" w:rsidR="002C06F1"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Scott collaborated with locals from six neighbourhoods to assist them use a variety of artistic reforms to communicate what will be like to survive there. This involved giving locals cameras to record the "everydayness" of their surroundings. These pictures were later included in the mobile home traveling exhibitions and information station. Within the Smethwick and Sandwell, these innovative interventions were incorporated into a significant master development and engagement process. Across the Handsworth in Birmingham, volunteer groups create the community publication and blog known as Hands on Handsworth.</w:t>
      </w:r>
    </w:p>
    <w:p w14:paraId="55962F5D" w14:textId="2592375A"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 This group was able to create two quarterly versions of the publication with the help of the local community reporting project, which also provided certain required support and instruction in writing, also photography. After the Beyond Bricks,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 xml:space="preserve"> was able to get further financing to carry on with the program and publish three more quarterly issues. To be able to continue this activity soon, the participants hope to establish the Hands-on Handsworth to be the community-led social enterprise. </w:t>
      </w:r>
    </w:p>
    <w:p w14:paraId="4FB8B78D" w14:textId="6B035C64"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Anna collaborated with the community to develop and manufacture a </w:t>
      </w:r>
      <w:proofErr w:type="spellStart"/>
      <w:r w:rsidRPr="005B0351">
        <w:rPr>
          <w:rFonts w:ascii="Times New Roman" w:eastAsia="Times New Roman" w:hAnsi="Times New Roman" w:cs="Times New Roman"/>
          <w:color w:val="000000" w:themeColor="text1"/>
          <w:sz w:val="24"/>
          <w:szCs w:val="24"/>
        </w:rPr>
        <w:t>Lozells</w:t>
      </w:r>
      <w:proofErr w:type="spellEnd"/>
      <w:r w:rsidRPr="005B0351">
        <w:rPr>
          <w:rFonts w:ascii="Times New Roman" w:eastAsia="Times New Roman" w:hAnsi="Times New Roman" w:cs="Times New Roman"/>
          <w:color w:val="000000" w:themeColor="text1"/>
          <w:sz w:val="24"/>
          <w:szCs w:val="24"/>
        </w:rPr>
        <w:t xml:space="preserve"> known as the bag for life to cut down on the number of plastic containers that local merchants in the neighbourhood use. Anna was able to encourage locals to sketch and convey what renders </w:t>
      </w:r>
      <w:proofErr w:type="spellStart"/>
      <w:r w:rsidRPr="005B0351">
        <w:rPr>
          <w:rFonts w:ascii="Times New Roman" w:eastAsia="Times New Roman" w:hAnsi="Times New Roman" w:cs="Times New Roman"/>
          <w:color w:val="000000" w:themeColor="text1"/>
          <w:sz w:val="24"/>
          <w:szCs w:val="24"/>
        </w:rPr>
        <w:t>Lozells</w:t>
      </w:r>
      <w:proofErr w:type="spellEnd"/>
      <w:r w:rsidRPr="005B0351">
        <w:rPr>
          <w:rFonts w:ascii="Times New Roman" w:eastAsia="Times New Roman" w:hAnsi="Times New Roman" w:cs="Times New Roman"/>
          <w:color w:val="000000" w:themeColor="text1"/>
          <w:sz w:val="24"/>
          <w:szCs w:val="24"/>
        </w:rPr>
        <w:t xml:space="preserve"> special and to develop new ideas for what may be incorporated in her designs for such bags by using inventive street initiatives.</w:t>
      </w:r>
    </w:p>
    <w:p w14:paraId="4DE99287" w14:textId="1F8FB1E8" w:rsidR="785C60EA" w:rsidRPr="0095792A" w:rsidRDefault="785C60EA" w:rsidP="0095792A">
      <w:pPr>
        <w:pStyle w:val="Heading2"/>
        <w:rPr>
          <w:rFonts w:ascii="Times New Roman" w:eastAsia="Times New Roman" w:hAnsi="Times New Roman" w:cs="Times New Roman"/>
          <w:b/>
          <w:bCs/>
          <w:color w:val="auto"/>
          <w:sz w:val="24"/>
          <w:szCs w:val="24"/>
        </w:rPr>
      </w:pPr>
      <w:bookmarkStart w:id="3" w:name="_Toc110233654"/>
      <w:r w:rsidRPr="0095792A">
        <w:rPr>
          <w:rFonts w:ascii="Times New Roman" w:eastAsia="Times New Roman" w:hAnsi="Times New Roman" w:cs="Times New Roman"/>
          <w:b/>
          <w:bCs/>
          <w:color w:val="auto"/>
          <w:sz w:val="24"/>
          <w:szCs w:val="24"/>
        </w:rPr>
        <w:t>Feelings</w:t>
      </w:r>
      <w:bookmarkEnd w:id="3"/>
    </w:p>
    <w:p w14:paraId="66311489" w14:textId="03617A73" w:rsidR="785C60EA" w:rsidRPr="005B0351" w:rsidRDefault="785C60EA"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The significance of community involvement as depicted in case of different projects of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 xml:space="preserve"> and Beyond Bricks has become crucial for establishing functioning operations with the surge in strengthening and increasing public engagement worldwide. Since it can result in more just, effective public policies and enhance the liveability of surrounding people, individual engagement is made attractive, </w:t>
      </w:r>
      <w:proofErr w:type="gramStart"/>
      <w:r w:rsidR="00F118FF" w:rsidRPr="005B0351">
        <w:rPr>
          <w:rFonts w:ascii="Times New Roman" w:eastAsia="Times New Roman" w:hAnsi="Times New Roman" w:cs="Times New Roman"/>
          <w:color w:val="000000" w:themeColor="text1"/>
          <w:sz w:val="24"/>
          <w:szCs w:val="24"/>
        </w:rPr>
        <w:t>necessary</w:t>
      </w:r>
      <w:proofErr w:type="gramEnd"/>
      <w:r w:rsidR="00F118FF">
        <w:rPr>
          <w:rFonts w:ascii="Times New Roman" w:eastAsia="Times New Roman" w:hAnsi="Times New Roman" w:cs="Times New Roman"/>
          <w:color w:val="000000" w:themeColor="text1"/>
          <w:sz w:val="24"/>
          <w:szCs w:val="24"/>
        </w:rPr>
        <w:t xml:space="preserve"> </w:t>
      </w:r>
      <w:r w:rsidRPr="005B0351">
        <w:rPr>
          <w:rFonts w:ascii="Times New Roman" w:eastAsia="Times New Roman" w:hAnsi="Times New Roman" w:cs="Times New Roman"/>
          <w:color w:val="000000" w:themeColor="text1"/>
          <w:sz w:val="24"/>
          <w:szCs w:val="24"/>
        </w:rPr>
        <w:t xml:space="preserve">and viable by positive interactions between the community members and the administrative bodies. Because of this, it's crucial for everyone including individuals, non-profits, and governments to participate in the society. According to the presentation of the projects, I feel that there was no clear engagement of the local communities when establishing key projects. I feel that much should be done to address the gap between the local communities and the key stakeholders. </w:t>
      </w:r>
    </w:p>
    <w:p w14:paraId="52D03510" w14:textId="70114F7B" w:rsidR="785C60EA" w:rsidRPr="0095792A" w:rsidRDefault="785C60EA" w:rsidP="0095792A">
      <w:pPr>
        <w:pStyle w:val="Heading2"/>
        <w:rPr>
          <w:rFonts w:ascii="Times New Roman" w:eastAsia="Times New Roman" w:hAnsi="Times New Roman" w:cs="Times New Roman"/>
          <w:b/>
          <w:bCs/>
          <w:color w:val="auto"/>
          <w:sz w:val="24"/>
          <w:szCs w:val="24"/>
        </w:rPr>
      </w:pPr>
      <w:bookmarkStart w:id="4" w:name="_Toc110233655"/>
      <w:r w:rsidRPr="0095792A">
        <w:rPr>
          <w:rFonts w:ascii="Times New Roman" w:eastAsia="Times New Roman" w:hAnsi="Times New Roman" w:cs="Times New Roman"/>
          <w:b/>
          <w:bCs/>
          <w:color w:val="auto"/>
          <w:sz w:val="24"/>
          <w:szCs w:val="24"/>
        </w:rPr>
        <w:t>Evaluation</w:t>
      </w:r>
      <w:bookmarkEnd w:id="4"/>
    </w:p>
    <w:p w14:paraId="75623702" w14:textId="77777777" w:rsidR="002C06F1"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The initiative's positive aspect is that Beyond Bricks, </w:t>
      </w:r>
      <w:proofErr w:type="spellStart"/>
      <w:r w:rsidRPr="005B0351">
        <w:rPr>
          <w:rFonts w:ascii="Times New Roman" w:eastAsia="Times New Roman" w:hAnsi="Times New Roman" w:cs="Times New Roman"/>
          <w:color w:val="000000" w:themeColor="text1"/>
          <w:sz w:val="24"/>
          <w:szCs w:val="24"/>
        </w:rPr>
        <w:t>Multistory</w:t>
      </w:r>
      <w:proofErr w:type="spellEnd"/>
      <w:r w:rsidRPr="005B0351">
        <w:rPr>
          <w:rFonts w:ascii="Times New Roman" w:eastAsia="Times New Roman" w:hAnsi="Times New Roman" w:cs="Times New Roman"/>
          <w:color w:val="000000" w:themeColor="text1"/>
          <w:sz w:val="24"/>
          <w:szCs w:val="24"/>
        </w:rPr>
        <w:t xml:space="preserve"> was able to secure more funds to support and teach Mothers in Pain so they could create a workshop toolbox and conduct an annual schedule of sessions in learning institutions. As a result, Mothers in Pain was also able to present themselves as a recognized corporation thanks. The funding played an important role in the success of the project. </w:t>
      </w:r>
      <w:proofErr w:type="spellStart"/>
      <w:r w:rsidRPr="005B0351">
        <w:rPr>
          <w:rFonts w:ascii="Times New Roman" w:eastAsia="Times New Roman" w:hAnsi="Times New Roman" w:cs="Times New Roman"/>
          <w:color w:val="000000" w:themeColor="text1"/>
          <w:sz w:val="24"/>
          <w:szCs w:val="24"/>
        </w:rPr>
        <w:t>Habas</w:t>
      </w:r>
      <w:proofErr w:type="spellEnd"/>
      <w:r w:rsidRPr="005B0351">
        <w:rPr>
          <w:rFonts w:ascii="Times New Roman" w:eastAsia="Times New Roman" w:hAnsi="Times New Roman" w:cs="Times New Roman"/>
          <w:color w:val="000000" w:themeColor="text1"/>
          <w:sz w:val="24"/>
          <w:szCs w:val="24"/>
        </w:rPr>
        <w:t xml:space="preserve"> (2020) states that by basing the funding on the existing assets and current cash flow of the ongoing projects, without the need for additional stakeholder obligations, project funding helps finance fresh investment. </w:t>
      </w:r>
    </w:p>
    <w:p w14:paraId="32B57C85" w14:textId="012FF380" w:rsidR="785C60EA"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Accordingly, the method can reduce potential investment risk and raise funds for a reasonable price, which is advantageous to both the stakeholder and the participant. Whenever Scott engaged with locals from six neighbourhoods to enable them to convey how it is good to stay in a range of innovative </w:t>
      </w:r>
      <w:r w:rsidR="002C06F1" w:rsidRPr="005B0351">
        <w:rPr>
          <w:rFonts w:ascii="Times New Roman" w:eastAsia="Times New Roman" w:hAnsi="Times New Roman" w:cs="Times New Roman"/>
          <w:color w:val="000000" w:themeColor="text1"/>
          <w:sz w:val="24"/>
          <w:szCs w:val="24"/>
        </w:rPr>
        <w:t>interventions that</w:t>
      </w:r>
      <w:r w:rsidRPr="005B0351">
        <w:rPr>
          <w:rFonts w:ascii="Times New Roman" w:eastAsia="Times New Roman" w:hAnsi="Times New Roman" w:cs="Times New Roman"/>
          <w:color w:val="000000" w:themeColor="text1"/>
          <w:sz w:val="24"/>
          <w:szCs w:val="24"/>
        </w:rPr>
        <w:t xml:space="preserve"> was another crucial feature that was seen. The locals were granted cameras to record the encounters of their neighbourhoods, which later became a component of the moveable exhibition as well as consultations booth that traversed the streets.</w:t>
      </w:r>
    </w:p>
    <w:p w14:paraId="5C4C6A05" w14:textId="3128C7B0" w:rsidR="785C60EA" w:rsidRPr="0095792A" w:rsidRDefault="76A7FFA4" w:rsidP="0095792A">
      <w:pPr>
        <w:pStyle w:val="Heading2"/>
        <w:rPr>
          <w:rFonts w:ascii="Times New Roman" w:eastAsia="Times New Roman" w:hAnsi="Times New Roman" w:cs="Times New Roman"/>
          <w:b/>
          <w:bCs/>
          <w:color w:val="auto"/>
          <w:sz w:val="24"/>
          <w:szCs w:val="24"/>
        </w:rPr>
      </w:pPr>
      <w:bookmarkStart w:id="5" w:name="_Toc110233656"/>
      <w:r w:rsidRPr="0095792A">
        <w:rPr>
          <w:rFonts w:ascii="Times New Roman" w:eastAsia="Times New Roman" w:hAnsi="Times New Roman" w:cs="Times New Roman"/>
          <w:b/>
          <w:bCs/>
          <w:color w:val="auto"/>
          <w:sz w:val="24"/>
          <w:szCs w:val="24"/>
        </w:rPr>
        <w:t>Analysis</w:t>
      </w:r>
      <w:bookmarkEnd w:id="5"/>
    </w:p>
    <w:p w14:paraId="671F11E0" w14:textId="690EA056" w:rsidR="76A7FFA4" w:rsidRPr="005B0351" w:rsidRDefault="76A7FFA4" w:rsidP="005B0351">
      <w:pPr>
        <w:spacing w:line="360" w:lineRule="auto"/>
        <w:jc w:val="both"/>
        <w:rPr>
          <w:rFonts w:ascii="Times New Roman" w:eastAsia="Times New Roman" w:hAnsi="Times New Roman" w:cs="Times New Roman"/>
          <w:sz w:val="24"/>
          <w:szCs w:val="24"/>
        </w:rPr>
      </w:pPr>
      <w:r w:rsidRPr="005B0351">
        <w:rPr>
          <w:rFonts w:ascii="Times New Roman" w:eastAsia="Times New Roman" w:hAnsi="Times New Roman" w:cs="Times New Roman"/>
          <w:color w:val="000000" w:themeColor="text1"/>
          <w:sz w:val="24"/>
          <w:szCs w:val="24"/>
        </w:rPr>
        <w:t>According to the key analysis, there are many factors that hindered the success of the engagement within the community. There were no proper strategies that was used for managing and engaging the stakeholders. There are several methods to use Twitter to benefit the project. Utilizing Twitter threads is one of the better strategies. According to the inventor, threads can be used to link pertinent subjects in an ongoing discussion. Interactive tweets called threads can be used to keep an audio audience interested. They are helpful for crafting narratives and formulating a recurrent observation about building brand (Berry and Sam, 2013). By gradually integrating tweets as needed, they can both draw in new audiences all the time and maintain their previously engaged audiences. One of the best strategies to keep audience attention in a company name is to use Twitter surveys (Berry and Sam, 2013).</w:t>
      </w:r>
    </w:p>
    <w:p w14:paraId="39C9251E" w14:textId="5CBC82EC" w:rsidR="76A7FFA4" w:rsidRPr="005B0351" w:rsidRDefault="76A7FFA4" w:rsidP="005B0351">
      <w:pPr>
        <w:spacing w:line="360" w:lineRule="auto"/>
        <w:jc w:val="both"/>
        <w:rPr>
          <w:rFonts w:ascii="Times New Roman" w:eastAsia="Times New Roman" w:hAnsi="Times New Roman" w:cs="Times New Roman"/>
          <w:sz w:val="24"/>
          <w:szCs w:val="24"/>
        </w:rPr>
      </w:pPr>
      <w:r w:rsidRPr="005B0351">
        <w:rPr>
          <w:rFonts w:ascii="Times New Roman" w:eastAsia="Times New Roman" w:hAnsi="Times New Roman" w:cs="Times New Roman"/>
          <w:color w:val="000000" w:themeColor="text1"/>
          <w:sz w:val="24"/>
          <w:szCs w:val="24"/>
        </w:rPr>
        <w:t>Offering the relevant education is essential in this sense since it provides a chance to learn about the culture of the people as well as the histories and customs of other groups, which promotes respect for and knowledge of various civilizations, ethnicities, and beliefs. Education provides the opportunity to teach students, particularly teens, values like respect and tolerance for diversity (Ahmed and Palermo, 2010). Those who are marginalized or excluded can engage in discussions and make judgments thanks to education. People can better understand how exclusionary laws and inclusive cultures have affected them and other people by looking back at changes and advances in the past. People's ideas, decisions, and judgments are ultimately impacted by this understanding, especially those in decision-making roles (Ahmed and Palermo, 2010).</w:t>
      </w:r>
    </w:p>
    <w:p w14:paraId="0E3BB431" w14:textId="6C4AC7F7" w:rsidR="785C60EA" w:rsidRPr="0095792A" w:rsidRDefault="76A7FFA4" w:rsidP="0095792A">
      <w:pPr>
        <w:pStyle w:val="Heading2"/>
        <w:rPr>
          <w:rFonts w:ascii="Times New Roman" w:eastAsia="Times New Roman" w:hAnsi="Times New Roman" w:cs="Times New Roman"/>
          <w:b/>
          <w:bCs/>
          <w:color w:val="auto"/>
          <w:sz w:val="24"/>
          <w:szCs w:val="24"/>
        </w:rPr>
      </w:pPr>
      <w:bookmarkStart w:id="6" w:name="_Toc110233657"/>
      <w:r w:rsidRPr="0095792A">
        <w:rPr>
          <w:rFonts w:ascii="Times New Roman" w:eastAsia="Times New Roman" w:hAnsi="Times New Roman" w:cs="Times New Roman"/>
          <w:b/>
          <w:bCs/>
          <w:color w:val="auto"/>
          <w:sz w:val="24"/>
          <w:szCs w:val="24"/>
        </w:rPr>
        <w:t>Conclusion</w:t>
      </w:r>
      <w:bookmarkEnd w:id="6"/>
    </w:p>
    <w:p w14:paraId="2C42152F" w14:textId="770F22B7" w:rsidR="76A7FFA4"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Because social media has fundamentally transformed how businesses operate, it may improve customer service and raise stakeholder satisfaction. It also gives firms a flexible, inexpensive, and quick-response tool for a successful advertising and communication plan. Social media makes it possible to instantly spread information. In comparison to traditional media, it also makes it easier for businesses to reach their target audience. Social media platforms are now a crucial component of marketing and promotion efforts for businesses because of these traits.</w:t>
      </w:r>
    </w:p>
    <w:p w14:paraId="2ABFFEAA" w14:textId="72EC0A4D" w:rsidR="785C60EA" w:rsidRPr="0095792A" w:rsidRDefault="76A7FFA4" w:rsidP="0095792A">
      <w:pPr>
        <w:pStyle w:val="Heading2"/>
        <w:rPr>
          <w:rFonts w:ascii="Times New Roman" w:eastAsia="Times New Roman" w:hAnsi="Times New Roman" w:cs="Times New Roman"/>
          <w:b/>
          <w:bCs/>
          <w:color w:val="auto"/>
          <w:sz w:val="24"/>
          <w:szCs w:val="24"/>
        </w:rPr>
      </w:pPr>
      <w:bookmarkStart w:id="7" w:name="_Toc110233658"/>
      <w:r w:rsidRPr="0095792A">
        <w:rPr>
          <w:rFonts w:ascii="Times New Roman" w:eastAsia="Times New Roman" w:hAnsi="Times New Roman" w:cs="Times New Roman"/>
          <w:b/>
          <w:bCs/>
          <w:color w:val="auto"/>
          <w:sz w:val="24"/>
          <w:szCs w:val="24"/>
        </w:rPr>
        <w:t>Action plan</w:t>
      </w:r>
      <w:bookmarkEnd w:id="7"/>
    </w:p>
    <w:p w14:paraId="11A55E9A" w14:textId="3DB6420D" w:rsidR="76A7FFA4"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Governance should be strong for a community to be fully informed and become participatory. If the leadership does not reflect the pe</w:t>
      </w:r>
      <w:r w:rsidR="002C06F1" w:rsidRPr="005B0351">
        <w:rPr>
          <w:rFonts w:ascii="Times New Roman" w:eastAsia="Times New Roman" w:hAnsi="Times New Roman" w:cs="Times New Roman"/>
          <w:color w:val="000000" w:themeColor="text1"/>
          <w:sz w:val="24"/>
          <w:szCs w:val="24"/>
        </w:rPr>
        <w:t>ople, there may eventually be the gap</w:t>
      </w:r>
      <w:r w:rsidRPr="005B0351">
        <w:rPr>
          <w:rFonts w:ascii="Times New Roman" w:eastAsia="Times New Roman" w:hAnsi="Times New Roman" w:cs="Times New Roman"/>
          <w:color w:val="000000" w:themeColor="text1"/>
          <w:sz w:val="24"/>
          <w:szCs w:val="24"/>
        </w:rPr>
        <w:t xml:space="preserve"> between the people and their authority. The most common approach for dealing with this significant issue on a local level is to enhance the free and quick dissemination of crucial information to individuals and other participants while also having open talks with community members about local issues like the budgets. The public could be urged to engage in the decision- and policy-making processes at all levels of government. Effective leadership will stop potential mistakes from happening in the future and greatly increase community engagement.</w:t>
      </w:r>
    </w:p>
    <w:p w14:paraId="7A9D9FCC" w14:textId="6792645B" w:rsidR="785C60EA" w:rsidRPr="0095792A" w:rsidRDefault="76A7FFA4" w:rsidP="0095792A">
      <w:pPr>
        <w:pStyle w:val="Heading1"/>
        <w:spacing w:before="0" w:line="240" w:lineRule="auto"/>
        <w:jc w:val="both"/>
        <w:rPr>
          <w:rFonts w:ascii="Times New Roman" w:eastAsia="Times New Roman" w:hAnsi="Times New Roman" w:cs="Times New Roman"/>
          <w:b/>
          <w:color w:val="auto"/>
          <w:sz w:val="24"/>
          <w:szCs w:val="24"/>
        </w:rPr>
      </w:pPr>
      <w:bookmarkStart w:id="8" w:name="_Toc110233659"/>
      <w:r w:rsidRPr="0095792A">
        <w:rPr>
          <w:rFonts w:ascii="Times New Roman" w:eastAsia="Times New Roman" w:hAnsi="Times New Roman" w:cs="Times New Roman"/>
          <w:b/>
          <w:color w:val="auto"/>
          <w:sz w:val="24"/>
          <w:szCs w:val="24"/>
        </w:rPr>
        <w:t>Conclusion</w:t>
      </w:r>
      <w:bookmarkEnd w:id="8"/>
    </w:p>
    <w:p w14:paraId="2EAE9ECE" w14:textId="2DAF8990" w:rsidR="76A7FFA4"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Several perspectives on community participation from a range of community organizations have been addressed in this reflective evaluation. In the context of the community engagement component, difficulties influencing the potential for collaboration with partners as well as effective methods for interacting with community members were assessed. This review looked at the most effective engagement tactics and significant stakeholder relationships, giving a thorough description of the potential applications of important social media platforms like Twitter as a support and commitment. The review also looked at suitable community participation, cooperation, inclusion, and inclusion techniques that were employed to promote sociocultural coherence and cultural variance.</w:t>
      </w:r>
    </w:p>
    <w:p w14:paraId="03F57571" w14:textId="38FDA638" w:rsidR="76A7FFA4" w:rsidRPr="005B0351" w:rsidRDefault="76A7FFA4" w:rsidP="005B0351">
      <w:pPr>
        <w:spacing w:line="360" w:lineRule="auto"/>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Social media provides a forum for discussion of issues of common interest. Organisations must create information in accordance with their strategy, core values, and general stakeholder needs. Business owners need to identify their target demographic </w:t>
      </w:r>
      <w:proofErr w:type="gramStart"/>
      <w:r w:rsidRPr="005B0351">
        <w:rPr>
          <w:rFonts w:ascii="Times New Roman" w:eastAsia="Times New Roman" w:hAnsi="Times New Roman" w:cs="Times New Roman"/>
          <w:color w:val="000000" w:themeColor="text1"/>
          <w:sz w:val="24"/>
          <w:szCs w:val="24"/>
        </w:rPr>
        <w:t>in order to</w:t>
      </w:r>
      <w:proofErr w:type="gramEnd"/>
      <w:r w:rsidRPr="005B0351">
        <w:rPr>
          <w:rFonts w:ascii="Times New Roman" w:eastAsia="Times New Roman" w:hAnsi="Times New Roman" w:cs="Times New Roman"/>
          <w:color w:val="000000" w:themeColor="text1"/>
          <w:sz w:val="24"/>
          <w:szCs w:val="24"/>
        </w:rPr>
        <w:t xml:space="preserve"> create the appropriate content for social media. If companies want to use social media effectively, they must have a thorough understanding of their main stakeholders. CEOs are always more concerned with their current and potential clients than people who choose to use social media marketing tools for sharing internal knowledge. Companies would be unable to create content for important stakeholders if they did not have a thorough understanding of their needs and preferences.</w:t>
      </w:r>
    </w:p>
    <w:p w14:paraId="27ED6347" w14:textId="3D2C23FA" w:rsidR="76A7FFA4" w:rsidRPr="005B0351" w:rsidRDefault="76A7FFA4" w:rsidP="005B0351">
      <w:pPr>
        <w:spacing w:line="360" w:lineRule="auto"/>
        <w:jc w:val="both"/>
        <w:rPr>
          <w:rFonts w:ascii="Times New Roman" w:hAnsi="Times New Roman" w:cs="Times New Roman"/>
        </w:rPr>
      </w:pPr>
      <w:r w:rsidRPr="005B0351">
        <w:rPr>
          <w:rFonts w:ascii="Times New Roman" w:hAnsi="Times New Roman" w:cs="Times New Roman"/>
        </w:rPr>
        <w:br w:type="page"/>
      </w:r>
    </w:p>
    <w:p w14:paraId="1565BC66" w14:textId="1A7C9A73" w:rsidR="005B0351" w:rsidRPr="0095792A" w:rsidRDefault="76A7FFA4" w:rsidP="0095792A">
      <w:pPr>
        <w:pStyle w:val="Heading1"/>
        <w:spacing w:before="0" w:line="240" w:lineRule="auto"/>
        <w:jc w:val="both"/>
        <w:rPr>
          <w:rFonts w:ascii="Times New Roman" w:eastAsia="Times New Roman" w:hAnsi="Times New Roman" w:cs="Times New Roman"/>
          <w:b/>
          <w:color w:val="auto"/>
          <w:sz w:val="24"/>
          <w:szCs w:val="24"/>
        </w:rPr>
      </w:pPr>
      <w:bookmarkStart w:id="9" w:name="_Toc110233660"/>
      <w:r w:rsidRPr="0095792A">
        <w:rPr>
          <w:rFonts w:ascii="Times New Roman" w:eastAsia="Times New Roman" w:hAnsi="Times New Roman" w:cs="Times New Roman"/>
          <w:b/>
          <w:color w:val="auto"/>
          <w:sz w:val="24"/>
          <w:szCs w:val="24"/>
        </w:rPr>
        <w:t>References</w:t>
      </w:r>
      <w:bookmarkEnd w:id="9"/>
    </w:p>
    <w:p w14:paraId="7AF95E68"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lang w:val="en-US"/>
        </w:rPr>
      </w:pPr>
      <w:r w:rsidRPr="005B0351">
        <w:rPr>
          <w:rFonts w:ascii="Times New Roman" w:eastAsia="Times New Roman" w:hAnsi="Times New Roman" w:cs="Times New Roman"/>
          <w:color w:val="000000" w:themeColor="text1"/>
          <w:sz w:val="24"/>
          <w:szCs w:val="24"/>
        </w:rPr>
        <w:t>‌Ahmed, S. M., &amp; Palermo, A. G. S. (2010). Community engagement in research: frameworks for education and peer review. American journal of public health, 100(8), 1380-1387.</w:t>
      </w:r>
    </w:p>
    <w:p w14:paraId="4BA7B551"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Berry, J.W. and Sam, D.L. (2013). Accommodating Cultural Diversity and Achieving Equity. European Psychologist, 18(3), pp.151–157. doi:10.1027/1016-9040/a000167.</w:t>
      </w:r>
    </w:p>
    <w:p w14:paraId="7BE3AFE0"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‌Brown, N. (2021). Reflective Model According to Gibbs. [online] Dr Nicole Brown. Available at: </w:t>
      </w:r>
      <w:hyperlink r:id="rId7">
        <w:r w:rsidRPr="005B0351">
          <w:rPr>
            <w:rStyle w:val="Hyperlink"/>
            <w:rFonts w:ascii="Times New Roman" w:eastAsia="Times New Roman" w:hAnsi="Times New Roman" w:cs="Times New Roman"/>
            <w:sz w:val="24"/>
            <w:szCs w:val="24"/>
          </w:rPr>
          <w:t>https://www.nicole-brown.co.uk/reflective-model-according-to-gibbs/</w:t>
        </w:r>
      </w:hyperlink>
      <w:r w:rsidRPr="005B0351">
        <w:rPr>
          <w:rFonts w:ascii="Times New Roman" w:eastAsia="Times New Roman" w:hAnsi="Times New Roman" w:cs="Times New Roman"/>
          <w:color w:val="000000" w:themeColor="text1"/>
          <w:sz w:val="24"/>
          <w:szCs w:val="24"/>
        </w:rPr>
        <w:t>.</w:t>
      </w:r>
    </w:p>
    <w:p w14:paraId="68DF2134"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w:t>
      </w:r>
      <w:proofErr w:type="spellStart"/>
      <w:r w:rsidRPr="005B0351">
        <w:rPr>
          <w:rFonts w:ascii="Times New Roman" w:eastAsia="Times New Roman" w:hAnsi="Times New Roman" w:cs="Times New Roman"/>
          <w:color w:val="000000" w:themeColor="text1"/>
          <w:sz w:val="24"/>
          <w:szCs w:val="24"/>
        </w:rPr>
        <w:t>Habas</w:t>
      </w:r>
      <w:proofErr w:type="spellEnd"/>
      <w:r w:rsidRPr="005B0351">
        <w:rPr>
          <w:rFonts w:ascii="Times New Roman" w:eastAsia="Times New Roman" w:hAnsi="Times New Roman" w:cs="Times New Roman"/>
          <w:color w:val="000000" w:themeColor="text1"/>
          <w:sz w:val="24"/>
          <w:szCs w:val="24"/>
        </w:rPr>
        <w:t xml:space="preserve">, C. (2020). The Importance of Funding for Business. [online] smallbusiness.chron.com. Available at: </w:t>
      </w:r>
      <w:hyperlink r:id="rId8">
        <w:r w:rsidRPr="005B0351">
          <w:rPr>
            <w:rStyle w:val="Hyperlink"/>
            <w:rFonts w:ascii="Times New Roman" w:eastAsia="Times New Roman" w:hAnsi="Times New Roman" w:cs="Times New Roman"/>
            <w:sz w:val="24"/>
            <w:szCs w:val="24"/>
          </w:rPr>
          <w:t>https://smallbusiness.chron.com/importance-funding-business-59.html</w:t>
        </w:r>
      </w:hyperlink>
      <w:r w:rsidRPr="005B0351">
        <w:rPr>
          <w:rFonts w:ascii="Times New Roman" w:eastAsia="Times New Roman" w:hAnsi="Times New Roman" w:cs="Times New Roman"/>
          <w:color w:val="000000" w:themeColor="text1"/>
          <w:sz w:val="24"/>
          <w:szCs w:val="24"/>
        </w:rPr>
        <w:t>.</w:t>
      </w:r>
    </w:p>
    <w:p w14:paraId="5309B968"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Holzer, J.K., Ellis, </w:t>
      </w:r>
      <w:proofErr w:type="gramStart"/>
      <w:r w:rsidRPr="005B0351">
        <w:rPr>
          <w:rFonts w:ascii="Times New Roman" w:eastAsia="Times New Roman" w:hAnsi="Times New Roman" w:cs="Times New Roman"/>
          <w:color w:val="000000" w:themeColor="text1"/>
          <w:sz w:val="24"/>
          <w:szCs w:val="24"/>
        </w:rPr>
        <w:t>L.</w:t>
      </w:r>
      <w:proofErr w:type="gramEnd"/>
      <w:r w:rsidRPr="005B0351">
        <w:rPr>
          <w:rFonts w:ascii="Times New Roman" w:eastAsia="Times New Roman" w:hAnsi="Times New Roman" w:cs="Times New Roman"/>
          <w:color w:val="000000" w:themeColor="text1"/>
          <w:sz w:val="24"/>
          <w:szCs w:val="24"/>
        </w:rPr>
        <w:t xml:space="preserve"> and Merritt, M.W. (2014). Why We Need Community Engagement in Medical Research. Journal of investigative medicine: the official publication of the American Federation for Clinical Research, [online] 62(6), pp.851–855. doi:10.1097/JIM.0000000000000097.</w:t>
      </w:r>
    </w:p>
    <w:p w14:paraId="371AABBD"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 xml:space="preserve">Mughal, F. (2017). Exploring the Importance of Community Projects. [online] </w:t>
      </w:r>
      <w:proofErr w:type="spellStart"/>
      <w:r w:rsidRPr="005B0351">
        <w:rPr>
          <w:rFonts w:ascii="Times New Roman" w:eastAsia="Times New Roman" w:hAnsi="Times New Roman" w:cs="Times New Roman"/>
          <w:color w:val="000000" w:themeColor="text1"/>
          <w:sz w:val="24"/>
          <w:szCs w:val="24"/>
        </w:rPr>
        <w:t>Fiyaz</w:t>
      </w:r>
      <w:proofErr w:type="spellEnd"/>
      <w:r w:rsidRPr="005B0351">
        <w:rPr>
          <w:rFonts w:ascii="Times New Roman" w:eastAsia="Times New Roman" w:hAnsi="Times New Roman" w:cs="Times New Roman"/>
          <w:color w:val="000000" w:themeColor="text1"/>
          <w:sz w:val="24"/>
          <w:szCs w:val="24"/>
        </w:rPr>
        <w:t xml:space="preserve"> Mughal. Available at: </w:t>
      </w:r>
      <w:hyperlink r:id="rId9" w:anchor=":~:text=Community%20projects%20around%20the%20world">
        <w:r w:rsidRPr="005B0351">
          <w:rPr>
            <w:rStyle w:val="Hyperlink"/>
            <w:rFonts w:ascii="Times New Roman" w:eastAsia="Times New Roman" w:hAnsi="Times New Roman" w:cs="Times New Roman"/>
            <w:sz w:val="24"/>
            <w:szCs w:val="24"/>
          </w:rPr>
          <w:t>https://www.fiyazmughal.org/importance-community-projects/#:~:text=Community%20projects%20around%20the%20world</w:t>
        </w:r>
      </w:hyperlink>
      <w:r w:rsidRPr="005B0351">
        <w:rPr>
          <w:rFonts w:ascii="Times New Roman" w:eastAsia="Times New Roman" w:hAnsi="Times New Roman" w:cs="Times New Roman"/>
          <w:color w:val="000000" w:themeColor="text1"/>
          <w:sz w:val="24"/>
          <w:szCs w:val="24"/>
        </w:rPr>
        <w:t>.</w:t>
      </w:r>
    </w:p>
    <w:p w14:paraId="153B4D27" w14:textId="77777777" w:rsidR="005B0351" w:rsidRPr="005B0351" w:rsidRDefault="005B0351" w:rsidP="005B0351">
      <w:pPr>
        <w:spacing w:line="360" w:lineRule="auto"/>
        <w:ind w:left="720" w:hanging="720"/>
        <w:jc w:val="both"/>
        <w:rPr>
          <w:rFonts w:ascii="Times New Roman" w:eastAsia="Times New Roman" w:hAnsi="Times New Roman" w:cs="Times New Roman"/>
          <w:color w:val="000000" w:themeColor="text1"/>
          <w:sz w:val="24"/>
          <w:szCs w:val="24"/>
        </w:rPr>
      </w:pPr>
      <w:r w:rsidRPr="005B0351">
        <w:rPr>
          <w:rFonts w:ascii="Times New Roman" w:eastAsia="Times New Roman" w:hAnsi="Times New Roman" w:cs="Times New Roman"/>
          <w:color w:val="000000" w:themeColor="text1"/>
          <w:sz w:val="24"/>
          <w:szCs w:val="24"/>
        </w:rPr>
        <w:t>Watson, S. and Waterton, E. (2010). Heritage and community engagement. International Journal of Heritage Studies, 16(1-2), pp.1–3. doi:10.1080/13527250903441655.</w:t>
      </w:r>
    </w:p>
    <w:sectPr w:rsidR="005B0351" w:rsidRPr="005B0351" w:rsidSect="00423FF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72C8A" w14:textId="77777777" w:rsidR="006514B1" w:rsidRDefault="006514B1" w:rsidP="00423FF1">
      <w:pPr>
        <w:spacing w:after="0" w:line="240" w:lineRule="auto"/>
      </w:pPr>
      <w:r>
        <w:separator/>
      </w:r>
    </w:p>
  </w:endnote>
  <w:endnote w:type="continuationSeparator" w:id="0">
    <w:p w14:paraId="317037A2" w14:textId="77777777" w:rsidR="006514B1" w:rsidRDefault="006514B1" w:rsidP="00423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700048"/>
      <w:docPartObj>
        <w:docPartGallery w:val="Page Numbers (Bottom of Page)"/>
        <w:docPartUnique/>
      </w:docPartObj>
    </w:sdtPr>
    <w:sdtEndPr>
      <w:rPr>
        <w:color w:val="7F7F7F" w:themeColor="background1" w:themeShade="7F"/>
        <w:spacing w:val="60"/>
      </w:rPr>
    </w:sdtEndPr>
    <w:sdtContent>
      <w:p w14:paraId="7020E01B" w14:textId="64792064" w:rsidR="00423FF1" w:rsidRDefault="00423FF1">
        <w:pPr>
          <w:pStyle w:val="Footer"/>
          <w:pBdr>
            <w:top w:val="single" w:sz="4" w:space="1" w:color="D9D9D9" w:themeColor="background1" w:themeShade="D9"/>
          </w:pBdr>
          <w:rPr>
            <w:b/>
            <w:bCs/>
          </w:rPr>
        </w:pPr>
        <w:r w:rsidRPr="0095792A">
          <w:rPr>
            <w:rFonts w:ascii="Times New Roman" w:hAnsi="Times New Roman" w:cs="Times New Roman"/>
            <w:sz w:val="24"/>
            <w:szCs w:val="24"/>
          </w:rPr>
          <w:fldChar w:fldCharType="begin"/>
        </w:r>
        <w:r w:rsidRPr="0095792A">
          <w:rPr>
            <w:rFonts w:ascii="Times New Roman" w:hAnsi="Times New Roman" w:cs="Times New Roman"/>
            <w:sz w:val="24"/>
            <w:szCs w:val="24"/>
          </w:rPr>
          <w:instrText xml:space="preserve"> PAGE   \* MERGEFORMAT </w:instrText>
        </w:r>
        <w:r w:rsidRPr="0095792A">
          <w:rPr>
            <w:rFonts w:ascii="Times New Roman" w:hAnsi="Times New Roman" w:cs="Times New Roman"/>
            <w:sz w:val="24"/>
            <w:szCs w:val="24"/>
          </w:rPr>
          <w:fldChar w:fldCharType="separate"/>
        </w:r>
        <w:r w:rsidRPr="0095792A">
          <w:rPr>
            <w:rFonts w:ascii="Times New Roman" w:hAnsi="Times New Roman" w:cs="Times New Roman"/>
            <w:b/>
            <w:bCs/>
            <w:noProof/>
            <w:sz w:val="24"/>
            <w:szCs w:val="24"/>
          </w:rPr>
          <w:t>2</w:t>
        </w:r>
        <w:r w:rsidRPr="0095792A">
          <w:rPr>
            <w:rFonts w:ascii="Times New Roman" w:hAnsi="Times New Roman" w:cs="Times New Roman"/>
            <w:b/>
            <w:bCs/>
            <w:noProof/>
            <w:sz w:val="24"/>
            <w:szCs w:val="24"/>
          </w:rPr>
          <w:fldChar w:fldCharType="end"/>
        </w:r>
        <w:r w:rsidRPr="0095792A">
          <w:rPr>
            <w:rFonts w:ascii="Times New Roman" w:hAnsi="Times New Roman" w:cs="Times New Roman"/>
            <w:b/>
            <w:bCs/>
            <w:sz w:val="24"/>
            <w:szCs w:val="24"/>
          </w:rPr>
          <w:t xml:space="preserve"> | </w:t>
        </w:r>
        <w:r w:rsidRPr="0095792A">
          <w:rPr>
            <w:rFonts w:ascii="Times New Roman" w:hAnsi="Times New Roman" w:cs="Times New Roman"/>
            <w:color w:val="7F7F7F" w:themeColor="background1" w:themeShade="7F"/>
            <w:spacing w:val="60"/>
            <w:sz w:val="24"/>
            <w:szCs w:val="24"/>
          </w:rPr>
          <w:t>Page</w:t>
        </w:r>
      </w:p>
    </w:sdtContent>
  </w:sdt>
  <w:p w14:paraId="0FB13190" w14:textId="77777777" w:rsidR="00423FF1" w:rsidRDefault="00423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71BCB" w14:textId="77777777" w:rsidR="006514B1" w:rsidRDefault="006514B1" w:rsidP="00423FF1">
      <w:pPr>
        <w:spacing w:after="0" w:line="240" w:lineRule="auto"/>
      </w:pPr>
      <w:r>
        <w:separator/>
      </w:r>
    </w:p>
  </w:footnote>
  <w:footnote w:type="continuationSeparator" w:id="0">
    <w:p w14:paraId="6E0D12B1" w14:textId="77777777" w:rsidR="006514B1" w:rsidRDefault="006514B1" w:rsidP="00423FF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Hl5+04zjeOBSp" int2:id="7h71Q3wd">
      <int2:state int2:value="Rejected" int2:type="LegacyProofing"/>
    </int2:textHash>
    <int2:textHash int2:hashCode="4ixMBb98/9/C4V" int2:id="6zeLUti1">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7CE985"/>
    <w:rsid w:val="002C06F1"/>
    <w:rsid w:val="00423FF1"/>
    <w:rsid w:val="005B0351"/>
    <w:rsid w:val="006514B1"/>
    <w:rsid w:val="006B24C8"/>
    <w:rsid w:val="00843449"/>
    <w:rsid w:val="0095792A"/>
    <w:rsid w:val="00986005"/>
    <w:rsid w:val="00B71044"/>
    <w:rsid w:val="00BF6FDF"/>
    <w:rsid w:val="00E27C0C"/>
    <w:rsid w:val="00F118FF"/>
    <w:rsid w:val="00FC1FA0"/>
    <w:rsid w:val="2F7CE985"/>
    <w:rsid w:val="76A7FFA4"/>
    <w:rsid w:val="785C6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CE985"/>
  <w15:chartTrackingRefBased/>
  <w15:docId w15:val="{CA28A3E0-6142-46C3-BE53-9DFA44137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85C60EA"/>
    <w:rPr>
      <w:lang w:val="en-GB"/>
    </w:rPr>
  </w:style>
  <w:style w:type="paragraph" w:styleId="Heading1">
    <w:name w:val="heading 1"/>
    <w:basedOn w:val="Normal"/>
    <w:next w:val="Normal"/>
    <w:link w:val="Heading1Char"/>
    <w:uiPriority w:val="9"/>
    <w:qFormat/>
    <w:rsid w:val="785C60E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5C60E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5C60E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85C60E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85C60E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85C60E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85C60E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85C60E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85C60E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85C60E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85C60EA"/>
    <w:rPr>
      <w:rFonts w:eastAsiaTheme="minorEastAsia"/>
      <w:color w:val="5A5A5A"/>
    </w:rPr>
  </w:style>
  <w:style w:type="paragraph" w:styleId="Quote">
    <w:name w:val="Quote"/>
    <w:basedOn w:val="Normal"/>
    <w:next w:val="Normal"/>
    <w:link w:val="QuoteChar"/>
    <w:uiPriority w:val="29"/>
    <w:qFormat/>
    <w:rsid w:val="785C60E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5C60EA"/>
    <w:pPr>
      <w:spacing w:before="360" w:after="360"/>
      <w:ind w:left="864" w:right="864"/>
      <w:jc w:val="center"/>
    </w:pPr>
    <w:rPr>
      <w:i/>
      <w:iCs/>
      <w:color w:val="4472C4" w:themeColor="accent1"/>
    </w:rPr>
  </w:style>
  <w:style w:type="paragraph" w:styleId="ListParagraph">
    <w:name w:val="List Paragraph"/>
    <w:basedOn w:val="Normal"/>
    <w:uiPriority w:val="34"/>
    <w:qFormat/>
    <w:rsid w:val="785C60EA"/>
    <w:pPr>
      <w:ind w:left="720"/>
      <w:contextualSpacing/>
    </w:pPr>
  </w:style>
  <w:style w:type="character" w:customStyle="1" w:styleId="Heading1Char">
    <w:name w:val="Heading 1 Char"/>
    <w:basedOn w:val="DefaultParagraphFont"/>
    <w:link w:val="Heading1"/>
    <w:uiPriority w:val="9"/>
    <w:rsid w:val="785C60E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85C60E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85C60E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85C60E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85C60E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85C60E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85C60E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85C60E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85C60E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85C60E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85C60E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85C60E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85C60EA"/>
    <w:rPr>
      <w:i/>
      <w:iCs/>
      <w:noProof w:val="0"/>
      <w:color w:val="4472C4" w:themeColor="accent1"/>
      <w:lang w:val="en-GB"/>
    </w:rPr>
  </w:style>
  <w:style w:type="paragraph" w:styleId="TOC1">
    <w:name w:val="toc 1"/>
    <w:basedOn w:val="Normal"/>
    <w:next w:val="Normal"/>
    <w:uiPriority w:val="39"/>
    <w:unhideWhenUsed/>
    <w:rsid w:val="785C60EA"/>
    <w:pPr>
      <w:spacing w:after="100"/>
    </w:pPr>
  </w:style>
  <w:style w:type="paragraph" w:styleId="TOC2">
    <w:name w:val="toc 2"/>
    <w:basedOn w:val="Normal"/>
    <w:next w:val="Normal"/>
    <w:uiPriority w:val="39"/>
    <w:unhideWhenUsed/>
    <w:rsid w:val="785C60EA"/>
    <w:pPr>
      <w:spacing w:after="100"/>
      <w:ind w:left="220"/>
    </w:pPr>
  </w:style>
  <w:style w:type="paragraph" w:styleId="TOC3">
    <w:name w:val="toc 3"/>
    <w:basedOn w:val="Normal"/>
    <w:next w:val="Normal"/>
    <w:uiPriority w:val="39"/>
    <w:unhideWhenUsed/>
    <w:rsid w:val="785C60EA"/>
    <w:pPr>
      <w:spacing w:after="100"/>
      <w:ind w:left="440"/>
    </w:pPr>
  </w:style>
  <w:style w:type="paragraph" w:styleId="TOC4">
    <w:name w:val="toc 4"/>
    <w:basedOn w:val="Normal"/>
    <w:next w:val="Normal"/>
    <w:uiPriority w:val="39"/>
    <w:unhideWhenUsed/>
    <w:rsid w:val="785C60EA"/>
    <w:pPr>
      <w:spacing w:after="100"/>
      <w:ind w:left="660"/>
    </w:pPr>
  </w:style>
  <w:style w:type="paragraph" w:styleId="TOC5">
    <w:name w:val="toc 5"/>
    <w:basedOn w:val="Normal"/>
    <w:next w:val="Normal"/>
    <w:uiPriority w:val="39"/>
    <w:unhideWhenUsed/>
    <w:rsid w:val="785C60EA"/>
    <w:pPr>
      <w:spacing w:after="100"/>
      <w:ind w:left="880"/>
    </w:pPr>
  </w:style>
  <w:style w:type="paragraph" w:styleId="TOC6">
    <w:name w:val="toc 6"/>
    <w:basedOn w:val="Normal"/>
    <w:next w:val="Normal"/>
    <w:uiPriority w:val="39"/>
    <w:unhideWhenUsed/>
    <w:rsid w:val="785C60EA"/>
    <w:pPr>
      <w:spacing w:after="100"/>
      <w:ind w:left="1100"/>
    </w:pPr>
  </w:style>
  <w:style w:type="paragraph" w:styleId="TOC7">
    <w:name w:val="toc 7"/>
    <w:basedOn w:val="Normal"/>
    <w:next w:val="Normal"/>
    <w:uiPriority w:val="39"/>
    <w:unhideWhenUsed/>
    <w:rsid w:val="785C60EA"/>
    <w:pPr>
      <w:spacing w:after="100"/>
      <w:ind w:left="1320"/>
    </w:pPr>
  </w:style>
  <w:style w:type="paragraph" w:styleId="TOC8">
    <w:name w:val="toc 8"/>
    <w:basedOn w:val="Normal"/>
    <w:next w:val="Normal"/>
    <w:uiPriority w:val="39"/>
    <w:unhideWhenUsed/>
    <w:rsid w:val="785C60EA"/>
    <w:pPr>
      <w:spacing w:after="100"/>
      <w:ind w:left="1540"/>
    </w:pPr>
  </w:style>
  <w:style w:type="paragraph" w:styleId="TOC9">
    <w:name w:val="toc 9"/>
    <w:basedOn w:val="Normal"/>
    <w:next w:val="Normal"/>
    <w:uiPriority w:val="39"/>
    <w:unhideWhenUsed/>
    <w:rsid w:val="785C60EA"/>
    <w:pPr>
      <w:spacing w:after="100"/>
      <w:ind w:left="1760"/>
    </w:pPr>
  </w:style>
  <w:style w:type="paragraph" w:styleId="EndnoteText">
    <w:name w:val="endnote text"/>
    <w:basedOn w:val="Normal"/>
    <w:link w:val="EndnoteTextChar"/>
    <w:uiPriority w:val="99"/>
    <w:semiHidden/>
    <w:unhideWhenUsed/>
    <w:rsid w:val="785C60EA"/>
    <w:pPr>
      <w:spacing w:after="0"/>
    </w:pPr>
    <w:rPr>
      <w:sz w:val="20"/>
      <w:szCs w:val="20"/>
    </w:rPr>
  </w:style>
  <w:style w:type="character" w:customStyle="1" w:styleId="EndnoteTextChar">
    <w:name w:val="Endnote Text Char"/>
    <w:basedOn w:val="DefaultParagraphFont"/>
    <w:link w:val="EndnoteText"/>
    <w:uiPriority w:val="99"/>
    <w:semiHidden/>
    <w:rsid w:val="785C60EA"/>
    <w:rPr>
      <w:noProof w:val="0"/>
      <w:sz w:val="20"/>
      <w:szCs w:val="20"/>
      <w:lang w:val="en-GB"/>
    </w:rPr>
  </w:style>
  <w:style w:type="paragraph" w:styleId="Footer">
    <w:name w:val="footer"/>
    <w:basedOn w:val="Normal"/>
    <w:link w:val="FooterChar"/>
    <w:uiPriority w:val="99"/>
    <w:unhideWhenUsed/>
    <w:rsid w:val="785C60EA"/>
    <w:pPr>
      <w:tabs>
        <w:tab w:val="center" w:pos="4680"/>
        <w:tab w:val="right" w:pos="9360"/>
      </w:tabs>
      <w:spacing w:after="0"/>
    </w:pPr>
  </w:style>
  <w:style w:type="character" w:customStyle="1" w:styleId="FooterChar">
    <w:name w:val="Footer Char"/>
    <w:basedOn w:val="DefaultParagraphFont"/>
    <w:link w:val="Footer"/>
    <w:uiPriority w:val="99"/>
    <w:rsid w:val="785C60EA"/>
    <w:rPr>
      <w:noProof w:val="0"/>
      <w:lang w:val="en-GB"/>
    </w:rPr>
  </w:style>
  <w:style w:type="paragraph" w:styleId="FootnoteText">
    <w:name w:val="footnote text"/>
    <w:basedOn w:val="Normal"/>
    <w:link w:val="FootnoteTextChar"/>
    <w:uiPriority w:val="99"/>
    <w:semiHidden/>
    <w:unhideWhenUsed/>
    <w:rsid w:val="785C60EA"/>
    <w:pPr>
      <w:spacing w:after="0"/>
    </w:pPr>
    <w:rPr>
      <w:sz w:val="20"/>
      <w:szCs w:val="20"/>
    </w:rPr>
  </w:style>
  <w:style w:type="character" w:customStyle="1" w:styleId="FootnoteTextChar">
    <w:name w:val="Footnote Text Char"/>
    <w:basedOn w:val="DefaultParagraphFont"/>
    <w:link w:val="FootnoteText"/>
    <w:uiPriority w:val="99"/>
    <w:semiHidden/>
    <w:rsid w:val="785C60EA"/>
    <w:rPr>
      <w:noProof w:val="0"/>
      <w:sz w:val="20"/>
      <w:szCs w:val="20"/>
      <w:lang w:val="en-GB"/>
    </w:rPr>
  </w:style>
  <w:style w:type="paragraph" w:styleId="Header">
    <w:name w:val="header"/>
    <w:basedOn w:val="Normal"/>
    <w:link w:val="HeaderChar"/>
    <w:uiPriority w:val="99"/>
    <w:unhideWhenUsed/>
    <w:rsid w:val="785C60EA"/>
    <w:pPr>
      <w:tabs>
        <w:tab w:val="center" w:pos="4680"/>
        <w:tab w:val="right" w:pos="9360"/>
      </w:tabs>
      <w:spacing w:after="0"/>
    </w:pPr>
  </w:style>
  <w:style w:type="character" w:customStyle="1" w:styleId="HeaderChar">
    <w:name w:val="Header Char"/>
    <w:basedOn w:val="DefaultParagraphFont"/>
    <w:link w:val="Header"/>
    <w:uiPriority w:val="99"/>
    <w:rsid w:val="785C60EA"/>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423FF1"/>
    <w:pPr>
      <w:keepLines/>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917570">
      <w:bodyDiv w:val="1"/>
      <w:marLeft w:val="0"/>
      <w:marRight w:val="0"/>
      <w:marTop w:val="0"/>
      <w:marBottom w:val="0"/>
      <w:divBdr>
        <w:top w:val="none" w:sz="0" w:space="0" w:color="auto"/>
        <w:left w:val="none" w:sz="0" w:space="0" w:color="auto"/>
        <w:bottom w:val="none" w:sz="0" w:space="0" w:color="auto"/>
        <w:right w:val="none" w:sz="0" w:space="0" w:color="auto"/>
      </w:divBdr>
    </w:div>
    <w:div w:id="1218276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importance-funding-business-59.html"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nicole-brown.co.uk/reflective-model-according-to-gibb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iyazmughal.org/importance-community-proj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2FC20-B904-48B4-BCD8-8742831A6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2457</Words>
  <Characters>14006</Characters>
  <DocSecurity>0</DocSecurity>
  <Lines>116</Lines>
  <Paragraphs>32</Paragraphs>
  <ScaleCrop>false</ScaleCrop>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2022-09-02T21:13:00Z</dcterms:created>
  <dcterms:modified xsi:type="dcterms:W3CDTF">2022-09-02T21:13:00Z</dcterms:modified>
</cp:coreProperties>
</file>