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402D5" w14:textId="5EA68AD1" w:rsidR="00883A10" w:rsidRDefault="00883A10"/>
    <w:tbl>
      <w:tblPr>
        <w:tblpPr w:leftFromText="180" w:rightFromText="180" w:horzAnchor="margin" w:tblpY="1500"/>
        <w:tblW w:w="9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2"/>
        <w:gridCol w:w="3673"/>
        <w:gridCol w:w="2283"/>
        <w:gridCol w:w="2098"/>
      </w:tblGrid>
      <w:tr w:rsidR="00883A10" w14:paraId="105589CD" w14:textId="77777777" w:rsidTr="00CD6B8B">
        <w:trPr>
          <w:trHeight w:val="494"/>
        </w:trPr>
        <w:tc>
          <w:tcPr>
            <w:tcW w:w="1872" w:type="dxa"/>
            <w:shd w:val="clear" w:color="auto" w:fill="D9D9D9"/>
          </w:tcPr>
          <w:p w14:paraId="5B8D6C69" w14:textId="77777777" w:rsidR="00883A10" w:rsidRDefault="00883A10" w:rsidP="00CD6B8B">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3673" w:type="dxa"/>
          </w:tcPr>
          <w:p w14:paraId="5B84D97A" w14:textId="08C16279" w:rsidR="00883A10" w:rsidRPr="00871D45" w:rsidRDefault="00871D45" w:rsidP="00871D45">
            <w:pPr>
              <w:pStyle w:val="TableParagraph"/>
              <w:jc w:val="center"/>
              <w:rPr>
                <w:rFonts w:ascii="Times New Roman"/>
                <w:b/>
                <w:bCs/>
                <w:sz w:val="27"/>
                <w:szCs w:val="27"/>
              </w:rPr>
            </w:pPr>
            <w:r w:rsidRPr="00871D45">
              <w:rPr>
                <w:rFonts w:ascii="Times New Roman"/>
                <w:b/>
                <w:bCs/>
                <w:sz w:val="27"/>
                <w:szCs w:val="27"/>
              </w:rPr>
              <w:t xml:space="preserve">Rajesh </w:t>
            </w:r>
            <w:proofErr w:type="spellStart"/>
            <w:r w:rsidRPr="00871D45">
              <w:rPr>
                <w:rFonts w:ascii="Times New Roman"/>
                <w:b/>
                <w:bCs/>
                <w:sz w:val="27"/>
                <w:szCs w:val="27"/>
              </w:rPr>
              <w:t>Rameshbhai</w:t>
            </w:r>
            <w:proofErr w:type="spellEnd"/>
            <w:r w:rsidRPr="00871D45">
              <w:rPr>
                <w:rFonts w:ascii="Times New Roman"/>
                <w:b/>
                <w:bCs/>
                <w:sz w:val="27"/>
                <w:szCs w:val="27"/>
              </w:rPr>
              <w:t xml:space="preserve"> Makwana</w:t>
            </w:r>
          </w:p>
        </w:tc>
        <w:tc>
          <w:tcPr>
            <w:tcW w:w="2283" w:type="dxa"/>
            <w:shd w:val="clear" w:color="auto" w:fill="D9D9D9"/>
          </w:tcPr>
          <w:p w14:paraId="1297F54A" w14:textId="77777777" w:rsidR="00883A10" w:rsidRDefault="00883A10" w:rsidP="00CD6B8B">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098" w:type="dxa"/>
          </w:tcPr>
          <w:p w14:paraId="6AA9D4CC" w14:textId="21BF11DE" w:rsidR="00883A10" w:rsidRPr="00871D45" w:rsidRDefault="00871D45" w:rsidP="00871D45">
            <w:pPr>
              <w:pStyle w:val="TableParagraph"/>
              <w:jc w:val="center"/>
              <w:rPr>
                <w:rFonts w:ascii="Times New Roman"/>
                <w:b/>
                <w:bCs/>
                <w:sz w:val="28"/>
                <w:szCs w:val="28"/>
              </w:rPr>
            </w:pPr>
            <w:r w:rsidRPr="00871D45">
              <w:rPr>
                <w:rFonts w:ascii="Times New Roman"/>
                <w:b/>
                <w:bCs/>
                <w:sz w:val="28"/>
                <w:szCs w:val="28"/>
              </w:rPr>
              <w:t>2518402</w:t>
            </w:r>
          </w:p>
        </w:tc>
      </w:tr>
      <w:tr w:rsidR="00883A10" w14:paraId="026F594E" w14:textId="77777777" w:rsidTr="00CD6B8B">
        <w:trPr>
          <w:trHeight w:val="491"/>
        </w:trPr>
        <w:tc>
          <w:tcPr>
            <w:tcW w:w="1872" w:type="dxa"/>
            <w:shd w:val="clear" w:color="auto" w:fill="D9D9D9"/>
          </w:tcPr>
          <w:p w14:paraId="3C944255" w14:textId="77777777" w:rsidR="00883A10" w:rsidRDefault="00883A10" w:rsidP="00CD6B8B">
            <w:pPr>
              <w:pStyle w:val="TableParagraph"/>
              <w:spacing w:before="120"/>
              <w:ind w:left="107"/>
              <w:rPr>
                <w:rFonts w:ascii="Arial"/>
                <w:b/>
              </w:rPr>
            </w:pPr>
            <w:proofErr w:type="spellStart"/>
            <w:r>
              <w:rPr>
                <w:rFonts w:ascii="Arial"/>
                <w:b/>
                <w:spacing w:val="-2"/>
              </w:rPr>
              <w:t>Programme</w:t>
            </w:r>
            <w:proofErr w:type="spellEnd"/>
            <w:r>
              <w:rPr>
                <w:rFonts w:ascii="Arial"/>
                <w:b/>
                <w:spacing w:val="-2"/>
              </w:rPr>
              <w:t>:</w:t>
            </w:r>
          </w:p>
        </w:tc>
        <w:tc>
          <w:tcPr>
            <w:tcW w:w="8054" w:type="dxa"/>
            <w:gridSpan w:val="3"/>
          </w:tcPr>
          <w:p w14:paraId="1EC18DF3" w14:textId="77777777" w:rsidR="00883A10" w:rsidRDefault="00883A10" w:rsidP="00CD6B8B">
            <w:pPr>
              <w:pStyle w:val="TableParagraph"/>
              <w:spacing w:before="120"/>
              <w:ind w:left="107"/>
              <w:rPr>
                <w:rFonts w:ascii="Arial"/>
                <w:b/>
              </w:rPr>
            </w:pPr>
            <w:r>
              <w:rPr>
                <w:rFonts w:ascii="Arial"/>
                <w:b/>
              </w:rPr>
              <w:t>Master</w:t>
            </w:r>
            <w:r>
              <w:rPr>
                <w:rFonts w:ascii="Arial"/>
                <w:b/>
                <w:spacing w:val="-6"/>
              </w:rPr>
              <w:t xml:space="preserve"> </w:t>
            </w:r>
            <w:r>
              <w:rPr>
                <w:rFonts w:ascii="Arial"/>
                <w:b/>
              </w:rPr>
              <w:t>of</w:t>
            </w:r>
            <w:r>
              <w:rPr>
                <w:rFonts w:ascii="Arial"/>
                <w:b/>
                <w:spacing w:val="-4"/>
              </w:rPr>
              <w:t xml:space="preserve"> </w:t>
            </w:r>
            <w:r>
              <w:rPr>
                <w:rFonts w:ascii="Arial"/>
                <w:b/>
              </w:rPr>
              <w:t>Business</w:t>
            </w:r>
            <w:r>
              <w:rPr>
                <w:rFonts w:ascii="Arial"/>
                <w:b/>
                <w:spacing w:val="-8"/>
              </w:rPr>
              <w:t xml:space="preserve"> </w:t>
            </w:r>
            <w:r>
              <w:rPr>
                <w:rFonts w:ascii="Arial"/>
                <w:b/>
                <w:spacing w:val="-2"/>
              </w:rPr>
              <w:t>Administration</w:t>
            </w:r>
          </w:p>
        </w:tc>
      </w:tr>
      <w:tr w:rsidR="00883A10" w14:paraId="5B567342" w14:textId="77777777" w:rsidTr="00CD6B8B">
        <w:trPr>
          <w:trHeight w:val="494"/>
        </w:trPr>
        <w:tc>
          <w:tcPr>
            <w:tcW w:w="1872" w:type="dxa"/>
            <w:shd w:val="clear" w:color="auto" w:fill="D9D9D9"/>
          </w:tcPr>
          <w:p w14:paraId="04C1B764" w14:textId="77777777" w:rsidR="00883A10" w:rsidRDefault="00883A10" w:rsidP="00CD6B8B">
            <w:pPr>
              <w:pStyle w:val="TableParagraph"/>
              <w:spacing w:before="123"/>
              <w:ind w:left="107"/>
              <w:rPr>
                <w:rFonts w:ascii="Arial"/>
                <w:b/>
              </w:rPr>
            </w:pPr>
            <w:r>
              <w:rPr>
                <w:rFonts w:ascii="Arial"/>
                <w:b/>
                <w:spacing w:val="-2"/>
              </w:rPr>
              <w:t>Module:</w:t>
            </w:r>
          </w:p>
        </w:tc>
        <w:tc>
          <w:tcPr>
            <w:tcW w:w="8054" w:type="dxa"/>
            <w:gridSpan w:val="3"/>
          </w:tcPr>
          <w:p w14:paraId="16A537B2" w14:textId="77777777" w:rsidR="00883A10" w:rsidRDefault="00883A10" w:rsidP="00CD6B8B">
            <w:pPr>
              <w:pStyle w:val="TableParagraph"/>
              <w:spacing w:before="123"/>
              <w:ind w:left="107"/>
              <w:rPr>
                <w:rFonts w:ascii="Arial"/>
                <w:b/>
              </w:rPr>
            </w:pPr>
            <w:r>
              <w:rPr>
                <w:rFonts w:ascii="Arial"/>
                <w:b/>
              </w:rPr>
              <w:t>Human</w:t>
            </w:r>
            <w:r>
              <w:rPr>
                <w:rFonts w:ascii="Arial"/>
                <w:b/>
                <w:spacing w:val="-4"/>
              </w:rPr>
              <w:t xml:space="preserve"> </w:t>
            </w:r>
            <w:r>
              <w:rPr>
                <w:rFonts w:ascii="Arial"/>
                <w:b/>
              </w:rPr>
              <w:t>Capital</w:t>
            </w:r>
            <w:r>
              <w:rPr>
                <w:rFonts w:ascii="Arial"/>
                <w:b/>
                <w:spacing w:val="-4"/>
              </w:rPr>
              <w:t xml:space="preserve"> </w:t>
            </w:r>
            <w:r>
              <w:rPr>
                <w:rFonts w:ascii="Arial"/>
                <w:b/>
                <w:spacing w:val="-2"/>
              </w:rPr>
              <w:t>Management</w:t>
            </w:r>
          </w:p>
        </w:tc>
      </w:tr>
      <w:tr w:rsidR="00883A10" w14:paraId="6211139D" w14:textId="77777777" w:rsidTr="00CD6B8B">
        <w:trPr>
          <w:trHeight w:val="757"/>
        </w:trPr>
        <w:tc>
          <w:tcPr>
            <w:tcW w:w="1872" w:type="dxa"/>
            <w:shd w:val="clear" w:color="auto" w:fill="D9D9D9"/>
          </w:tcPr>
          <w:p w14:paraId="1E908023" w14:textId="77777777" w:rsidR="00883A10" w:rsidRDefault="00883A10" w:rsidP="00CD6B8B">
            <w:pPr>
              <w:pStyle w:val="TableParagraph"/>
              <w:spacing w:before="1"/>
              <w:rPr>
                <w:rFonts w:ascii="Arial"/>
                <w:b/>
              </w:rPr>
            </w:pPr>
          </w:p>
          <w:p w14:paraId="28906FB8" w14:textId="77777777" w:rsidR="00883A10" w:rsidRDefault="00883A10" w:rsidP="00CD6B8B">
            <w:pPr>
              <w:pStyle w:val="TableParagraph"/>
              <w:ind w:left="107"/>
              <w:rPr>
                <w:rFonts w:ascii="Arial"/>
                <w:b/>
              </w:rPr>
            </w:pPr>
            <w:r>
              <w:rPr>
                <w:rFonts w:ascii="Arial"/>
                <w:b/>
              </w:rPr>
              <w:t>Module</w:t>
            </w:r>
            <w:r>
              <w:rPr>
                <w:rFonts w:ascii="Arial"/>
                <w:b/>
                <w:spacing w:val="-8"/>
              </w:rPr>
              <w:t xml:space="preserve"> </w:t>
            </w:r>
            <w:r>
              <w:rPr>
                <w:rFonts w:ascii="Arial"/>
                <w:b/>
                <w:spacing w:val="-2"/>
              </w:rPr>
              <w:t>code:</w:t>
            </w:r>
          </w:p>
        </w:tc>
        <w:tc>
          <w:tcPr>
            <w:tcW w:w="3673" w:type="dxa"/>
          </w:tcPr>
          <w:p w14:paraId="481AB7BD" w14:textId="77777777" w:rsidR="00883A10" w:rsidRDefault="00883A10" w:rsidP="00CD6B8B">
            <w:pPr>
              <w:pStyle w:val="TableParagraph"/>
              <w:spacing w:before="1"/>
              <w:rPr>
                <w:rFonts w:ascii="Arial"/>
                <w:b/>
              </w:rPr>
            </w:pPr>
          </w:p>
          <w:p w14:paraId="4407BBF4" w14:textId="77777777" w:rsidR="00883A10" w:rsidRDefault="00883A10" w:rsidP="00CD6B8B">
            <w:pPr>
              <w:pStyle w:val="TableParagraph"/>
              <w:ind w:left="107"/>
              <w:rPr>
                <w:rFonts w:ascii="Arial"/>
                <w:b/>
              </w:rPr>
            </w:pPr>
            <w:r>
              <w:rPr>
                <w:rFonts w:ascii="Arial"/>
                <w:b/>
                <w:spacing w:val="-2"/>
              </w:rPr>
              <w:t>LCMB7023</w:t>
            </w:r>
          </w:p>
        </w:tc>
        <w:tc>
          <w:tcPr>
            <w:tcW w:w="2283" w:type="dxa"/>
            <w:shd w:val="clear" w:color="auto" w:fill="D9D9D9"/>
          </w:tcPr>
          <w:p w14:paraId="77C267DD" w14:textId="77777777" w:rsidR="00883A10" w:rsidRDefault="00883A10" w:rsidP="00CD6B8B">
            <w:pPr>
              <w:pStyle w:val="TableParagraph"/>
              <w:ind w:left="107"/>
              <w:rPr>
                <w:rFonts w:ascii="Arial"/>
                <w:b/>
              </w:rPr>
            </w:pPr>
            <w:r>
              <w:rPr>
                <w:rFonts w:ascii="Arial"/>
                <w:b/>
              </w:rPr>
              <w:t>Contribution</w:t>
            </w:r>
            <w:r>
              <w:rPr>
                <w:rFonts w:ascii="Arial"/>
                <w:b/>
                <w:spacing w:val="-10"/>
              </w:rPr>
              <w:t xml:space="preserve"> </w:t>
            </w:r>
            <w:r>
              <w:rPr>
                <w:rFonts w:ascii="Arial"/>
                <w:b/>
                <w:spacing w:val="-5"/>
              </w:rPr>
              <w:t>to</w:t>
            </w:r>
          </w:p>
          <w:p w14:paraId="78177C86" w14:textId="77777777" w:rsidR="00883A10" w:rsidRDefault="00883A10" w:rsidP="00CD6B8B">
            <w:pPr>
              <w:pStyle w:val="TableParagraph"/>
              <w:spacing w:line="252" w:lineRule="exact"/>
              <w:ind w:left="107"/>
              <w:rPr>
                <w:rFonts w:ascii="Arial"/>
                <w:b/>
              </w:rPr>
            </w:pPr>
            <w:r>
              <w:rPr>
                <w:rFonts w:ascii="Arial"/>
                <w:b/>
              </w:rPr>
              <w:t>Overall Module Assessment</w:t>
            </w:r>
            <w:r>
              <w:rPr>
                <w:rFonts w:ascii="Arial"/>
                <w:b/>
                <w:spacing w:val="-16"/>
              </w:rPr>
              <w:t xml:space="preserve"> </w:t>
            </w:r>
            <w:r>
              <w:rPr>
                <w:rFonts w:ascii="Arial"/>
                <w:b/>
              </w:rPr>
              <w:t>(%):</w:t>
            </w:r>
          </w:p>
        </w:tc>
        <w:tc>
          <w:tcPr>
            <w:tcW w:w="2098" w:type="dxa"/>
          </w:tcPr>
          <w:p w14:paraId="3811089B" w14:textId="77777777" w:rsidR="00883A10" w:rsidRDefault="00883A10" w:rsidP="00CD6B8B">
            <w:pPr>
              <w:pStyle w:val="TableParagraph"/>
              <w:spacing w:before="1"/>
              <w:rPr>
                <w:rFonts w:ascii="Arial"/>
                <w:b/>
              </w:rPr>
            </w:pPr>
          </w:p>
          <w:p w14:paraId="0083F9C1" w14:textId="77777777" w:rsidR="00883A10" w:rsidRDefault="00883A10" w:rsidP="00CD6B8B">
            <w:pPr>
              <w:pStyle w:val="TableParagraph"/>
              <w:ind w:left="107"/>
              <w:rPr>
                <w:rFonts w:ascii="Arial"/>
                <w:b/>
              </w:rPr>
            </w:pPr>
            <w:r>
              <w:rPr>
                <w:rFonts w:ascii="Arial"/>
                <w:b/>
                <w:spacing w:val="-5"/>
              </w:rPr>
              <w:t>50%</w:t>
            </w:r>
          </w:p>
        </w:tc>
      </w:tr>
      <w:tr w:rsidR="00883A10" w14:paraId="4BA29BDA" w14:textId="77777777" w:rsidTr="00CD6B8B">
        <w:trPr>
          <w:trHeight w:val="1120"/>
        </w:trPr>
        <w:tc>
          <w:tcPr>
            <w:tcW w:w="1872" w:type="dxa"/>
            <w:shd w:val="clear" w:color="auto" w:fill="D9D9D9"/>
          </w:tcPr>
          <w:p w14:paraId="442A5836" w14:textId="77777777" w:rsidR="00883A10" w:rsidRDefault="00883A10" w:rsidP="00CD6B8B">
            <w:pPr>
              <w:pStyle w:val="TableParagraph"/>
              <w:spacing w:before="181"/>
              <w:rPr>
                <w:rFonts w:ascii="Arial"/>
                <w:b/>
              </w:rPr>
            </w:pPr>
          </w:p>
          <w:p w14:paraId="2786DD52" w14:textId="77777777" w:rsidR="00883A10" w:rsidRDefault="00883A10" w:rsidP="00CD6B8B">
            <w:pPr>
              <w:pStyle w:val="TableParagraph"/>
              <w:ind w:left="107"/>
              <w:rPr>
                <w:rFonts w:ascii="Arial"/>
                <w:b/>
              </w:rPr>
            </w:pPr>
            <w:r>
              <w:rPr>
                <w:rFonts w:ascii="Arial"/>
                <w:b/>
                <w:spacing w:val="-2"/>
              </w:rPr>
              <w:t>Lecturer:</w:t>
            </w:r>
          </w:p>
        </w:tc>
        <w:tc>
          <w:tcPr>
            <w:tcW w:w="3673" w:type="dxa"/>
          </w:tcPr>
          <w:p w14:paraId="7BE55420" w14:textId="77777777" w:rsidR="00883A10" w:rsidRDefault="00883A10" w:rsidP="00CD6B8B">
            <w:pPr>
              <w:pStyle w:val="TableParagraph"/>
              <w:spacing w:before="247" w:line="355" w:lineRule="auto"/>
              <w:ind w:left="107" w:right="854"/>
              <w:rPr>
                <w:rFonts w:ascii="Arial"/>
                <w:b/>
              </w:rPr>
            </w:pPr>
            <w:r>
              <w:rPr>
                <w:rFonts w:ascii="Arial"/>
                <w:b/>
              </w:rPr>
              <w:t>Gladius</w:t>
            </w:r>
            <w:r>
              <w:rPr>
                <w:rFonts w:ascii="Arial"/>
                <w:b/>
                <w:spacing w:val="-16"/>
              </w:rPr>
              <w:t xml:space="preserve"> </w:t>
            </w:r>
            <w:r>
              <w:rPr>
                <w:rFonts w:ascii="Arial"/>
                <w:b/>
              </w:rPr>
              <w:t xml:space="preserve">Kulothungan Ejike </w:t>
            </w:r>
            <w:proofErr w:type="spellStart"/>
            <w:r>
              <w:rPr>
                <w:rFonts w:ascii="Arial"/>
                <w:b/>
              </w:rPr>
              <w:t>Udeogu</w:t>
            </w:r>
            <w:proofErr w:type="spellEnd"/>
          </w:p>
        </w:tc>
        <w:tc>
          <w:tcPr>
            <w:tcW w:w="2283" w:type="dxa"/>
            <w:shd w:val="clear" w:color="auto" w:fill="D9D9D9"/>
          </w:tcPr>
          <w:p w14:paraId="27D93874" w14:textId="77777777" w:rsidR="00883A10" w:rsidRDefault="00883A10" w:rsidP="00CD6B8B">
            <w:pPr>
              <w:pStyle w:val="TableParagraph"/>
              <w:spacing w:before="181"/>
              <w:rPr>
                <w:rFonts w:ascii="Arial"/>
                <w:b/>
              </w:rPr>
            </w:pPr>
          </w:p>
          <w:p w14:paraId="5357721C" w14:textId="77777777" w:rsidR="00883A10" w:rsidRDefault="00883A10" w:rsidP="00CD6B8B">
            <w:pPr>
              <w:pStyle w:val="TableParagraph"/>
              <w:ind w:left="107"/>
              <w:rPr>
                <w:rFonts w:ascii="Arial"/>
                <w:b/>
              </w:rPr>
            </w:pPr>
            <w:r>
              <w:rPr>
                <w:rFonts w:ascii="Arial"/>
                <w:b/>
              </w:rPr>
              <w:t>Internal</w:t>
            </w:r>
            <w:r>
              <w:rPr>
                <w:rFonts w:ascii="Arial"/>
                <w:b/>
                <w:spacing w:val="-6"/>
              </w:rPr>
              <w:t xml:space="preserve"> </w:t>
            </w:r>
            <w:r>
              <w:rPr>
                <w:rFonts w:ascii="Arial"/>
                <w:b/>
                <w:spacing w:val="-2"/>
              </w:rPr>
              <w:t>Verifier:</w:t>
            </w:r>
          </w:p>
        </w:tc>
        <w:tc>
          <w:tcPr>
            <w:tcW w:w="2098" w:type="dxa"/>
          </w:tcPr>
          <w:p w14:paraId="5CC1904F" w14:textId="77777777" w:rsidR="00883A10" w:rsidRDefault="00883A10" w:rsidP="00CD6B8B">
            <w:pPr>
              <w:pStyle w:val="TableParagraph"/>
              <w:spacing w:before="122"/>
              <w:ind w:left="107" w:right="178"/>
              <w:rPr>
                <w:rFonts w:ascii="Arial"/>
                <w:b/>
              </w:rPr>
            </w:pPr>
            <w:r>
              <w:rPr>
                <w:rFonts w:ascii="Arial"/>
                <w:b/>
                <w:spacing w:val="-2"/>
              </w:rPr>
              <w:t>Vasilios Tavlaridis</w:t>
            </w:r>
          </w:p>
          <w:p w14:paraId="08CA155F" w14:textId="77777777" w:rsidR="00883A10" w:rsidRDefault="00883A10" w:rsidP="00CD6B8B">
            <w:pPr>
              <w:pStyle w:val="TableParagraph"/>
              <w:spacing w:before="118"/>
              <w:ind w:left="107"/>
              <w:rPr>
                <w:rFonts w:ascii="Arial"/>
                <w:b/>
              </w:rPr>
            </w:pPr>
            <w:r>
              <w:rPr>
                <w:rFonts w:ascii="Arial"/>
                <w:b/>
              </w:rPr>
              <w:t>Hoang</w:t>
            </w:r>
            <w:r>
              <w:rPr>
                <w:rFonts w:ascii="Arial"/>
                <w:b/>
                <w:spacing w:val="-4"/>
              </w:rPr>
              <w:t xml:space="preserve"> </w:t>
            </w:r>
            <w:r>
              <w:rPr>
                <w:rFonts w:ascii="Arial"/>
                <w:b/>
                <w:spacing w:val="-2"/>
              </w:rPr>
              <w:t>Nguyen</w:t>
            </w:r>
          </w:p>
        </w:tc>
      </w:tr>
      <w:tr w:rsidR="00883A10" w14:paraId="4AB29759" w14:textId="77777777" w:rsidTr="00CD6B8B">
        <w:trPr>
          <w:trHeight w:val="784"/>
        </w:trPr>
        <w:tc>
          <w:tcPr>
            <w:tcW w:w="1872" w:type="dxa"/>
            <w:shd w:val="clear" w:color="auto" w:fill="D9D9D9"/>
          </w:tcPr>
          <w:p w14:paraId="3841D8D5" w14:textId="77777777" w:rsidR="00883A10" w:rsidRDefault="00883A10" w:rsidP="00CD6B8B">
            <w:pPr>
              <w:pStyle w:val="TableParagraph"/>
              <w:spacing w:before="139"/>
              <w:ind w:left="107" w:right="22"/>
              <w:rPr>
                <w:rFonts w:ascii="Arial"/>
                <w:b/>
              </w:rPr>
            </w:pPr>
            <w:r>
              <w:rPr>
                <w:rFonts w:ascii="Arial"/>
                <w:b/>
                <w:spacing w:val="-2"/>
              </w:rPr>
              <w:t>Assignment Title:</w:t>
            </w:r>
          </w:p>
        </w:tc>
        <w:tc>
          <w:tcPr>
            <w:tcW w:w="3673" w:type="dxa"/>
          </w:tcPr>
          <w:p w14:paraId="512826AA" w14:textId="77777777" w:rsidR="00883A10" w:rsidRDefault="00883A10" w:rsidP="00CD6B8B">
            <w:pPr>
              <w:pStyle w:val="TableParagraph"/>
              <w:spacing w:before="3" w:line="370" w:lineRule="atLeast"/>
              <w:ind w:left="107"/>
              <w:rPr>
                <w:rFonts w:ascii="Arial" w:hAnsi="Arial"/>
                <w:b/>
              </w:rPr>
            </w:pPr>
            <w:r>
              <w:rPr>
                <w:rFonts w:ascii="Arial" w:hAnsi="Arial"/>
                <w:b/>
              </w:rPr>
              <w:t>Assessment component 1: Individual</w:t>
            </w:r>
            <w:r>
              <w:rPr>
                <w:rFonts w:ascii="Arial" w:hAnsi="Arial"/>
                <w:b/>
                <w:spacing w:val="-8"/>
              </w:rPr>
              <w:t xml:space="preserve"> </w:t>
            </w:r>
            <w:r>
              <w:rPr>
                <w:rFonts w:ascii="Arial" w:hAnsi="Arial"/>
                <w:b/>
              </w:rPr>
              <w:t>report</w:t>
            </w:r>
            <w:r>
              <w:rPr>
                <w:rFonts w:ascii="Arial" w:hAnsi="Arial"/>
                <w:b/>
                <w:spacing w:val="-6"/>
              </w:rPr>
              <w:t xml:space="preserve"> </w:t>
            </w:r>
            <w:r>
              <w:rPr>
                <w:rFonts w:ascii="Arial" w:hAnsi="Arial"/>
                <w:b/>
              </w:rPr>
              <w:t>–</w:t>
            </w:r>
            <w:r>
              <w:rPr>
                <w:rFonts w:ascii="Arial" w:hAnsi="Arial"/>
                <w:b/>
                <w:spacing w:val="-10"/>
              </w:rPr>
              <w:t xml:space="preserve"> </w:t>
            </w:r>
            <w:r>
              <w:rPr>
                <w:rFonts w:ascii="Arial" w:hAnsi="Arial"/>
                <w:b/>
              </w:rPr>
              <w:t>HR</w:t>
            </w:r>
            <w:r>
              <w:rPr>
                <w:rFonts w:ascii="Arial" w:hAnsi="Arial"/>
                <w:b/>
                <w:spacing w:val="-10"/>
              </w:rPr>
              <w:t xml:space="preserve"> </w:t>
            </w:r>
            <w:r>
              <w:rPr>
                <w:rFonts w:ascii="Arial" w:hAnsi="Arial"/>
                <w:b/>
              </w:rPr>
              <w:t>strategy</w:t>
            </w:r>
          </w:p>
        </w:tc>
        <w:tc>
          <w:tcPr>
            <w:tcW w:w="2283" w:type="dxa"/>
            <w:shd w:val="clear" w:color="auto" w:fill="D9D9D9"/>
          </w:tcPr>
          <w:p w14:paraId="0C6025F2" w14:textId="77777777" w:rsidR="00883A10" w:rsidRDefault="00883A10" w:rsidP="00CD6B8B">
            <w:pPr>
              <w:pStyle w:val="TableParagraph"/>
              <w:spacing w:before="139"/>
              <w:ind w:left="107"/>
              <w:rPr>
                <w:rFonts w:ascii="Arial"/>
                <w:b/>
              </w:rPr>
            </w:pPr>
            <w:r>
              <w:rPr>
                <w:rFonts w:ascii="Arial"/>
                <w:b/>
              </w:rPr>
              <w:t>Word</w:t>
            </w:r>
            <w:r>
              <w:rPr>
                <w:rFonts w:ascii="Arial"/>
                <w:b/>
                <w:spacing w:val="-16"/>
              </w:rPr>
              <w:t xml:space="preserve"> </w:t>
            </w:r>
            <w:r>
              <w:rPr>
                <w:rFonts w:ascii="Arial"/>
                <w:b/>
              </w:rPr>
              <w:t>count</w:t>
            </w:r>
            <w:r>
              <w:rPr>
                <w:rFonts w:ascii="Arial"/>
                <w:b/>
                <w:spacing w:val="-15"/>
              </w:rPr>
              <w:t xml:space="preserve"> </w:t>
            </w:r>
            <w:r>
              <w:rPr>
                <w:rFonts w:ascii="Arial"/>
                <w:b/>
              </w:rPr>
              <w:t xml:space="preserve">(or </w:t>
            </w:r>
            <w:r>
              <w:rPr>
                <w:rFonts w:ascii="Arial"/>
                <w:b/>
                <w:spacing w:val="-2"/>
              </w:rPr>
              <w:t>equivalent):</w:t>
            </w:r>
          </w:p>
        </w:tc>
        <w:tc>
          <w:tcPr>
            <w:tcW w:w="2098" w:type="dxa"/>
          </w:tcPr>
          <w:p w14:paraId="5F9C74C0" w14:textId="77777777" w:rsidR="00883A10" w:rsidRDefault="00883A10" w:rsidP="00CD6B8B">
            <w:pPr>
              <w:pStyle w:val="TableParagraph"/>
              <w:spacing w:before="13"/>
              <w:rPr>
                <w:rFonts w:ascii="Arial"/>
                <w:b/>
              </w:rPr>
            </w:pPr>
          </w:p>
          <w:p w14:paraId="1037E0AA" w14:textId="77777777" w:rsidR="00883A10" w:rsidRDefault="00883A10" w:rsidP="00CD6B8B">
            <w:pPr>
              <w:pStyle w:val="TableParagraph"/>
              <w:ind w:left="107"/>
              <w:rPr>
                <w:rFonts w:ascii="Arial" w:hAnsi="Arial"/>
                <w:b/>
              </w:rPr>
            </w:pPr>
            <w:r>
              <w:rPr>
                <w:rFonts w:ascii="Arial" w:hAnsi="Arial"/>
                <w:b/>
              </w:rPr>
              <w:t>2,500</w:t>
            </w:r>
            <w:r>
              <w:rPr>
                <w:rFonts w:ascii="Arial" w:hAnsi="Arial"/>
                <w:b/>
                <w:spacing w:val="-3"/>
              </w:rPr>
              <w:t xml:space="preserve"> </w:t>
            </w:r>
            <w:r>
              <w:rPr>
                <w:rFonts w:ascii="Arial" w:hAnsi="Arial"/>
                <w:b/>
              </w:rPr>
              <w:t>(±</w:t>
            </w:r>
            <w:r>
              <w:rPr>
                <w:rFonts w:ascii="Arial" w:hAnsi="Arial"/>
                <w:b/>
                <w:spacing w:val="-1"/>
              </w:rPr>
              <w:t xml:space="preserve"> </w:t>
            </w:r>
            <w:r>
              <w:rPr>
                <w:rFonts w:ascii="Arial" w:hAnsi="Arial"/>
                <w:b/>
                <w:spacing w:val="-4"/>
              </w:rPr>
              <w:t>10%)</w:t>
            </w:r>
          </w:p>
        </w:tc>
      </w:tr>
      <w:tr w:rsidR="00883A10" w14:paraId="4B84C138" w14:textId="77777777" w:rsidTr="00CD6B8B">
        <w:trPr>
          <w:trHeight w:val="1000"/>
        </w:trPr>
        <w:tc>
          <w:tcPr>
            <w:tcW w:w="1872" w:type="dxa"/>
            <w:shd w:val="clear" w:color="auto" w:fill="D9D9D9"/>
          </w:tcPr>
          <w:p w14:paraId="40651703" w14:textId="77777777" w:rsidR="00883A10" w:rsidRDefault="00883A10" w:rsidP="00CD6B8B">
            <w:pPr>
              <w:pStyle w:val="TableParagraph"/>
              <w:spacing w:before="247"/>
              <w:ind w:left="107"/>
              <w:rPr>
                <w:rFonts w:ascii="Arial"/>
                <w:b/>
              </w:rPr>
            </w:pPr>
            <w:r>
              <w:rPr>
                <w:rFonts w:ascii="Arial"/>
                <w:b/>
                <w:spacing w:val="-2"/>
              </w:rPr>
              <w:t>Submission deadline:</w:t>
            </w:r>
          </w:p>
        </w:tc>
        <w:tc>
          <w:tcPr>
            <w:tcW w:w="3673" w:type="dxa"/>
          </w:tcPr>
          <w:p w14:paraId="0130943A" w14:textId="77777777" w:rsidR="00883A10" w:rsidRDefault="00883A10" w:rsidP="00CD6B8B">
            <w:pPr>
              <w:pStyle w:val="TableParagraph"/>
              <w:spacing w:before="121"/>
              <w:rPr>
                <w:rFonts w:ascii="Arial"/>
                <w:b/>
              </w:rPr>
            </w:pPr>
          </w:p>
          <w:p w14:paraId="3FB32925" w14:textId="77777777" w:rsidR="00883A10" w:rsidRDefault="00883A10" w:rsidP="00CD6B8B">
            <w:pPr>
              <w:pStyle w:val="TableParagraph"/>
              <w:ind w:left="107"/>
              <w:rPr>
                <w:rFonts w:ascii="Arial"/>
                <w:b/>
              </w:rPr>
            </w:pPr>
            <w:r>
              <w:rPr>
                <w:rFonts w:ascii="Arial"/>
                <w:b/>
              </w:rPr>
              <w:t>20</w:t>
            </w:r>
            <w:r>
              <w:rPr>
                <w:rFonts w:ascii="Arial"/>
                <w:b/>
                <w:vertAlign w:val="superscript"/>
              </w:rPr>
              <w:t>th</w:t>
            </w:r>
            <w:r>
              <w:rPr>
                <w:rFonts w:ascii="Arial"/>
                <w:b/>
                <w:spacing w:val="-3"/>
              </w:rPr>
              <w:t xml:space="preserve"> </w:t>
            </w:r>
            <w:r>
              <w:rPr>
                <w:rFonts w:ascii="Arial"/>
                <w:b/>
              </w:rPr>
              <w:t>March</w:t>
            </w:r>
            <w:r>
              <w:rPr>
                <w:rFonts w:ascii="Arial"/>
                <w:b/>
                <w:spacing w:val="-2"/>
              </w:rPr>
              <w:t xml:space="preserve"> </w:t>
            </w:r>
            <w:r>
              <w:rPr>
                <w:rFonts w:ascii="Arial"/>
                <w:b/>
              </w:rPr>
              <w:t>2026</w:t>
            </w:r>
            <w:r>
              <w:rPr>
                <w:rFonts w:ascii="Arial"/>
                <w:b/>
                <w:spacing w:val="-4"/>
              </w:rPr>
              <w:t xml:space="preserve"> </w:t>
            </w:r>
            <w:r>
              <w:rPr>
                <w:rFonts w:ascii="Arial"/>
                <w:b/>
              </w:rPr>
              <w:t>by</w:t>
            </w:r>
            <w:r>
              <w:rPr>
                <w:rFonts w:ascii="Arial"/>
                <w:b/>
                <w:spacing w:val="-2"/>
              </w:rPr>
              <w:t xml:space="preserve"> </w:t>
            </w:r>
            <w:r>
              <w:rPr>
                <w:rFonts w:ascii="Arial"/>
                <w:b/>
                <w:spacing w:val="-5"/>
              </w:rPr>
              <w:t>2 PM</w:t>
            </w:r>
          </w:p>
        </w:tc>
        <w:tc>
          <w:tcPr>
            <w:tcW w:w="2283" w:type="dxa"/>
            <w:shd w:val="clear" w:color="auto" w:fill="D9D9D9"/>
          </w:tcPr>
          <w:p w14:paraId="573E537F" w14:textId="77777777" w:rsidR="00883A10" w:rsidRDefault="00883A10" w:rsidP="00CD6B8B">
            <w:pPr>
              <w:pStyle w:val="TableParagraph"/>
              <w:spacing w:before="122"/>
              <w:ind w:left="107" w:right="131"/>
              <w:rPr>
                <w:rFonts w:ascii="Arial"/>
                <w:b/>
              </w:rPr>
            </w:pPr>
            <w:r>
              <w:rPr>
                <w:rFonts w:ascii="Arial"/>
                <w:b/>
              </w:rPr>
              <w:t>Return date of provisional marks &amp;</w:t>
            </w:r>
            <w:r>
              <w:rPr>
                <w:rFonts w:ascii="Arial"/>
                <w:b/>
                <w:spacing w:val="-16"/>
              </w:rPr>
              <w:t xml:space="preserve"> </w:t>
            </w:r>
            <w:r>
              <w:rPr>
                <w:rFonts w:ascii="Arial"/>
                <w:b/>
              </w:rPr>
              <w:t>written</w:t>
            </w:r>
            <w:r>
              <w:rPr>
                <w:rFonts w:ascii="Arial"/>
                <w:b/>
                <w:spacing w:val="-15"/>
              </w:rPr>
              <w:t xml:space="preserve"> </w:t>
            </w:r>
            <w:r>
              <w:rPr>
                <w:rFonts w:ascii="Arial"/>
                <w:b/>
              </w:rPr>
              <w:t>feedback:</w:t>
            </w:r>
          </w:p>
        </w:tc>
        <w:tc>
          <w:tcPr>
            <w:tcW w:w="2098" w:type="dxa"/>
          </w:tcPr>
          <w:p w14:paraId="0D161963" w14:textId="77777777" w:rsidR="00883A10" w:rsidRDefault="00883A10" w:rsidP="00CD6B8B">
            <w:pPr>
              <w:pStyle w:val="TableParagraph"/>
              <w:spacing w:before="121"/>
              <w:rPr>
                <w:rFonts w:ascii="Arial"/>
                <w:b/>
              </w:rPr>
            </w:pPr>
          </w:p>
          <w:p w14:paraId="23D8B42C" w14:textId="77777777" w:rsidR="00883A10" w:rsidRDefault="00883A10" w:rsidP="00CD6B8B">
            <w:pPr>
              <w:pStyle w:val="TableParagraph"/>
              <w:ind w:left="107"/>
              <w:rPr>
                <w:rFonts w:ascii="Arial"/>
                <w:b/>
              </w:rPr>
            </w:pPr>
            <w:r>
              <w:rPr>
                <w:rFonts w:ascii="Arial"/>
                <w:b/>
              </w:rPr>
              <w:t>17</w:t>
            </w:r>
            <w:r>
              <w:rPr>
                <w:rFonts w:ascii="Arial"/>
                <w:b/>
                <w:vertAlign w:val="superscript"/>
              </w:rPr>
              <w:t>th</w:t>
            </w:r>
            <w:r>
              <w:rPr>
                <w:rFonts w:ascii="Arial"/>
                <w:b/>
                <w:spacing w:val="-24"/>
              </w:rPr>
              <w:t xml:space="preserve"> </w:t>
            </w:r>
            <w:r>
              <w:rPr>
                <w:rFonts w:ascii="Arial"/>
                <w:b/>
              </w:rPr>
              <w:t>April</w:t>
            </w:r>
            <w:r>
              <w:rPr>
                <w:rFonts w:ascii="Arial"/>
                <w:b/>
                <w:spacing w:val="-3"/>
              </w:rPr>
              <w:t xml:space="preserve"> </w:t>
            </w:r>
            <w:r>
              <w:rPr>
                <w:rFonts w:ascii="Arial"/>
                <w:b/>
                <w:spacing w:val="-4"/>
              </w:rPr>
              <w:t>2026</w:t>
            </w:r>
          </w:p>
        </w:tc>
      </w:tr>
    </w:tbl>
    <w:p w14:paraId="094EDC91" w14:textId="2087DC88" w:rsidR="00883A10" w:rsidRDefault="00883A10"/>
    <w:p w14:paraId="2AD1CAD8" w14:textId="2E979C2B" w:rsidR="00883A10" w:rsidRDefault="00883A10"/>
    <w:p w14:paraId="43C6AC74" w14:textId="37D2BE0D" w:rsidR="00883A10" w:rsidRDefault="00883A10"/>
    <w:p w14:paraId="65808F45" w14:textId="77777777" w:rsidR="0009459B" w:rsidRDefault="0009459B" w:rsidP="00883A10">
      <w:pPr>
        <w:spacing w:line="360" w:lineRule="auto"/>
        <w:jc w:val="both"/>
        <w:rPr>
          <w:rFonts w:ascii="Times New Roman" w:hAnsi="Times New Roman" w:cs="Times New Roman"/>
        </w:rPr>
      </w:pPr>
    </w:p>
    <w:p w14:paraId="7A0C4B68" w14:textId="77777777" w:rsidR="00883A10" w:rsidRPr="00883A10" w:rsidRDefault="00883A10" w:rsidP="00883A10">
      <w:pPr>
        <w:rPr>
          <w:rFonts w:ascii="Times New Roman" w:hAnsi="Times New Roman" w:cs="Times New Roman"/>
        </w:rPr>
      </w:pPr>
    </w:p>
    <w:p w14:paraId="0C62B432" w14:textId="77777777" w:rsidR="00883A10" w:rsidRPr="00883A10" w:rsidRDefault="00883A10" w:rsidP="00883A10">
      <w:pPr>
        <w:rPr>
          <w:rFonts w:ascii="Times New Roman" w:hAnsi="Times New Roman" w:cs="Times New Roman"/>
        </w:rPr>
      </w:pPr>
    </w:p>
    <w:p w14:paraId="5818843C" w14:textId="240EB93C" w:rsidR="00883A10" w:rsidRPr="00883A10" w:rsidRDefault="00883A10" w:rsidP="00883A10">
      <w:pPr>
        <w:tabs>
          <w:tab w:val="left" w:pos="1740"/>
        </w:tabs>
        <w:rPr>
          <w:rFonts w:ascii="Times New Roman" w:hAnsi="Times New Roman" w:cs="Times New Roman"/>
        </w:rPr>
      </w:pPr>
      <w:r>
        <w:rPr>
          <w:rFonts w:ascii="Times New Roman" w:hAnsi="Times New Roman" w:cs="Times New Roman"/>
        </w:rPr>
        <w:tab/>
      </w:r>
    </w:p>
    <w:p w14:paraId="74EDAD21" w14:textId="77777777" w:rsidR="00883A10" w:rsidRPr="00883A10" w:rsidRDefault="00883A10" w:rsidP="00883A10">
      <w:pPr>
        <w:rPr>
          <w:rFonts w:ascii="Times New Roman" w:hAnsi="Times New Roman" w:cs="Times New Roman"/>
        </w:rPr>
      </w:pPr>
    </w:p>
    <w:p w14:paraId="71ECAA60" w14:textId="77777777" w:rsidR="00883A10" w:rsidRPr="00883A10" w:rsidRDefault="00883A10" w:rsidP="00883A10">
      <w:pPr>
        <w:rPr>
          <w:rFonts w:ascii="Times New Roman" w:hAnsi="Times New Roman" w:cs="Times New Roman"/>
        </w:rPr>
      </w:pPr>
    </w:p>
    <w:p w14:paraId="03848A92" w14:textId="77777777" w:rsidR="00883A10" w:rsidRPr="00883A10" w:rsidRDefault="00883A10" w:rsidP="00883A10">
      <w:pPr>
        <w:rPr>
          <w:rFonts w:ascii="Times New Roman" w:hAnsi="Times New Roman" w:cs="Times New Roman"/>
        </w:rPr>
      </w:pPr>
    </w:p>
    <w:p w14:paraId="2B75594F" w14:textId="77777777" w:rsidR="00883A10" w:rsidRPr="00883A10" w:rsidRDefault="00883A10" w:rsidP="00883A10">
      <w:pPr>
        <w:rPr>
          <w:rFonts w:ascii="Times New Roman" w:hAnsi="Times New Roman" w:cs="Times New Roman"/>
        </w:rPr>
      </w:pPr>
    </w:p>
    <w:p w14:paraId="4287D98B" w14:textId="77777777" w:rsidR="00883A10" w:rsidRPr="00883A10" w:rsidRDefault="00883A10" w:rsidP="00883A10">
      <w:pPr>
        <w:rPr>
          <w:rFonts w:ascii="Times New Roman" w:hAnsi="Times New Roman" w:cs="Times New Roman"/>
        </w:rPr>
      </w:pPr>
    </w:p>
    <w:p w14:paraId="6408776C" w14:textId="77777777" w:rsidR="00883A10" w:rsidRPr="00883A10" w:rsidRDefault="00883A10" w:rsidP="00883A10">
      <w:pPr>
        <w:rPr>
          <w:rFonts w:ascii="Times New Roman" w:hAnsi="Times New Roman" w:cs="Times New Roman"/>
        </w:rPr>
      </w:pPr>
    </w:p>
    <w:p w14:paraId="5A9CFA1A" w14:textId="77777777" w:rsidR="00883A10" w:rsidRPr="00883A10" w:rsidRDefault="00883A10" w:rsidP="00883A10">
      <w:pPr>
        <w:rPr>
          <w:rFonts w:ascii="Times New Roman" w:hAnsi="Times New Roman" w:cs="Times New Roman"/>
        </w:rPr>
      </w:pPr>
    </w:p>
    <w:p w14:paraId="0058C128" w14:textId="77777777" w:rsidR="00883A10" w:rsidRPr="00883A10" w:rsidRDefault="00883A10" w:rsidP="00883A10">
      <w:pPr>
        <w:rPr>
          <w:rFonts w:ascii="Times New Roman" w:hAnsi="Times New Roman" w:cs="Times New Roman"/>
        </w:rPr>
      </w:pPr>
    </w:p>
    <w:p w14:paraId="00FAA237" w14:textId="77777777" w:rsidR="00883A10" w:rsidRPr="00883A10" w:rsidRDefault="00883A10" w:rsidP="00883A10">
      <w:pPr>
        <w:rPr>
          <w:rFonts w:ascii="Times New Roman" w:hAnsi="Times New Roman" w:cs="Times New Roman"/>
        </w:rPr>
      </w:pPr>
    </w:p>
    <w:p w14:paraId="3BC60373" w14:textId="77777777" w:rsidR="00883A10" w:rsidRPr="00883A10" w:rsidRDefault="00883A10" w:rsidP="00883A10">
      <w:pPr>
        <w:rPr>
          <w:rFonts w:ascii="Times New Roman" w:hAnsi="Times New Roman" w:cs="Times New Roman"/>
        </w:rPr>
      </w:pPr>
    </w:p>
    <w:p w14:paraId="49427B23" w14:textId="77777777" w:rsidR="00883A10" w:rsidRPr="00883A10" w:rsidRDefault="00883A10" w:rsidP="00883A10">
      <w:pPr>
        <w:rPr>
          <w:rFonts w:ascii="Times New Roman" w:hAnsi="Times New Roman" w:cs="Times New Roman"/>
        </w:rPr>
      </w:pPr>
    </w:p>
    <w:p w14:paraId="7E3270AB" w14:textId="77777777" w:rsidR="00883A10" w:rsidRPr="00883A10" w:rsidRDefault="00883A10" w:rsidP="00883A10">
      <w:pPr>
        <w:rPr>
          <w:rFonts w:ascii="Times New Roman" w:hAnsi="Times New Roman" w:cs="Times New Roman"/>
        </w:rPr>
      </w:pPr>
    </w:p>
    <w:p w14:paraId="17E5FDFC" w14:textId="77777777" w:rsidR="00883A10" w:rsidRPr="00883A10" w:rsidRDefault="00883A10" w:rsidP="00883A10">
      <w:pPr>
        <w:rPr>
          <w:rFonts w:ascii="Times New Roman" w:hAnsi="Times New Roman" w:cs="Times New Roman"/>
        </w:rPr>
      </w:pPr>
    </w:p>
    <w:p w14:paraId="50072E35" w14:textId="77777777" w:rsidR="00883A10" w:rsidRPr="00883A10" w:rsidRDefault="00883A10" w:rsidP="00883A10">
      <w:pPr>
        <w:rPr>
          <w:rFonts w:ascii="Times New Roman" w:hAnsi="Times New Roman" w:cs="Times New Roman"/>
        </w:rPr>
      </w:pPr>
    </w:p>
    <w:p w14:paraId="7EA3AD01" w14:textId="77777777" w:rsidR="00883A10" w:rsidRPr="00883A10" w:rsidRDefault="00883A10" w:rsidP="00883A10">
      <w:pPr>
        <w:rPr>
          <w:rFonts w:ascii="Times New Roman" w:hAnsi="Times New Roman" w:cs="Times New Roman"/>
        </w:rPr>
      </w:pPr>
    </w:p>
    <w:p w14:paraId="3B366A82" w14:textId="77777777" w:rsidR="00883A10" w:rsidRPr="00883A10" w:rsidRDefault="00883A10" w:rsidP="00883A10">
      <w:pPr>
        <w:rPr>
          <w:rFonts w:ascii="Times New Roman" w:hAnsi="Times New Roman" w:cs="Times New Roman"/>
        </w:rPr>
      </w:pPr>
    </w:p>
    <w:p w14:paraId="02E8D308" w14:textId="77777777" w:rsidR="00883A10" w:rsidRPr="00883A10" w:rsidRDefault="00883A10" w:rsidP="00883A10">
      <w:pPr>
        <w:rPr>
          <w:rFonts w:ascii="Times New Roman" w:hAnsi="Times New Roman" w:cs="Times New Roman"/>
        </w:rPr>
      </w:pPr>
    </w:p>
    <w:p w14:paraId="19C3D010" w14:textId="77777777" w:rsidR="00883A10" w:rsidRPr="00883A10" w:rsidRDefault="00883A10" w:rsidP="00883A10">
      <w:pPr>
        <w:rPr>
          <w:rFonts w:ascii="Times New Roman" w:hAnsi="Times New Roman" w:cs="Times New Roman"/>
        </w:rPr>
      </w:pPr>
    </w:p>
    <w:p w14:paraId="292DC6D5" w14:textId="77777777" w:rsidR="00883A10" w:rsidRPr="00883A10" w:rsidRDefault="00883A10" w:rsidP="00883A10">
      <w:pPr>
        <w:rPr>
          <w:rFonts w:ascii="Times New Roman" w:hAnsi="Times New Roman" w:cs="Times New Roman"/>
        </w:rPr>
      </w:pPr>
    </w:p>
    <w:sdt>
      <w:sdtPr>
        <w:rPr>
          <w:rFonts w:ascii="Arial" w:eastAsia="Arial" w:hAnsi="Arial" w:cs="Arial"/>
          <w:color w:val="auto"/>
          <w:sz w:val="24"/>
          <w:szCs w:val="24"/>
        </w:rPr>
        <w:id w:val="291413615"/>
        <w:docPartObj>
          <w:docPartGallery w:val="Table of Contents"/>
          <w:docPartUnique/>
        </w:docPartObj>
      </w:sdtPr>
      <w:sdtEndPr>
        <w:rPr>
          <w:rFonts w:ascii="Times New Roman" w:hAnsi="Times New Roman" w:cs="Times New Roman"/>
          <w:b/>
          <w:bCs/>
          <w:noProof/>
        </w:rPr>
      </w:sdtEndPr>
      <w:sdtContent>
        <w:p w14:paraId="4F73DF3C" w14:textId="381B3B11" w:rsidR="003E4385" w:rsidRPr="003E4385" w:rsidRDefault="003E4385" w:rsidP="003E4385">
          <w:pPr>
            <w:pStyle w:val="TOCHeading"/>
            <w:jc w:val="center"/>
            <w:rPr>
              <w:rFonts w:ascii="Times New Roman" w:hAnsi="Times New Roman" w:cs="Times New Roman"/>
              <w:b/>
              <w:bCs/>
              <w:color w:val="auto"/>
              <w:sz w:val="28"/>
              <w:szCs w:val="28"/>
            </w:rPr>
          </w:pPr>
          <w:r w:rsidRPr="003E4385">
            <w:rPr>
              <w:rFonts w:ascii="Times New Roman" w:hAnsi="Times New Roman" w:cs="Times New Roman"/>
              <w:b/>
              <w:bCs/>
              <w:color w:val="auto"/>
              <w:sz w:val="28"/>
              <w:szCs w:val="28"/>
            </w:rPr>
            <w:t>Table of Contents</w:t>
          </w:r>
        </w:p>
        <w:p w14:paraId="57C3F4CE" w14:textId="288FBB58" w:rsidR="003E4385" w:rsidRPr="003E4385" w:rsidRDefault="003E4385" w:rsidP="003E4385">
          <w:pPr>
            <w:pStyle w:val="TOC1"/>
            <w:tabs>
              <w:tab w:val="right" w:leader="dot" w:pos="9350"/>
            </w:tabs>
            <w:spacing w:line="360" w:lineRule="auto"/>
            <w:rPr>
              <w:rFonts w:ascii="Times New Roman" w:hAnsi="Times New Roman" w:cs="Times New Roman"/>
              <w:noProof/>
            </w:rPr>
          </w:pPr>
          <w:r w:rsidRPr="003E4385">
            <w:rPr>
              <w:rFonts w:ascii="Times New Roman" w:hAnsi="Times New Roman" w:cs="Times New Roman"/>
            </w:rPr>
            <w:fldChar w:fldCharType="begin"/>
          </w:r>
          <w:r w:rsidRPr="003E4385">
            <w:rPr>
              <w:rFonts w:ascii="Times New Roman" w:hAnsi="Times New Roman" w:cs="Times New Roman"/>
            </w:rPr>
            <w:instrText xml:space="preserve"> TOC \o "1-3" \h \z \u </w:instrText>
          </w:r>
          <w:r w:rsidRPr="003E4385">
            <w:rPr>
              <w:rFonts w:ascii="Times New Roman" w:hAnsi="Times New Roman" w:cs="Times New Roman"/>
            </w:rPr>
            <w:fldChar w:fldCharType="separate"/>
          </w:r>
          <w:hyperlink w:anchor="_Toc224572669" w:history="1">
            <w:r w:rsidRPr="003E4385">
              <w:rPr>
                <w:rStyle w:val="Hyperlink"/>
                <w:rFonts w:ascii="Times New Roman" w:hAnsi="Times New Roman" w:cs="Times New Roman"/>
                <w:noProof/>
              </w:rPr>
              <w:t>1.0   Executive Summary</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_Toc224572669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3</w:t>
            </w:r>
            <w:r w:rsidRPr="003E4385">
              <w:rPr>
                <w:rFonts w:ascii="Times New Roman" w:hAnsi="Times New Roman" w:cs="Times New Roman"/>
                <w:noProof/>
                <w:webHidden/>
              </w:rPr>
              <w:fldChar w:fldCharType="end"/>
            </w:r>
          </w:hyperlink>
        </w:p>
        <w:p w14:paraId="139360E0" w14:textId="4A6FFF6D" w:rsidR="003E4385" w:rsidRPr="003E4385" w:rsidRDefault="003E4385" w:rsidP="003E4385">
          <w:pPr>
            <w:pStyle w:val="TOC1"/>
            <w:tabs>
              <w:tab w:val="right" w:leader="dot" w:pos="9350"/>
            </w:tabs>
            <w:spacing w:line="360" w:lineRule="auto"/>
            <w:rPr>
              <w:rFonts w:ascii="Times New Roman" w:hAnsi="Times New Roman" w:cs="Times New Roman"/>
              <w:noProof/>
            </w:rPr>
          </w:pPr>
          <w:hyperlink w:anchor="_Toc224572670" w:history="1">
            <w:r w:rsidRPr="003E4385">
              <w:rPr>
                <w:rStyle w:val="Hyperlink"/>
                <w:rFonts w:ascii="Times New Roman" w:hAnsi="Times New Roman" w:cs="Times New Roman"/>
                <w:noProof/>
              </w:rPr>
              <w:t>2.0   Introduction</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_Toc224572670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4</w:t>
            </w:r>
            <w:r w:rsidRPr="003E4385">
              <w:rPr>
                <w:rFonts w:ascii="Times New Roman" w:hAnsi="Times New Roman" w:cs="Times New Roman"/>
                <w:noProof/>
                <w:webHidden/>
              </w:rPr>
              <w:fldChar w:fldCharType="end"/>
            </w:r>
          </w:hyperlink>
        </w:p>
        <w:p w14:paraId="17F82348" w14:textId="2A62B5B1" w:rsidR="003E4385" w:rsidRPr="003E4385" w:rsidRDefault="003E4385" w:rsidP="003E4385">
          <w:pPr>
            <w:pStyle w:val="TOC1"/>
            <w:tabs>
              <w:tab w:val="right" w:leader="dot" w:pos="9350"/>
            </w:tabs>
            <w:spacing w:line="360" w:lineRule="auto"/>
            <w:rPr>
              <w:rFonts w:ascii="Times New Roman" w:hAnsi="Times New Roman" w:cs="Times New Roman"/>
              <w:noProof/>
            </w:rPr>
          </w:pPr>
          <w:hyperlink w:anchor="_Toc224572671" w:history="1">
            <w:r w:rsidRPr="003E4385">
              <w:rPr>
                <w:rStyle w:val="Hyperlink"/>
                <w:rFonts w:ascii="Times New Roman" w:hAnsi="Times New Roman" w:cs="Times New Roman"/>
                <w:noProof/>
              </w:rPr>
              <w:t>3.0   Part 1: Designing the Talent Ecosystem</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_Toc224572671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5</w:t>
            </w:r>
            <w:r w:rsidRPr="003E4385">
              <w:rPr>
                <w:rFonts w:ascii="Times New Roman" w:hAnsi="Times New Roman" w:cs="Times New Roman"/>
                <w:noProof/>
                <w:webHidden/>
              </w:rPr>
              <w:fldChar w:fldCharType="end"/>
            </w:r>
          </w:hyperlink>
        </w:p>
        <w:p w14:paraId="256E3396" w14:textId="7F34DC9D"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72" w:history="1">
            <w:r w:rsidRPr="003E4385">
              <w:rPr>
                <w:rStyle w:val="Hyperlink"/>
                <w:rFonts w:ascii="Times New Roman" w:hAnsi="Times New Roman" w:cs="Times New Roman"/>
                <w:noProof/>
              </w:rPr>
              <w:t>Current Talent Ecosystem in the Technology Sector</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_Toc224572672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5</w:t>
            </w:r>
            <w:r w:rsidRPr="003E4385">
              <w:rPr>
                <w:rFonts w:ascii="Times New Roman" w:hAnsi="Times New Roman" w:cs="Times New Roman"/>
                <w:noProof/>
                <w:webHidden/>
              </w:rPr>
              <w:fldChar w:fldCharType="end"/>
            </w:r>
          </w:hyperlink>
        </w:p>
        <w:p w14:paraId="0FBDBE56" w14:textId="6DF0014D"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73" w:history="1">
            <w:r w:rsidRPr="003E4385">
              <w:rPr>
                <w:rStyle w:val="Hyperlink"/>
                <w:rFonts w:ascii="Times New Roman" w:hAnsi="Times New Roman" w:cs="Times New Roman"/>
                <w:noProof/>
              </w:rPr>
              <w:t>Strategic Build vs. Buy Talent Model</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_Toc224572673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6</w:t>
            </w:r>
            <w:r w:rsidRPr="003E4385">
              <w:rPr>
                <w:rFonts w:ascii="Times New Roman" w:hAnsi="Times New Roman" w:cs="Times New Roman"/>
                <w:noProof/>
                <w:webHidden/>
              </w:rPr>
              <w:fldChar w:fldCharType="end"/>
            </w:r>
          </w:hyperlink>
        </w:p>
        <w:p w14:paraId="7D3BAF99" w14:textId="57A1E6C9"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74" w:history="1">
            <w:r w:rsidRPr="003E4385">
              <w:rPr>
                <w:rStyle w:val="Hyperlink"/>
                <w:rFonts w:ascii="Times New Roman" w:hAnsi="Times New Roman" w:cs="Times New Roman"/>
                <w:noProof/>
              </w:rPr>
              <w:t>Attracting and Retaining High-Potential Employees</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_Toc224572674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7</w:t>
            </w:r>
            <w:r w:rsidRPr="003E4385">
              <w:rPr>
                <w:rFonts w:ascii="Times New Roman" w:hAnsi="Times New Roman" w:cs="Times New Roman"/>
                <w:noProof/>
                <w:webHidden/>
              </w:rPr>
              <w:fldChar w:fldCharType="end"/>
            </w:r>
          </w:hyperlink>
        </w:p>
        <w:p w14:paraId="75CC6FEC" w14:textId="4DE96507"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75" w:history="1">
            <w:r w:rsidRPr="003E4385">
              <w:rPr>
                <w:rStyle w:val="Hyperlink"/>
                <w:rFonts w:ascii="Times New Roman" w:hAnsi="Times New Roman" w:cs="Times New Roman"/>
                <w:noProof/>
              </w:rPr>
              <w:t>Mentorship, Leadership Paths, and Lifelong Learning</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_Toc224572675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8</w:t>
            </w:r>
            <w:r w:rsidRPr="003E4385">
              <w:rPr>
                <w:rFonts w:ascii="Times New Roman" w:hAnsi="Times New Roman" w:cs="Times New Roman"/>
                <w:noProof/>
                <w:webHidden/>
              </w:rPr>
              <w:fldChar w:fldCharType="end"/>
            </w:r>
          </w:hyperlink>
        </w:p>
        <w:p w14:paraId="3EEEADF1" w14:textId="560C1D0C" w:rsidR="003E4385" w:rsidRPr="003E4385" w:rsidRDefault="003E4385" w:rsidP="003E4385">
          <w:pPr>
            <w:pStyle w:val="TOC1"/>
            <w:tabs>
              <w:tab w:val="right" w:leader="dot" w:pos="9350"/>
            </w:tabs>
            <w:spacing w:line="360" w:lineRule="auto"/>
            <w:rPr>
              <w:rFonts w:ascii="Times New Roman" w:hAnsi="Times New Roman" w:cs="Times New Roman"/>
              <w:noProof/>
            </w:rPr>
          </w:pPr>
          <w:hyperlink w:anchor="_Toc224572676" w:history="1">
            <w:r w:rsidRPr="003E4385">
              <w:rPr>
                <w:rStyle w:val="Hyperlink"/>
                <w:rFonts w:ascii="Times New Roman" w:hAnsi="Times New Roman" w:cs="Times New Roman"/>
                <w:noProof/>
              </w:rPr>
              <w:t>4.0   Part 2: Reflection Using Kolb's Experiential Learning Cycle</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_Toc224572676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10</w:t>
            </w:r>
            <w:r w:rsidRPr="003E4385">
              <w:rPr>
                <w:rFonts w:ascii="Times New Roman" w:hAnsi="Times New Roman" w:cs="Times New Roman"/>
                <w:noProof/>
                <w:webHidden/>
              </w:rPr>
              <w:fldChar w:fldCharType="end"/>
            </w:r>
          </w:hyperlink>
        </w:p>
        <w:p w14:paraId="6593BE1B" w14:textId="4399DF4C"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77" w:history="1">
            <w:r w:rsidRPr="003E4385">
              <w:rPr>
                <w:rStyle w:val="Hyperlink"/>
                <w:rFonts w:ascii="Times New Roman" w:hAnsi="Times New Roman" w:cs="Times New Roman"/>
                <w:noProof/>
              </w:rPr>
              <w:t>Stage 1 – Concrete Experience</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_Toc224572677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11</w:t>
            </w:r>
            <w:r w:rsidRPr="003E4385">
              <w:rPr>
                <w:rFonts w:ascii="Times New Roman" w:hAnsi="Times New Roman" w:cs="Times New Roman"/>
                <w:noProof/>
                <w:webHidden/>
              </w:rPr>
              <w:fldChar w:fldCharType="end"/>
            </w:r>
          </w:hyperlink>
        </w:p>
        <w:p w14:paraId="6FF0FD8E" w14:textId="1B7B814C"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78" w:history="1">
            <w:r w:rsidRPr="003E4385">
              <w:rPr>
                <w:rStyle w:val="Hyperlink"/>
                <w:rFonts w:ascii="Times New Roman" w:hAnsi="Times New Roman" w:cs="Times New Roman"/>
                <w:noProof/>
              </w:rPr>
              <w:t>Stage 2 – Reflective Observation</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_Toc224572678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11</w:t>
            </w:r>
            <w:r w:rsidRPr="003E4385">
              <w:rPr>
                <w:rFonts w:ascii="Times New Roman" w:hAnsi="Times New Roman" w:cs="Times New Roman"/>
                <w:noProof/>
                <w:webHidden/>
              </w:rPr>
              <w:fldChar w:fldCharType="end"/>
            </w:r>
          </w:hyperlink>
        </w:p>
        <w:p w14:paraId="0B3C1212" w14:textId="06CED469"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79" w:history="1">
            <w:r w:rsidRPr="003E4385">
              <w:rPr>
                <w:rStyle w:val="Hyperlink"/>
                <w:rFonts w:ascii="Times New Roman" w:hAnsi="Times New Roman" w:cs="Times New Roman"/>
                <w:noProof/>
              </w:rPr>
              <w:t>Stage 3 – Abstract Conceptualisation</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_Toc224572679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11</w:t>
            </w:r>
            <w:r w:rsidRPr="003E4385">
              <w:rPr>
                <w:rFonts w:ascii="Times New Roman" w:hAnsi="Times New Roman" w:cs="Times New Roman"/>
                <w:noProof/>
                <w:webHidden/>
              </w:rPr>
              <w:fldChar w:fldCharType="end"/>
            </w:r>
          </w:hyperlink>
        </w:p>
        <w:p w14:paraId="1A8DFC28" w14:textId="661492D3"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80" w:history="1">
            <w:r w:rsidRPr="003E4385">
              <w:rPr>
                <w:rStyle w:val="Hyperlink"/>
                <w:rFonts w:ascii="Times New Roman" w:hAnsi="Times New Roman" w:cs="Times New Roman"/>
                <w:noProof/>
              </w:rPr>
              <w:t>Stage 4 – Active Experimentation</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_Toc224572680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12</w:t>
            </w:r>
            <w:r w:rsidRPr="003E4385">
              <w:rPr>
                <w:rFonts w:ascii="Times New Roman" w:hAnsi="Times New Roman" w:cs="Times New Roman"/>
                <w:noProof/>
                <w:webHidden/>
              </w:rPr>
              <w:fldChar w:fldCharType="end"/>
            </w:r>
          </w:hyperlink>
        </w:p>
        <w:p w14:paraId="540F462C" w14:textId="5C29BDDA" w:rsidR="003E4385" w:rsidRPr="003E4385" w:rsidRDefault="003E4385" w:rsidP="003E4385">
          <w:pPr>
            <w:pStyle w:val="TOC2"/>
            <w:tabs>
              <w:tab w:val="right" w:leader="dot" w:pos="9350"/>
            </w:tabs>
            <w:spacing w:line="360" w:lineRule="auto"/>
            <w:rPr>
              <w:rFonts w:ascii="Times New Roman" w:hAnsi="Times New Roman" w:cs="Times New Roman"/>
              <w:noProof/>
            </w:rPr>
          </w:pPr>
          <w:hyperlink w:anchor="_Toc224572681" w:history="1">
            <w:r w:rsidRPr="003E4385">
              <w:rPr>
                <w:rStyle w:val="Hyperlink"/>
                <w:rFonts w:ascii="Times New Roman" w:hAnsi="Times New Roman" w:cs="Times New Roman"/>
                <w:noProof/>
              </w:rPr>
              <w:t>Staying Relevant in the Age of Artificial Intelligence</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_Toc224572681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12</w:t>
            </w:r>
            <w:r w:rsidRPr="003E4385">
              <w:rPr>
                <w:rFonts w:ascii="Times New Roman" w:hAnsi="Times New Roman" w:cs="Times New Roman"/>
                <w:noProof/>
                <w:webHidden/>
              </w:rPr>
              <w:fldChar w:fldCharType="end"/>
            </w:r>
          </w:hyperlink>
        </w:p>
        <w:p w14:paraId="6903F64D" w14:textId="6F4482AD" w:rsidR="003E4385" w:rsidRPr="003E4385" w:rsidRDefault="003E4385" w:rsidP="003E4385">
          <w:pPr>
            <w:pStyle w:val="TOC1"/>
            <w:tabs>
              <w:tab w:val="right" w:leader="dot" w:pos="9350"/>
            </w:tabs>
            <w:spacing w:line="360" w:lineRule="auto"/>
            <w:rPr>
              <w:rFonts w:ascii="Times New Roman" w:hAnsi="Times New Roman" w:cs="Times New Roman"/>
              <w:noProof/>
            </w:rPr>
          </w:pPr>
          <w:hyperlink w:anchor="_Toc224572682" w:history="1">
            <w:r w:rsidRPr="003E4385">
              <w:rPr>
                <w:rStyle w:val="Hyperlink"/>
                <w:rFonts w:ascii="Times New Roman" w:hAnsi="Times New Roman" w:cs="Times New Roman"/>
                <w:noProof/>
              </w:rPr>
              <w:t>5.0   Conclusion</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_Toc224572682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14</w:t>
            </w:r>
            <w:r w:rsidRPr="003E4385">
              <w:rPr>
                <w:rFonts w:ascii="Times New Roman" w:hAnsi="Times New Roman" w:cs="Times New Roman"/>
                <w:noProof/>
                <w:webHidden/>
              </w:rPr>
              <w:fldChar w:fldCharType="end"/>
            </w:r>
          </w:hyperlink>
        </w:p>
        <w:p w14:paraId="580CCC86" w14:textId="2D4A794D" w:rsidR="003E4385" w:rsidRPr="003E4385" w:rsidRDefault="003E4385" w:rsidP="003E4385">
          <w:pPr>
            <w:pStyle w:val="TOC1"/>
            <w:tabs>
              <w:tab w:val="right" w:leader="dot" w:pos="9350"/>
            </w:tabs>
            <w:spacing w:line="360" w:lineRule="auto"/>
            <w:rPr>
              <w:rFonts w:ascii="Times New Roman" w:hAnsi="Times New Roman" w:cs="Times New Roman"/>
              <w:noProof/>
            </w:rPr>
          </w:pPr>
          <w:hyperlink w:anchor="_Toc224572683" w:history="1">
            <w:r w:rsidRPr="003E4385">
              <w:rPr>
                <w:rStyle w:val="Hyperlink"/>
                <w:rFonts w:ascii="Times New Roman" w:hAnsi="Times New Roman" w:cs="Times New Roman"/>
                <w:noProof/>
              </w:rPr>
              <w:t>6.0   References</w:t>
            </w:r>
            <w:r w:rsidRPr="003E4385">
              <w:rPr>
                <w:rFonts w:ascii="Times New Roman" w:hAnsi="Times New Roman" w:cs="Times New Roman"/>
                <w:noProof/>
                <w:webHidden/>
              </w:rPr>
              <w:tab/>
            </w:r>
            <w:r w:rsidRPr="003E4385">
              <w:rPr>
                <w:rFonts w:ascii="Times New Roman" w:hAnsi="Times New Roman" w:cs="Times New Roman"/>
                <w:noProof/>
                <w:webHidden/>
              </w:rPr>
              <w:fldChar w:fldCharType="begin"/>
            </w:r>
            <w:r w:rsidRPr="003E4385">
              <w:rPr>
                <w:rFonts w:ascii="Times New Roman" w:hAnsi="Times New Roman" w:cs="Times New Roman"/>
                <w:noProof/>
                <w:webHidden/>
              </w:rPr>
              <w:instrText xml:space="preserve"> PAGEREF _Toc224572683 \h </w:instrText>
            </w:r>
            <w:r w:rsidRPr="003E4385">
              <w:rPr>
                <w:rFonts w:ascii="Times New Roman" w:hAnsi="Times New Roman" w:cs="Times New Roman"/>
                <w:noProof/>
                <w:webHidden/>
              </w:rPr>
            </w:r>
            <w:r w:rsidRPr="003E4385">
              <w:rPr>
                <w:rFonts w:ascii="Times New Roman" w:hAnsi="Times New Roman" w:cs="Times New Roman"/>
                <w:noProof/>
                <w:webHidden/>
              </w:rPr>
              <w:fldChar w:fldCharType="separate"/>
            </w:r>
            <w:r w:rsidRPr="003E4385">
              <w:rPr>
                <w:rFonts w:ascii="Times New Roman" w:hAnsi="Times New Roman" w:cs="Times New Roman"/>
                <w:noProof/>
                <w:webHidden/>
              </w:rPr>
              <w:t>15</w:t>
            </w:r>
            <w:r w:rsidRPr="003E4385">
              <w:rPr>
                <w:rFonts w:ascii="Times New Roman" w:hAnsi="Times New Roman" w:cs="Times New Roman"/>
                <w:noProof/>
                <w:webHidden/>
              </w:rPr>
              <w:fldChar w:fldCharType="end"/>
            </w:r>
          </w:hyperlink>
        </w:p>
        <w:p w14:paraId="2B47F0D1" w14:textId="1D1C3F43" w:rsidR="003E4385" w:rsidRPr="003E4385" w:rsidRDefault="003E4385" w:rsidP="003E4385">
          <w:pPr>
            <w:spacing w:line="360" w:lineRule="auto"/>
            <w:rPr>
              <w:rFonts w:ascii="Times New Roman" w:hAnsi="Times New Roman" w:cs="Times New Roman"/>
            </w:rPr>
          </w:pPr>
          <w:r w:rsidRPr="003E4385">
            <w:rPr>
              <w:rFonts w:ascii="Times New Roman" w:hAnsi="Times New Roman" w:cs="Times New Roman"/>
              <w:b/>
              <w:bCs/>
              <w:noProof/>
            </w:rPr>
            <w:fldChar w:fldCharType="end"/>
          </w:r>
        </w:p>
      </w:sdtContent>
    </w:sdt>
    <w:p w14:paraId="7645A496" w14:textId="77777777" w:rsidR="00883A10" w:rsidRPr="003E4385" w:rsidRDefault="00883A10" w:rsidP="003E4385">
      <w:pPr>
        <w:spacing w:line="360" w:lineRule="auto"/>
        <w:rPr>
          <w:rFonts w:ascii="Times New Roman" w:hAnsi="Times New Roman" w:cs="Times New Roman"/>
        </w:rPr>
      </w:pPr>
    </w:p>
    <w:p w14:paraId="5D199DB9" w14:textId="77777777" w:rsidR="00883A10" w:rsidRPr="003E4385" w:rsidRDefault="00883A10" w:rsidP="003E4385">
      <w:pPr>
        <w:spacing w:line="360" w:lineRule="auto"/>
        <w:rPr>
          <w:rFonts w:ascii="Times New Roman" w:hAnsi="Times New Roman" w:cs="Times New Roman"/>
        </w:rPr>
      </w:pPr>
    </w:p>
    <w:p w14:paraId="2316705F" w14:textId="77777777" w:rsidR="00883A10" w:rsidRPr="00883A10" w:rsidRDefault="00883A10" w:rsidP="00883A10">
      <w:pPr>
        <w:rPr>
          <w:rFonts w:ascii="Times New Roman" w:hAnsi="Times New Roman" w:cs="Times New Roman"/>
        </w:rPr>
      </w:pPr>
    </w:p>
    <w:p w14:paraId="22364DE7" w14:textId="77777777" w:rsidR="00883A10" w:rsidRPr="00883A10" w:rsidRDefault="00883A10" w:rsidP="00883A10">
      <w:pPr>
        <w:rPr>
          <w:rFonts w:ascii="Times New Roman" w:hAnsi="Times New Roman" w:cs="Times New Roman"/>
        </w:rPr>
      </w:pPr>
    </w:p>
    <w:p w14:paraId="688E6DB2" w14:textId="77777777" w:rsidR="00883A10" w:rsidRPr="00883A10" w:rsidRDefault="00883A10" w:rsidP="00883A10">
      <w:pPr>
        <w:rPr>
          <w:rFonts w:ascii="Times New Roman" w:hAnsi="Times New Roman" w:cs="Times New Roman"/>
        </w:rPr>
      </w:pPr>
    </w:p>
    <w:p w14:paraId="6C389528" w14:textId="77777777" w:rsidR="00883A10" w:rsidRPr="00883A10" w:rsidRDefault="00883A10" w:rsidP="00883A10">
      <w:pPr>
        <w:rPr>
          <w:rFonts w:ascii="Times New Roman" w:hAnsi="Times New Roman" w:cs="Times New Roman"/>
        </w:rPr>
      </w:pPr>
    </w:p>
    <w:p w14:paraId="29378364" w14:textId="77777777" w:rsidR="00883A10" w:rsidRPr="00883A10" w:rsidRDefault="00883A10" w:rsidP="00883A10">
      <w:pPr>
        <w:rPr>
          <w:rFonts w:ascii="Times New Roman" w:hAnsi="Times New Roman" w:cs="Times New Roman"/>
        </w:rPr>
      </w:pPr>
    </w:p>
    <w:p w14:paraId="2A358852" w14:textId="77777777" w:rsidR="00883A10" w:rsidRPr="00883A10" w:rsidRDefault="00883A10" w:rsidP="00883A10">
      <w:pPr>
        <w:rPr>
          <w:rFonts w:ascii="Times New Roman" w:hAnsi="Times New Roman" w:cs="Times New Roman"/>
        </w:rPr>
      </w:pPr>
    </w:p>
    <w:p w14:paraId="4FC8D295" w14:textId="77777777" w:rsidR="00883A10" w:rsidRPr="00883A10" w:rsidRDefault="00883A10" w:rsidP="00883A10">
      <w:pPr>
        <w:rPr>
          <w:rFonts w:ascii="Times New Roman" w:hAnsi="Times New Roman" w:cs="Times New Roman"/>
        </w:rPr>
      </w:pPr>
    </w:p>
    <w:p w14:paraId="46584B84" w14:textId="77777777" w:rsidR="00883A10" w:rsidRPr="00883A10" w:rsidRDefault="00883A10" w:rsidP="00883A10">
      <w:pPr>
        <w:rPr>
          <w:rFonts w:ascii="Times New Roman" w:hAnsi="Times New Roman" w:cs="Times New Roman"/>
        </w:rPr>
      </w:pPr>
    </w:p>
    <w:p w14:paraId="2B8F9516" w14:textId="77777777" w:rsidR="00883A10" w:rsidRPr="00883A10" w:rsidRDefault="00883A10" w:rsidP="00883A10">
      <w:pPr>
        <w:rPr>
          <w:rFonts w:ascii="Times New Roman" w:hAnsi="Times New Roman" w:cs="Times New Roman"/>
        </w:rPr>
      </w:pPr>
    </w:p>
    <w:p w14:paraId="333CE276" w14:textId="77777777" w:rsidR="00883A10" w:rsidRPr="00883A10" w:rsidRDefault="00883A10" w:rsidP="00883A10">
      <w:pPr>
        <w:rPr>
          <w:rFonts w:ascii="Times New Roman" w:hAnsi="Times New Roman" w:cs="Times New Roman"/>
        </w:rPr>
      </w:pPr>
    </w:p>
    <w:p w14:paraId="45D2510F" w14:textId="77777777" w:rsidR="00883A10" w:rsidRPr="00883A10" w:rsidRDefault="00883A10" w:rsidP="00883A10">
      <w:pPr>
        <w:rPr>
          <w:rFonts w:ascii="Times New Roman" w:hAnsi="Times New Roman" w:cs="Times New Roman"/>
        </w:rPr>
      </w:pPr>
    </w:p>
    <w:p w14:paraId="35A5A622" w14:textId="77777777" w:rsidR="00883A10" w:rsidRDefault="00883A10" w:rsidP="00883A10">
      <w:pPr>
        <w:rPr>
          <w:rFonts w:ascii="Times New Roman" w:hAnsi="Times New Roman" w:cs="Times New Roman"/>
        </w:rPr>
      </w:pPr>
    </w:p>
    <w:p w14:paraId="6481A221" w14:textId="77777777" w:rsidR="00883A10" w:rsidRDefault="00883A10" w:rsidP="00883A10">
      <w:pPr>
        <w:rPr>
          <w:rFonts w:ascii="Times New Roman" w:hAnsi="Times New Roman" w:cs="Times New Roman"/>
        </w:rPr>
      </w:pPr>
    </w:p>
    <w:p w14:paraId="2E49D0A2" w14:textId="77777777" w:rsidR="00883A10" w:rsidRPr="00883A10" w:rsidRDefault="00883A10" w:rsidP="00883A10">
      <w:pPr>
        <w:rPr>
          <w:rFonts w:ascii="Times New Roman" w:hAnsi="Times New Roman" w:cs="Times New Roman"/>
        </w:rPr>
      </w:pPr>
    </w:p>
    <w:p w14:paraId="7D61B094" w14:textId="77777777" w:rsidR="00883A10" w:rsidRPr="00883A10" w:rsidRDefault="00883A10" w:rsidP="00883A10">
      <w:pPr>
        <w:rPr>
          <w:rFonts w:ascii="Times New Roman" w:hAnsi="Times New Roman" w:cs="Times New Roman"/>
        </w:rPr>
      </w:pPr>
    </w:p>
    <w:p w14:paraId="0EAC9777" w14:textId="77777777" w:rsidR="00883A10" w:rsidRPr="00883A10" w:rsidRDefault="00883A10" w:rsidP="00883A10">
      <w:pPr>
        <w:rPr>
          <w:rFonts w:ascii="Times New Roman" w:hAnsi="Times New Roman" w:cs="Times New Roman"/>
        </w:rPr>
      </w:pPr>
    </w:p>
    <w:p w14:paraId="1B18DE24" w14:textId="77777777" w:rsidR="00883A10" w:rsidRPr="00883A10" w:rsidRDefault="00883A10" w:rsidP="00883A10">
      <w:pPr>
        <w:rPr>
          <w:rFonts w:ascii="Times New Roman" w:hAnsi="Times New Roman" w:cs="Times New Roman"/>
        </w:rPr>
      </w:pPr>
    </w:p>
    <w:tbl>
      <w:tblPr>
        <w:tblpPr w:leftFromText="180" w:rightFromText="180" w:vertAnchor="text" w:horzAnchor="margin" w:tblpY="-743"/>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883A10" w:rsidRPr="00883A10" w14:paraId="4E4D1146" w14:textId="77777777" w:rsidTr="00883A10">
        <w:tc>
          <w:tcPr>
            <w:tcW w:w="9360" w:type="dxa"/>
            <w:tcBorders>
              <w:top w:val="none" w:sz="0" w:space="0" w:color="FFFFFF"/>
              <w:left w:val="none" w:sz="0" w:space="0" w:color="FFFFFF"/>
              <w:bottom w:val="none" w:sz="0" w:space="0" w:color="FFFFFF"/>
              <w:right w:val="none" w:sz="0" w:space="0" w:color="FFFFFF"/>
            </w:tcBorders>
            <w:shd w:val="clear" w:color="auto" w:fill="1F3864"/>
            <w:tcMar>
              <w:top w:w="120" w:type="dxa"/>
              <w:left w:w="220" w:type="dxa"/>
              <w:bottom w:w="120" w:type="dxa"/>
              <w:right w:w="220" w:type="dxa"/>
            </w:tcMar>
          </w:tcPr>
          <w:p w14:paraId="12AE9314" w14:textId="77777777" w:rsidR="00883A10" w:rsidRPr="00883A10" w:rsidRDefault="00883A10" w:rsidP="00883A10">
            <w:pPr>
              <w:pStyle w:val="Heading1"/>
              <w:jc w:val="center"/>
            </w:pPr>
            <w:bookmarkStart w:id="0" w:name="_Toc224572669"/>
            <w:r w:rsidRPr="00883A10">
              <w:rPr>
                <w:rFonts w:eastAsia="Arial"/>
              </w:rPr>
              <w:t>1.0   Executive Summary</w:t>
            </w:r>
            <w:bookmarkEnd w:id="0"/>
          </w:p>
        </w:tc>
      </w:tr>
    </w:tbl>
    <w:p w14:paraId="10054195" w14:textId="52677AB4"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In this report, the Human Capital Consultant role has been presented to Aether Innovations, an example of a 300-person technology company whose growth has become stagnant, employee turnover has been high, and customer satisfaction has been dwindling. The report offers the solution of an integrated talent ecosystem that covers the entire </w:t>
      </w:r>
      <w:proofErr w:type="gramStart"/>
      <w:r w:rsidRPr="00883A10">
        <w:rPr>
          <w:rFonts w:ascii="Times New Roman" w:hAnsi="Times New Roman" w:cs="Times New Roman"/>
        </w:rPr>
        <w:t>lifecycle</w:t>
      </w:r>
      <w:proofErr w:type="gramEnd"/>
      <w:r w:rsidRPr="00883A10">
        <w:rPr>
          <w:rFonts w:ascii="Times New Roman" w:hAnsi="Times New Roman" w:cs="Times New Roman"/>
        </w:rPr>
        <w:t xml:space="preserve"> of employees. Part 1 critically analyzes existing talent practices in the technology industry, suggests a balanced model for build vs. </w:t>
      </w:r>
      <w:proofErr w:type="gramStart"/>
      <w:r w:rsidRPr="00883A10">
        <w:rPr>
          <w:rFonts w:ascii="Times New Roman" w:hAnsi="Times New Roman" w:cs="Times New Roman"/>
        </w:rPr>
        <w:t>buy</w:t>
      </w:r>
      <w:proofErr w:type="gramEnd"/>
      <w:r w:rsidRPr="00883A10">
        <w:rPr>
          <w:rFonts w:ascii="Times New Roman" w:hAnsi="Times New Roman" w:cs="Times New Roman"/>
        </w:rPr>
        <w:t xml:space="preserve"> talent, and </w:t>
      </w:r>
      <w:r w:rsidR="00883A10" w:rsidRPr="00883A10">
        <w:rPr>
          <w:rFonts w:ascii="Times New Roman" w:hAnsi="Times New Roman" w:cs="Times New Roman"/>
        </w:rPr>
        <w:t xml:space="preserve">explains </w:t>
      </w:r>
      <w:r w:rsidRPr="00883A10">
        <w:rPr>
          <w:rFonts w:ascii="Times New Roman" w:hAnsi="Times New Roman" w:cs="Times New Roman"/>
        </w:rPr>
        <w:t xml:space="preserve">how mentorship, well-organized leadership career, and lifelong learning can be used to attract and retain high-potential staff. In part 2, there is a personal critical reflection based on the Experiential Learning Cycle created by Kolb (1984) and, finally, a strategy </w:t>
      </w:r>
      <w:r w:rsidR="00883A10" w:rsidRPr="00883A10">
        <w:rPr>
          <w:rFonts w:ascii="Times New Roman" w:hAnsi="Times New Roman" w:cs="Times New Roman"/>
        </w:rPr>
        <w:t>for</w:t>
      </w:r>
      <w:r w:rsidRPr="00883A10">
        <w:rPr>
          <w:rFonts w:ascii="Times New Roman" w:hAnsi="Times New Roman" w:cs="Times New Roman"/>
        </w:rPr>
        <w:t xml:space="preserve"> the future </w:t>
      </w:r>
      <w:proofErr w:type="gramStart"/>
      <w:r w:rsidRPr="00883A10">
        <w:rPr>
          <w:rFonts w:ascii="Times New Roman" w:hAnsi="Times New Roman" w:cs="Times New Roman"/>
        </w:rPr>
        <w:t>in order to</w:t>
      </w:r>
      <w:proofErr w:type="gramEnd"/>
      <w:r w:rsidRPr="00883A10">
        <w:rPr>
          <w:rFonts w:ascii="Times New Roman" w:hAnsi="Times New Roman" w:cs="Times New Roman"/>
        </w:rPr>
        <w:t xml:space="preserve"> be professionally relevant when AI capabilities evolve.</w:t>
      </w:r>
    </w:p>
    <w:p w14:paraId="34B199BE" w14:textId="7777777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br w:type="page"/>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09459B" w:rsidRPr="00883A10" w14:paraId="3C983F6D" w14:textId="77777777" w:rsidTr="00CD6B8B">
        <w:tc>
          <w:tcPr>
            <w:tcW w:w="9360" w:type="dxa"/>
            <w:tcBorders>
              <w:top w:val="none" w:sz="0" w:space="0" w:color="FFFFFF"/>
              <w:left w:val="none" w:sz="0" w:space="0" w:color="FFFFFF"/>
              <w:bottom w:val="none" w:sz="0" w:space="0" w:color="FFFFFF"/>
              <w:right w:val="none" w:sz="0" w:space="0" w:color="FFFFFF"/>
            </w:tcBorders>
            <w:shd w:val="clear" w:color="auto" w:fill="1F3864"/>
            <w:tcMar>
              <w:top w:w="120" w:type="dxa"/>
              <w:left w:w="220" w:type="dxa"/>
              <w:bottom w:w="120" w:type="dxa"/>
              <w:right w:w="220" w:type="dxa"/>
            </w:tcMar>
          </w:tcPr>
          <w:p w14:paraId="1C63D2BC" w14:textId="77777777" w:rsidR="0009459B" w:rsidRPr="00883A10" w:rsidRDefault="0009459B" w:rsidP="00883A10">
            <w:pPr>
              <w:pStyle w:val="Heading1"/>
            </w:pPr>
            <w:bookmarkStart w:id="1" w:name="_Toc224572670"/>
            <w:r w:rsidRPr="00883A10">
              <w:rPr>
                <w:rFonts w:eastAsia="Arial"/>
              </w:rPr>
              <w:lastRenderedPageBreak/>
              <w:t>2.0   Introduction</w:t>
            </w:r>
            <w:bookmarkEnd w:id="1"/>
          </w:p>
        </w:tc>
      </w:tr>
    </w:tbl>
    <w:p w14:paraId="37C61D3A" w14:textId="77777777" w:rsidR="0009459B" w:rsidRPr="00883A10" w:rsidRDefault="0009459B" w:rsidP="00883A10">
      <w:pPr>
        <w:spacing w:line="360" w:lineRule="auto"/>
        <w:jc w:val="both"/>
        <w:rPr>
          <w:rFonts w:ascii="Times New Roman" w:hAnsi="Times New Roman" w:cs="Times New Roman"/>
        </w:rPr>
      </w:pPr>
    </w:p>
    <w:p w14:paraId="465C11BD" w14:textId="3FBA8FB3"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The strategic management of human capital has become a key competitive differentiation in knowledge-intensive industries (Collings, Scullion, and </w:t>
      </w:r>
      <w:proofErr w:type="spellStart"/>
      <w:r w:rsidRPr="00883A10">
        <w:rPr>
          <w:rFonts w:ascii="Times New Roman" w:hAnsi="Times New Roman" w:cs="Times New Roman"/>
        </w:rPr>
        <w:t>Vaiman</w:t>
      </w:r>
      <w:proofErr w:type="spellEnd"/>
      <w:r w:rsidRPr="00883A10">
        <w:rPr>
          <w:rFonts w:ascii="Times New Roman" w:hAnsi="Times New Roman" w:cs="Times New Roman"/>
        </w:rPr>
        <w:t xml:space="preserve">, 2015). To technology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xml:space="preserve"> like Aether Innovations, where the intellectual capital and innovation are the key drivers of </w:t>
      </w:r>
      <w:proofErr w:type="spellStart"/>
      <w:r w:rsidRPr="00883A10">
        <w:rPr>
          <w:rFonts w:ascii="Times New Roman" w:hAnsi="Times New Roman" w:cs="Times New Roman"/>
        </w:rPr>
        <w:t>organisational</w:t>
      </w:r>
      <w:proofErr w:type="spellEnd"/>
      <w:r w:rsidRPr="00883A10">
        <w:rPr>
          <w:rFonts w:ascii="Times New Roman" w:hAnsi="Times New Roman" w:cs="Times New Roman"/>
        </w:rPr>
        <w:t xml:space="preserve"> value, talent acquisition, development, and retention are not a fringe HR </w:t>
      </w:r>
      <w:proofErr w:type="gramStart"/>
      <w:r w:rsidRPr="00883A10">
        <w:rPr>
          <w:rFonts w:ascii="Times New Roman" w:hAnsi="Times New Roman" w:cs="Times New Roman"/>
        </w:rPr>
        <w:t>issue</w:t>
      </w:r>
      <w:proofErr w:type="gramEnd"/>
      <w:r w:rsidRPr="00883A10">
        <w:rPr>
          <w:rFonts w:ascii="Times New Roman" w:hAnsi="Times New Roman" w:cs="Times New Roman"/>
        </w:rPr>
        <w:t xml:space="preserve">, but rather a central strategic imperative (Cascio and Boudreau, 2016). </w:t>
      </w:r>
      <w:proofErr w:type="gramStart"/>
      <w:r w:rsidRPr="00883A10">
        <w:rPr>
          <w:rFonts w:ascii="Times New Roman" w:hAnsi="Times New Roman" w:cs="Times New Roman"/>
        </w:rPr>
        <w:t>Aether Innovations</w:t>
      </w:r>
      <w:proofErr w:type="gramEnd"/>
      <w:r w:rsidRPr="00883A10">
        <w:rPr>
          <w:rFonts w:ascii="Times New Roman" w:hAnsi="Times New Roman" w:cs="Times New Roman"/>
        </w:rPr>
        <w:t xml:space="preserve"> </w:t>
      </w:r>
      <w:proofErr w:type="gramStart"/>
      <w:r w:rsidRPr="00883A10">
        <w:rPr>
          <w:rFonts w:ascii="Times New Roman" w:hAnsi="Times New Roman" w:cs="Times New Roman"/>
        </w:rPr>
        <w:t>is</w:t>
      </w:r>
      <w:proofErr w:type="gramEnd"/>
      <w:r w:rsidRPr="00883A10">
        <w:rPr>
          <w:rFonts w:ascii="Times New Roman" w:hAnsi="Times New Roman" w:cs="Times New Roman"/>
        </w:rPr>
        <w:t xml:space="preserve"> at the point of convergence of talent issues: high voluntary turnover, unengaged staff, and an increasing skills gap that is compromising the capacity to innovate and service quality.</w:t>
      </w:r>
    </w:p>
    <w:p w14:paraId="55214711" w14:textId="77777777" w:rsidR="0009459B" w:rsidRPr="00883A10" w:rsidRDefault="0009459B" w:rsidP="00883A10">
      <w:pPr>
        <w:spacing w:line="360" w:lineRule="auto"/>
        <w:jc w:val="both"/>
        <w:rPr>
          <w:rFonts w:ascii="Times New Roman" w:hAnsi="Times New Roman" w:cs="Times New Roman"/>
        </w:rPr>
      </w:pPr>
    </w:p>
    <w:p w14:paraId="78B034FC" w14:textId="7777777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The report has a systemic viewpoint, in which talent management is viewed as a complex ecosystem that includes the entire employee lifecycle and not a collection of disconnected HR practices (Sparrow et al., 2016). Both recommendations are based on the existing HRM theory and modern empirical findings that make them practical and at the same time academic.</w:t>
      </w:r>
    </w:p>
    <w:p w14:paraId="1AED9146" w14:textId="7777777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br w:type="page"/>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09459B" w:rsidRPr="00883A10" w14:paraId="1D04CB4C" w14:textId="77777777" w:rsidTr="00CD6B8B">
        <w:tc>
          <w:tcPr>
            <w:tcW w:w="9360" w:type="dxa"/>
            <w:tcBorders>
              <w:top w:val="none" w:sz="0" w:space="0" w:color="FFFFFF"/>
              <w:left w:val="none" w:sz="0" w:space="0" w:color="FFFFFF"/>
              <w:bottom w:val="none" w:sz="0" w:space="0" w:color="FFFFFF"/>
              <w:right w:val="none" w:sz="0" w:space="0" w:color="FFFFFF"/>
            </w:tcBorders>
            <w:shd w:val="clear" w:color="auto" w:fill="1F3864"/>
            <w:tcMar>
              <w:top w:w="120" w:type="dxa"/>
              <w:left w:w="220" w:type="dxa"/>
              <w:bottom w:w="120" w:type="dxa"/>
              <w:right w:w="220" w:type="dxa"/>
            </w:tcMar>
          </w:tcPr>
          <w:p w14:paraId="26EAE94C" w14:textId="77777777" w:rsidR="0009459B" w:rsidRPr="00883A10" w:rsidRDefault="0009459B" w:rsidP="00883A10">
            <w:pPr>
              <w:pStyle w:val="Heading1"/>
            </w:pPr>
            <w:bookmarkStart w:id="2" w:name="_Toc224572671"/>
            <w:r w:rsidRPr="00883A10">
              <w:rPr>
                <w:rFonts w:eastAsia="Arial"/>
              </w:rPr>
              <w:lastRenderedPageBreak/>
              <w:t>3.0   Part 1: Designing the Talent Ecosystem</w:t>
            </w:r>
            <w:bookmarkEnd w:id="2"/>
          </w:p>
        </w:tc>
      </w:tr>
    </w:tbl>
    <w:p w14:paraId="5BF7EF69" w14:textId="77777777" w:rsidR="0009459B" w:rsidRPr="00883A10" w:rsidRDefault="0009459B" w:rsidP="00883A10">
      <w:pPr>
        <w:spacing w:line="360" w:lineRule="auto"/>
        <w:jc w:val="both"/>
        <w:rPr>
          <w:rFonts w:ascii="Times New Roman" w:hAnsi="Times New Roman" w:cs="Times New Roman"/>
        </w:rPr>
      </w:pPr>
    </w:p>
    <w:p w14:paraId="51A86FF3" w14:textId="75F3DEBF" w:rsidR="0009459B" w:rsidRPr="00883A10" w:rsidRDefault="0009459B" w:rsidP="00883A10">
      <w:pPr>
        <w:pStyle w:val="Heading2"/>
      </w:pPr>
      <w:bookmarkStart w:id="3" w:name="_Toc224572672"/>
      <w:r w:rsidRPr="00883A10">
        <w:rPr>
          <w:rFonts w:eastAsia="Arial"/>
        </w:rPr>
        <w:t>Current Talent Ecosystem in the Technology Sector</w:t>
      </w:r>
      <w:bookmarkEnd w:id="3"/>
    </w:p>
    <w:p w14:paraId="45DBB131" w14:textId="50B3BB08"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The technology industry is further defined by a growing global talent shortage. According to Korn Ferry (2023), by 2030, the market will require 4.3 million workers in technology, which will increase competition among qualified workers and radically change the bargaining power of the candidates. As shown in Figure 1 below, the primary quantitative aspects of this talent challenge will be based on the data provided by Korn Ferry (2023), Gallup (2023), and Chun and Evans (2023).</w:t>
      </w:r>
    </w:p>
    <w:p w14:paraId="18297E91" w14:textId="2569F761"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noProof/>
        </w:rPr>
        <w:drawing>
          <wp:inline distT="0" distB="0" distL="0" distR="0" wp14:anchorId="2B1C3471" wp14:editId="4B638F77">
            <wp:extent cx="5943600" cy="2759710"/>
            <wp:effectExtent l="0" t="0" r="0" b="2540"/>
            <wp:docPr id="1681382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5943600" cy="2759710"/>
                    </a:xfrm>
                    <a:prstGeom prst="rect">
                      <a:avLst/>
                    </a:prstGeom>
                    <a:noFill/>
                    <a:ln>
                      <a:noFill/>
                    </a:ln>
                    <a:extLst>
                      <a:ext uri="{53640926-AAD7-44D8-BBD7-CCE9431645EC}">
                        <a14:shadowObscured xmlns:a14="http://schemas.microsoft.com/office/drawing/2010/main"/>
                      </a:ext>
                    </a:extLst>
                  </pic:spPr>
                </pic:pic>
              </a:graphicData>
            </a:graphic>
          </wp:inline>
        </w:drawing>
      </w:r>
    </w:p>
    <w:p w14:paraId="0AE94B62" w14:textId="77777777" w:rsidR="0009459B" w:rsidRPr="00883A10" w:rsidRDefault="0009459B" w:rsidP="00883A10">
      <w:pPr>
        <w:spacing w:line="360" w:lineRule="auto"/>
        <w:jc w:val="center"/>
        <w:rPr>
          <w:rFonts w:ascii="Times New Roman" w:hAnsi="Times New Roman" w:cs="Times New Roman"/>
        </w:rPr>
      </w:pPr>
      <w:r w:rsidRPr="00883A10">
        <w:rPr>
          <w:rFonts w:ascii="Times New Roman" w:hAnsi="Times New Roman" w:cs="Times New Roman"/>
          <w:i/>
          <w:iCs/>
          <w:color w:val="666666"/>
        </w:rPr>
        <w:t>Figure 1: Key Talent Challenges in the Technology Sector (Sources: Korn Ferry, 2023; Gallup, 2023)</w:t>
      </w:r>
    </w:p>
    <w:p w14:paraId="32FDA5C0" w14:textId="1989B3F3"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Technology companies have traditionally been proactive in reacting to these forces by initially using aggressive pay, including above-market salaries, equity plans, and sign-on bonuses as the key personnel attraction tool (Cappelli and Keller, 2014). Although these transactional styles work in the short term, they do not cater to the intrinsic motivation needs of the high-potential workers. According to Gallup (2023), the average voluntary tenure of a software engineer is about 18 months, which is very expensive in terms of loss of knowledge, disruption to productivity, and recruiting a new person. The lack of structured talent development has been committed in parallel by many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xml:space="preserve"> that have opted to buy expertise instead of developing </w:t>
      </w:r>
      <w:proofErr w:type="gramStart"/>
      <w:r w:rsidRPr="00883A10">
        <w:rPr>
          <w:rFonts w:ascii="Times New Roman" w:hAnsi="Times New Roman" w:cs="Times New Roman"/>
        </w:rPr>
        <w:t>it, and</w:t>
      </w:r>
      <w:proofErr w:type="gramEnd"/>
      <w:r w:rsidRPr="00883A10">
        <w:rPr>
          <w:rFonts w:ascii="Times New Roman" w:hAnsi="Times New Roman" w:cs="Times New Roman"/>
        </w:rPr>
        <w:t xml:space="preserve"> have made </w:t>
      </w:r>
      <w:r w:rsidRPr="00883A10">
        <w:rPr>
          <w:rFonts w:ascii="Times New Roman" w:hAnsi="Times New Roman" w:cs="Times New Roman"/>
        </w:rPr>
        <w:lastRenderedPageBreak/>
        <w:t>buying new expertise a priority orientation at the expense of developing expertise, making the pipeline fragile and entirely reliant on external market conditions (Cappelli, 2009).</w:t>
      </w:r>
    </w:p>
    <w:p w14:paraId="47CC849A" w14:textId="59EC41AC" w:rsidR="0009459B" w:rsidRPr="00883A10" w:rsidRDefault="0009459B" w:rsidP="00883A10">
      <w:pPr>
        <w:pStyle w:val="Heading2"/>
      </w:pPr>
      <w:bookmarkStart w:id="4" w:name="_Toc224572673"/>
      <w:r w:rsidRPr="00883A10">
        <w:rPr>
          <w:rFonts w:eastAsia="Arial"/>
        </w:rPr>
        <w:t>Strategic Build vs. Buy Talent Model</w:t>
      </w:r>
      <w:bookmarkEnd w:id="4"/>
    </w:p>
    <w:p w14:paraId="0C07D739" w14:textId="0B2C7239"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The strategic decision of talent management lies in the degree to which an </w:t>
      </w:r>
      <w:proofErr w:type="spellStart"/>
      <w:r w:rsidRPr="00883A10">
        <w:rPr>
          <w:rFonts w:ascii="Times New Roman" w:hAnsi="Times New Roman" w:cs="Times New Roman"/>
        </w:rPr>
        <w:t>organisation</w:t>
      </w:r>
      <w:proofErr w:type="spellEnd"/>
      <w:r w:rsidRPr="00883A10">
        <w:rPr>
          <w:rFonts w:ascii="Times New Roman" w:hAnsi="Times New Roman" w:cs="Times New Roman"/>
        </w:rPr>
        <w:t xml:space="preserve"> can grow human capital within it (build) or purchase it (buy). Cappelli's (2009) systematic framework necessitates a subtle evaluation of role criticality, skill shortage, time horizon, and culture fit to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In the case of Aether Innovations, a combination of these models should be applied, which should be adjusted according to the quadrant analysis conducted in Figure 2.</w:t>
      </w:r>
    </w:p>
    <w:p w14:paraId="23D85FEE" w14:textId="7777777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noProof/>
        </w:rPr>
        <w:drawing>
          <wp:inline distT="0" distB="0" distL="0" distR="0" wp14:anchorId="74AA2898" wp14:editId="21379539">
            <wp:extent cx="5766695" cy="4076700"/>
            <wp:effectExtent l="0" t="0" r="5715" b="0"/>
            <wp:docPr id="1748507337" name="Picture 1748507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8842"/>
                    <a:stretch>
                      <a:fillRect/>
                    </a:stretch>
                  </pic:blipFill>
                  <pic:spPr bwMode="auto">
                    <a:xfrm>
                      <a:off x="0" y="0"/>
                      <a:ext cx="5772595" cy="4080871"/>
                    </a:xfrm>
                    <a:prstGeom prst="rect">
                      <a:avLst/>
                    </a:prstGeom>
                    <a:ln>
                      <a:noFill/>
                    </a:ln>
                    <a:extLst>
                      <a:ext uri="{53640926-AAD7-44D8-BBD7-CCE9431645EC}">
                        <a14:shadowObscured xmlns:a14="http://schemas.microsoft.com/office/drawing/2010/main"/>
                      </a:ext>
                    </a:extLst>
                  </pic:spPr>
                </pic:pic>
              </a:graphicData>
            </a:graphic>
          </wp:inline>
        </w:drawing>
      </w:r>
    </w:p>
    <w:p w14:paraId="3EE4E61B" w14:textId="77777777" w:rsidR="0009459B" w:rsidRPr="00883A10" w:rsidRDefault="0009459B" w:rsidP="00883A10">
      <w:pPr>
        <w:spacing w:line="360" w:lineRule="auto"/>
        <w:jc w:val="center"/>
        <w:rPr>
          <w:rFonts w:ascii="Times New Roman" w:hAnsi="Times New Roman" w:cs="Times New Roman"/>
        </w:rPr>
      </w:pPr>
      <w:r w:rsidRPr="00883A10">
        <w:rPr>
          <w:rFonts w:ascii="Times New Roman" w:hAnsi="Times New Roman" w:cs="Times New Roman"/>
          <w:i/>
          <w:iCs/>
          <w:color w:val="666666"/>
        </w:rPr>
        <w:t>Figure 2: Build vs. Buy Strategic Talent Decision Matrix (Adapted from Cappelli, 2009)</w:t>
      </w:r>
    </w:p>
    <w:p w14:paraId="6E5C7FEF" w14:textId="1124D064"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As Figure 2 demonstrates, Aether innovation, which is at high-criticality and high-scarcity quadrant, ought to take a combined approach. Technical niche positions (AI engineers, cloud architects, cybersecurity experts) should be considered a selective buy strategy</w:t>
      </w:r>
      <w:r w:rsidR="00883A10" w:rsidRPr="00883A10">
        <w:rPr>
          <w:rFonts w:ascii="Times New Roman" w:hAnsi="Times New Roman" w:cs="Times New Roman"/>
        </w:rPr>
        <w:t>,</w:t>
      </w:r>
      <w:r w:rsidRPr="00883A10">
        <w:rPr>
          <w:rFonts w:ascii="Times New Roman" w:hAnsi="Times New Roman" w:cs="Times New Roman"/>
        </w:rPr>
        <w:t xml:space="preserve"> as it is impractical to develop such knowledge in a short timeline. On the other hand, positions that demand a thorough understanding of the </w:t>
      </w:r>
      <w:proofErr w:type="spellStart"/>
      <w:r w:rsidRPr="00883A10">
        <w:rPr>
          <w:rFonts w:ascii="Times New Roman" w:hAnsi="Times New Roman" w:cs="Times New Roman"/>
        </w:rPr>
        <w:t>organisation</w:t>
      </w:r>
      <w:proofErr w:type="spellEnd"/>
      <w:r w:rsidRPr="00883A10">
        <w:rPr>
          <w:rFonts w:ascii="Times New Roman" w:hAnsi="Times New Roman" w:cs="Times New Roman"/>
        </w:rPr>
        <w:t xml:space="preserve"> and its cultural fit, such as product management, people leadership, and business analysis, are best managed using an internally built strategy. This can be </w:t>
      </w:r>
      <w:r w:rsidRPr="00883A10">
        <w:rPr>
          <w:rFonts w:ascii="Times New Roman" w:hAnsi="Times New Roman" w:cs="Times New Roman"/>
        </w:rPr>
        <w:lastRenderedPageBreak/>
        <w:t>supported by the Resource-Based View (Barney, 1991), which offers a strong theoretical foundation: the imitable human capital that is developed due to internal investment cannot be sustained by competitors through external acquisition only.</w:t>
      </w:r>
    </w:p>
    <w:p w14:paraId="6DA4E3C4" w14:textId="1DE5D76C" w:rsidR="0009459B" w:rsidRPr="00883A10" w:rsidRDefault="0009459B" w:rsidP="00883A10">
      <w:pPr>
        <w:pStyle w:val="Heading2"/>
      </w:pPr>
      <w:bookmarkStart w:id="5" w:name="_Toc224572674"/>
      <w:r w:rsidRPr="00883A10">
        <w:rPr>
          <w:rFonts w:eastAsia="Arial"/>
        </w:rPr>
        <w:t>Attracting and Retaining High-Potential Employees</w:t>
      </w:r>
      <w:bookmarkEnd w:id="5"/>
    </w:p>
    <w:p w14:paraId="69C2BE6D" w14:textId="5B8E3B2E"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In addition to remuneration, there is </w:t>
      </w:r>
      <w:r w:rsidR="00883A10" w:rsidRPr="00883A10">
        <w:rPr>
          <w:rFonts w:ascii="Times New Roman" w:hAnsi="Times New Roman" w:cs="Times New Roman"/>
        </w:rPr>
        <w:t>consistent research</w:t>
      </w:r>
      <w:r w:rsidRPr="00883A10">
        <w:rPr>
          <w:rFonts w:ascii="Times New Roman" w:hAnsi="Times New Roman" w:cs="Times New Roman"/>
        </w:rPr>
        <w:t xml:space="preserve"> finding that high-potential employees are attracted by purpose, growth, and belonging factors. According to Deloitte (2023), 76 per cent of millennial and Generation Z professionals described salary as not being a priority when they make career decisions. Aether Innovations should, therefore, create an effective Employee Value Proposition (EVP) that is heartfelt and genuine in communicating its employee development, innovation, and psychological safety.</w:t>
      </w:r>
    </w:p>
    <w:p w14:paraId="5FB02F63" w14:textId="2E4EFCD2"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This EVP is to be </w:t>
      </w:r>
      <w:proofErr w:type="spellStart"/>
      <w:r w:rsidRPr="00883A10">
        <w:rPr>
          <w:rFonts w:ascii="Times New Roman" w:hAnsi="Times New Roman" w:cs="Times New Roman"/>
        </w:rPr>
        <w:t>operationalised</w:t>
      </w:r>
      <w:proofErr w:type="spellEnd"/>
      <w:r w:rsidRPr="00883A10">
        <w:rPr>
          <w:rFonts w:ascii="Times New Roman" w:hAnsi="Times New Roman" w:cs="Times New Roman"/>
        </w:rPr>
        <w:t xml:space="preserve"> via conscious employer branding on the </w:t>
      </w:r>
      <w:proofErr w:type="spellStart"/>
      <w:r w:rsidRPr="00883A10">
        <w:rPr>
          <w:rFonts w:ascii="Times New Roman" w:hAnsi="Times New Roman" w:cs="Times New Roman"/>
        </w:rPr>
        <w:t>digitised</w:t>
      </w:r>
      <w:proofErr w:type="spellEnd"/>
      <w:r w:rsidRPr="00883A10">
        <w:rPr>
          <w:rFonts w:ascii="Times New Roman" w:hAnsi="Times New Roman" w:cs="Times New Roman"/>
        </w:rPr>
        <w:t xml:space="preserve"> platform as well as college relationships, graduate initiatives, and sponsored research projects. Predictive talent analytics (based on the evidence-based approach introduced by Boudreau and Cascio, 2017) can be used to further narrow down the acquisition strategy by establishing the candidate characteristics with the strongest relationship to the high performance and long-term employment of the target candidate within the context of the Aether company.</w:t>
      </w:r>
    </w:p>
    <w:p w14:paraId="0516D4CA" w14:textId="4CA87EC2"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According to SHRM (2023),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xml:space="preserve"> that have an </w:t>
      </w:r>
      <w:proofErr w:type="spellStart"/>
      <w:r w:rsidRPr="00883A10">
        <w:rPr>
          <w:rFonts w:ascii="Times New Roman" w:hAnsi="Times New Roman" w:cs="Times New Roman"/>
        </w:rPr>
        <w:t>organised</w:t>
      </w:r>
      <w:proofErr w:type="spellEnd"/>
      <w:r w:rsidRPr="00883A10">
        <w:rPr>
          <w:rFonts w:ascii="Times New Roman" w:hAnsi="Times New Roman" w:cs="Times New Roman"/>
        </w:rPr>
        <w:t xml:space="preserve"> talent development </w:t>
      </w:r>
      <w:proofErr w:type="spellStart"/>
      <w:r w:rsidRPr="00883A10">
        <w:rPr>
          <w:rFonts w:ascii="Times New Roman" w:hAnsi="Times New Roman" w:cs="Times New Roman"/>
        </w:rPr>
        <w:t>programme</w:t>
      </w:r>
      <w:proofErr w:type="spellEnd"/>
      <w:r w:rsidRPr="00883A10">
        <w:rPr>
          <w:rFonts w:ascii="Times New Roman" w:hAnsi="Times New Roman" w:cs="Times New Roman"/>
        </w:rPr>
        <w:t xml:space="preserve"> report 34% reduced voluntary turnover and 41% higher employee engagement scores than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xml:space="preserve"> that do not have such </w:t>
      </w:r>
      <w:proofErr w:type="spellStart"/>
      <w:r w:rsidRPr="00883A10">
        <w:rPr>
          <w:rFonts w:ascii="Times New Roman" w:hAnsi="Times New Roman" w:cs="Times New Roman"/>
        </w:rPr>
        <w:t>programmes</w:t>
      </w:r>
      <w:proofErr w:type="spellEnd"/>
      <w:r w:rsidRPr="00883A10">
        <w:rPr>
          <w:rFonts w:ascii="Times New Roman" w:hAnsi="Times New Roman" w:cs="Times New Roman"/>
        </w:rPr>
        <w:t xml:space="preserve"> - highlighting the strategic payback of </w:t>
      </w:r>
      <w:r w:rsidR="00883A10" w:rsidRPr="00883A10">
        <w:rPr>
          <w:rFonts w:ascii="Times New Roman" w:hAnsi="Times New Roman" w:cs="Times New Roman"/>
        </w:rPr>
        <w:t>strategic</w:t>
      </w:r>
      <w:r w:rsidRPr="00883A10">
        <w:rPr>
          <w:rFonts w:ascii="Times New Roman" w:hAnsi="Times New Roman" w:cs="Times New Roman"/>
        </w:rPr>
        <w:t xml:space="preserve"> internal talent development.</w:t>
      </w:r>
    </w:p>
    <w:p w14:paraId="623ADC60" w14:textId="7777777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Figure 3 below will give the proposed integrated talent ecosystem in a holistic manner and show how all lifecycle stages complement each other to form a self-sustaining capability engine within Aether Innovations.</w:t>
      </w:r>
    </w:p>
    <w:p w14:paraId="07252A4B" w14:textId="77777777" w:rsidR="0009459B" w:rsidRPr="00883A10" w:rsidRDefault="0009459B" w:rsidP="00883A10">
      <w:pPr>
        <w:spacing w:line="360" w:lineRule="auto"/>
        <w:jc w:val="center"/>
        <w:rPr>
          <w:rFonts w:ascii="Times New Roman" w:hAnsi="Times New Roman" w:cs="Times New Roman"/>
        </w:rPr>
      </w:pPr>
      <w:r w:rsidRPr="00883A10">
        <w:rPr>
          <w:rFonts w:ascii="Times New Roman" w:hAnsi="Times New Roman" w:cs="Times New Roman"/>
          <w:noProof/>
        </w:rPr>
        <w:lastRenderedPageBreak/>
        <w:drawing>
          <wp:inline distT="0" distB="0" distL="0" distR="0" wp14:anchorId="586E6C7B" wp14:editId="65C351DA">
            <wp:extent cx="3765076" cy="3573780"/>
            <wp:effectExtent l="0" t="0" r="6985" b="7620"/>
            <wp:docPr id="1964417264" name="Picture 1964417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l="10232" t="14698" r="9209" b="8838"/>
                    <a:stretch>
                      <a:fillRect/>
                    </a:stretch>
                  </pic:blipFill>
                  <pic:spPr bwMode="auto">
                    <a:xfrm>
                      <a:off x="0" y="0"/>
                      <a:ext cx="3771329" cy="3579716"/>
                    </a:xfrm>
                    <a:prstGeom prst="rect">
                      <a:avLst/>
                    </a:prstGeom>
                    <a:ln>
                      <a:noFill/>
                    </a:ln>
                    <a:extLst>
                      <a:ext uri="{53640926-AAD7-44D8-BBD7-CCE9431645EC}">
                        <a14:shadowObscured xmlns:a14="http://schemas.microsoft.com/office/drawing/2010/main"/>
                      </a:ext>
                    </a:extLst>
                  </pic:spPr>
                </pic:pic>
              </a:graphicData>
            </a:graphic>
          </wp:inline>
        </w:drawing>
      </w:r>
    </w:p>
    <w:p w14:paraId="37D42370" w14:textId="77777777" w:rsidR="0009459B" w:rsidRPr="00883A10" w:rsidRDefault="0009459B" w:rsidP="00883A10">
      <w:pPr>
        <w:spacing w:line="360" w:lineRule="auto"/>
        <w:jc w:val="center"/>
        <w:rPr>
          <w:rFonts w:ascii="Times New Roman" w:hAnsi="Times New Roman" w:cs="Times New Roman"/>
        </w:rPr>
      </w:pPr>
      <w:r w:rsidRPr="00883A10">
        <w:rPr>
          <w:rFonts w:ascii="Times New Roman" w:hAnsi="Times New Roman" w:cs="Times New Roman"/>
          <w:i/>
          <w:iCs/>
          <w:color w:val="666666"/>
        </w:rPr>
        <w:t>Figure 3: Integrated Talent Ecosystem Framework for Aether Innovations</w:t>
      </w:r>
    </w:p>
    <w:p w14:paraId="60604F42" w14:textId="77777777" w:rsidR="0009459B" w:rsidRPr="00883A10" w:rsidRDefault="0009459B" w:rsidP="00883A10">
      <w:pPr>
        <w:spacing w:line="360" w:lineRule="auto"/>
        <w:jc w:val="both"/>
        <w:rPr>
          <w:rFonts w:ascii="Times New Roman" w:hAnsi="Times New Roman" w:cs="Times New Roman"/>
        </w:rPr>
      </w:pPr>
    </w:p>
    <w:p w14:paraId="69CD936E" w14:textId="7D19F973" w:rsidR="0009459B" w:rsidRPr="00883A10" w:rsidRDefault="0009459B" w:rsidP="00883A10">
      <w:pPr>
        <w:pStyle w:val="Heading2"/>
      </w:pPr>
      <w:bookmarkStart w:id="6" w:name="_Toc224572675"/>
      <w:r w:rsidRPr="00883A10">
        <w:rPr>
          <w:rFonts w:eastAsia="Arial"/>
        </w:rPr>
        <w:t>Mentorship, Leadership Paths, and Lifelong Learning</w:t>
      </w:r>
      <w:bookmarkEnd w:id="6"/>
    </w:p>
    <w:p w14:paraId="0E9DD7DA" w14:textId="61E17170"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Mentorship has also been known to be one of the best means of speeding up the development of high-potential employees, transferring knowledge, and establishing the relationship connections on which </w:t>
      </w:r>
      <w:proofErr w:type="spellStart"/>
      <w:r w:rsidRPr="00883A10">
        <w:rPr>
          <w:rFonts w:ascii="Times New Roman" w:hAnsi="Times New Roman" w:cs="Times New Roman"/>
        </w:rPr>
        <w:t>organisational</w:t>
      </w:r>
      <w:proofErr w:type="spellEnd"/>
      <w:r w:rsidRPr="00883A10">
        <w:rPr>
          <w:rFonts w:ascii="Times New Roman" w:hAnsi="Times New Roman" w:cs="Times New Roman"/>
        </w:rPr>
        <w:t xml:space="preserve"> commitment is built (Allen et al., 2004). Aether Innovations will need to adopt a three-dimensional mentorship </w:t>
      </w:r>
      <w:proofErr w:type="spellStart"/>
      <w:r w:rsidRPr="00883A10">
        <w:rPr>
          <w:rFonts w:ascii="Times New Roman" w:hAnsi="Times New Roman" w:cs="Times New Roman"/>
        </w:rPr>
        <w:t>programme</w:t>
      </w:r>
      <w:proofErr w:type="spellEnd"/>
      <w:r w:rsidRPr="00883A10">
        <w:rPr>
          <w:rFonts w:ascii="Times New Roman" w:hAnsi="Times New Roman" w:cs="Times New Roman"/>
        </w:rPr>
        <w:t>:</w:t>
      </w:r>
    </w:p>
    <w:p w14:paraId="234F755D" w14:textId="5D705644" w:rsidR="0009459B" w:rsidRPr="00883A10" w:rsidRDefault="0009459B" w:rsidP="00883A10">
      <w:pPr>
        <w:pStyle w:val="ListParagraph"/>
        <w:numPr>
          <w:ilvl w:val="0"/>
          <w:numId w:val="2"/>
        </w:numPr>
        <w:spacing w:line="360" w:lineRule="auto"/>
        <w:jc w:val="both"/>
        <w:rPr>
          <w:rFonts w:ascii="Times New Roman" w:hAnsi="Times New Roman" w:cs="Times New Roman"/>
        </w:rPr>
      </w:pPr>
      <w:r w:rsidRPr="00883A10">
        <w:rPr>
          <w:rFonts w:ascii="Times New Roman" w:hAnsi="Times New Roman" w:cs="Times New Roman"/>
        </w:rPr>
        <w:t>Formal mentoring limited to two- Annual one-on-one mentoring of employees: High-potential employees with senior leaders based on data-driven matching by developmental goals and career paths (Ragins and Kram, 2007).</w:t>
      </w:r>
    </w:p>
    <w:p w14:paraId="3A562CCE" w14:textId="77777777" w:rsidR="0009459B" w:rsidRPr="00883A10" w:rsidRDefault="0009459B" w:rsidP="00883A10">
      <w:pPr>
        <w:pStyle w:val="ListParagraph"/>
        <w:numPr>
          <w:ilvl w:val="0"/>
          <w:numId w:val="2"/>
        </w:numPr>
        <w:spacing w:line="360" w:lineRule="auto"/>
        <w:jc w:val="both"/>
        <w:rPr>
          <w:rFonts w:ascii="Times New Roman" w:hAnsi="Times New Roman" w:cs="Times New Roman"/>
        </w:rPr>
      </w:pPr>
      <w:r w:rsidRPr="00883A10">
        <w:rPr>
          <w:rFonts w:ascii="Times New Roman" w:hAnsi="Times New Roman" w:cs="Times New Roman"/>
        </w:rPr>
        <w:t>Peer mentoring cohorts that develop horizontal learning networks that are psychologically safe and help learners acquire skills faster and hold each other accountable (Clutterbuck, 2014).</w:t>
      </w:r>
    </w:p>
    <w:p w14:paraId="1701A145" w14:textId="442D149E" w:rsidR="0009459B" w:rsidRPr="00883A10" w:rsidRDefault="0009459B" w:rsidP="00883A10">
      <w:pPr>
        <w:pStyle w:val="ListParagraph"/>
        <w:numPr>
          <w:ilvl w:val="0"/>
          <w:numId w:val="2"/>
        </w:numPr>
        <w:spacing w:line="360" w:lineRule="auto"/>
        <w:jc w:val="both"/>
        <w:rPr>
          <w:rFonts w:ascii="Times New Roman" w:hAnsi="Times New Roman" w:cs="Times New Roman"/>
        </w:rPr>
      </w:pPr>
      <w:r w:rsidRPr="00883A10">
        <w:rPr>
          <w:rFonts w:ascii="Times New Roman" w:hAnsi="Times New Roman" w:cs="Times New Roman"/>
        </w:rPr>
        <w:t xml:space="preserve">Reverse mentoring, where the top leaders are mentored by junior employees possessing special digital knowledge, and at the same time, developing digital capability at the top and indicating that the </w:t>
      </w:r>
      <w:proofErr w:type="spellStart"/>
      <w:r w:rsidRPr="00883A10">
        <w:rPr>
          <w:rFonts w:ascii="Times New Roman" w:hAnsi="Times New Roman" w:cs="Times New Roman"/>
        </w:rPr>
        <w:t>organisation</w:t>
      </w:r>
      <w:proofErr w:type="spellEnd"/>
      <w:r w:rsidRPr="00883A10">
        <w:rPr>
          <w:rFonts w:ascii="Times New Roman" w:hAnsi="Times New Roman" w:cs="Times New Roman"/>
        </w:rPr>
        <w:t xml:space="preserve"> is realistically respectful of emerging talents (Murphy, 2012).</w:t>
      </w:r>
    </w:p>
    <w:p w14:paraId="45650006" w14:textId="28DF2103"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lastRenderedPageBreak/>
        <w:t xml:space="preserve">In conjunction with mentorship, there should be formal leadership development programs. These would include rotational appointments, cross-functional project sponsorship, and a special leadership academy in line with the strategic priorities of Aether. The World Economic Forum (2023) cautions that the fundamental skills of 44% of the workforce will be disrupted in five years, and lifelong learning is in fact an essential requirement rather than an added value. Learning and Development infrastructure at Aether must at least work on three layers: a digital learning system enabling self-managed development; internal </w:t>
      </w:r>
      <w:proofErr w:type="spellStart"/>
      <w:r w:rsidRPr="00883A10">
        <w:rPr>
          <w:rFonts w:ascii="Times New Roman" w:hAnsi="Times New Roman" w:cs="Times New Roman"/>
        </w:rPr>
        <w:t>programmes</w:t>
      </w:r>
      <w:proofErr w:type="spellEnd"/>
      <w:r w:rsidRPr="00883A10">
        <w:rPr>
          <w:rFonts w:ascii="Times New Roman" w:hAnsi="Times New Roman" w:cs="Times New Roman"/>
        </w:rPr>
        <w:t xml:space="preserve"> (bootcamps, leadership academies, action-learning sets); and external relationships with universities and professional bodies which deliver accredited qualifications.</w:t>
      </w:r>
    </w:p>
    <w:p w14:paraId="4EBEC676" w14:textId="75D7E33C" w:rsidR="0009459B"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The combination of these initiatives </w:t>
      </w:r>
      <w:proofErr w:type="spellStart"/>
      <w:r w:rsidRPr="00883A10">
        <w:rPr>
          <w:rFonts w:ascii="Times New Roman" w:hAnsi="Times New Roman" w:cs="Times New Roman"/>
        </w:rPr>
        <w:t>operationalises</w:t>
      </w:r>
      <w:proofErr w:type="spellEnd"/>
      <w:r w:rsidRPr="00883A10">
        <w:rPr>
          <w:rFonts w:ascii="Times New Roman" w:hAnsi="Times New Roman" w:cs="Times New Roman"/>
        </w:rPr>
        <w:t xml:space="preserve"> the Learning </w:t>
      </w:r>
      <w:proofErr w:type="spellStart"/>
      <w:r w:rsidRPr="00883A10">
        <w:rPr>
          <w:rFonts w:ascii="Times New Roman" w:hAnsi="Times New Roman" w:cs="Times New Roman"/>
        </w:rPr>
        <w:t>Organisation</w:t>
      </w:r>
      <w:proofErr w:type="spellEnd"/>
      <w:r w:rsidRPr="00883A10">
        <w:rPr>
          <w:rFonts w:ascii="Times New Roman" w:hAnsi="Times New Roman" w:cs="Times New Roman"/>
        </w:rPr>
        <w:t xml:space="preserve"> idea of Senge (1990) that the ability to learn in a continuous fashion is a fundamental </w:t>
      </w:r>
      <w:proofErr w:type="spellStart"/>
      <w:r w:rsidRPr="00883A10">
        <w:rPr>
          <w:rFonts w:ascii="Times New Roman" w:hAnsi="Times New Roman" w:cs="Times New Roman"/>
        </w:rPr>
        <w:t>organisational</w:t>
      </w:r>
      <w:proofErr w:type="spellEnd"/>
      <w:r w:rsidRPr="00883A10">
        <w:rPr>
          <w:rFonts w:ascii="Times New Roman" w:hAnsi="Times New Roman" w:cs="Times New Roman"/>
        </w:rPr>
        <w:t xml:space="preserve"> ability that maintains competitive advantage, through adaptability, creation of knowledge, and employee involvement.</w:t>
      </w:r>
    </w:p>
    <w:p w14:paraId="253D0218" w14:textId="23933DF9" w:rsidR="003E4385" w:rsidRDefault="003E4385" w:rsidP="003E4385">
      <w:pPr>
        <w:pStyle w:val="Caption"/>
        <w:rPr>
          <w:rFonts w:ascii="Times New Roman" w:hAnsi="Times New Roman" w:cs="Times New Roman"/>
        </w:rPr>
      </w:pPr>
      <w:r>
        <w:t xml:space="preserve">Table </w:t>
      </w:r>
      <w:fldSimple w:instr=" SEQ Table \* ARABIC ">
        <w:r>
          <w:rPr>
            <w:noProof/>
          </w:rPr>
          <w:t>1</w:t>
        </w:r>
      </w:fldSimple>
      <w:r>
        <w:t xml:space="preserve"> </w:t>
      </w:r>
      <w:r w:rsidRPr="003E4385">
        <w:rPr>
          <w:rFonts w:ascii="Times New Roman" w:hAnsi="Times New Roman" w:cs="Times New Roman"/>
        </w:rPr>
        <w:t>Integrated Talent Ecosystem Roadmap</w:t>
      </w:r>
    </w:p>
    <w:tbl>
      <w:tblPr>
        <w:tblStyle w:val="GridTable4"/>
        <w:tblW w:w="9360" w:type="dxa"/>
        <w:tblLook w:val="04A0" w:firstRow="1" w:lastRow="0" w:firstColumn="1" w:lastColumn="0" w:noHBand="0" w:noVBand="1"/>
      </w:tblPr>
      <w:tblGrid>
        <w:gridCol w:w="1560"/>
        <w:gridCol w:w="2100"/>
        <w:gridCol w:w="1900"/>
        <w:gridCol w:w="2000"/>
        <w:gridCol w:w="1800"/>
      </w:tblGrid>
      <w:tr w:rsidR="003E4385" w14:paraId="7C9775E3" w14:textId="77777777" w:rsidTr="003E43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2DA50C18" w14:textId="77777777" w:rsidR="003E4385" w:rsidRDefault="003E4385" w:rsidP="00CD6B8B">
            <w:pPr>
              <w:jc w:val="center"/>
            </w:pPr>
            <w:r>
              <w:rPr>
                <w:color w:val="FFFFFF"/>
                <w:sz w:val="21"/>
                <w:szCs w:val="21"/>
              </w:rPr>
              <w:t>Ecosystem Layer</w:t>
            </w:r>
          </w:p>
        </w:tc>
        <w:tc>
          <w:tcPr>
            <w:tcW w:w="2100" w:type="dxa"/>
          </w:tcPr>
          <w:p w14:paraId="2FCDB4B6" w14:textId="77777777" w:rsidR="003E4385" w:rsidRDefault="003E4385" w:rsidP="00CD6B8B">
            <w:pPr>
              <w:jc w:val="center"/>
              <w:cnfStyle w:val="100000000000" w:firstRow="1" w:lastRow="0" w:firstColumn="0" w:lastColumn="0" w:oddVBand="0" w:evenVBand="0" w:oddHBand="0" w:evenHBand="0" w:firstRowFirstColumn="0" w:firstRowLastColumn="0" w:lastRowFirstColumn="0" w:lastRowLastColumn="0"/>
            </w:pPr>
            <w:r>
              <w:rPr>
                <w:color w:val="FFFFFF"/>
                <w:sz w:val="21"/>
                <w:szCs w:val="21"/>
              </w:rPr>
              <w:t>Key Initiatives</w:t>
            </w:r>
          </w:p>
        </w:tc>
        <w:tc>
          <w:tcPr>
            <w:tcW w:w="1900" w:type="dxa"/>
          </w:tcPr>
          <w:p w14:paraId="019A793F" w14:textId="77777777" w:rsidR="003E4385" w:rsidRDefault="003E4385" w:rsidP="00CD6B8B">
            <w:pPr>
              <w:jc w:val="center"/>
              <w:cnfStyle w:val="100000000000" w:firstRow="1" w:lastRow="0" w:firstColumn="0" w:lastColumn="0" w:oddVBand="0" w:evenVBand="0" w:oddHBand="0" w:evenHBand="0" w:firstRowFirstColumn="0" w:firstRowLastColumn="0" w:lastRowFirstColumn="0" w:lastRowLastColumn="0"/>
            </w:pPr>
            <w:r>
              <w:rPr>
                <w:color w:val="FFFFFF"/>
                <w:sz w:val="21"/>
                <w:szCs w:val="21"/>
              </w:rPr>
              <w:t>Theoretical Foundation</w:t>
            </w:r>
          </w:p>
        </w:tc>
        <w:tc>
          <w:tcPr>
            <w:tcW w:w="2000" w:type="dxa"/>
          </w:tcPr>
          <w:p w14:paraId="1E2A122C" w14:textId="77777777" w:rsidR="003E4385" w:rsidRDefault="003E4385" w:rsidP="00CD6B8B">
            <w:pPr>
              <w:jc w:val="center"/>
              <w:cnfStyle w:val="100000000000" w:firstRow="1" w:lastRow="0" w:firstColumn="0" w:lastColumn="0" w:oddVBand="0" w:evenVBand="0" w:oddHBand="0" w:evenHBand="0" w:firstRowFirstColumn="0" w:firstRowLastColumn="0" w:lastRowFirstColumn="0" w:lastRowLastColumn="0"/>
            </w:pPr>
            <w:r>
              <w:rPr>
                <w:color w:val="FFFFFF"/>
                <w:sz w:val="21"/>
                <w:szCs w:val="21"/>
              </w:rPr>
              <w:t>Expected Outcome</w:t>
            </w:r>
          </w:p>
        </w:tc>
        <w:tc>
          <w:tcPr>
            <w:tcW w:w="1800" w:type="dxa"/>
          </w:tcPr>
          <w:p w14:paraId="4F07E2DF" w14:textId="77777777" w:rsidR="003E4385" w:rsidRDefault="003E4385" w:rsidP="00CD6B8B">
            <w:pPr>
              <w:jc w:val="center"/>
              <w:cnfStyle w:val="100000000000" w:firstRow="1" w:lastRow="0" w:firstColumn="0" w:lastColumn="0" w:oddVBand="0" w:evenVBand="0" w:oddHBand="0" w:evenHBand="0" w:firstRowFirstColumn="0" w:firstRowLastColumn="0" w:lastRowFirstColumn="0" w:lastRowLastColumn="0"/>
            </w:pPr>
            <w:r>
              <w:rPr>
                <w:color w:val="FFFFFF"/>
                <w:sz w:val="21"/>
                <w:szCs w:val="21"/>
              </w:rPr>
              <w:t>Priority Timeline</w:t>
            </w:r>
          </w:p>
        </w:tc>
      </w:tr>
      <w:tr w:rsidR="003E4385" w14:paraId="4E8E5C7C" w14:textId="77777777" w:rsidTr="003E43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59928B23" w14:textId="77777777" w:rsidR="003E4385" w:rsidRDefault="003E4385" w:rsidP="00CD6B8B">
            <w:pPr>
              <w:jc w:val="both"/>
            </w:pPr>
            <w:r>
              <w:rPr>
                <w:sz w:val="20"/>
                <w:szCs w:val="20"/>
              </w:rPr>
              <w:t>Talent Attraction</w:t>
            </w:r>
          </w:p>
        </w:tc>
        <w:tc>
          <w:tcPr>
            <w:tcW w:w="2100" w:type="dxa"/>
          </w:tcPr>
          <w:p w14:paraId="65F0995A"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EVP development; graduate schemes; university partnerships; talent analytics</w:t>
            </w:r>
          </w:p>
        </w:tc>
        <w:tc>
          <w:tcPr>
            <w:tcW w:w="1900" w:type="dxa"/>
          </w:tcPr>
          <w:p w14:paraId="5A37F127"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Employer branding theory (Deloitte, 2023)</w:t>
            </w:r>
          </w:p>
        </w:tc>
        <w:tc>
          <w:tcPr>
            <w:tcW w:w="2000" w:type="dxa"/>
          </w:tcPr>
          <w:p w14:paraId="2F2B4EBE"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Stronger pipeline of mission-aligned, high-potential candidates</w:t>
            </w:r>
          </w:p>
        </w:tc>
        <w:tc>
          <w:tcPr>
            <w:tcW w:w="1800" w:type="dxa"/>
          </w:tcPr>
          <w:p w14:paraId="2B78A63E"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Months 1–6</w:t>
            </w:r>
          </w:p>
        </w:tc>
      </w:tr>
      <w:tr w:rsidR="003E4385" w14:paraId="374D963A" w14:textId="77777777" w:rsidTr="003E4385">
        <w:tc>
          <w:tcPr>
            <w:cnfStyle w:val="001000000000" w:firstRow="0" w:lastRow="0" w:firstColumn="1" w:lastColumn="0" w:oddVBand="0" w:evenVBand="0" w:oddHBand="0" w:evenHBand="0" w:firstRowFirstColumn="0" w:firstRowLastColumn="0" w:lastRowFirstColumn="0" w:lastRowLastColumn="0"/>
            <w:tcW w:w="1560" w:type="dxa"/>
          </w:tcPr>
          <w:p w14:paraId="467ED138" w14:textId="77777777" w:rsidR="003E4385" w:rsidRDefault="003E4385" w:rsidP="00CD6B8B">
            <w:pPr>
              <w:jc w:val="both"/>
            </w:pPr>
            <w:r>
              <w:rPr>
                <w:sz w:val="20"/>
                <w:szCs w:val="20"/>
              </w:rPr>
              <w:t xml:space="preserve">Selection &amp; </w:t>
            </w:r>
            <w:proofErr w:type="gramStart"/>
            <w:r>
              <w:rPr>
                <w:sz w:val="20"/>
                <w:szCs w:val="20"/>
              </w:rPr>
              <w:t>Hiring</w:t>
            </w:r>
            <w:proofErr w:type="gramEnd"/>
          </w:p>
        </w:tc>
        <w:tc>
          <w:tcPr>
            <w:tcW w:w="2100" w:type="dxa"/>
          </w:tcPr>
          <w:p w14:paraId="0A2D38D3"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Structured competency interviews; skills-based assessment; bias-reduction tools</w:t>
            </w:r>
          </w:p>
        </w:tc>
        <w:tc>
          <w:tcPr>
            <w:tcW w:w="1900" w:type="dxa"/>
          </w:tcPr>
          <w:p w14:paraId="03E9A436"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Evidence-based selection (Boudreau &amp; Cascio, 2017)</w:t>
            </w:r>
          </w:p>
        </w:tc>
        <w:tc>
          <w:tcPr>
            <w:tcW w:w="2000" w:type="dxa"/>
          </w:tcPr>
          <w:p w14:paraId="354D6FE1"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Higher quality hires; improved first-year retention and performance</w:t>
            </w:r>
          </w:p>
        </w:tc>
        <w:tc>
          <w:tcPr>
            <w:tcW w:w="1800" w:type="dxa"/>
          </w:tcPr>
          <w:p w14:paraId="76C9D06B"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Months 1–4</w:t>
            </w:r>
          </w:p>
        </w:tc>
      </w:tr>
      <w:tr w:rsidR="003E4385" w14:paraId="4CF72836" w14:textId="77777777" w:rsidTr="003E43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36890490" w14:textId="77777777" w:rsidR="003E4385" w:rsidRDefault="003E4385" w:rsidP="00CD6B8B">
            <w:pPr>
              <w:jc w:val="both"/>
            </w:pPr>
            <w:r>
              <w:rPr>
                <w:sz w:val="20"/>
                <w:szCs w:val="20"/>
              </w:rPr>
              <w:t>Onboarding &amp; Integration</w:t>
            </w:r>
          </w:p>
        </w:tc>
        <w:tc>
          <w:tcPr>
            <w:tcW w:w="2100" w:type="dxa"/>
          </w:tcPr>
          <w:p w14:paraId="4180EBD1"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 xml:space="preserve">90-day structured onboarding; buddy </w:t>
            </w:r>
            <w:proofErr w:type="spellStart"/>
            <w:r>
              <w:rPr>
                <w:sz w:val="20"/>
                <w:szCs w:val="20"/>
              </w:rPr>
              <w:t>programme</w:t>
            </w:r>
            <w:proofErr w:type="spellEnd"/>
            <w:r>
              <w:rPr>
                <w:sz w:val="20"/>
                <w:szCs w:val="20"/>
              </w:rPr>
              <w:t>; culture immersion workshops</w:t>
            </w:r>
          </w:p>
        </w:tc>
        <w:tc>
          <w:tcPr>
            <w:tcW w:w="1900" w:type="dxa"/>
          </w:tcPr>
          <w:p w14:paraId="09E39329"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Psychological contract (Rousseau, 1989)</w:t>
            </w:r>
          </w:p>
        </w:tc>
        <w:tc>
          <w:tcPr>
            <w:tcW w:w="2000" w:type="dxa"/>
          </w:tcPr>
          <w:p w14:paraId="7A914463"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 xml:space="preserve">Faster productivity; stronger </w:t>
            </w:r>
            <w:proofErr w:type="spellStart"/>
            <w:r>
              <w:rPr>
                <w:sz w:val="20"/>
                <w:szCs w:val="20"/>
              </w:rPr>
              <w:t>organisational</w:t>
            </w:r>
            <w:proofErr w:type="spellEnd"/>
            <w:r>
              <w:rPr>
                <w:sz w:val="20"/>
                <w:szCs w:val="20"/>
              </w:rPr>
              <w:t xml:space="preserve"> commitment from day one</w:t>
            </w:r>
          </w:p>
        </w:tc>
        <w:tc>
          <w:tcPr>
            <w:tcW w:w="1800" w:type="dxa"/>
          </w:tcPr>
          <w:p w14:paraId="31F98885"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Months 2–5</w:t>
            </w:r>
          </w:p>
        </w:tc>
      </w:tr>
      <w:tr w:rsidR="003E4385" w14:paraId="7547ABC7" w14:textId="77777777" w:rsidTr="003E4385">
        <w:tc>
          <w:tcPr>
            <w:cnfStyle w:val="001000000000" w:firstRow="0" w:lastRow="0" w:firstColumn="1" w:lastColumn="0" w:oddVBand="0" w:evenVBand="0" w:oddHBand="0" w:evenHBand="0" w:firstRowFirstColumn="0" w:firstRowLastColumn="0" w:lastRowFirstColumn="0" w:lastRowLastColumn="0"/>
            <w:tcW w:w="1560" w:type="dxa"/>
          </w:tcPr>
          <w:p w14:paraId="40CE8DE9" w14:textId="77777777" w:rsidR="003E4385" w:rsidRDefault="003E4385" w:rsidP="00CD6B8B">
            <w:pPr>
              <w:jc w:val="both"/>
            </w:pPr>
            <w:r>
              <w:rPr>
                <w:sz w:val="20"/>
                <w:szCs w:val="20"/>
              </w:rPr>
              <w:t>Mentorship &amp; L&amp;D</w:t>
            </w:r>
          </w:p>
        </w:tc>
        <w:tc>
          <w:tcPr>
            <w:tcW w:w="2100" w:type="dxa"/>
          </w:tcPr>
          <w:p w14:paraId="4F270BDF"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Formal, peer &amp; reverse mentoring; digital L&amp;D platform; leadership academy</w:t>
            </w:r>
          </w:p>
        </w:tc>
        <w:tc>
          <w:tcPr>
            <w:tcW w:w="1900" w:type="dxa"/>
          </w:tcPr>
          <w:p w14:paraId="27FF36E4"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Experiential learning (Kolb, 1984); Allen et al. (2004)</w:t>
            </w:r>
          </w:p>
        </w:tc>
        <w:tc>
          <w:tcPr>
            <w:tcW w:w="2000" w:type="dxa"/>
          </w:tcPr>
          <w:p w14:paraId="04E98A3F"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Accelerated capability growth; 34% lower attrition (SHRM, 2023)</w:t>
            </w:r>
          </w:p>
        </w:tc>
        <w:tc>
          <w:tcPr>
            <w:tcW w:w="1800" w:type="dxa"/>
          </w:tcPr>
          <w:p w14:paraId="0E6935F5"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Months 3–12</w:t>
            </w:r>
          </w:p>
        </w:tc>
      </w:tr>
      <w:tr w:rsidR="003E4385" w14:paraId="6FA2669C" w14:textId="77777777" w:rsidTr="003E43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5995DED6" w14:textId="77777777" w:rsidR="003E4385" w:rsidRDefault="003E4385" w:rsidP="00CD6B8B">
            <w:pPr>
              <w:jc w:val="both"/>
            </w:pPr>
            <w:r>
              <w:rPr>
                <w:sz w:val="20"/>
                <w:szCs w:val="20"/>
              </w:rPr>
              <w:t>Performance &amp; Recognition</w:t>
            </w:r>
          </w:p>
        </w:tc>
        <w:tc>
          <w:tcPr>
            <w:tcW w:w="2100" w:type="dxa"/>
          </w:tcPr>
          <w:p w14:paraId="6592A729"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Continuous feedback cycles; OKR alignment; transparent recognition frameworks</w:t>
            </w:r>
          </w:p>
        </w:tc>
        <w:tc>
          <w:tcPr>
            <w:tcW w:w="1900" w:type="dxa"/>
          </w:tcPr>
          <w:p w14:paraId="4623AD8E"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Motivation theory (Herzberg, 1959)</w:t>
            </w:r>
          </w:p>
        </w:tc>
        <w:tc>
          <w:tcPr>
            <w:tcW w:w="2000" w:type="dxa"/>
          </w:tcPr>
          <w:p w14:paraId="61C5FC5F"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Enhanced performance culture; increased discretionary effort</w:t>
            </w:r>
          </w:p>
        </w:tc>
        <w:tc>
          <w:tcPr>
            <w:tcW w:w="1800" w:type="dxa"/>
          </w:tcPr>
          <w:p w14:paraId="036FB5E9" w14:textId="77777777" w:rsidR="003E4385" w:rsidRDefault="003E4385" w:rsidP="00CD6B8B">
            <w:pPr>
              <w:jc w:val="both"/>
              <w:cnfStyle w:val="000000100000" w:firstRow="0" w:lastRow="0" w:firstColumn="0" w:lastColumn="0" w:oddVBand="0" w:evenVBand="0" w:oddHBand="1" w:evenHBand="0" w:firstRowFirstColumn="0" w:firstRowLastColumn="0" w:lastRowFirstColumn="0" w:lastRowLastColumn="0"/>
            </w:pPr>
            <w:r>
              <w:rPr>
                <w:sz w:val="20"/>
                <w:szCs w:val="20"/>
              </w:rPr>
              <w:t>Months 4–9</w:t>
            </w:r>
          </w:p>
        </w:tc>
      </w:tr>
      <w:tr w:rsidR="003E4385" w14:paraId="43E18ABF" w14:textId="77777777" w:rsidTr="003E4385">
        <w:tc>
          <w:tcPr>
            <w:cnfStyle w:val="001000000000" w:firstRow="0" w:lastRow="0" w:firstColumn="1" w:lastColumn="0" w:oddVBand="0" w:evenVBand="0" w:oddHBand="0" w:evenHBand="0" w:firstRowFirstColumn="0" w:firstRowLastColumn="0" w:lastRowFirstColumn="0" w:lastRowLastColumn="0"/>
            <w:tcW w:w="1560" w:type="dxa"/>
          </w:tcPr>
          <w:p w14:paraId="44476D00" w14:textId="77777777" w:rsidR="003E4385" w:rsidRDefault="003E4385" w:rsidP="00CD6B8B">
            <w:pPr>
              <w:jc w:val="both"/>
            </w:pPr>
            <w:r>
              <w:rPr>
                <w:sz w:val="20"/>
                <w:szCs w:val="20"/>
              </w:rPr>
              <w:t>Retention &amp; Succession</w:t>
            </w:r>
          </w:p>
        </w:tc>
        <w:tc>
          <w:tcPr>
            <w:tcW w:w="2100" w:type="dxa"/>
          </w:tcPr>
          <w:p w14:paraId="032D7C6F"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 xml:space="preserve">Career lattice planning; internal mobility; succession </w:t>
            </w:r>
            <w:r>
              <w:rPr>
                <w:sz w:val="20"/>
                <w:szCs w:val="20"/>
              </w:rPr>
              <w:lastRenderedPageBreak/>
              <w:t>pipeline; alumni network</w:t>
            </w:r>
          </w:p>
        </w:tc>
        <w:tc>
          <w:tcPr>
            <w:tcW w:w="1900" w:type="dxa"/>
          </w:tcPr>
          <w:p w14:paraId="030B633A"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lastRenderedPageBreak/>
              <w:t xml:space="preserve">Learning </w:t>
            </w:r>
            <w:proofErr w:type="spellStart"/>
            <w:r>
              <w:rPr>
                <w:sz w:val="20"/>
                <w:szCs w:val="20"/>
              </w:rPr>
              <w:t>Organisation</w:t>
            </w:r>
            <w:proofErr w:type="spellEnd"/>
            <w:r>
              <w:rPr>
                <w:sz w:val="20"/>
                <w:szCs w:val="20"/>
              </w:rPr>
              <w:t xml:space="preserve"> (Senge, 1990)</w:t>
            </w:r>
          </w:p>
        </w:tc>
        <w:tc>
          <w:tcPr>
            <w:tcW w:w="2000" w:type="dxa"/>
          </w:tcPr>
          <w:p w14:paraId="66EA64B0"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t xml:space="preserve">Sustainable leadership pipeline; </w:t>
            </w:r>
            <w:r>
              <w:rPr>
                <w:sz w:val="20"/>
                <w:szCs w:val="20"/>
              </w:rPr>
              <w:lastRenderedPageBreak/>
              <w:t>reduced external dependency</w:t>
            </w:r>
          </w:p>
        </w:tc>
        <w:tc>
          <w:tcPr>
            <w:tcW w:w="1800" w:type="dxa"/>
          </w:tcPr>
          <w:p w14:paraId="4925A2C0" w14:textId="77777777" w:rsidR="003E4385" w:rsidRDefault="003E4385" w:rsidP="00CD6B8B">
            <w:pPr>
              <w:jc w:val="both"/>
              <w:cnfStyle w:val="000000000000" w:firstRow="0" w:lastRow="0" w:firstColumn="0" w:lastColumn="0" w:oddVBand="0" w:evenVBand="0" w:oddHBand="0" w:evenHBand="0" w:firstRowFirstColumn="0" w:firstRowLastColumn="0" w:lastRowFirstColumn="0" w:lastRowLastColumn="0"/>
            </w:pPr>
            <w:r>
              <w:rPr>
                <w:sz w:val="20"/>
                <w:szCs w:val="20"/>
              </w:rPr>
              <w:lastRenderedPageBreak/>
              <w:t>Months 6–18</w:t>
            </w:r>
          </w:p>
        </w:tc>
      </w:tr>
    </w:tbl>
    <w:p w14:paraId="028118E7" w14:textId="77777777" w:rsidR="003E4385" w:rsidRPr="00883A10" w:rsidRDefault="003E4385" w:rsidP="00883A10">
      <w:pPr>
        <w:spacing w:line="360" w:lineRule="auto"/>
        <w:jc w:val="both"/>
        <w:rPr>
          <w:rFonts w:ascii="Times New Roman" w:hAnsi="Times New Roman" w:cs="Times New Roman"/>
        </w:rPr>
      </w:pPr>
    </w:p>
    <w:p w14:paraId="07D0865F" w14:textId="77777777" w:rsidR="0009459B" w:rsidRPr="00883A10" w:rsidRDefault="0009459B" w:rsidP="00883A10">
      <w:pPr>
        <w:spacing w:line="360" w:lineRule="auto"/>
        <w:jc w:val="both"/>
        <w:rPr>
          <w:rFonts w:ascii="Times New Roman" w:hAnsi="Times New Roman"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09459B" w:rsidRPr="00883A10" w14:paraId="01ACD524" w14:textId="77777777" w:rsidTr="00CD6B8B">
        <w:tc>
          <w:tcPr>
            <w:tcW w:w="9360" w:type="dxa"/>
            <w:tcBorders>
              <w:top w:val="none" w:sz="0" w:space="0" w:color="FFFFFF"/>
              <w:left w:val="none" w:sz="0" w:space="0" w:color="FFFFFF"/>
              <w:bottom w:val="none" w:sz="0" w:space="0" w:color="FFFFFF"/>
              <w:right w:val="none" w:sz="0" w:space="0" w:color="FFFFFF"/>
            </w:tcBorders>
            <w:shd w:val="clear" w:color="auto" w:fill="1F3864"/>
            <w:tcMar>
              <w:top w:w="120" w:type="dxa"/>
              <w:left w:w="220" w:type="dxa"/>
              <w:bottom w:w="120" w:type="dxa"/>
              <w:right w:w="220" w:type="dxa"/>
            </w:tcMar>
          </w:tcPr>
          <w:p w14:paraId="65BF9465" w14:textId="77777777" w:rsidR="0009459B" w:rsidRPr="00883A10" w:rsidRDefault="0009459B" w:rsidP="00883A10">
            <w:pPr>
              <w:pStyle w:val="Heading1"/>
            </w:pPr>
            <w:bookmarkStart w:id="7" w:name="_Toc224572676"/>
            <w:r w:rsidRPr="00883A10">
              <w:rPr>
                <w:rFonts w:eastAsia="Arial"/>
              </w:rPr>
              <w:t>4.0   Part 2: Reflection Using Kolb's Experiential Learning Cycle</w:t>
            </w:r>
            <w:bookmarkEnd w:id="7"/>
          </w:p>
        </w:tc>
      </w:tr>
    </w:tbl>
    <w:p w14:paraId="5E796F83" w14:textId="77777777" w:rsidR="0009459B" w:rsidRPr="00883A10" w:rsidRDefault="0009459B" w:rsidP="00883A10">
      <w:pPr>
        <w:spacing w:line="360" w:lineRule="auto"/>
        <w:jc w:val="both"/>
        <w:rPr>
          <w:rFonts w:ascii="Times New Roman" w:hAnsi="Times New Roman" w:cs="Times New Roman"/>
        </w:rPr>
      </w:pPr>
    </w:p>
    <w:p w14:paraId="73B7DF96" w14:textId="10ED7D65"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According to Kolb's Experiential Learning Cycle (1984), effective learning arises </w:t>
      </w:r>
      <w:proofErr w:type="gramStart"/>
      <w:r w:rsidRPr="00883A10">
        <w:rPr>
          <w:rFonts w:ascii="Times New Roman" w:hAnsi="Times New Roman" w:cs="Times New Roman"/>
        </w:rPr>
        <w:t>as a result of</w:t>
      </w:r>
      <w:proofErr w:type="gramEnd"/>
      <w:r w:rsidRPr="00883A10">
        <w:rPr>
          <w:rFonts w:ascii="Times New Roman" w:hAnsi="Times New Roman" w:cs="Times New Roman"/>
        </w:rPr>
        <w:t xml:space="preserve"> the </w:t>
      </w:r>
      <w:r w:rsidR="00883A10" w:rsidRPr="00883A10">
        <w:rPr>
          <w:rFonts w:ascii="Times New Roman" w:hAnsi="Times New Roman" w:cs="Times New Roman"/>
        </w:rPr>
        <w:t>cyclical</w:t>
      </w:r>
      <w:r w:rsidRPr="00883A10">
        <w:rPr>
          <w:rFonts w:ascii="Times New Roman" w:hAnsi="Times New Roman" w:cs="Times New Roman"/>
        </w:rPr>
        <w:t xml:space="preserve"> process of four consecutive steps, including Concrete Experience, Reflective Observation, Abstract </w:t>
      </w:r>
      <w:proofErr w:type="spellStart"/>
      <w:r w:rsidRPr="00883A10">
        <w:rPr>
          <w:rFonts w:ascii="Times New Roman" w:hAnsi="Times New Roman" w:cs="Times New Roman"/>
        </w:rPr>
        <w:t>Conceptualisation</w:t>
      </w:r>
      <w:proofErr w:type="spellEnd"/>
      <w:r w:rsidRPr="00883A10">
        <w:rPr>
          <w:rFonts w:ascii="Times New Roman" w:hAnsi="Times New Roman" w:cs="Times New Roman"/>
        </w:rPr>
        <w:t>, and Active Experimentation. Based on the epistemological tradition of Dewey, Lewin, and Piaget, this model is an amalgamation of the affective and cognitive aspects of learning</w:t>
      </w:r>
      <w:r w:rsidR="00883A10" w:rsidRPr="00883A10">
        <w:rPr>
          <w:rFonts w:ascii="Times New Roman" w:hAnsi="Times New Roman" w:cs="Times New Roman"/>
        </w:rPr>
        <w:t>. It</w:t>
      </w:r>
      <w:r w:rsidRPr="00883A10">
        <w:rPr>
          <w:rFonts w:ascii="Times New Roman" w:hAnsi="Times New Roman" w:cs="Times New Roman"/>
        </w:rPr>
        <w:t xml:space="preserve"> is especially appropriate in professional reflection (Kolb and Kolb, 2005). Figure 4 plots the four phases as used by the author in his process of learning during this module.</w:t>
      </w:r>
    </w:p>
    <w:p w14:paraId="70097D04" w14:textId="77777777" w:rsidR="0009459B" w:rsidRPr="00883A10" w:rsidRDefault="0009459B" w:rsidP="00883A10">
      <w:pPr>
        <w:spacing w:line="360" w:lineRule="auto"/>
        <w:jc w:val="center"/>
        <w:rPr>
          <w:rFonts w:ascii="Times New Roman" w:hAnsi="Times New Roman" w:cs="Times New Roman"/>
        </w:rPr>
      </w:pPr>
      <w:r w:rsidRPr="00883A10">
        <w:rPr>
          <w:rFonts w:ascii="Times New Roman" w:hAnsi="Times New Roman" w:cs="Times New Roman"/>
          <w:noProof/>
        </w:rPr>
        <w:drawing>
          <wp:inline distT="0" distB="0" distL="0" distR="0" wp14:anchorId="2243BE5D" wp14:editId="3AB9C8F8">
            <wp:extent cx="4450080" cy="4000072"/>
            <wp:effectExtent l="0" t="0" r="7620" b="635"/>
            <wp:docPr id="109068504" name="Picture 109068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l="8430" t="14286" r="6322" b="9524"/>
                    <a:stretch>
                      <a:fillRect/>
                    </a:stretch>
                  </pic:blipFill>
                  <pic:spPr bwMode="auto">
                    <a:xfrm>
                      <a:off x="0" y="0"/>
                      <a:ext cx="4453022" cy="4002716"/>
                    </a:xfrm>
                    <a:prstGeom prst="rect">
                      <a:avLst/>
                    </a:prstGeom>
                    <a:ln>
                      <a:noFill/>
                    </a:ln>
                    <a:extLst>
                      <a:ext uri="{53640926-AAD7-44D8-BBD7-CCE9431645EC}">
                        <a14:shadowObscured xmlns:a14="http://schemas.microsoft.com/office/drawing/2010/main"/>
                      </a:ext>
                    </a:extLst>
                  </pic:spPr>
                </pic:pic>
              </a:graphicData>
            </a:graphic>
          </wp:inline>
        </w:drawing>
      </w:r>
    </w:p>
    <w:p w14:paraId="370E08A7" w14:textId="77777777" w:rsidR="0009459B" w:rsidRPr="00883A10" w:rsidRDefault="0009459B" w:rsidP="00883A10">
      <w:pPr>
        <w:spacing w:line="360" w:lineRule="auto"/>
        <w:jc w:val="center"/>
        <w:rPr>
          <w:rFonts w:ascii="Times New Roman" w:hAnsi="Times New Roman" w:cs="Times New Roman"/>
        </w:rPr>
      </w:pPr>
      <w:r w:rsidRPr="00883A10">
        <w:rPr>
          <w:rFonts w:ascii="Times New Roman" w:hAnsi="Times New Roman" w:cs="Times New Roman"/>
          <w:i/>
          <w:iCs/>
          <w:color w:val="666666"/>
        </w:rPr>
        <w:t>Figure 4: Kolb's Experiential Learning Cycle Applied to HCM Module Reflection (Adapted from Kolb, 1984)</w:t>
      </w:r>
    </w:p>
    <w:p w14:paraId="306EAE6F" w14:textId="189F0857" w:rsidR="0009459B" w:rsidRPr="00883A10" w:rsidRDefault="0009459B" w:rsidP="00883A10">
      <w:pPr>
        <w:pStyle w:val="Heading2"/>
      </w:pPr>
      <w:bookmarkStart w:id="8" w:name="_Toc224572677"/>
      <w:r w:rsidRPr="00883A10">
        <w:rPr>
          <w:rFonts w:eastAsia="Arial"/>
        </w:rPr>
        <w:lastRenderedPageBreak/>
        <w:t>Stage 1 – Concrete Experience</w:t>
      </w:r>
      <w:bookmarkEnd w:id="8"/>
    </w:p>
    <w:p w14:paraId="2126A1E8" w14:textId="020F8B49"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My concept of Human Capital Management before this module was rather operationally based and intuitive as opposed to being theoretically based. My tacit belief was that talent management was a primary recruitment process- that when talented and capable individuals are identified and selected, then performance and retention would </w:t>
      </w:r>
      <w:r w:rsidR="00883A10" w:rsidRPr="00883A10">
        <w:rPr>
          <w:rFonts w:ascii="Times New Roman" w:hAnsi="Times New Roman" w:cs="Times New Roman"/>
        </w:rPr>
        <w:t>mostly take place</w:t>
      </w:r>
      <w:r w:rsidRPr="00883A10">
        <w:rPr>
          <w:rFonts w:ascii="Times New Roman" w:hAnsi="Times New Roman" w:cs="Times New Roman"/>
        </w:rPr>
        <w:t xml:space="preserve">. This was directly questioned by exposure to Strategic HRM early and the </w:t>
      </w:r>
      <w:proofErr w:type="spellStart"/>
      <w:r w:rsidRPr="00883A10">
        <w:rPr>
          <w:rFonts w:ascii="Times New Roman" w:hAnsi="Times New Roman" w:cs="Times New Roman"/>
        </w:rPr>
        <w:t>conceptualisation</w:t>
      </w:r>
      <w:proofErr w:type="spellEnd"/>
      <w:r w:rsidRPr="00883A10">
        <w:rPr>
          <w:rFonts w:ascii="Times New Roman" w:hAnsi="Times New Roman" w:cs="Times New Roman"/>
        </w:rPr>
        <w:t xml:space="preserve"> of HR as a strategic business partner, which has a contribution way beyond transactional administration. The </w:t>
      </w:r>
      <w:proofErr w:type="spellStart"/>
      <w:r w:rsidRPr="00883A10">
        <w:rPr>
          <w:rFonts w:ascii="Times New Roman" w:hAnsi="Times New Roman" w:cs="Times New Roman"/>
        </w:rPr>
        <w:t>personalisation</w:t>
      </w:r>
      <w:proofErr w:type="spellEnd"/>
      <w:r w:rsidRPr="00883A10">
        <w:rPr>
          <w:rFonts w:ascii="Times New Roman" w:hAnsi="Times New Roman" w:cs="Times New Roman"/>
        </w:rPr>
        <w:t xml:space="preserve"> of abstract theoretical arguments based on the analysis of real-life examples of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xml:space="preserve"> that had suffered severe talent crises due to the lack of focus on development and involvement made them personally real and professionally significant.</w:t>
      </w:r>
    </w:p>
    <w:p w14:paraId="621E02FE" w14:textId="322248B6" w:rsidR="0009459B" w:rsidRPr="00883A10" w:rsidRDefault="0009459B" w:rsidP="00883A10">
      <w:pPr>
        <w:pStyle w:val="Heading2"/>
      </w:pPr>
      <w:bookmarkStart w:id="9" w:name="_Toc224572678"/>
      <w:r w:rsidRPr="00883A10">
        <w:rPr>
          <w:rFonts w:eastAsia="Arial"/>
        </w:rPr>
        <w:t>Stage 2 – Reflective Observation</w:t>
      </w:r>
      <w:bookmarkEnd w:id="9"/>
    </w:p>
    <w:p w14:paraId="3465AF94" w14:textId="424AC57E"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Reflecting on these experiences, I </w:t>
      </w:r>
      <w:proofErr w:type="spellStart"/>
      <w:r w:rsidRPr="00883A10">
        <w:rPr>
          <w:rFonts w:ascii="Times New Roman" w:hAnsi="Times New Roman" w:cs="Times New Roman"/>
        </w:rPr>
        <w:t>realised</w:t>
      </w:r>
      <w:proofErr w:type="spellEnd"/>
      <w:r w:rsidRPr="00883A10">
        <w:rPr>
          <w:rFonts w:ascii="Times New Roman" w:hAnsi="Times New Roman" w:cs="Times New Roman"/>
        </w:rPr>
        <w:t xml:space="preserve"> that there are multiple important gaps in my previous knowledge. What stood out the most was that I had confused retention and satisfaction, as I believed that happy employees would work forever. The Two-Factor Theory of Herzberg (1959) helped to shed some light on this fallacy: the hygiene factors like salary and working conditions have the potential to prevent dissatisfaction, but they do not, on their own, bring about any true motivation or commitment. The discretionary effort, which comes with high performance and retention in the long run, is only generated by intrinsic motivators, such as achievement, recognition, meaningful work, and growth. I was also </w:t>
      </w:r>
      <w:r w:rsidR="00883A10" w:rsidRPr="00883A10">
        <w:rPr>
          <w:rFonts w:ascii="Times New Roman" w:hAnsi="Times New Roman" w:cs="Times New Roman"/>
        </w:rPr>
        <w:t>critical</w:t>
      </w:r>
      <w:r w:rsidRPr="00883A10">
        <w:rPr>
          <w:rFonts w:ascii="Times New Roman" w:hAnsi="Times New Roman" w:cs="Times New Roman"/>
        </w:rPr>
        <w:t xml:space="preserve"> about the relative lack of formal mentorship in workplace settings that I have encountered: in those situations, it was informal, initiative-based, and not </w:t>
      </w:r>
      <w:proofErr w:type="spellStart"/>
      <w:r w:rsidRPr="00883A10">
        <w:rPr>
          <w:rFonts w:ascii="Times New Roman" w:hAnsi="Times New Roman" w:cs="Times New Roman"/>
        </w:rPr>
        <w:t>institutionalised</w:t>
      </w:r>
      <w:proofErr w:type="spellEnd"/>
      <w:r w:rsidRPr="00883A10">
        <w:rPr>
          <w:rFonts w:ascii="Times New Roman" w:hAnsi="Times New Roman" w:cs="Times New Roman"/>
        </w:rPr>
        <w:t xml:space="preserve">, as an important lost chance of speeding up development and ensuring </w:t>
      </w:r>
      <w:proofErr w:type="gramStart"/>
      <w:r w:rsidRPr="00883A10">
        <w:rPr>
          <w:rFonts w:ascii="Times New Roman" w:hAnsi="Times New Roman" w:cs="Times New Roman"/>
        </w:rPr>
        <w:t>a relationship</w:t>
      </w:r>
      <w:proofErr w:type="gramEnd"/>
      <w:r w:rsidRPr="00883A10">
        <w:rPr>
          <w:rFonts w:ascii="Times New Roman" w:hAnsi="Times New Roman" w:cs="Times New Roman"/>
        </w:rPr>
        <w:t>-based loyalty (Allen et al., 2004).</w:t>
      </w:r>
    </w:p>
    <w:p w14:paraId="3C0D8A6C" w14:textId="051A4FE7" w:rsidR="0009459B" w:rsidRPr="00883A10" w:rsidRDefault="0009459B" w:rsidP="00883A10">
      <w:pPr>
        <w:pStyle w:val="Heading2"/>
      </w:pPr>
      <w:bookmarkStart w:id="10" w:name="_Toc224572679"/>
      <w:r w:rsidRPr="00883A10">
        <w:rPr>
          <w:rFonts w:eastAsia="Arial"/>
        </w:rPr>
        <w:t xml:space="preserve">Stage 3 – Abstract </w:t>
      </w:r>
      <w:proofErr w:type="spellStart"/>
      <w:r w:rsidRPr="00883A10">
        <w:rPr>
          <w:rFonts w:eastAsia="Arial"/>
        </w:rPr>
        <w:t>Conceptualisation</w:t>
      </w:r>
      <w:bookmarkEnd w:id="10"/>
      <w:proofErr w:type="spellEnd"/>
    </w:p>
    <w:p w14:paraId="6E8419EA" w14:textId="567384D2"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Combining the reflective insights with theoretical orientations led to the emergence of some meaningful conceptual </w:t>
      </w:r>
      <w:proofErr w:type="spellStart"/>
      <w:r w:rsidRPr="00883A10">
        <w:rPr>
          <w:rFonts w:ascii="Times New Roman" w:hAnsi="Times New Roman" w:cs="Times New Roman"/>
        </w:rPr>
        <w:t>reframings</w:t>
      </w:r>
      <w:proofErr w:type="spellEnd"/>
      <w:r w:rsidRPr="00883A10">
        <w:rPr>
          <w:rFonts w:ascii="Times New Roman" w:hAnsi="Times New Roman" w:cs="Times New Roman"/>
        </w:rPr>
        <w:t xml:space="preserve">. The Resource-Based View of Barney (1991) has brought my vision of human capital from an affordable expenditure to a strategic asset: the realization that the most enduring competitive advantage is not a technology or market niche, but inimitable human abilities </w:t>
      </w:r>
      <w:proofErr w:type="gramStart"/>
      <w:r w:rsidRPr="00883A10">
        <w:rPr>
          <w:rFonts w:ascii="Times New Roman" w:hAnsi="Times New Roman" w:cs="Times New Roman"/>
        </w:rPr>
        <w:t>has</w:t>
      </w:r>
      <w:proofErr w:type="gramEnd"/>
      <w:r w:rsidRPr="00883A10">
        <w:rPr>
          <w:rFonts w:ascii="Times New Roman" w:hAnsi="Times New Roman" w:cs="Times New Roman"/>
        </w:rPr>
        <w:t xml:space="preserve"> radically changed my outlook on the payoff of employee development spending. The psychological contract theory of Rousseau (1989) further increased my understanding of why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xml:space="preserve"> that make minimal investments in development experience disproportionate losses of staff: employees form implicit assumptions of mutual investments, and breach of these </w:t>
      </w:r>
      <w:r w:rsidRPr="00883A10">
        <w:rPr>
          <w:rFonts w:ascii="Times New Roman" w:hAnsi="Times New Roman" w:cs="Times New Roman"/>
        </w:rPr>
        <w:lastRenderedPageBreak/>
        <w:t xml:space="preserve">assumptions is a major cause of voluntary turnover. Lastly, the concept presented by Senge (1990), the Learning </w:t>
      </w:r>
      <w:proofErr w:type="spellStart"/>
      <w:r w:rsidRPr="00883A10">
        <w:rPr>
          <w:rFonts w:ascii="Times New Roman" w:hAnsi="Times New Roman" w:cs="Times New Roman"/>
        </w:rPr>
        <w:t>Organisation</w:t>
      </w:r>
      <w:proofErr w:type="spellEnd"/>
      <w:r w:rsidRPr="00883A10">
        <w:rPr>
          <w:rFonts w:ascii="Times New Roman" w:hAnsi="Times New Roman" w:cs="Times New Roman"/>
        </w:rPr>
        <w:t xml:space="preserve"> theory, solidified the correlation between individual growth and overall </w:t>
      </w:r>
      <w:proofErr w:type="spellStart"/>
      <w:r w:rsidRPr="00883A10">
        <w:rPr>
          <w:rFonts w:ascii="Times New Roman" w:hAnsi="Times New Roman" w:cs="Times New Roman"/>
        </w:rPr>
        <w:t>organisational</w:t>
      </w:r>
      <w:proofErr w:type="spellEnd"/>
      <w:r w:rsidRPr="00883A10">
        <w:rPr>
          <w:rFonts w:ascii="Times New Roman" w:hAnsi="Times New Roman" w:cs="Times New Roman"/>
        </w:rPr>
        <w:t xml:space="preserve"> effectiveness as a strong strategic argument for the integration of L&amp;D as a core competence and not an auxiliary support system.</w:t>
      </w:r>
    </w:p>
    <w:p w14:paraId="5CE30730" w14:textId="6D4443B8" w:rsidR="0009459B" w:rsidRPr="00883A10" w:rsidRDefault="0009459B" w:rsidP="00883A10">
      <w:pPr>
        <w:pStyle w:val="Heading2"/>
      </w:pPr>
      <w:bookmarkStart w:id="11" w:name="_Toc224572680"/>
      <w:r w:rsidRPr="00883A10">
        <w:rPr>
          <w:rFonts w:eastAsia="Arial"/>
        </w:rPr>
        <w:t>Stage 4 – Active Experimentation</w:t>
      </w:r>
      <w:bookmarkEnd w:id="11"/>
    </w:p>
    <w:p w14:paraId="0C97ACE9" w14:textId="7777777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The module has triggered three tangible commitments to professional development. First, I will proactively develop mentorship relationships, both as a mentee who tries to accelerate his/her development, and as a mentor who tries to consolidate expertise by means of its articulation and transmission (Ragins and Kram, 2007). Second, I will ensure that I construct a systematic personal learning plan that is directly modeled after the Kolb cycle: intentionally alternating bouts of practical activity with active reflection and theoretical analysis and work, with the postgraduate accreditation in the fields of </w:t>
      </w:r>
      <w:proofErr w:type="spellStart"/>
      <w:r w:rsidRPr="00883A10">
        <w:rPr>
          <w:rFonts w:ascii="Times New Roman" w:hAnsi="Times New Roman" w:cs="Times New Roman"/>
        </w:rPr>
        <w:t>organisational</w:t>
      </w:r>
      <w:proofErr w:type="spellEnd"/>
      <w:r w:rsidRPr="00883A10">
        <w:rPr>
          <w:rFonts w:ascii="Times New Roman" w:hAnsi="Times New Roman" w:cs="Times New Roman"/>
        </w:rPr>
        <w:t xml:space="preserve"> psychology and strategic leadership as the goal. Third, I will promote in my professional environment more systematic methods of talent management, </w:t>
      </w:r>
      <w:proofErr w:type="spellStart"/>
      <w:r w:rsidRPr="00883A10">
        <w:rPr>
          <w:rFonts w:ascii="Times New Roman" w:hAnsi="Times New Roman" w:cs="Times New Roman"/>
        </w:rPr>
        <w:t>operationalising</w:t>
      </w:r>
      <w:proofErr w:type="spellEnd"/>
      <w:r w:rsidRPr="00883A10">
        <w:rPr>
          <w:rFonts w:ascii="Times New Roman" w:hAnsi="Times New Roman" w:cs="Times New Roman"/>
        </w:rPr>
        <w:t xml:space="preserve"> the knowledge that I have gained in this module in a manner that would bring personal and </w:t>
      </w:r>
      <w:proofErr w:type="spellStart"/>
      <w:r w:rsidRPr="00883A10">
        <w:rPr>
          <w:rFonts w:ascii="Times New Roman" w:hAnsi="Times New Roman" w:cs="Times New Roman"/>
        </w:rPr>
        <w:t>organisational</w:t>
      </w:r>
      <w:proofErr w:type="spellEnd"/>
      <w:r w:rsidRPr="00883A10">
        <w:rPr>
          <w:rFonts w:ascii="Times New Roman" w:hAnsi="Times New Roman" w:cs="Times New Roman"/>
        </w:rPr>
        <w:t xml:space="preserve"> value.</w:t>
      </w:r>
    </w:p>
    <w:p w14:paraId="31D10C69" w14:textId="4B5F47CA" w:rsidR="0009459B" w:rsidRPr="00883A10" w:rsidRDefault="0009459B" w:rsidP="00883A10">
      <w:pPr>
        <w:pStyle w:val="Heading2"/>
      </w:pPr>
      <w:bookmarkStart w:id="12" w:name="_Toc224572681"/>
      <w:r w:rsidRPr="00883A10">
        <w:rPr>
          <w:rFonts w:eastAsia="Arial"/>
        </w:rPr>
        <w:t>Staying Relevant in the Age of Artificial Intelligence</w:t>
      </w:r>
      <w:bookmarkEnd w:id="12"/>
    </w:p>
    <w:p w14:paraId="3BD5E09A" w14:textId="4D367A78"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The main disruption and the greatest opportunity that knowledge workers are currently dealing with is the rapid development of AI capabilities. The WEF (2023) estimates that AI will send 85 million jobs home and at the same time create 97 million new ones, which need human-specific skills. Figure 5 overlaid the comparative competency profiles of AI and human professionals on six key dimensions that are critical to demonstrate where the most significant opportunities </w:t>
      </w:r>
      <w:r w:rsidR="00883A10" w:rsidRPr="00883A10">
        <w:rPr>
          <w:rFonts w:ascii="Times New Roman" w:hAnsi="Times New Roman" w:cs="Times New Roman"/>
        </w:rPr>
        <w:t>for</w:t>
      </w:r>
      <w:r w:rsidRPr="00883A10">
        <w:rPr>
          <w:rFonts w:ascii="Times New Roman" w:hAnsi="Times New Roman" w:cs="Times New Roman"/>
        </w:rPr>
        <w:t xml:space="preserve"> differentiation are.</w:t>
      </w:r>
    </w:p>
    <w:p w14:paraId="1716403A" w14:textId="77777777" w:rsidR="0009459B" w:rsidRPr="00883A10" w:rsidRDefault="0009459B" w:rsidP="003E4385">
      <w:pPr>
        <w:spacing w:line="360" w:lineRule="auto"/>
        <w:jc w:val="center"/>
        <w:rPr>
          <w:rFonts w:ascii="Times New Roman" w:hAnsi="Times New Roman" w:cs="Times New Roman"/>
        </w:rPr>
      </w:pPr>
      <w:r w:rsidRPr="00883A10">
        <w:rPr>
          <w:rFonts w:ascii="Times New Roman" w:hAnsi="Times New Roman" w:cs="Times New Roman"/>
          <w:noProof/>
        </w:rPr>
        <w:lastRenderedPageBreak/>
        <w:drawing>
          <wp:inline distT="0" distB="0" distL="0" distR="0" wp14:anchorId="1640CBEF" wp14:editId="257A625C">
            <wp:extent cx="5364480" cy="4243413"/>
            <wp:effectExtent l="0" t="0" r="7620" b="5080"/>
            <wp:docPr id="2045650037" name="Picture 2045650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9861"/>
                    <a:stretch>
                      <a:fillRect/>
                    </a:stretch>
                  </pic:blipFill>
                  <pic:spPr bwMode="auto">
                    <a:xfrm>
                      <a:off x="0" y="0"/>
                      <a:ext cx="5366972" cy="4245384"/>
                    </a:xfrm>
                    <a:prstGeom prst="rect">
                      <a:avLst/>
                    </a:prstGeom>
                    <a:ln>
                      <a:noFill/>
                    </a:ln>
                    <a:extLst>
                      <a:ext uri="{53640926-AAD7-44D8-BBD7-CCE9431645EC}">
                        <a14:shadowObscured xmlns:a14="http://schemas.microsoft.com/office/drawing/2010/main"/>
                      </a:ext>
                    </a:extLst>
                  </pic:spPr>
                </pic:pic>
              </a:graphicData>
            </a:graphic>
          </wp:inline>
        </w:drawing>
      </w:r>
    </w:p>
    <w:p w14:paraId="4BAAA119" w14:textId="77777777" w:rsidR="0009459B" w:rsidRPr="00883A10" w:rsidRDefault="0009459B" w:rsidP="00883A10">
      <w:pPr>
        <w:spacing w:line="360" w:lineRule="auto"/>
        <w:jc w:val="center"/>
        <w:rPr>
          <w:rFonts w:ascii="Times New Roman" w:hAnsi="Times New Roman" w:cs="Times New Roman"/>
        </w:rPr>
      </w:pPr>
      <w:r w:rsidRPr="00883A10">
        <w:rPr>
          <w:rFonts w:ascii="Times New Roman" w:hAnsi="Times New Roman" w:cs="Times New Roman"/>
          <w:i/>
          <w:iCs/>
          <w:color w:val="666666"/>
        </w:rPr>
        <w:t>Figure 5: AI vs. Human Competency Profile — Strategic Differentiation (Adapted from WEF, 2023)</w:t>
      </w:r>
    </w:p>
    <w:p w14:paraId="6BF3267A" w14:textId="0381421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t xml:space="preserve">As Figure 5 indicates, AI far outmuscles humans in data processing and pattern recognition, but human professionals still have decisive advantages in empathy, moral judgement, relationship trust, and creative solutions to problems - the very skills that constitute good human management of capital. My approach to staying relevant is, hence, two-fold. The first one will be achieving AI literacy and tool fluency, which will allow me to use AI </w:t>
      </w:r>
      <w:r w:rsidR="00883A10" w:rsidRPr="00883A10">
        <w:rPr>
          <w:rFonts w:ascii="Times New Roman" w:hAnsi="Times New Roman" w:cs="Times New Roman"/>
        </w:rPr>
        <w:t>potential</w:t>
      </w:r>
      <w:r w:rsidRPr="00883A10">
        <w:rPr>
          <w:rFonts w:ascii="Times New Roman" w:hAnsi="Times New Roman" w:cs="Times New Roman"/>
        </w:rPr>
        <w:t xml:space="preserve"> to improve the quality and efficiency of my practice, in which high volumes of analytical work are automated, and human effort is concentrated on more significant strategic and relational work. Second, I will intentionally expand human competencies that will be impossible to mimic by artificial intelligence: empathy, contextual judgement, ethical reasoning, and the capacity to establish genuine trust in complicated </w:t>
      </w:r>
      <w:proofErr w:type="spellStart"/>
      <w:r w:rsidRPr="00883A10">
        <w:rPr>
          <w:rFonts w:ascii="Times New Roman" w:hAnsi="Times New Roman" w:cs="Times New Roman"/>
        </w:rPr>
        <w:t>organisational</w:t>
      </w:r>
      <w:proofErr w:type="spellEnd"/>
      <w:r w:rsidRPr="00883A10">
        <w:rPr>
          <w:rFonts w:ascii="Times New Roman" w:hAnsi="Times New Roman" w:cs="Times New Roman"/>
        </w:rPr>
        <w:t xml:space="preserve"> stakeholder networks.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09459B" w:rsidRPr="00883A10" w14:paraId="557525E4" w14:textId="77777777" w:rsidTr="00CD6B8B">
        <w:tc>
          <w:tcPr>
            <w:tcW w:w="9360" w:type="dxa"/>
            <w:tcBorders>
              <w:top w:val="single" w:sz="1" w:space="0" w:color="CCCCCC"/>
              <w:left w:val="single" w:sz="1" w:space="0" w:color="CCCCCC"/>
              <w:bottom w:val="single" w:sz="1" w:space="0" w:color="CCCCCC"/>
              <w:right w:val="single" w:sz="1" w:space="0" w:color="CCCCCC"/>
            </w:tcBorders>
            <w:shd w:val="clear" w:color="auto" w:fill="D6E4F0"/>
            <w:tcMar>
              <w:top w:w="120" w:type="dxa"/>
              <w:left w:w="200" w:type="dxa"/>
              <w:bottom w:w="120" w:type="dxa"/>
              <w:right w:w="200" w:type="dxa"/>
            </w:tcMar>
          </w:tcPr>
          <w:p w14:paraId="6A1813D3" w14:textId="77777777" w:rsidR="0009459B" w:rsidRPr="00883A10" w:rsidRDefault="0009459B" w:rsidP="00883A10">
            <w:pPr>
              <w:spacing w:line="360" w:lineRule="auto"/>
              <w:jc w:val="center"/>
              <w:rPr>
                <w:rFonts w:ascii="Times New Roman" w:hAnsi="Times New Roman" w:cs="Times New Roman"/>
                <w:b/>
                <w:bCs/>
              </w:rPr>
            </w:pPr>
            <w:r w:rsidRPr="00883A10">
              <w:rPr>
                <w:rFonts w:ascii="Times New Roman" w:hAnsi="Times New Roman" w:cs="Times New Roman"/>
                <w:b/>
                <w:bCs/>
                <w:color w:val="1F3864"/>
              </w:rPr>
              <w:t>Personal Commitment</w:t>
            </w:r>
          </w:p>
          <w:p w14:paraId="38BD6915" w14:textId="77777777" w:rsidR="0009459B" w:rsidRPr="00883A10" w:rsidRDefault="0009459B" w:rsidP="00883A10">
            <w:pPr>
              <w:spacing w:line="360" w:lineRule="auto"/>
              <w:jc w:val="both"/>
              <w:rPr>
                <w:rFonts w:ascii="Times New Roman" w:hAnsi="Times New Roman" w:cs="Times New Roman"/>
              </w:rPr>
            </w:pPr>
            <w:r w:rsidRPr="00883A10">
              <w:rPr>
                <w:rFonts w:ascii="Times New Roman" w:hAnsi="Times New Roman" w:cs="Times New Roman"/>
              </w:rPr>
              <w:lastRenderedPageBreak/>
              <w:t>I will also ensure I achieve Chartered MCIPD status, successfully complete an AI literacy certification, and create a formal mentorship bond within 12 months - turning the Active Experimentation phase of the Kolb cycle into tangible and quantifiable professional practice.</w:t>
            </w:r>
          </w:p>
        </w:tc>
      </w:tr>
    </w:tbl>
    <w:p w14:paraId="0A3B7ED0" w14:textId="77777777" w:rsidR="0009459B" w:rsidRPr="00883A10" w:rsidRDefault="0009459B" w:rsidP="00883A10">
      <w:pPr>
        <w:spacing w:line="360" w:lineRule="auto"/>
        <w:jc w:val="both"/>
        <w:rPr>
          <w:rFonts w:ascii="Times New Roman" w:hAnsi="Times New Roman" w:cs="Times New Roman"/>
        </w:rPr>
      </w:pPr>
    </w:p>
    <w:tbl>
      <w:tblPr>
        <w:tblpPr w:leftFromText="180" w:rightFromText="180" w:vertAnchor="text" w:horzAnchor="margin" w:tblpY="94"/>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883A10" w:rsidRPr="00883A10" w14:paraId="09AB57B2" w14:textId="77777777" w:rsidTr="00883A10">
        <w:tc>
          <w:tcPr>
            <w:tcW w:w="9360" w:type="dxa"/>
            <w:tcBorders>
              <w:top w:val="none" w:sz="0" w:space="0" w:color="FFFFFF"/>
              <w:left w:val="none" w:sz="0" w:space="0" w:color="FFFFFF"/>
              <w:bottom w:val="none" w:sz="0" w:space="0" w:color="FFFFFF"/>
              <w:right w:val="none" w:sz="0" w:space="0" w:color="FFFFFF"/>
            </w:tcBorders>
            <w:shd w:val="clear" w:color="auto" w:fill="1F3864"/>
            <w:tcMar>
              <w:top w:w="120" w:type="dxa"/>
              <w:left w:w="220" w:type="dxa"/>
              <w:bottom w:w="120" w:type="dxa"/>
              <w:right w:w="220" w:type="dxa"/>
            </w:tcMar>
          </w:tcPr>
          <w:p w14:paraId="3A4BD15B" w14:textId="77777777" w:rsidR="00883A10" w:rsidRPr="00883A10" w:rsidRDefault="00883A10" w:rsidP="00883A10">
            <w:pPr>
              <w:pStyle w:val="Heading1"/>
            </w:pPr>
            <w:bookmarkStart w:id="13" w:name="_Toc224572682"/>
            <w:r w:rsidRPr="00883A10">
              <w:rPr>
                <w:rFonts w:eastAsia="Arial"/>
              </w:rPr>
              <w:t>5.0   Conclusion</w:t>
            </w:r>
            <w:bookmarkEnd w:id="13"/>
          </w:p>
        </w:tc>
      </w:tr>
    </w:tbl>
    <w:p w14:paraId="51661D28" w14:textId="77777777" w:rsidR="00883A10" w:rsidRDefault="00883A10" w:rsidP="00883A10">
      <w:pPr>
        <w:spacing w:line="360" w:lineRule="auto"/>
        <w:jc w:val="both"/>
        <w:rPr>
          <w:rFonts w:ascii="Times New Roman" w:hAnsi="Times New Roman" w:cs="Times New Roman"/>
        </w:rPr>
      </w:pPr>
    </w:p>
    <w:p w14:paraId="55795E39" w14:textId="77777777" w:rsidR="00883A10" w:rsidRPr="00883A10" w:rsidRDefault="00883A10" w:rsidP="00883A10">
      <w:pPr>
        <w:spacing w:line="360" w:lineRule="auto"/>
        <w:jc w:val="both"/>
        <w:rPr>
          <w:rFonts w:ascii="Times New Roman" w:hAnsi="Times New Roman" w:cs="Times New Roman"/>
        </w:rPr>
      </w:pPr>
      <w:r w:rsidRPr="00883A10">
        <w:rPr>
          <w:rFonts w:ascii="Times New Roman" w:hAnsi="Times New Roman" w:cs="Times New Roman"/>
        </w:rPr>
        <w:t xml:space="preserve">This report has developed a propositional theory supported by practical recommendations on how to redesign the talent ecosystem at Aether Innovations. Through critical analysis of talent dynamics in the technology sector, the development of an incremental build vs. buy model, and the alignment of structured mentorship, leadership pathways, and lifelong learning into a consistent ecosystem framework will be a strategic guide in changing the current pattern of attrition and disengagement in Aether. Part 2 of the personal reflection has made the Experiential Learning Cycle of Kolb strictly engage with the HCM knowledge building of the author to produce a conceptual understanding of the process, but a tangible personal development plan based on continued relevance in an AI-changed professional environment. The basic premise of the two sections is the same, namely, </w:t>
      </w:r>
      <w:proofErr w:type="spellStart"/>
      <w:r w:rsidRPr="00883A10">
        <w:rPr>
          <w:rFonts w:ascii="Times New Roman" w:hAnsi="Times New Roman" w:cs="Times New Roman"/>
        </w:rPr>
        <w:t>organisations</w:t>
      </w:r>
      <w:proofErr w:type="spellEnd"/>
      <w:r w:rsidRPr="00883A10">
        <w:rPr>
          <w:rFonts w:ascii="Times New Roman" w:hAnsi="Times New Roman" w:cs="Times New Roman"/>
        </w:rPr>
        <w:t xml:space="preserve"> (as well as individuals) that invest strategically, systematically, and authentically in human capital development will always perform better than those that do not.</w:t>
      </w:r>
    </w:p>
    <w:p w14:paraId="22BDCF79" w14:textId="7858C40D" w:rsidR="0009459B" w:rsidRPr="00883A10" w:rsidRDefault="00883A10" w:rsidP="00883A10">
      <w:pPr>
        <w:spacing w:line="360" w:lineRule="auto"/>
        <w:jc w:val="both"/>
        <w:rPr>
          <w:rFonts w:ascii="Times New Roman" w:hAnsi="Times New Roman" w:cs="Times New Roman"/>
        </w:rPr>
      </w:pPr>
      <w:r w:rsidRPr="00883A10">
        <w:rPr>
          <w:rFonts w:ascii="Times New Roman" w:hAnsi="Times New Roman" w:cs="Times New Roman"/>
        </w:rPr>
        <w:br w:type="page"/>
      </w:r>
    </w:p>
    <w:tbl>
      <w:tblPr>
        <w:tblpPr w:leftFromText="180" w:rightFromText="180" w:vertAnchor="text" w:horzAnchor="margin" w:tblpY="-443"/>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883A10" w:rsidRPr="00883A10" w14:paraId="6304CEBD" w14:textId="77777777" w:rsidTr="00883A10">
        <w:tc>
          <w:tcPr>
            <w:tcW w:w="9360" w:type="dxa"/>
            <w:tcBorders>
              <w:top w:val="none" w:sz="0" w:space="0" w:color="FFFFFF"/>
              <w:left w:val="none" w:sz="0" w:space="0" w:color="FFFFFF"/>
              <w:bottom w:val="none" w:sz="0" w:space="0" w:color="FFFFFF"/>
              <w:right w:val="none" w:sz="0" w:space="0" w:color="FFFFFF"/>
            </w:tcBorders>
            <w:shd w:val="clear" w:color="auto" w:fill="1F3864"/>
            <w:tcMar>
              <w:top w:w="120" w:type="dxa"/>
              <w:left w:w="220" w:type="dxa"/>
              <w:bottom w:w="120" w:type="dxa"/>
              <w:right w:w="220" w:type="dxa"/>
            </w:tcMar>
          </w:tcPr>
          <w:p w14:paraId="6E6991A1" w14:textId="77777777" w:rsidR="00883A10" w:rsidRPr="00883A10" w:rsidRDefault="00883A10" w:rsidP="00883A10">
            <w:pPr>
              <w:pStyle w:val="Heading1"/>
            </w:pPr>
            <w:bookmarkStart w:id="14" w:name="_Toc224572683"/>
            <w:r w:rsidRPr="00883A10">
              <w:rPr>
                <w:rFonts w:eastAsia="Arial"/>
              </w:rPr>
              <w:lastRenderedPageBreak/>
              <w:t>6.0   References</w:t>
            </w:r>
            <w:bookmarkEnd w:id="14"/>
          </w:p>
        </w:tc>
      </w:tr>
    </w:tbl>
    <w:p w14:paraId="042948FD" w14:textId="77777777" w:rsidR="0009459B" w:rsidRPr="00883A10" w:rsidRDefault="0009459B" w:rsidP="00883A10">
      <w:pPr>
        <w:spacing w:line="360" w:lineRule="auto"/>
        <w:jc w:val="both"/>
        <w:rPr>
          <w:rFonts w:ascii="Times New Roman" w:hAnsi="Times New Roman" w:cs="Times New Roman"/>
        </w:rPr>
      </w:pPr>
    </w:p>
    <w:p w14:paraId="665F73D7"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Allen, T.D., Eby, L.T., Poteet, M.L., Lentz, E., and Lima, L., 2004. Career benefits associated with mentoring for protégés: A meta-analysis. </w:t>
      </w:r>
      <w:r w:rsidRPr="00883A10">
        <w:rPr>
          <w:rFonts w:ascii="Times New Roman" w:hAnsi="Times New Roman" w:cs="Times New Roman"/>
          <w:i/>
          <w:iCs/>
        </w:rPr>
        <w:t>Journal of Applied Psychology</w:t>
      </w:r>
      <w:r w:rsidRPr="00883A10">
        <w:rPr>
          <w:rFonts w:ascii="Times New Roman" w:hAnsi="Times New Roman" w:cs="Times New Roman"/>
        </w:rPr>
        <w:t>, </w:t>
      </w:r>
      <w:r w:rsidRPr="00883A10">
        <w:rPr>
          <w:rFonts w:ascii="Times New Roman" w:hAnsi="Times New Roman" w:cs="Times New Roman"/>
          <w:i/>
          <w:iCs/>
        </w:rPr>
        <w:t>89</w:t>
      </w:r>
      <w:r w:rsidRPr="00883A10">
        <w:rPr>
          <w:rFonts w:ascii="Times New Roman" w:hAnsi="Times New Roman" w:cs="Times New Roman"/>
        </w:rPr>
        <w:t>(1), p.127.</w:t>
      </w:r>
    </w:p>
    <w:p w14:paraId="76EBFDF5"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Barney, J., 1991. Firm resources and sustained competitive advantage. </w:t>
      </w:r>
      <w:r w:rsidRPr="00883A10">
        <w:rPr>
          <w:rFonts w:ascii="Times New Roman" w:hAnsi="Times New Roman" w:cs="Times New Roman"/>
          <w:i/>
          <w:iCs/>
        </w:rPr>
        <w:t>Journal of Management</w:t>
      </w:r>
      <w:r w:rsidRPr="00883A10">
        <w:rPr>
          <w:rFonts w:ascii="Times New Roman" w:hAnsi="Times New Roman" w:cs="Times New Roman"/>
        </w:rPr>
        <w:t>, </w:t>
      </w:r>
      <w:r w:rsidRPr="00883A10">
        <w:rPr>
          <w:rFonts w:ascii="Times New Roman" w:hAnsi="Times New Roman" w:cs="Times New Roman"/>
          <w:i/>
          <w:iCs/>
        </w:rPr>
        <w:t>17</w:t>
      </w:r>
      <w:r w:rsidRPr="00883A10">
        <w:rPr>
          <w:rFonts w:ascii="Times New Roman" w:hAnsi="Times New Roman" w:cs="Times New Roman"/>
        </w:rPr>
        <w:t>(1), pp.99-120.</w:t>
      </w:r>
    </w:p>
    <w:p w14:paraId="567A8DB3"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 xml:space="preserve">Boudreau, J. and Cascio, W., 2017. Human capital analytics: why are we not </w:t>
      </w:r>
      <w:proofErr w:type="gramStart"/>
      <w:r w:rsidRPr="00883A10">
        <w:rPr>
          <w:rFonts w:ascii="Times New Roman" w:hAnsi="Times New Roman" w:cs="Times New Roman"/>
        </w:rPr>
        <w:t>there?.</w:t>
      </w:r>
      <w:proofErr w:type="gramEnd"/>
      <w:r w:rsidRPr="00883A10">
        <w:rPr>
          <w:rFonts w:ascii="Times New Roman" w:hAnsi="Times New Roman" w:cs="Times New Roman"/>
        </w:rPr>
        <w:t> </w:t>
      </w:r>
      <w:r w:rsidRPr="00883A10">
        <w:rPr>
          <w:rFonts w:ascii="Times New Roman" w:hAnsi="Times New Roman" w:cs="Times New Roman"/>
          <w:i/>
          <w:iCs/>
        </w:rPr>
        <w:t>Journal of Organizational Effectiveness: People and Performance</w:t>
      </w:r>
      <w:r w:rsidRPr="00883A10">
        <w:rPr>
          <w:rFonts w:ascii="Times New Roman" w:hAnsi="Times New Roman" w:cs="Times New Roman"/>
        </w:rPr>
        <w:t>, </w:t>
      </w:r>
      <w:r w:rsidRPr="00883A10">
        <w:rPr>
          <w:rFonts w:ascii="Times New Roman" w:hAnsi="Times New Roman" w:cs="Times New Roman"/>
          <w:i/>
          <w:iCs/>
        </w:rPr>
        <w:t>4</w:t>
      </w:r>
      <w:r w:rsidRPr="00883A10">
        <w:rPr>
          <w:rFonts w:ascii="Times New Roman" w:hAnsi="Times New Roman" w:cs="Times New Roman"/>
        </w:rPr>
        <w:t>(2), pp.119-126.</w:t>
      </w:r>
    </w:p>
    <w:p w14:paraId="369AE2DF"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Cappelli, P. and Keller, J.R., 2014. Talent management: Conceptual approaches and practical challenges. </w:t>
      </w:r>
      <w:r w:rsidRPr="00883A10">
        <w:rPr>
          <w:rFonts w:ascii="Times New Roman" w:hAnsi="Times New Roman" w:cs="Times New Roman"/>
          <w:i/>
          <w:iCs/>
        </w:rPr>
        <w:t xml:space="preserve">Annu. Rev. Organ. Psychol. Organ. </w:t>
      </w:r>
      <w:proofErr w:type="spellStart"/>
      <w:r w:rsidRPr="00883A10">
        <w:rPr>
          <w:rFonts w:ascii="Times New Roman" w:hAnsi="Times New Roman" w:cs="Times New Roman"/>
          <w:i/>
          <w:iCs/>
        </w:rPr>
        <w:t>Behav</w:t>
      </w:r>
      <w:proofErr w:type="spellEnd"/>
      <w:r w:rsidRPr="00883A10">
        <w:rPr>
          <w:rFonts w:ascii="Times New Roman" w:hAnsi="Times New Roman" w:cs="Times New Roman"/>
          <w:i/>
          <w:iCs/>
        </w:rPr>
        <w:t>.</w:t>
      </w:r>
      <w:r w:rsidRPr="00883A10">
        <w:rPr>
          <w:rFonts w:ascii="Times New Roman" w:hAnsi="Times New Roman" w:cs="Times New Roman"/>
        </w:rPr>
        <w:t>, </w:t>
      </w:r>
      <w:r w:rsidRPr="00883A10">
        <w:rPr>
          <w:rFonts w:ascii="Times New Roman" w:hAnsi="Times New Roman" w:cs="Times New Roman"/>
          <w:i/>
          <w:iCs/>
        </w:rPr>
        <w:t>1</w:t>
      </w:r>
      <w:r w:rsidRPr="00883A10">
        <w:rPr>
          <w:rFonts w:ascii="Times New Roman" w:hAnsi="Times New Roman" w:cs="Times New Roman"/>
        </w:rPr>
        <w:t>(1), pp.305-331.</w:t>
      </w:r>
    </w:p>
    <w:p w14:paraId="6EFE4C7E"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Cappelli, P., 2009. Talent on demand–managing talent in an age of uncertainty. </w:t>
      </w:r>
      <w:r w:rsidRPr="00883A10">
        <w:rPr>
          <w:rFonts w:ascii="Times New Roman" w:hAnsi="Times New Roman" w:cs="Times New Roman"/>
          <w:i/>
          <w:iCs/>
        </w:rPr>
        <w:t>Strategic Direction</w:t>
      </w:r>
      <w:r w:rsidRPr="00883A10">
        <w:rPr>
          <w:rFonts w:ascii="Times New Roman" w:hAnsi="Times New Roman" w:cs="Times New Roman"/>
        </w:rPr>
        <w:t>, </w:t>
      </w:r>
      <w:r w:rsidRPr="00883A10">
        <w:rPr>
          <w:rFonts w:ascii="Times New Roman" w:hAnsi="Times New Roman" w:cs="Times New Roman"/>
          <w:i/>
          <w:iCs/>
        </w:rPr>
        <w:t>25</w:t>
      </w:r>
      <w:r w:rsidRPr="00883A10">
        <w:rPr>
          <w:rFonts w:ascii="Times New Roman" w:hAnsi="Times New Roman" w:cs="Times New Roman"/>
        </w:rPr>
        <w:t>(3).</w:t>
      </w:r>
    </w:p>
    <w:p w14:paraId="2CC9628E"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Cascio, W.F. and Boudreau, J.W., 2016. The search for global competence: From international HR to talent management. </w:t>
      </w:r>
      <w:r w:rsidRPr="00883A10">
        <w:rPr>
          <w:rFonts w:ascii="Times New Roman" w:hAnsi="Times New Roman" w:cs="Times New Roman"/>
          <w:i/>
          <w:iCs/>
        </w:rPr>
        <w:t>Journal of World Business</w:t>
      </w:r>
      <w:r w:rsidRPr="00883A10">
        <w:rPr>
          <w:rFonts w:ascii="Times New Roman" w:hAnsi="Times New Roman" w:cs="Times New Roman"/>
        </w:rPr>
        <w:t>, </w:t>
      </w:r>
      <w:r w:rsidRPr="00883A10">
        <w:rPr>
          <w:rFonts w:ascii="Times New Roman" w:hAnsi="Times New Roman" w:cs="Times New Roman"/>
          <w:i/>
          <w:iCs/>
        </w:rPr>
        <w:t>51</w:t>
      </w:r>
      <w:r w:rsidRPr="00883A10">
        <w:rPr>
          <w:rFonts w:ascii="Times New Roman" w:hAnsi="Times New Roman" w:cs="Times New Roman"/>
        </w:rPr>
        <w:t>(1), pp.103-114.</w:t>
      </w:r>
    </w:p>
    <w:p w14:paraId="44D6A0E6"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Chun, E. and Evans, A., 2023. </w:t>
      </w:r>
      <w:r w:rsidRPr="00883A10">
        <w:rPr>
          <w:rFonts w:ascii="Times New Roman" w:hAnsi="Times New Roman" w:cs="Times New Roman"/>
          <w:i/>
          <w:iCs/>
        </w:rPr>
        <w:t>The new talent acquisition frontier: Integrating HR and diversity strategy in the private and public sectors and higher education</w:t>
      </w:r>
      <w:r w:rsidRPr="00883A10">
        <w:rPr>
          <w:rFonts w:ascii="Times New Roman" w:hAnsi="Times New Roman" w:cs="Times New Roman"/>
        </w:rPr>
        <w:t>. Taylor &amp; Francis.</w:t>
      </w:r>
    </w:p>
    <w:p w14:paraId="78E7840C"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 xml:space="preserve">CIPD (2022) Learning and Skills at Work Survey. London: Chartered Institute of Personnel and Development. Available at: </w:t>
      </w:r>
      <w:hyperlink r:id="rId13" w:history="1">
        <w:r w:rsidRPr="00883A10">
          <w:rPr>
            <w:rStyle w:val="Hyperlink"/>
            <w:rFonts w:ascii="Times New Roman" w:hAnsi="Times New Roman" w:cs="Times New Roman"/>
          </w:rPr>
          <w:t>https://www.cipd.co.uk</w:t>
        </w:r>
      </w:hyperlink>
      <w:r w:rsidRPr="00883A10">
        <w:rPr>
          <w:rFonts w:ascii="Times New Roman" w:hAnsi="Times New Roman" w:cs="Times New Roman"/>
        </w:rPr>
        <w:t>. (Accessed: 10 March 2026).</w:t>
      </w:r>
    </w:p>
    <w:p w14:paraId="64C1C129"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Clutterbuck, D., 2014. </w:t>
      </w:r>
      <w:r w:rsidRPr="00883A10">
        <w:rPr>
          <w:rFonts w:ascii="Times New Roman" w:hAnsi="Times New Roman" w:cs="Times New Roman"/>
          <w:i/>
          <w:iCs/>
        </w:rPr>
        <w:t>Everyone needs a mentor</w:t>
      </w:r>
      <w:r w:rsidRPr="00883A10">
        <w:rPr>
          <w:rFonts w:ascii="Times New Roman" w:hAnsi="Times New Roman" w:cs="Times New Roman"/>
        </w:rPr>
        <w:t>. Kogan Page Publishers.</w:t>
      </w:r>
    </w:p>
    <w:p w14:paraId="781C2506"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 xml:space="preserve">Collings, D.G., Scullion, H. and </w:t>
      </w:r>
      <w:proofErr w:type="spellStart"/>
      <w:r w:rsidRPr="00883A10">
        <w:rPr>
          <w:rFonts w:ascii="Times New Roman" w:hAnsi="Times New Roman" w:cs="Times New Roman"/>
        </w:rPr>
        <w:t>Vaiman</w:t>
      </w:r>
      <w:proofErr w:type="spellEnd"/>
      <w:r w:rsidRPr="00883A10">
        <w:rPr>
          <w:rFonts w:ascii="Times New Roman" w:hAnsi="Times New Roman" w:cs="Times New Roman"/>
        </w:rPr>
        <w:t>, V., 2015. Talent management: Progress and prospects. </w:t>
      </w:r>
      <w:r w:rsidRPr="00883A10">
        <w:rPr>
          <w:rFonts w:ascii="Times New Roman" w:hAnsi="Times New Roman" w:cs="Times New Roman"/>
          <w:i/>
          <w:iCs/>
        </w:rPr>
        <w:t>Human Resource Management Review</w:t>
      </w:r>
      <w:r w:rsidRPr="00883A10">
        <w:rPr>
          <w:rFonts w:ascii="Times New Roman" w:hAnsi="Times New Roman" w:cs="Times New Roman"/>
        </w:rPr>
        <w:t>, </w:t>
      </w:r>
      <w:r w:rsidRPr="00883A10">
        <w:rPr>
          <w:rFonts w:ascii="Times New Roman" w:hAnsi="Times New Roman" w:cs="Times New Roman"/>
          <w:i/>
          <w:iCs/>
        </w:rPr>
        <w:t>25</w:t>
      </w:r>
      <w:r w:rsidRPr="00883A10">
        <w:rPr>
          <w:rFonts w:ascii="Times New Roman" w:hAnsi="Times New Roman" w:cs="Times New Roman"/>
        </w:rPr>
        <w:t>(3), pp.233-235.</w:t>
      </w:r>
    </w:p>
    <w:p w14:paraId="6AC53CEE"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Da, K., 1984. Experiential learning. </w:t>
      </w:r>
      <w:r w:rsidRPr="00883A10">
        <w:rPr>
          <w:rFonts w:ascii="Times New Roman" w:hAnsi="Times New Roman" w:cs="Times New Roman"/>
          <w:i/>
          <w:iCs/>
        </w:rPr>
        <w:t>Experience as the Source of Learning and Development</w:t>
      </w:r>
      <w:r w:rsidRPr="00883A10">
        <w:rPr>
          <w:rFonts w:ascii="Times New Roman" w:hAnsi="Times New Roman" w:cs="Times New Roman"/>
        </w:rPr>
        <w:t>, </w:t>
      </w:r>
      <w:r w:rsidRPr="00883A10">
        <w:rPr>
          <w:rFonts w:ascii="Times New Roman" w:hAnsi="Times New Roman" w:cs="Times New Roman"/>
          <w:i/>
          <w:iCs/>
        </w:rPr>
        <w:t>41</w:t>
      </w:r>
      <w:r w:rsidRPr="00883A10">
        <w:rPr>
          <w:rFonts w:ascii="Times New Roman" w:hAnsi="Times New Roman" w:cs="Times New Roman"/>
        </w:rPr>
        <w:t>.</w:t>
      </w:r>
    </w:p>
    <w:p w14:paraId="2BBF6A14"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 xml:space="preserve">Deloitte (2023). 2023 Global Millennial Survey. Available at: </w:t>
      </w:r>
      <w:hyperlink r:id="rId14" w:history="1">
        <w:r w:rsidRPr="00883A10">
          <w:rPr>
            <w:rStyle w:val="Hyperlink"/>
            <w:rFonts w:ascii="Times New Roman" w:hAnsi="Times New Roman" w:cs="Times New Roman"/>
          </w:rPr>
          <w:t>https://www.deloitte.com</w:t>
        </w:r>
      </w:hyperlink>
      <w:r w:rsidRPr="00883A10">
        <w:rPr>
          <w:rFonts w:ascii="Times New Roman" w:hAnsi="Times New Roman" w:cs="Times New Roman"/>
        </w:rPr>
        <w:t>. (Accessed: 10 March 2026).</w:t>
      </w:r>
    </w:p>
    <w:p w14:paraId="69553F3B"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Gallup, I., 2023. State of the global workplace: 2022 report. </w:t>
      </w:r>
      <w:r w:rsidRPr="00883A10">
        <w:rPr>
          <w:rFonts w:ascii="Times New Roman" w:hAnsi="Times New Roman" w:cs="Times New Roman"/>
          <w:i/>
          <w:iCs/>
        </w:rPr>
        <w:t>Gallup. com. Retrieved February</w:t>
      </w:r>
      <w:r w:rsidRPr="00883A10">
        <w:rPr>
          <w:rFonts w:ascii="Times New Roman" w:hAnsi="Times New Roman" w:cs="Times New Roman"/>
        </w:rPr>
        <w:t> </w:t>
      </w:r>
      <w:r w:rsidRPr="00883A10">
        <w:rPr>
          <w:rFonts w:ascii="Times New Roman" w:hAnsi="Times New Roman" w:cs="Times New Roman"/>
          <w:i/>
          <w:iCs/>
        </w:rPr>
        <w:t>27</w:t>
      </w:r>
      <w:proofErr w:type="gramStart"/>
      <w:r w:rsidRPr="00883A10">
        <w:rPr>
          <w:rFonts w:ascii="Times New Roman" w:hAnsi="Times New Roman" w:cs="Times New Roman"/>
        </w:rPr>
        <w:t>, p.</w:t>
      </w:r>
      <w:proofErr w:type="gramEnd"/>
      <w:r w:rsidRPr="00883A10">
        <w:rPr>
          <w:rFonts w:ascii="Times New Roman" w:hAnsi="Times New Roman" w:cs="Times New Roman"/>
        </w:rPr>
        <w:t>2023.</w:t>
      </w:r>
    </w:p>
    <w:p w14:paraId="06679C98"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Herzberg, F., Mausner, B., and Snyderman, B.S., 1959. The motivation to work, New York: Wiley&amp; Sons. </w:t>
      </w:r>
      <w:r w:rsidRPr="00883A10">
        <w:rPr>
          <w:rFonts w:ascii="Times New Roman" w:hAnsi="Times New Roman" w:cs="Times New Roman"/>
          <w:i/>
          <w:iCs/>
        </w:rPr>
        <w:t>1959</w:t>
      </w:r>
      <w:r w:rsidRPr="00883A10">
        <w:rPr>
          <w:rFonts w:ascii="Times New Roman" w:hAnsi="Times New Roman" w:cs="Times New Roman"/>
        </w:rPr>
        <w:t>.</w:t>
      </w:r>
    </w:p>
    <w:p w14:paraId="4FEF24BF"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lastRenderedPageBreak/>
        <w:t>Kolb, A.Y. and Kolb, D.A., 2005. Learning styles and learning spaces: Enhancing experiential learning in higher education. </w:t>
      </w:r>
      <w:r w:rsidRPr="00883A10">
        <w:rPr>
          <w:rFonts w:ascii="Times New Roman" w:hAnsi="Times New Roman" w:cs="Times New Roman"/>
          <w:i/>
          <w:iCs/>
        </w:rPr>
        <w:t>Academy of management learning &amp; Education</w:t>
      </w:r>
      <w:r w:rsidRPr="00883A10">
        <w:rPr>
          <w:rFonts w:ascii="Times New Roman" w:hAnsi="Times New Roman" w:cs="Times New Roman"/>
        </w:rPr>
        <w:t>, </w:t>
      </w:r>
      <w:r w:rsidRPr="00883A10">
        <w:rPr>
          <w:rFonts w:ascii="Times New Roman" w:hAnsi="Times New Roman" w:cs="Times New Roman"/>
          <w:i/>
          <w:iCs/>
        </w:rPr>
        <w:t>4</w:t>
      </w:r>
      <w:r w:rsidRPr="00883A10">
        <w:rPr>
          <w:rFonts w:ascii="Times New Roman" w:hAnsi="Times New Roman" w:cs="Times New Roman"/>
        </w:rPr>
        <w:t>(2), pp.193-212.</w:t>
      </w:r>
    </w:p>
    <w:p w14:paraId="24618FB3"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 xml:space="preserve">Korn Ferry (2023) Future of Work: The Global Talent Crunch. Available at: </w:t>
      </w:r>
      <w:hyperlink r:id="rId15" w:history="1">
        <w:r w:rsidRPr="00883A10">
          <w:rPr>
            <w:rStyle w:val="Hyperlink"/>
            <w:rFonts w:ascii="Times New Roman" w:hAnsi="Times New Roman" w:cs="Times New Roman"/>
          </w:rPr>
          <w:t>https://www.kornferry.com</w:t>
        </w:r>
      </w:hyperlink>
      <w:r w:rsidRPr="00883A10">
        <w:rPr>
          <w:rFonts w:ascii="Times New Roman" w:hAnsi="Times New Roman" w:cs="Times New Roman"/>
        </w:rPr>
        <w:t>. (Accessed: 8 March 2026).</w:t>
      </w:r>
    </w:p>
    <w:p w14:paraId="4DD29779"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Marcinkus Murphy, W., 2012. Reverse mentoring at work: Fostering cross‐generational learning and developing millennial leaders. </w:t>
      </w:r>
      <w:r w:rsidRPr="00883A10">
        <w:rPr>
          <w:rFonts w:ascii="Times New Roman" w:hAnsi="Times New Roman" w:cs="Times New Roman"/>
          <w:i/>
          <w:iCs/>
        </w:rPr>
        <w:t>Human resource management</w:t>
      </w:r>
      <w:r w:rsidRPr="00883A10">
        <w:rPr>
          <w:rFonts w:ascii="Times New Roman" w:hAnsi="Times New Roman" w:cs="Times New Roman"/>
        </w:rPr>
        <w:t>, </w:t>
      </w:r>
      <w:r w:rsidRPr="00883A10">
        <w:rPr>
          <w:rFonts w:ascii="Times New Roman" w:hAnsi="Times New Roman" w:cs="Times New Roman"/>
          <w:i/>
          <w:iCs/>
        </w:rPr>
        <w:t>51</w:t>
      </w:r>
      <w:r w:rsidRPr="00883A10">
        <w:rPr>
          <w:rFonts w:ascii="Times New Roman" w:hAnsi="Times New Roman" w:cs="Times New Roman"/>
        </w:rPr>
        <w:t>(4), pp.549-573.</w:t>
      </w:r>
    </w:p>
    <w:p w14:paraId="2309E7CF"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Ragins, B.R., Kram, K.E. and Roosevelt, E., 2007. Meaning of mentoring. </w:t>
      </w:r>
      <w:r w:rsidRPr="00883A10">
        <w:rPr>
          <w:rFonts w:ascii="Times New Roman" w:hAnsi="Times New Roman" w:cs="Times New Roman"/>
          <w:i/>
          <w:iCs/>
        </w:rPr>
        <w:t>The handbook of mentoring at work: Theory, research, and practice</w:t>
      </w:r>
      <w:r w:rsidRPr="00883A10">
        <w:rPr>
          <w:rFonts w:ascii="Times New Roman" w:hAnsi="Times New Roman" w:cs="Times New Roman"/>
        </w:rPr>
        <w:t>, </w:t>
      </w:r>
      <w:r w:rsidRPr="00883A10">
        <w:rPr>
          <w:rFonts w:ascii="Times New Roman" w:hAnsi="Times New Roman" w:cs="Times New Roman"/>
          <w:i/>
          <w:iCs/>
        </w:rPr>
        <w:t>2007</w:t>
      </w:r>
      <w:r w:rsidRPr="00883A10">
        <w:rPr>
          <w:rFonts w:ascii="Times New Roman" w:hAnsi="Times New Roman" w:cs="Times New Roman"/>
        </w:rPr>
        <w:t>, pp.3-15.</w:t>
      </w:r>
    </w:p>
    <w:p w14:paraId="4E0EA46C"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Rousseau, D.M., 1989. Psychological and implied contracts in organizations. </w:t>
      </w:r>
      <w:r w:rsidRPr="00883A10">
        <w:rPr>
          <w:rFonts w:ascii="Times New Roman" w:hAnsi="Times New Roman" w:cs="Times New Roman"/>
          <w:i/>
          <w:iCs/>
        </w:rPr>
        <w:t>Employee responsibilities and rights journal</w:t>
      </w:r>
      <w:r w:rsidRPr="00883A10">
        <w:rPr>
          <w:rFonts w:ascii="Times New Roman" w:hAnsi="Times New Roman" w:cs="Times New Roman"/>
        </w:rPr>
        <w:t>, </w:t>
      </w:r>
      <w:r w:rsidRPr="00883A10">
        <w:rPr>
          <w:rFonts w:ascii="Times New Roman" w:hAnsi="Times New Roman" w:cs="Times New Roman"/>
          <w:i/>
          <w:iCs/>
        </w:rPr>
        <w:t>2</w:t>
      </w:r>
      <w:r w:rsidRPr="00883A10">
        <w:rPr>
          <w:rFonts w:ascii="Times New Roman" w:hAnsi="Times New Roman" w:cs="Times New Roman"/>
        </w:rPr>
        <w:t>(2), pp.121-139.</w:t>
      </w:r>
    </w:p>
    <w:p w14:paraId="22C6B43A"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Senge, P.M., 1990. The art and practice of the learning organization.</w:t>
      </w:r>
    </w:p>
    <w:p w14:paraId="3BFCEB9D"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Sparrow, P. and Cooper, C., 2016. </w:t>
      </w:r>
      <w:r w:rsidRPr="00883A10">
        <w:rPr>
          <w:rFonts w:ascii="Times New Roman" w:hAnsi="Times New Roman" w:cs="Times New Roman"/>
          <w:i/>
          <w:iCs/>
        </w:rPr>
        <w:t xml:space="preserve">Do we need </w:t>
      </w:r>
      <w:proofErr w:type="gramStart"/>
      <w:r w:rsidRPr="00883A10">
        <w:rPr>
          <w:rFonts w:ascii="Times New Roman" w:hAnsi="Times New Roman" w:cs="Times New Roman"/>
          <w:i/>
          <w:iCs/>
        </w:rPr>
        <w:t>HR?:</w:t>
      </w:r>
      <w:proofErr w:type="gramEnd"/>
      <w:r w:rsidRPr="00883A10">
        <w:rPr>
          <w:rFonts w:ascii="Times New Roman" w:hAnsi="Times New Roman" w:cs="Times New Roman"/>
          <w:i/>
          <w:iCs/>
        </w:rPr>
        <w:t xml:space="preserve"> Repositioning people management for success</w:t>
      </w:r>
      <w:r w:rsidRPr="00883A10">
        <w:rPr>
          <w:rFonts w:ascii="Times New Roman" w:hAnsi="Times New Roman" w:cs="Times New Roman"/>
        </w:rPr>
        <w:t>. Springer.</w:t>
      </w:r>
    </w:p>
    <w:p w14:paraId="70E7B801"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Ulrich, D., 1996. </w:t>
      </w:r>
      <w:r w:rsidRPr="00883A10">
        <w:rPr>
          <w:rFonts w:ascii="Times New Roman" w:hAnsi="Times New Roman" w:cs="Times New Roman"/>
          <w:i/>
          <w:iCs/>
        </w:rPr>
        <w:t>Human resource champions: The next agenda for adding value and delivering results</w:t>
      </w:r>
      <w:r w:rsidRPr="00883A10">
        <w:rPr>
          <w:rFonts w:ascii="Times New Roman" w:hAnsi="Times New Roman" w:cs="Times New Roman"/>
        </w:rPr>
        <w:t>. Harvard Business Press.</w:t>
      </w:r>
    </w:p>
    <w:p w14:paraId="048AF3A1" w14:textId="77777777" w:rsidR="00883A10" w:rsidRPr="00883A10" w:rsidRDefault="00883A10" w:rsidP="00883A10">
      <w:pPr>
        <w:spacing w:line="360" w:lineRule="auto"/>
        <w:ind w:left="720" w:hanging="720"/>
        <w:rPr>
          <w:rFonts w:ascii="Times New Roman" w:hAnsi="Times New Roman" w:cs="Times New Roman"/>
        </w:rPr>
      </w:pPr>
      <w:r w:rsidRPr="00883A10">
        <w:rPr>
          <w:rFonts w:ascii="Times New Roman" w:hAnsi="Times New Roman" w:cs="Times New Roman"/>
        </w:rPr>
        <w:t xml:space="preserve">World Economic Forum (2023). The Future of Jobs Report 2023. Geneva: WEF. Available at: </w:t>
      </w:r>
      <w:hyperlink r:id="rId16" w:history="1">
        <w:r w:rsidRPr="00883A10">
          <w:rPr>
            <w:rStyle w:val="Hyperlink"/>
            <w:rFonts w:ascii="Times New Roman" w:hAnsi="Times New Roman" w:cs="Times New Roman"/>
          </w:rPr>
          <w:t>https://www.weforum.org</w:t>
        </w:r>
      </w:hyperlink>
      <w:r w:rsidRPr="00883A10">
        <w:rPr>
          <w:rFonts w:ascii="Times New Roman" w:hAnsi="Times New Roman" w:cs="Times New Roman"/>
        </w:rPr>
        <w:t>. (Accessed: 12 March 2026).</w:t>
      </w:r>
    </w:p>
    <w:p w14:paraId="1AF4298B" w14:textId="77777777" w:rsidR="00FE0BE8" w:rsidRPr="00883A10" w:rsidRDefault="00FE0BE8" w:rsidP="00883A10">
      <w:pPr>
        <w:spacing w:line="360" w:lineRule="auto"/>
        <w:jc w:val="both"/>
        <w:rPr>
          <w:rFonts w:ascii="Times New Roman" w:hAnsi="Times New Roman" w:cs="Times New Roman"/>
        </w:rPr>
      </w:pPr>
    </w:p>
    <w:sectPr w:rsidR="00FE0BE8" w:rsidRPr="00883A10" w:rsidSect="003E4385">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EE3D0" w14:textId="77777777" w:rsidR="00C4419A" w:rsidRDefault="00C4419A" w:rsidP="00656AEE">
      <w:r>
        <w:separator/>
      </w:r>
    </w:p>
  </w:endnote>
  <w:endnote w:type="continuationSeparator" w:id="0">
    <w:p w14:paraId="4FEB4D47" w14:textId="77777777" w:rsidR="00C4419A" w:rsidRDefault="00C4419A" w:rsidP="00656A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41210" w14:textId="77777777" w:rsidR="00C4419A" w:rsidRDefault="00C4419A" w:rsidP="00656AEE">
      <w:r>
        <w:separator/>
      </w:r>
    </w:p>
  </w:footnote>
  <w:footnote w:type="continuationSeparator" w:id="0">
    <w:p w14:paraId="53B9F82F" w14:textId="77777777" w:rsidR="00C4419A" w:rsidRDefault="00C4419A" w:rsidP="00656A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50859"/>
    <w:multiLevelType w:val="hybridMultilevel"/>
    <w:tmpl w:val="B9242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8975E7"/>
    <w:multiLevelType w:val="hybridMultilevel"/>
    <w:tmpl w:val="FB2C8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0982333">
    <w:abstractNumId w:val="1"/>
  </w:num>
  <w:num w:numId="2" w16cid:durableId="1104417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59B"/>
    <w:rsid w:val="0009459B"/>
    <w:rsid w:val="00281111"/>
    <w:rsid w:val="003E4385"/>
    <w:rsid w:val="00656AEE"/>
    <w:rsid w:val="0078030C"/>
    <w:rsid w:val="008306F4"/>
    <w:rsid w:val="00871D45"/>
    <w:rsid w:val="00883A10"/>
    <w:rsid w:val="00C4419A"/>
    <w:rsid w:val="00E94B86"/>
    <w:rsid w:val="00FE0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7715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59B"/>
    <w:pPr>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883A10"/>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883A10"/>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semiHidden/>
    <w:unhideWhenUsed/>
    <w:qFormat/>
    <w:rsid w:val="000945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45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45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45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5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5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5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A10"/>
    <w:rPr>
      <w:rFonts w:ascii="Times New Roman" w:eastAsiaTheme="majorEastAsia" w:hAnsi="Times New Roman" w:cstheme="majorBidi"/>
      <w:b/>
      <w:kern w:val="0"/>
      <w:sz w:val="28"/>
      <w:szCs w:val="40"/>
      <w14:ligatures w14:val="none"/>
    </w:rPr>
  </w:style>
  <w:style w:type="character" w:customStyle="1" w:styleId="Heading2Char">
    <w:name w:val="Heading 2 Char"/>
    <w:basedOn w:val="DefaultParagraphFont"/>
    <w:link w:val="Heading2"/>
    <w:uiPriority w:val="9"/>
    <w:rsid w:val="00883A10"/>
    <w:rPr>
      <w:rFonts w:ascii="Times New Roman" w:eastAsiaTheme="majorEastAsia" w:hAnsi="Times New Roman" w:cstheme="majorBidi"/>
      <w:b/>
      <w:kern w:val="0"/>
      <w:szCs w:val="32"/>
      <w14:ligatures w14:val="none"/>
    </w:rPr>
  </w:style>
  <w:style w:type="character" w:customStyle="1" w:styleId="Heading3Char">
    <w:name w:val="Heading 3 Char"/>
    <w:basedOn w:val="DefaultParagraphFont"/>
    <w:link w:val="Heading3"/>
    <w:uiPriority w:val="9"/>
    <w:semiHidden/>
    <w:rsid w:val="000945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945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945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45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5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5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59B"/>
    <w:rPr>
      <w:rFonts w:eastAsiaTheme="majorEastAsia" w:cstheme="majorBidi"/>
      <w:color w:val="272727" w:themeColor="text1" w:themeTint="D8"/>
    </w:rPr>
  </w:style>
  <w:style w:type="paragraph" w:styleId="Title">
    <w:name w:val="Title"/>
    <w:basedOn w:val="Normal"/>
    <w:next w:val="Normal"/>
    <w:link w:val="TitleChar"/>
    <w:uiPriority w:val="10"/>
    <w:qFormat/>
    <w:rsid w:val="0009459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5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5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5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59B"/>
    <w:pPr>
      <w:spacing w:before="160"/>
      <w:jc w:val="center"/>
    </w:pPr>
    <w:rPr>
      <w:i/>
      <w:iCs/>
      <w:color w:val="404040" w:themeColor="text1" w:themeTint="BF"/>
    </w:rPr>
  </w:style>
  <w:style w:type="character" w:customStyle="1" w:styleId="QuoteChar">
    <w:name w:val="Quote Char"/>
    <w:basedOn w:val="DefaultParagraphFont"/>
    <w:link w:val="Quote"/>
    <w:uiPriority w:val="29"/>
    <w:rsid w:val="0009459B"/>
    <w:rPr>
      <w:i/>
      <w:iCs/>
      <w:color w:val="404040" w:themeColor="text1" w:themeTint="BF"/>
    </w:rPr>
  </w:style>
  <w:style w:type="paragraph" w:styleId="ListParagraph">
    <w:name w:val="List Paragraph"/>
    <w:basedOn w:val="Normal"/>
    <w:qFormat/>
    <w:rsid w:val="0009459B"/>
    <w:pPr>
      <w:ind w:left="720"/>
      <w:contextualSpacing/>
    </w:pPr>
  </w:style>
  <w:style w:type="character" w:styleId="IntenseEmphasis">
    <w:name w:val="Intense Emphasis"/>
    <w:basedOn w:val="DefaultParagraphFont"/>
    <w:uiPriority w:val="21"/>
    <w:qFormat/>
    <w:rsid w:val="0009459B"/>
    <w:rPr>
      <w:i/>
      <w:iCs/>
      <w:color w:val="2F5496" w:themeColor="accent1" w:themeShade="BF"/>
    </w:rPr>
  </w:style>
  <w:style w:type="paragraph" w:styleId="IntenseQuote">
    <w:name w:val="Intense Quote"/>
    <w:basedOn w:val="Normal"/>
    <w:next w:val="Normal"/>
    <w:link w:val="IntenseQuoteChar"/>
    <w:uiPriority w:val="30"/>
    <w:qFormat/>
    <w:rsid w:val="000945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459B"/>
    <w:rPr>
      <w:i/>
      <w:iCs/>
      <w:color w:val="2F5496" w:themeColor="accent1" w:themeShade="BF"/>
    </w:rPr>
  </w:style>
  <w:style w:type="character" w:styleId="IntenseReference">
    <w:name w:val="Intense Reference"/>
    <w:basedOn w:val="DefaultParagraphFont"/>
    <w:uiPriority w:val="32"/>
    <w:qFormat/>
    <w:rsid w:val="0009459B"/>
    <w:rPr>
      <w:b/>
      <w:bCs/>
      <w:smallCaps/>
      <w:color w:val="2F5496" w:themeColor="accent1" w:themeShade="BF"/>
      <w:spacing w:val="5"/>
    </w:rPr>
  </w:style>
  <w:style w:type="character" w:styleId="Hyperlink">
    <w:name w:val="Hyperlink"/>
    <w:uiPriority w:val="99"/>
    <w:unhideWhenUsed/>
    <w:rsid w:val="0009459B"/>
    <w:rPr>
      <w:color w:val="0563C1"/>
      <w:u w:val="single"/>
    </w:rPr>
  </w:style>
  <w:style w:type="paragraph" w:customStyle="1" w:styleId="TableParagraph">
    <w:name w:val="Table Paragraph"/>
    <w:basedOn w:val="Normal"/>
    <w:uiPriority w:val="1"/>
    <w:qFormat/>
    <w:rsid w:val="00883A10"/>
    <w:pPr>
      <w:widowControl w:val="0"/>
      <w:autoSpaceDE w:val="0"/>
      <w:autoSpaceDN w:val="0"/>
    </w:pPr>
    <w:rPr>
      <w:rFonts w:ascii="Arial MT" w:eastAsia="Arial MT" w:hAnsi="Arial MT" w:cs="Arial MT"/>
      <w:sz w:val="22"/>
      <w:szCs w:val="22"/>
    </w:rPr>
  </w:style>
  <w:style w:type="table" w:styleId="GridTable4">
    <w:name w:val="Grid Table 4"/>
    <w:basedOn w:val="TableNormal"/>
    <w:uiPriority w:val="49"/>
    <w:rsid w:val="003E438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3E4385"/>
    <w:pPr>
      <w:spacing w:after="200"/>
    </w:pPr>
    <w:rPr>
      <w:i/>
      <w:iCs/>
      <w:color w:val="44546A" w:themeColor="text2"/>
      <w:sz w:val="18"/>
      <w:szCs w:val="18"/>
    </w:rPr>
  </w:style>
  <w:style w:type="paragraph" w:styleId="TOCHeading">
    <w:name w:val="TOC Heading"/>
    <w:basedOn w:val="Heading1"/>
    <w:next w:val="Normal"/>
    <w:uiPriority w:val="39"/>
    <w:unhideWhenUsed/>
    <w:qFormat/>
    <w:rsid w:val="003E4385"/>
    <w:pPr>
      <w:spacing w:before="240" w:after="0" w:line="259" w:lineRule="auto"/>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3E4385"/>
    <w:pPr>
      <w:spacing w:after="100"/>
    </w:pPr>
  </w:style>
  <w:style w:type="paragraph" w:styleId="TOC2">
    <w:name w:val="toc 2"/>
    <w:basedOn w:val="Normal"/>
    <w:next w:val="Normal"/>
    <w:autoRedefine/>
    <w:uiPriority w:val="39"/>
    <w:unhideWhenUsed/>
    <w:rsid w:val="003E4385"/>
    <w:pPr>
      <w:spacing w:after="100"/>
      <w:ind w:left="240"/>
    </w:pPr>
  </w:style>
  <w:style w:type="paragraph" w:styleId="Header">
    <w:name w:val="header"/>
    <w:basedOn w:val="Normal"/>
    <w:link w:val="HeaderChar"/>
    <w:uiPriority w:val="99"/>
    <w:unhideWhenUsed/>
    <w:rsid w:val="00656AEE"/>
    <w:pPr>
      <w:tabs>
        <w:tab w:val="center" w:pos="4680"/>
        <w:tab w:val="right" w:pos="9360"/>
      </w:tabs>
    </w:pPr>
  </w:style>
  <w:style w:type="character" w:customStyle="1" w:styleId="HeaderChar">
    <w:name w:val="Header Char"/>
    <w:basedOn w:val="DefaultParagraphFont"/>
    <w:link w:val="Header"/>
    <w:uiPriority w:val="99"/>
    <w:rsid w:val="00656AEE"/>
    <w:rPr>
      <w:rFonts w:ascii="Arial" w:eastAsia="Arial" w:hAnsi="Arial" w:cs="Arial"/>
      <w:kern w:val="0"/>
      <w14:ligatures w14:val="none"/>
    </w:rPr>
  </w:style>
  <w:style w:type="paragraph" w:styleId="Footer">
    <w:name w:val="footer"/>
    <w:basedOn w:val="Normal"/>
    <w:link w:val="FooterChar"/>
    <w:uiPriority w:val="99"/>
    <w:unhideWhenUsed/>
    <w:rsid w:val="00656AEE"/>
    <w:pPr>
      <w:tabs>
        <w:tab w:val="center" w:pos="4680"/>
        <w:tab w:val="right" w:pos="9360"/>
      </w:tabs>
    </w:pPr>
  </w:style>
  <w:style w:type="character" w:customStyle="1" w:styleId="FooterChar">
    <w:name w:val="Footer Char"/>
    <w:basedOn w:val="DefaultParagraphFont"/>
    <w:link w:val="Footer"/>
    <w:uiPriority w:val="99"/>
    <w:rsid w:val="00656AEE"/>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eforum.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kornferry.co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34582-7B09-442B-BE85-F3F93BA60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3318</Words>
  <Characters>20113</Characters>
  <Application>Microsoft Office Word</Application>
  <DocSecurity>0</DocSecurity>
  <Lines>502</Lines>
  <Paragraphs>180</Paragraphs>
  <ScaleCrop>false</ScaleCrop>
  <Company/>
  <LinksUpToDate>false</LinksUpToDate>
  <CharactersWithSpaces>23251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2026-03-16T11:59:00Z</dcterms:created>
  <dcterms:modified xsi:type="dcterms:W3CDTF">2026-03-18T13:08:00Z</dcterms:modified>
</cp:coreProperties>
</file>