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Arial" w:hAnsi="Arial" w:cs="Arial"/>
          <w:sz w:val="24"/>
          <w:szCs w:val="24"/>
        </w:rPr>
      </w:pPr>
      <w:r>
        <w:rPr>
          <w:rFonts w:cs="Arial" w:ascii="Arial" w:hAnsi="Arial"/>
          <w:sz w:val="24"/>
          <w:szCs w:val="24"/>
        </w:rPr>
      </w:r>
    </w:p>
    <w:p>
      <w:pPr>
        <w:pStyle w:val="Normal"/>
        <w:jc w:val="center"/>
        <w:rPr>
          <w:rFonts w:ascii="Arial" w:hAnsi="Arial" w:cs="Arial"/>
          <w:sz w:val="24"/>
          <w:szCs w:val="24"/>
        </w:rPr>
      </w:pPr>
      <w:r>
        <w:rPr>
          <w:rFonts w:cs="Arial" w:ascii="Arial" w:hAnsi="Arial"/>
          <w:sz w:val="24"/>
          <w:szCs w:val="24"/>
        </w:rPr>
      </w:r>
    </w:p>
    <w:p>
      <w:pPr>
        <w:pStyle w:val="Normal"/>
        <w:jc w:val="center"/>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pPr>
      <w:r>
        <w:rPr/>
        <w:t xml:space="preserve"> </w:t>
      </w:r>
    </w:p>
    <w:p>
      <w:pPr>
        <w:pStyle w:val="Normal"/>
        <w:jc w:val="center"/>
        <w:rPr>
          <w:rFonts w:ascii="Arial" w:hAnsi="Arial" w:cs="Arial"/>
          <w:b/>
          <w:b/>
          <w:bCs/>
          <w:i/>
          <w:i/>
          <w:iCs/>
          <w:sz w:val="24"/>
          <w:szCs w:val="24"/>
        </w:rPr>
      </w:pPr>
      <w:r>
        <w:rPr>
          <w:rFonts w:cs="Arial" w:ascii="Arial" w:hAnsi="Arial"/>
          <w:b/>
          <w:bCs/>
          <w:i/>
          <w:iCs/>
          <w:sz w:val="24"/>
          <w:szCs w:val="24"/>
        </w:rPr>
        <w:t>How to engage employees throughout the employee lifecycle</w:t>
      </w:r>
    </w:p>
    <w:p>
      <w:pPr>
        <w:pStyle w:val="Normal"/>
        <w:jc w:val="center"/>
        <w:rPr/>
      </w:pPr>
      <w:r>
        <w:rPr>
          <w:b/>
          <w:bCs/>
        </w:rPr>
        <w:t xml:space="preserve">Student Name: </w:t>
      </w:r>
      <w:r>
        <w:rPr>
          <w:b/>
          <w:bCs/>
        </w:rPr>
        <w:t>Alina Neagu</w:t>
      </w:r>
    </w:p>
    <w:p>
      <w:pPr>
        <w:pStyle w:val="Normal"/>
        <w:jc w:val="center"/>
        <w:rPr/>
      </w:pPr>
      <w:r>
        <w:rPr>
          <w:b/>
          <w:bCs/>
        </w:rPr>
        <w:t>S</w:t>
      </w:r>
      <w:r>
        <w:rPr>
          <w:b/>
          <w:bCs/>
        </w:rPr>
        <w:t>tudent Number: 2121368</w:t>
      </w:r>
    </w:p>
    <w:p>
      <w:pPr>
        <w:pStyle w:val="Normal"/>
        <w:jc w:val="center"/>
        <w:rPr/>
      </w:pPr>
      <w:r>
        <w:rPr>
          <w:b/>
          <w:bCs/>
        </w:rPr>
        <w:t xml:space="preserve">Module </w:t>
      </w:r>
      <w:r>
        <w:rPr>
          <w:b/>
          <w:bCs/>
        </w:rPr>
        <w:t>Code</w:t>
      </w:r>
      <w:r>
        <w:rPr>
          <w:b/>
          <w:bCs/>
        </w:rPr>
        <w:t xml:space="preserve">: </w:t>
      </w:r>
      <w:r>
        <w:rPr>
          <w:b/>
          <w:bCs/>
        </w:rPr>
        <w:t>BMIH5005</w:t>
      </w:r>
    </w:p>
    <w:p>
      <w:pPr>
        <w:pStyle w:val="Normal"/>
        <w:jc w:val="center"/>
        <w:rPr/>
      </w:pPr>
      <w:r>
        <w:rPr>
          <w:b/>
          <w:bCs/>
        </w:rPr>
        <w:t xml:space="preserve">Lecturer’s Name: </w:t>
      </w:r>
      <w:r>
        <w:rPr>
          <w:b/>
          <w:bCs/>
        </w:rPr>
        <w:t>Charlotte Joyner</w:t>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jc w:val="both"/>
        <w:rPr>
          <w:rFonts w:ascii="Arial" w:hAnsi="Arial" w:cs="Arial"/>
          <w:sz w:val="24"/>
          <w:szCs w:val="24"/>
        </w:rPr>
      </w:pPr>
      <w:r>
        <w:rPr>
          <w:rFonts w:cs="Arial" w:ascii="Arial" w:hAnsi="Arial"/>
          <w:sz w:val="24"/>
          <w:szCs w:val="24"/>
        </w:rPr>
        <w:t>Employee engagement is vital to any firm since it directly impacts its success. In a major hotel, the human resources (HR) department ensures that workers remain engaged throughout their organisational lifespan (</w:t>
      </w:r>
      <w:r>
        <w:rPr>
          <w:rFonts w:cs="Arial" w:ascii="Arial" w:hAnsi="Arial"/>
          <w:color w:val="222222"/>
          <w:sz w:val="24"/>
          <w:szCs w:val="24"/>
          <w:shd w:fill="FFFFFF" w:val="clear"/>
        </w:rPr>
        <w:t>Hassanein and Özgit, 2022)</w:t>
      </w:r>
      <w:r>
        <w:rPr>
          <w:rFonts w:cs="Arial" w:ascii="Arial" w:hAnsi="Arial"/>
          <w:sz w:val="24"/>
          <w:szCs w:val="24"/>
        </w:rPr>
        <w:t>. The employee lifecycle comprises all phases of an employee's experience, from recruitment to eventual separation from the organisation. This essay will cover the employee engagement tactics that the HR department of a large hotel might apply throughout this trip. Employee engagement can be defined as an individual's emotional and psychological investment in their work and organisation (</w:t>
      </w:r>
      <w:r>
        <w:rPr>
          <w:rFonts w:cs="Arial" w:ascii="Arial" w:hAnsi="Arial"/>
          <w:color w:val="222222"/>
          <w:sz w:val="24"/>
          <w:szCs w:val="24"/>
          <w:shd w:fill="FFFFFF" w:val="clear"/>
        </w:rPr>
        <w:t>Budrienė and Diskienė, 2020)</w:t>
      </w:r>
      <w:r>
        <w:rPr>
          <w:rFonts w:cs="Arial" w:ascii="Arial" w:hAnsi="Arial"/>
          <w:sz w:val="24"/>
          <w:szCs w:val="24"/>
        </w:rPr>
        <w:t>. It is defined by people who are dedicated to their work, determined to contribute to the organisation's success and have a positive outlook on their work and coworkers (</w:t>
      </w:r>
      <w:r>
        <w:rPr>
          <w:rFonts w:cs="Arial" w:ascii="Arial" w:hAnsi="Arial"/>
          <w:color w:val="222222"/>
          <w:sz w:val="24"/>
          <w:szCs w:val="24"/>
          <w:shd w:fill="FFFFFF" w:val="clear"/>
        </w:rPr>
        <w:t>Martela, 2019)</w:t>
      </w:r>
      <w:r>
        <w:rPr>
          <w:rFonts w:cs="Arial" w:ascii="Arial" w:hAnsi="Arial"/>
          <w:sz w:val="24"/>
          <w:szCs w:val="24"/>
        </w:rPr>
        <w:t>. In order to effectively engage employees, the HR department must have a thorough awareness of the employee lifecycle and the engagement possibilities accessible at each stage. This essay will examine the numerous employee engagement tactics the HR department can apply during the onboarding process, performance management, learning and development, and exit process. This essay aims to provide a complete overview of the employee engagement tactics that the HR department of a large hotel might apply throughout the employee lifecycle. By employing these techniques, the hotel will be able to cultivate a great work atmosphere, retain top people, and ultimately drive the organisation's success.</w:t>
      </w:r>
    </w:p>
    <w:p>
      <w:pPr>
        <w:pStyle w:val="Normal"/>
        <w:jc w:val="both"/>
        <w:rPr>
          <w:rFonts w:ascii="Arial" w:hAnsi="Arial" w:cs="Arial"/>
          <w:sz w:val="24"/>
          <w:szCs w:val="24"/>
        </w:rPr>
      </w:pPr>
      <w:r>
        <w:rPr>
          <w:rFonts w:cs="Arial" w:ascii="Arial" w:hAnsi="Arial"/>
          <w:sz w:val="24"/>
          <w:szCs w:val="24"/>
        </w:rPr>
        <w:t>Since HR is responsible for establishing the culture and atmosphere of the firm, it plays a vital role in the employee engagement of large hotels (Al-Swidi et al., 2021). The Human Resources department is responsible for developing and implementing initiatives that improve workers' health and morale on the job (Hur, 2020). Programs for professional growth, training, and recognition give employees more motivation and a sense of purpose (Norbu and Wetprasit, 2021). By promoting diversity, fairness, and inclusion in the workplace, HR can reduce employee turnover, improve employee satisfaction, and keep top talent (Al-Swidi et al., 2021). This results in a more prosperous and productive organisation within the hospitality sector as a whole.</w:t>
      </w:r>
    </w:p>
    <w:p>
      <w:pPr>
        <w:pStyle w:val="Normal"/>
        <w:jc w:val="both"/>
        <w:rPr>
          <w:rFonts w:ascii="Arial" w:hAnsi="Arial" w:cs="Arial"/>
          <w:sz w:val="24"/>
          <w:szCs w:val="24"/>
        </w:rPr>
      </w:pPr>
      <w:r>
        <w:rPr>
          <w:rFonts w:cs="Arial" w:ascii="Arial" w:hAnsi="Arial"/>
          <w:sz w:val="24"/>
          <w:szCs w:val="24"/>
        </w:rPr>
        <w:t>To maintain continued success in the hospitality industry, hotels should make employee engagement a top priority. There are a number of factors that can lead to enhanced levels of job satisfaction and general engagement, including open and regular communication, programmes of recognition and reward, and investments in staff skills and resources (Clack, 2020; Bhutto et al., 2021). According to Foà et al. research .'s from 2020, one of the most effective ways to maintain employee motivation and contentment is to encourage a healthy work-life balance. Hotels may strengthen their business culture, attract and keep top talent, enhance customer happiness, and maintain a favourable image if staff is engaged (Clack, 2020). Hotels need to place a significant emphasis on encouraging employee engagement in order to maintain their position as market leaders in the hospitality industry.</w:t>
      </w:r>
    </w:p>
    <w:p>
      <w:pPr>
        <w:pStyle w:val="Normal"/>
        <w:jc w:val="both"/>
        <w:rPr>
          <w:rFonts w:ascii="Arial" w:hAnsi="Arial" w:cs="Arial"/>
          <w:sz w:val="24"/>
          <w:szCs w:val="24"/>
        </w:rPr>
      </w:pPr>
      <w:r>
        <w:rPr>
          <w:rFonts w:cs="Arial" w:ascii="Arial" w:hAnsi="Arial"/>
          <w:sz w:val="24"/>
          <w:szCs w:val="24"/>
        </w:rPr>
        <w:t>The employee lifecycle in a hotel is a complete framework that incorporates the numerous stages that an employee goes through while working for the business. This framework can also be thought of as an employee's journey through the organisation. The human resources department of a hotel plays a crucial role in attracting potential candidates for open positions by highlighting the hotel's culture, values, and benefits through a variety of online platforms, such as social media, hotel websites, and job portals. This helps to attract candidates who are interested in working for the hotel (Kujur and Singh, 2020). The human resources department of the hotel can contribute to the success of the organisation by attracting personnel who have beliefs and objectives that are congruent with those of the hotel if it emphasises these aspects (Itam et al., 2020).</w:t>
      </w:r>
    </w:p>
    <w:p>
      <w:pPr>
        <w:pStyle w:val="Normal"/>
        <w:jc w:val="both"/>
        <w:rPr>
          <w:rFonts w:ascii="Arial" w:hAnsi="Arial" w:cs="Arial"/>
          <w:sz w:val="24"/>
          <w:szCs w:val="24"/>
        </w:rPr>
      </w:pPr>
      <w:r>
        <w:rPr>
          <w:rFonts w:cs="Arial" w:ascii="Arial" w:hAnsi="Arial"/>
          <w:sz w:val="24"/>
          <w:szCs w:val="24"/>
        </w:rPr>
        <w:t>During the application selection process, the Human Resources department in the hotel business places a great amount of attention on locating candidates who are qualified and culturally acceptable for the position (Stone et al., 2020). In order to accomplish this objective, HR makes use of a number of different assessment tools, such as job simulations, behavioural interviews, and cognitive tests, in order to analyse the potential employee's abilities, values, and interests.</w:t>
      </w:r>
    </w:p>
    <w:p>
      <w:pPr>
        <w:pStyle w:val="Normal"/>
        <w:jc w:val="both"/>
        <w:rPr>
          <w:rFonts w:ascii="Arial" w:hAnsi="Arial" w:cs="Arial"/>
          <w:sz w:val="24"/>
          <w:szCs w:val="24"/>
        </w:rPr>
      </w:pPr>
      <w:r>
        <w:rPr>
          <w:rFonts w:cs="Arial" w:ascii="Arial" w:hAnsi="Arial"/>
          <w:sz w:val="24"/>
          <w:szCs w:val="24"/>
        </w:rPr>
        <w:t>In a hotel setting, the onboarding procedure is crucial to fostering employee engagement (Gouthier and Raquet, 2023). By providing thorough orientation, training, and opportunities for engagement with other workers, a well-designed onboarding program facilitates a smooth transfer into roles and fosters a sense of belonging (Badshah and Bulut, 2020). For newly hired employees, a positive onboarding experience can pave the way to higher levels of job satisfaction and a more seamless transition into the larger business.</w:t>
      </w:r>
    </w:p>
    <w:p>
      <w:pPr>
        <w:pStyle w:val="Normal"/>
        <w:jc w:val="both"/>
        <w:rPr>
          <w:rFonts w:ascii="Arial" w:hAnsi="Arial" w:cs="Arial"/>
          <w:sz w:val="24"/>
          <w:szCs w:val="24"/>
        </w:rPr>
      </w:pPr>
      <w:r>
        <w:rPr>
          <w:rFonts w:cs="Arial" w:ascii="Arial" w:hAnsi="Arial"/>
          <w:sz w:val="24"/>
          <w:szCs w:val="24"/>
        </w:rPr>
        <w:t>In the early stages of hotel HR, the main goal is to help employees grow and get better at their jobs (Karim et al., 2019). This is done by giving regular performance reviews, setting goals for performance, and giving helpful feedback (Murphy, 2020). A better understanding of one's role in the organization, focus, and the importance of work to the success of the hotel is achieved when employees reach a certain stage.</w:t>
      </w:r>
    </w:p>
    <w:p>
      <w:pPr>
        <w:pStyle w:val="Normal"/>
        <w:jc w:val="both"/>
        <w:rPr>
          <w:rFonts w:ascii="Arial" w:hAnsi="Arial" w:cs="Arial"/>
          <w:sz w:val="24"/>
          <w:szCs w:val="24"/>
        </w:rPr>
      </w:pPr>
      <w:r>
        <w:rPr>
          <w:rFonts w:cs="Arial" w:ascii="Arial" w:hAnsi="Arial"/>
          <w:sz w:val="24"/>
          <w:szCs w:val="24"/>
        </w:rPr>
        <w:t>Rodrguez-Sánchez et al. (2020) say that the main goal of the retention stage is to keep the best employee’s interest. To do this, HR may offer perks like flexible work schedules and recognition programmes. This creates a workplace culture where employees feel valued and appreciated. A good, inclusive workplace may increase the likelihood of retaining and motivating the finest staff.</w:t>
      </w:r>
    </w:p>
    <w:p>
      <w:pPr>
        <w:pStyle w:val="Normal"/>
        <w:jc w:val="both"/>
        <w:rPr>
          <w:rFonts w:ascii="Arial" w:hAnsi="Arial" w:cs="Arial"/>
          <w:sz w:val="24"/>
          <w:szCs w:val="24"/>
        </w:rPr>
      </w:pPr>
      <w:r>
        <w:rPr>
          <w:rFonts w:cs="Arial" w:ascii="Arial" w:hAnsi="Arial"/>
          <w:sz w:val="24"/>
          <w:szCs w:val="24"/>
        </w:rPr>
        <w:t>The human resources department of the hotel can benefit from getting insights from employees who are leaving the company, which will allow HR to make improvements to the experience of working there. Ex-employees have a one-of-a-kind perspective on their time spent working for the hotel, and often are able to provide helpful feedback on areas that need to be improved (Dexter, 2020). This input has the potential to be exploited to improve employee engagement as well as overall satisfaction with the environment of the hotel.</w:t>
      </w:r>
    </w:p>
    <w:p>
      <w:pPr>
        <w:pStyle w:val="Normal"/>
        <w:jc w:val="both"/>
        <w:rPr>
          <w:rFonts w:ascii="Arial" w:hAnsi="Arial" w:cs="Arial"/>
          <w:sz w:val="24"/>
          <w:szCs w:val="24"/>
        </w:rPr>
      </w:pPr>
      <w:r>
        <w:rPr>
          <w:rFonts w:cs="Arial" w:ascii="Arial" w:hAnsi="Arial"/>
          <w:sz w:val="24"/>
          <w:szCs w:val="24"/>
        </w:rPr>
        <w:t>The retention of top employees and the promotion of motivation and engagement are likely if the work environment is pleasant and welcoming. One strategy to engage the team is to promote open communication and a sense of inclusiveness (</w:t>
      </w:r>
      <w:r>
        <w:rPr>
          <w:rFonts w:cs="Arial" w:ascii="Arial" w:hAnsi="Arial"/>
          <w:color w:val="222222"/>
          <w:sz w:val="24"/>
          <w:szCs w:val="24"/>
          <w:shd w:fill="FFFFFF" w:val="clear"/>
        </w:rPr>
        <w:t>Lee, 2022)</w:t>
      </w:r>
      <w:r>
        <w:rPr>
          <w:rFonts w:cs="Arial" w:ascii="Arial" w:hAnsi="Arial"/>
          <w:sz w:val="24"/>
          <w:szCs w:val="24"/>
        </w:rPr>
        <w:t>. This can be accomplished by holding regular team meetings and making sure that all members of the team have ample opportunities to provide input and make suggestions. Recognising and appreciating the accomplishments of the team is another method that may use to keep their interest. Through the granting of incentives, promotions, or public acknowledgement of their work, it is possible to motivate and engage top employees and ensure their retention. Providing opportunities for professional development and advancement is one of the most crucial factors in retaining employees (Kitsios and Kamariotou, 2021). Employee involvement can be increased through the provision of training and workshops, as well as by encouraging the acceptance of new responsibilities and tasks. Appreciating the health and well-being of team members by supporting the maintenance of a good work-life balance and providing flexible working conditions helps to engage the workforce. Establishing a healthy work environment that is friendly to all employees and investing in their professional growth and development are the two most significant factors in motivating the team.</w:t>
      </w:r>
    </w:p>
    <w:p>
      <w:pPr>
        <w:pStyle w:val="Normal"/>
        <w:jc w:val="both"/>
        <w:rPr>
          <w:rFonts w:ascii="Arial" w:hAnsi="Arial" w:cs="Arial"/>
          <w:sz w:val="24"/>
          <w:szCs w:val="24"/>
        </w:rPr>
      </w:pPr>
      <w:r>
        <w:rPr>
          <w:rFonts w:cs="Arial" w:ascii="Arial" w:hAnsi="Arial"/>
          <w:sz w:val="24"/>
          <w:szCs w:val="24"/>
        </w:rPr>
        <w:t>The Job Demands-Resources model, often known as the JD-R model, is a paradigm that is commonly used for better understanding and increasing employee engagement. It proposes that employee engagement is the outcome of the interaction between job demands and job resources and that organisations may create a positive work environment and promote employee engagement by striking a balance between these two aspects (</w:t>
      </w:r>
      <w:r>
        <w:rPr>
          <w:rFonts w:cs="Arial" w:ascii="Arial" w:hAnsi="Arial"/>
          <w:color w:val="222222"/>
          <w:sz w:val="24"/>
          <w:szCs w:val="24"/>
          <w:shd w:fill="FFFFFF" w:val="clear"/>
        </w:rPr>
        <w:t>Lesener et al., 2019)</w:t>
      </w:r>
      <w:r>
        <w:rPr>
          <w:rFonts w:cs="Arial" w:ascii="Arial" w:hAnsi="Arial"/>
          <w:sz w:val="24"/>
          <w:szCs w:val="24"/>
        </w:rPr>
        <w:t>. The term "job demands" refers to the various aspects of work (including the physical, psychological, social, and organisational components) that take effort and are often connected with stress. A hefty workload, time pressure, unclear roles, and a lack of control are all examples of demands that come with some jobs (</w:t>
      </w:r>
      <w:r>
        <w:rPr>
          <w:rFonts w:cs="Arial" w:ascii="Arial" w:hAnsi="Arial"/>
          <w:color w:val="222222"/>
          <w:sz w:val="24"/>
          <w:szCs w:val="24"/>
          <w:shd w:fill="FFFFFF" w:val="clear"/>
        </w:rPr>
        <w:t>Mazzetti et al., 2021)</w:t>
      </w:r>
      <w:r>
        <w:rPr>
          <w:rFonts w:cs="Arial" w:ascii="Arial" w:hAnsi="Arial"/>
          <w:sz w:val="24"/>
          <w:szCs w:val="24"/>
        </w:rPr>
        <w:t>. On the other hand, job resources are the parts of work (physical, psychological, social, and organisational) that provide support, boost personal growth, and contribute to emotions of accomplishment. These job resources can be broken down into four categories. Some of the resources that come with a job are autonomy, social support, a diverse set of skills, and feedback.</w:t>
      </w:r>
    </w:p>
    <w:p>
      <w:pPr>
        <w:pStyle w:val="Normal"/>
        <w:jc w:val="both"/>
        <w:rPr>
          <w:rFonts w:ascii="Arial" w:hAnsi="Arial" w:cs="Arial"/>
          <w:sz w:val="24"/>
          <w:szCs w:val="24"/>
        </w:rPr>
      </w:pPr>
      <w:r>
        <w:rPr>
          <w:rFonts w:cs="Arial" w:ascii="Arial" w:hAnsi="Arial"/>
          <w:sz w:val="24"/>
          <w:szCs w:val="24"/>
        </w:rPr>
        <w:t>According to the JD-R model, high levels of job demands can lead to employee burnout and diminished engagement if these high levels of job demands are not balanced with sufficient levels of job resources (</w:t>
      </w:r>
      <w:r>
        <w:rPr>
          <w:rFonts w:cs="Arial" w:ascii="Arial" w:hAnsi="Arial"/>
          <w:color w:val="222222"/>
          <w:sz w:val="24"/>
          <w:szCs w:val="24"/>
          <w:shd w:fill="FFFFFF" w:val="clear"/>
        </w:rPr>
        <w:t>Radic et al., 2020)</w:t>
      </w:r>
      <w:r>
        <w:rPr>
          <w:rFonts w:cs="Arial" w:ascii="Arial" w:hAnsi="Arial"/>
          <w:sz w:val="24"/>
          <w:szCs w:val="24"/>
        </w:rPr>
        <w:t>. On the other side, if an employer makes available to their staff a sufficient quantity of job-related resources, this can mitigate the unfavourable consequences that are caused by the demands of the job and contribute to greater employee engagement and satisfaction in their work. The JD-R model can be used by the HR department to gain a deeper understanding of the elements that influence employee engagement in their firm and to build plans for enhancing the quality of the working environment. For instance, HR are able to conduct an analysis of the levels of job demands and job resources in the workplace and locate areas in which resources can be enhanced to achieve a balance between the levels of job demands and job resources. In addition, Employee involvement can also be increased by providing the necessary assistance and training to meet job expectations and maximize available resources.</w:t>
      </w:r>
    </w:p>
    <w:p>
      <w:pPr>
        <w:pStyle w:val="Normal"/>
        <w:jc w:val="both"/>
        <w:rPr>
          <w:rFonts w:ascii="Arial" w:hAnsi="Arial" w:cs="Arial"/>
          <w:sz w:val="24"/>
          <w:szCs w:val="24"/>
        </w:rPr>
      </w:pPr>
      <w:r>
        <w:rPr>
          <w:rFonts w:cs="Arial" w:ascii="Arial" w:hAnsi="Arial"/>
          <w:sz w:val="24"/>
          <w:szCs w:val="24"/>
        </w:rPr>
        <w:t>Increasing levels of employee satisfaction, higher levels of productivity, and lower rates of employee turnover are just some of the many benefits that accrue to businesses that properly engage their workforce. Several businesses, like Google, Zappos, Patagonia, SAS Institute, Southwest Airlines, and Whole Foods Market, have earned a well-deserved reputation for their unwavering dedication to the engagement of their workforce. Google has been able to achieve high levels of employee engagement and keep top talent by instituting a comprehensive onboarding programme and placing a priority on the satisfaction and well-being of its workers (</w:t>
      </w:r>
      <w:r>
        <w:rPr>
          <w:rFonts w:cs="Arial" w:ascii="Arial" w:hAnsi="Arial"/>
          <w:color w:val="222222"/>
          <w:sz w:val="24"/>
          <w:szCs w:val="24"/>
          <w:shd w:fill="FFFFFF" w:val="clear"/>
        </w:rPr>
        <w:t>Allal-Chérif et al., 2021)</w:t>
      </w:r>
      <w:r>
        <w:rPr>
          <w:rFonts w:cs="Arial" w:ascii="Arial" w:hAnsi="Arial"/>
          <w:sz w:val="24"/>
          <w:szCs w:val="24"/>
        </w:rPr>
        <w:t>. This has helped Google to retain top talent. Zappos has a favourable business culture as a direct result of its leadership's commitment to the health and happiness of its staff members, as well as to fostering a healthy balance between their professional and personal lives (</w:t>
      </w:r>
      <w:r>
        <w:rPr>
          <w:rFonts w:cs="Arial" w:ascii="Arial" w:hAnsi="Arial"/>
          <w:color w:val="222222"/>
          <w:sz w:val="24"/>
          <w:szCs w:val="24"/>
          <w:shd w:fill="FFFFFF" w:val="clear"/>
        </w:rPr>
        <w:t>Nguyen, 2021)</w:t>
      </w:r>
      <w:r>
        <w:rPr>
          <w:rFonts w:cs="Arial" w:ascii="Arial" w:hAnsi="Arial"/>
          <w:sz w:val="24"/>
          <w:szCs w:val="24"/>
        </w:rPr>
        <w:t>. Patagonia places a high priority on the health and happiness of its workforce, which is why the company provides perks like on-site child care and opportunities for workers to participate in environmental activism (</w:t>
      </w:r>
      <w:r>
        <w:rPr>
          <w:rFonts w:cs="Arial" w:ascii="Arial" w:hAnsi="Arial"/>
          <w:color w:val="222222"/>
          <w:sz w:val="24"/>
          <w:szCs w:val="24"/>
          <w:shd w:fill="FFFFFF" w:val="clear"/>
        </w:rPr>
        <w:t>Krchová, 2019)</w:t>
      </w:r>
      <w:r>
        <w:rPr>
          <w:rFonts w:cs="Arial" w:ascii="Arial" w:hAnsi="Arial"/>
          <w:sz w:val="24"/>
          <w:szCs w:val="24"/>
        </w:rPr>
        <w:t>. The SAS Institute is routinely regarded as one of the best organisations to work for, and the organisation provides its employees with opportunities for professional development, as well as flexible work arrangements and a culture that encourages teamwork. Southwest Airlines places a great priority on its employees, and as a result, the company has developed a work atmosphere that is both entertaining and supportive (</w:t>
      </w:r>
      <w:r>
        <w:rPr>
          <w:rFonts w:cs="Arial" w:ascii="Arial" w:hAnsi="Arial"/>
          <w:color w:val="222222"/>
          <w:sz w:val="24"/>
          <w:szCs w:val="24"/>
          <w:shd w:fill="FFFFFF" w:val="clear"/>
        </w:rPr>
        <w:t>Bhowal and Saini, 2019)</w:t>
      </w:r>
      <w:r>
        <w:rPr>
          <w:rFonts w:cs="Arial" w:ascii="Arial" w:hAnsi="Arial"/>
          <w:sz w:val="24"/>
          <w:szCs w:val="24"/>
        </w:rPr>
        <w:t>. Southwest Airlines employees and their families are eligible for benefits such as free travel. Whole Foods Market is dedicated to the well-being of its employees as well as the communities it serves. As part of this commitment, the company provides its workers with perks such as in-store discounts and possibilities for professional advancement. These companies are great examples of how more successful and productive work can be achieved via effective employee engagement.</w:t>
      </w:r>
    </w:p>
    <w:p>
      <w:pPr>
        <w:pStyle w:val="Normal"/>
        <w:jc w:val="both"/>
        <w:rPr>
          <w:rFonts w:ascii="Arial" w:hAnsi="Arial" w:cs="Arial"/>
          <w:sz w:val="24"/>
          <w:szCs w:val="24"/>
        </w:rPr>
      </w:pPr>
      <w:r>
        <w:rPr>
          <w:rFonts w:cs="Arial" w:ascii="Arial" w:hAnsi="Arial"/>
          <w:sz w:val="24"/>
          <w:szCs w:val="24"/>
        </w:rPr>
        <w:t>The HR department of a large hotel plays a vital role in ensuring employee engagement, which has a direct impact on the company's success. Throughout the employee's lifetime, the HR department employs employee engagement strategies such as a great work environment, open communication, recognition and rewards, opportunities for professional development, and a healthy work-life balance. During the recruitment phase, The HR department prioritizes acquiring qualified and culturally appropriate people and assists their transfer into new roles through a thorough onboarding process. The HR department focuses on performance management and career development during the development phase. Retention is accomplished through incentives and a positive work environment. The leaving process affords the HR department the chance to gain insight from departing employees and enhance the overall employee experience. By actively engaging employees, HR can contribute to a healthy work environment, retain top talent, and promote business success.</w:t>
      </w:r>
    </w:p>
    <w:p>
      <w:pPr>
        <w:pStyle w:val="Normal"/>
        <w:rPr>
          <w:rFonts w:ascii="Arial" w:hAnsi="Arial" w:cs="Arial"/>
          <w:sz w:val="24"/>
          <w:szCs w:val="24"/>
        </w:rPr>
      </w:pPr>
      <w:r>
        <w:rPr>
          <w:rFonts w:cs="Arial" w:ascii="Arial" w:hAnsi="Arial"/>
          <w:sz w:val="24"/>
          <w:szCs w:val="24"/>
        </w:rPr>
      </w:r>
    </w:p>
    <w:p>
      <w:pPr>
        <w:pStyle w:val="Heading1"/>
        <w:rPr>
          <w:rFonts w:ascii="Arial" w:hAnsi="Arial" w:cs="Arial"/>
          <w:sz w:val="24"/>
          <w:szCs w:val="24"/>
        </w:rPr>
      </w:pPr>
      <w:r>
        <w:rPr>
          <w:rFonts w:cs="Arial" w:ascii="Arial" w:hAnsi="Arial"/>
          <w:sz w:val="24"/>
          <w:szCs w:val="24"/>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Heading1"/>
        <w:rPr>
          <w:rFonts w:ascii="Arial" w:hAnsi="Arial" w:cs="Arial"/>
          <w:sz w:val="24"/>
          <w:szCs w:val="24"/>
        </w:rPr>
      </w:pPr>
      <w:r>
        <w:rPr>
          <w:rFonts w:cs="Arial" w:ascii="Arial" w:hAnsi="Arial"/>
          <w:sz w:val="24"/>
          <w:szCs w:val="24"/>
        </w:rPr>
      </w:r>
    </w:p>
    <w:p>
      <w:pPr>
        <w:pStyle w:val="Normal"/>
        <w:rPr/>
      </w:pPr>
      <w:r>
        <w:rPr/>
      </w:r>
    </w:p>
    <w:p>
      <w:pPr>
        <w:pStyle w:val="Normal"/>
        <w:rPr/>
      </w:pPr>
      <w:r>
        <w:rPr/>
      </w:r>
    </w:p>
    <w:p>
      <w:pPr>
        <w:pStyle w:val="Heading1"/>
        <w:rPr>
          <w:rFonts w:ascii="Arial" w:hAnsi="Arial" w:cs="Arial"/>
          <w:sz w:val="24"/>
          <w:szCs w:val="24"/>
        </w:rPr>
      </w:pPr>
      <w:r>
        <w:rPr>
          <w:rFonts w:cs="Arial" w:ascii="Arial" w:hAnsi="Arial"/>
          <w:sz w:val="24"/>
          <w:szCs w:val="24"/>
        </w:rPr>
        <w:t>References</w:t>
      </w:r>
    </w:p>
    <w:p>
      <w:pPr>
        <w:pStyle w:val="Normal"/>
        <w:ind w:left="720" w:hanging="720"/>
        <w:rPr>
          <w:rFonts w:ascii="Arial" w:hAnsi="Arial" w:cs="Arial"/>
          <w:color w:val="222222"/>
          <w:sz w:val="24"/>
          <w:szCs w:val="24"/>
          <w:highlight w:val="white"/>
        </w:rPr>
      </w:pPr>
      <w:r>
        <w:rPr>
          <w:rFonts w:cs="Arial" w:ascii="Arial" w:hAnsi="Arial"/>
          <w:color w:val="222222"/>
          <w:sz w:val="24"/>
          <w:szCs w:val="24"/>
          <w:shd w:fill="FFFFFF" w:val="clear"/>
        </w:rPr>
        <w:t>Allal-Chérif, O., Aránega, A.Y. and Sánchez, R.C., 2021. Intelligent recruitment: How to identify, select, and retain talents from around the world using artificial intelligence. </w:t>
      </w:r>
      <w:r>
        <w:rPr>
          <w:rFonts w:cs="Arial" w:ascii="Arial" w:hAnsi="Arial"/>
          <w:i/>
          <w:iCs/>
          <w:color w:val="222222"/>
          <w:sz w:val="24"/>
          <w:szCs w:val="24"/>
          <w:shd w:fill="FFFFFF" w:val="clear"/>
        </w:rPr>
        <w:t>Technological Forecasting and Social Change</w:t>
      </w:r>
      <w:r>
        <w:rPr>
          <w:rFonts w:cs="Arial" w:ascii="Arial" w:hAnsi="Arial"/>
          <w:color w:val="222222"/>
          <w:sz w:val="24"/>
          <w:szCs w:val="24"/>
          <w:shd w:fill="FFFFFF" w:val="clear"/>
        </w:rPr>
        <w:t>, </w:t>
      </w:r>
      <w:r>
        <w:rPr>
          <w:rFonts w:cs="Arial" w:ascii="Arial" w:hAnsi="Arial"/>
          <w:i/>
          <w:iCs/>
          <w:color w:val="222222"/>
          <w:sz w:val="24"/>
          <w:szCs w:val="24"/>
          <w:shd w:fill="FFFFFF" w:val="clear"/>
        </w:rPr>
        <w:t>169</w:t>
      </w:r>
      <w:r>
        <w:rPr>
          <w:rFonts w:cs="Arial" w:ascii="Arial" w:hAnsi="Arial"/>
          <w:color w:val="222222"/>
          <w:sz w:val="24"/>
          <w:szCs w:val="24"/>
          <w:shd w:fill="FFFFFF" w:val="clear"/>
        </w:rPr>
        <w:t>, p.120822.</w:t>
      </w:r>
    </w:p>
    <w:p>
      <w:pPr>
        <w:pStyle w:val="Normal"/>
        <w:ind w:left="720" w:hanging="720"/>
        <w:rPr>
          <w:rFonts w:ascii="Arial" w:hAnsi="Arial" w:cs="Arial"/>
          <w:color w:val="222222"/>
          <w:sz w:val="24"/>
          <w:szCs w:val="24"/>
          <w:highlight w:val="white"/>
        </w:rPr>
      </w:pPr>
      <w:r>
        <w:rPr>
          <w:rFonts w:cs="Arial" w:ascii="Arial" w:hAnsi="Arial"/>
          <w:color w:val="222222"/>
          <w:sz w:val="24"/>
          <w:szCs w:val="24"/>
          <w:shd w:fill="FFFFFF" w:val="clear"/>
        </w:rPr>
        <w:t xml:space="preserve">Al-Swidi, A.K., Gelaidan, H.M. and Saleh, R.M., 2021. The joint impact of green human resource management, leadership and organisational culture on employees' green behaviour and organisational environmental performance. </w:t>
      </w:r>
      <w:r>
        <w:rPr>
          <w:rFonts w:cs="Arial" w:ascii="Arial" w:hAnsi="Arial"/>
          <w:i/>
          <w:iCs/>
          <w:color w:val="222222"/>
          <w:sz w:val="24"/>
          <w:szCs w:val="24"/>
          <w:shd w:fill="FFFFFF" w:val="clear"/>
        </w:rPr>
        <w:t>Journal of Cleaner Production</w:t>
      </w:r>
      <w:r>
        <w:rPr>
          <w:rFonts w:cs="Arial" w:ascii="Arial" w:hAnsi="Arial"/>
          <w:color w:val="222222"/>
          <w:sz w:val="24"/>
          <w:szCs w:val="24"/>
          <w:shd w:fill="FFFFFF" w:val="clear"/>
        </w:rPr>
        <w:t>, </w:t>
      </w:r>
      <w:r>
        <w:rPr>
          <w:rFonts w:cs="Arial" w:ascii="Arial" w:hAnsi="Arial"/>
          <w:i/>
          <w:iCs/>
          <w:color w:val="222222"/>
          <w:sz w:val="24"/>
          <w:szCs w:val="24"/>
          <w:shd w:fill="FFFFFF" w:val="clear"/>
        </w:rPr>
        <w:t>316</w:t>
      </w:r>
      <w:r>
        <w:rPr>
          <w:rFonts w:cs="Arial" w:ascii="Arial" w:hAnsi="Arial"/>
          <w:color w:val="222222"/>
          <w:sz w:val="24"/>
          <w:szCs w:val="24"/>
          <w:shd w:fill="FFFFFF" w:val="clear"/>
        </w:rPr>
        <w:t>, p.128112.</w:t>
      </w:r>
    </w:p>
    <w:p>
      <w:pPr>
        <w:pStyle w:val="Normal"/>
        <w:ind w:left="720" w:hanging="720"/>
        <w:rPr>
          <w:rFonts w:ascii="Arial" w:hAnsi="Arial" w:cs="Arial"/>
          <w:color w:val="222222"/>
          <w:sz w:val="24"/>
          <w:szCs w:val="24"/>
          <w:highlight w:val="white"/>
        </w:rPr>
      </w:pPr>
      <w:r>
        <w:rPr>
          <w:rFonts w:cs="Arial" w:ascii="Arial" w:hAnsi="Arial"/>
          <w:color w:val="222222"/>
          <w:sz w:val="24"/>
          <w:szCs w:val="24"/>
          <w:shd w:fill="FFFFFF" w:val="clear"/>
        </w:rPr>
        <w:t xml:space="preserve">Badshah, W. and Bulut, M., 2020. Onboarding–the strategic tool of corporate governance for organisational growth. </w:t>
      </w:r>
      <w:r>
        <w:rPr>
          <w:rFonts w:cs="Arial" w:ascii="Arial" w:hAnsi="Arial"/>
          <w:i/>
          <w:iCs/>
          <w:color w:val="222222"/>
          <w:sz w:val="24"/>
          <w:szCs w:val="24"/>
          <w:shd w:fill="FFFFFF" w:val="clear"/>
        </w:rPr>
        <w:t>European Journal of Social Sciences</w:t>
      </w:r>
      <w:r>
        <w:rPr>
          <w:rFonts w:cs="Arial" w:ascii="Arial" w:hAnsi="Arial"/>
          <w:color w:val="222222"/>
          <w:sz w:val="24"/>
          <w:szCs w:val="24"/>
          <w:shd w:fill="FFFFFF" w:val="clear"/>
        </w:rPr>
        <w:t>.</w:t>
      </w:r>
    </w:p>
    <w:p>
      <w:pPr>
        <w:pStyle w:val="Normal"/>
        <w:ind w:left="720" w:hanging="720"/>
        <w:rPr>
          <w:rFonts w:ascii="Arial" w:hAnsi="Arial" w:cs="Arial"/>
          <w:sz w:val="24"/>
          <w:szCs w:val="24"/>
        </w:rPr>
      </w:pPr>
      <w:r>
        <w:rPr>
          <w:rFonts w:cs="Arial" w:ascii="Arial" w:hAnsi="Arial"/>
          <w:color w:val="222222"/>
          <w:sz w:val="24"/>
          <w:szCs w:val="24"/>
          <w:shd w:fill="FFFFFF" w:val="clear"/>
        </w:rPr>
        <w:t>Bhowal, M. and Saini, D., 2019. Employee engagement strategies with special focus on Indian firms. In </w:t>
      </w:r>
      <w:r>
        <w:rPr>
          <w:rFonts w:cs="Arial" w:ascii="Arial" w:hAnsi="Arial"/>
          <w:i/>
          <w:iCs/>
          <w:color w:val="222222"/>
          <w:sz w:val="24"/>
          <w:szCs w:val="24"/>
          <w:shd w:fill="FFFFFF" w:val="clear"/>
        </w:rPr>
        <w:t>Management Techniques for Employee Engagement in Contemporary Organizations</w:t>
      </w:r>
      <w:r>
        <w:rPr>
          <w:rFonts w:cs="Arial" w:ascii="Arial" w:hAnsi="Arial"/>
          <w:color w:val="222222"/>
          <w:sz w:val="24"/>
          <w:szCs w:val="24"/>
          <w:shd w:fill="FFFFFF" w:val="clear"/>
        </w:rPr>
        <w:t> (pp. 165-179). IGI Global.</w:t>
      </w:r>
    </w:p>
    <w:p>
      <w:pPr>
        <w:pStyle w:val="Normal"/>
        <w:ind w:left="720" w:hanging="720"/>
        <w:rPr>
          <w:rFonts w:ascii="Arial" w:hAnsi="Arial" w:cs="Arial"/>
          <w:color w:val="222222"/>
          <w:sz w:val="24"/>
          <w:szCs w:val="24"/>
          <w:highlight w:val="white"/>
        </w:rPr>
      </w:pPr>
      <w:r>
        <w:rPr>
          <w:rFonts w:cs="Arial" w:ascii="Arial" w:hAnsi="Arial"/>
          <w:color w:val="222222"/>
          <w:sz w:val="24"/>
          <w:szCs w:val="24"/>
          <w:shd w:fill="FFFFFF" w:val="clear"/>
        </w:rPr>
        <w:t>Bhutto, T.A., Farooq, R., Talwar, S., Awan, U. and Dhir, A., 2021. Green inclusive leadership and green creativity in the tourism and hospitality sector: Serial mediation of green psychological climate and work engagement. </w:t>
      </w:r>
      <w:r>
        <w:rPr>
          <w:rFonts w:cs="Arial" w:ascii="Arial" w:hAnsi="Arial"/>
          <w:i/>
          <w:iCs/>
          <w:color w:val="222222"/>
          <w:sz w:val="24"/>
          <w:szCs w:val="24"/>
          <w:shd w:fill="FFFFFF" w:val="clear"/>
        </w:rPr>
        <w:t>Journal of Sustainable Tourism</w:t>
      </w:r>
      <w:r>
        <w:rPr>
          <w:rFonts w:cs="Arial" w:ascii="Arial" w:hAnsi="Arial"/>
          <w:color w:val="222222"/>
          <w:sz w:val="24"/>
          <w:szCs w:val="24"/>
          <w:shd w:fill="FFFFFF" w:val="clear"/>
        </w:rPr>
        <w:t>, </w:t>
      </w:r>
      <w:r>
        <w:rPr>
          <w:rFonts w:cs="Arial" w:ascii="Arial" w:hAnsi="Arial"/>
          <w:i/>
          <w:iCs/>
          <w:color w:val="222222"/>
          <w:sz w:val="24"/>
          <w:szCs w:val="24"/>
          <w:shd w:fill="FFFFFF" w:val="clear"/>
        </w:rPr>
        <w:t>29</w:t>
      </w:r>
      <w:r>
        <w:rPr>
          <w:rFonts w:cs="Arial" w:ascii="Arial" w:hAnsi="Arial"/>
          <w:color w:val="222222"/>
          <w:sz w:val="24"/>
          <w:szCs w:val="24"/>
          <w:shd w:fill="FFFFFF" w:val="clear"/>
        </w:rPr>
        <w:t>(10), pp.1716-1737.</w:t>
      </w:r>
    </w:p>
    <w:p>
      <w:pPr>
        <w:pStyle w:val="Normal"/>
        <w:ind w:left="720" w:hanging="720"/>
        <w:rPr>
          <w:rFonts w:ascii="Arial" w:hAnsi="Arial" w:cs="Arial"/>
          <w:color w:val="222222"/>
          <w:sz w:val="24"/>
          <w:szCs w:val="24"/>
          <w:highlight w:val="white"/>
        </w:rPr>
      </w:pPr>
      <w:r>
        <w:rPr>
          <w:rFonts w:cs="Arial" w:ascii="Arial" w:hAnsi="Arial"/>
          <w:color w:val="222222"/>
          <w:sz w:val="24"/>
          <w:szCs w:val="24"/>
          <w:shd w:fill="FFFFFF" w:val="clear"/>
        </w:rPr>
        <w:t>Budrienė, D. and Diskienė, D., 2020. Employee engagement: types, levels and relationship with practice of HRM. </w:t>
      </w:r>
      <w:r>
        <w:rPr>
          <w:rFonts w:cs="Arial" w:ascii="Arial" w:hAnsi="Arial"/>
          <w:i/>
          <w:iCs/>
          <w:color w:val="222222"/>
          <w:sz w:val="24"/>
          <w:szCs w:val="24"/>
          <w:shd w:fill="FFFFFF" w:val="clear"/>
        </w:rPr>
        <w:t>Malaysian e commerce journal</w:t>
      </w:r>
      <w:r>
        <w:rPr>
          <w:rFonts w:cs="Arial" w:ascii="Arial" w:hAnsi="Arial"/>
          <w:color w:val="222222"/>
          <w:sz w:val="24"/>
          <w:szCs w:val="24"/>
          <w:shd w:fill="FFFFFF" w:val="clear"/>
        </w:rPr>
        <w:t>, </w:t>
      </w:r>
      <w:r>
        <w:rPr>
          <w:rFonts w:cs="Arial" w:ascii="Arial" w:hAnsi="Arial"/>
          <w:i/>
          <w:iCs/>
          <w:color w:val="222222"/>
          <w:sz w:val="24"/>
          <w:szCs w:val="24"/>
          <w:shd w:fill="FFFFFF" w:val="clear"/>
        </w:rPr>
        <w:t>4</w:t>
      </w:r>
      <w:r>
        <w:rPr>
          <w:rFonts w:cs="Arial" w:ascii="Arial" w:hAnsi="Arial"/>
          <w:color w:val="222222"/>
          <w:sz w:val="24"/>
          <w:szCs w:val="24"/>
          <w:shd w:fill="FFFFFF" w:val="clear"/>
        </w:rPr>
        <w:t>(2), pp.42-47.</w:t>
      </w:r>
    </w:p>
    <w:p>
      <w:pPr>
        <w:pStyle w:val="Normal"/>
        <w:ind w:left="720" w:hanging="720"/>
        <w:rPr>
          <w:rFonts w:ascii="Arial" w:hAnsi="Arial" w:cs="Arial"/>
          <w:color w:val="222222"/>
          <w:sz w:val="24"/>
          <w:szCs w:val="24"/>
          <w:highlight w:val="white"/>
        </w:rPr>
      </w:pPr>
      <w:r>
        <w:rPr>
          <w:rFonts w:cs="Arial" w:ascii="Arial" w:hAnsi="Arial"/>
          <w:color w:val="222222"/>
          <w:sz w:val="24"/>
          <w:szCs w:val="24"/>
          <w:shd w:fill="FFFFFF" w:val="clear"/>
        </w:rPr>
        <w:t xml:space="preserve">Clack, L., 2020. Employee engagement: Keys to organisational success. </w:t>
      </w:r>
      <w:r>
        <w:rPr>
          <w:rFonts w:cs="Arial" w:ascii="Arial" w:hAnsi="Arial"/>
          <w:i/>
          <w:iCs/>
          <w:color w:val="222222"/>
          <w:sz w:val="24"/>
          <w:szCs w:val="24"/>
          <w:shd w:fill="FFFFFF" w:val="clear"/>
        </w:rPr>
        <w:t>The Palgrave handbook of workplace well-being</w:t>
      </w:r>
      <w:r>
        <w:rPr>
          <w:rFonts w:cs="Arial" w:ascii="Arial" w:hAnsi="Arial"/>
          <w:color w:val="222222"/>
          <w:sz w:val="24"/>
          <w:szCs w:val="24"/>
          <w:shd w:fill="FFFFFF" w:val="clear"/>
        </w:rPr>
        <w:t>, pp.1-28.</w:t>
      </w:r>
    </w:p>
    <w:p>
      <w:pPr>
        <w:pStyle w:val="Normal"/>
        <w:ind w:left="720" w:hanging="720"/>
        <w:rPr>
          <w:rFonts w:ascii="Arial" w:hAnsi="Arial" w:cs="Arial"/>
          <w:color w:val="222222"/>
          <w:sz w:val="24"/>
          <w:szCs w:val="24"/>
          <w:highlight w:val="white"/>
        </w:rPr>
      </w:pPr>
      <w:r>
        <w:rPr>
          <w:rFonts w:cs="Arial" w:ascii="Arial" w:hAnsi="Arial"/>
          <w:color w:val="222222"/>
          <w:sz w:val="24"/>
          <w:szCs w:val="24"/>
          <w:shd w:fill="FFFFFF" w:val="clear"/>
        </w:rPr>
        <w:t>Dexter, J.C., 2020. Human resources challenges of military to civilian employment transitions. </w:t>
      </w:r>
      <w:r>
        <w:rPr>
          <w:rFonts w:cs="Arial" w:ascii="Arial" w:hAnsi="Arial"/>
          <w:i/>
          <w:iCs/>
          <w:color w:val="222222"/>
          <w:sz w:val="24"/>
          <w:szCs w:val="24"/>
          <w:shd w:fill="FFFFFF" w:val="clear"/>
        </w:rPr>
        <w:t>Career Development International</w:t>
      </w:r>
      <w:r>
        <w:rPr>
          <w:rFonts w:cs="Arial" w:ascii="Arial" w:hAnsi="Arial"/>
          <w:color w:val="222222"/>
          <w:sz w:val="24"/>
          <w:szCs w:val="24"/>
          <w:shd w:fill="FFFFFF" w:val="clear"/>
        </w:rPr>
        <w:t>, </w:t>
      </w:r>
      <w:r>
        <w:rPr>
          <w:rFonts w:cs="Arial" w:ascii="Arial" w:hAnsi="Arial"/>
          <w:i/>
          <w:iCs/>
          <w:color w:val="222222"/>
          <w:sz w:val="24"/>
          <w:szCs w:val="24"/>
          <w:shd w:fill="FFFFFF" w:val="clear"/>
        </w:rPr>
        <w:t>25</w:t>
      </w:r>
      <w:r>
        <w:rPr>
          <w:rFonts w:cs="Arial" w:ascii="Arial" w:hAnsi="Arial"/>
          <w:color w:val="222222"/>
          <w:sz w:val="24"/>
          <w:szCs w:val="24"/>
          <w:shd w:fill="FFFFFF" w:val="clear"/>
        </w:rPr>
        <w:t>(5), pp.481-500.</w:t>
      </w:r>
    </w:p>
    <w:p>
      <w:pPr>
        <w:pStyle w:val="Normal"/>
        <w:ind w:left="720" w:hanging="720"/>
        <w:rPr>
          <w:rFonts w:ascii="Arial" w:hAnsi="Arial" w:cs="Arial"/>
          <w:color w:val="222222"/>
          <w:sz w:val="24"/>
          <w:szCs w:val="24"/>
          <w:highlight w:val="white"/>
        </w:rPr>
      </w:pPr>
      <w:r>
        <w:rPr>
          <w:rFonts w:cs="Arial" w:ascii="Arial" w:hAnsi="Arial"/>
          <w:color w:val="222222"/>
          <w:sz w:val="24"/>
          <w:szCs w:val="24"/>
          <w:shd w:fill="FFFFFF" w:val="clear"/>
        </w:rPr>
        <w:t>Foà, C., Guarnieri, M.C., Bastoni, G., Benini, B., Giunti, O.M., Mazzotti, M., Rossi, C., Savoia, A., Sarli, L. and Artioli, G., 2020. Job satisfaction, work engagement and stress/burnout of elderly care staff: A qualitative research. </w:t>
      </w:r>
      <w:r>
        <w:rPr>
          <w:rFonts w:cs="Arial" w:ascii="Arial" w:hAnsi="Arial"/>
          <w:i/>
          <w:iCs/>
          <w:color w:val="222222"/>
          <w:sz w:val="24"/>
          <w:szCs w:val="24"/>
          <w:shd w:fill="FFFFFF" w:val="clear"/>
        </w:rPr>
        <w:t>Acta Bio Medica: Atenei Parmensis</w:t>
      </w:r>
      <w:r>
        <w:rPr>
          <w:rFonts w:cs="Arial" w:ascii="Arial" w:hAnsi="Arial"/>
          <w:color w:val="222222"/>
          <w:sz w:val="24"/>
          <w:szCs w:val="24"/>
          <w:shd w:fill="FFFFFF" w:val="clear"/>
        </w:rPr>
        <w:t>, </w:t>
      </w:r>
      <w:r>
        <w:rPr>
          <w:rFonts w:cs="Arial" w:ascii="Arial" w:hAnsi="Arial"/>
          <w:i/>
          <w:iCs/>
          <w:color w:val="222222"/>
          <w:sz w:val="24"/>
          <w:szCs w:val="24"/>
          <w:shd w:fill="FFFFFF" w:val="clear"/>
        </w:rPr>
        <w:t>91</w:t>
      </w:r>
      <w:r>
        <w:rPr>
          <w:rFonts w:cs="Arial" w:ascii="Arial" w:hAnsi="Arial"/>
          <w:color w:val="222222"/>
          <w:sz w:val="24"/>
          <w:szCs w:val="24"/>
          <w:shd w:fill="FFFFFF" w:val="clear"/>
        </w:rPr>
        <w:t>(Suppl 12).</w:t>
      </w:r>
    </w:p>
    <w:p>
      <w:pPr>
        <w:pStyle w:val="Normal"/>
        <w:ind w:left="720" w:hanging="720"/>
        <w:rPr>
          <w:rFonts w:ascii="Arial" w:hAnsi="Arial" w:cs="Arial"/>
          <w:color w:val="222222"/>
          <w:sz w:val="24"/>
          <w:szCs w:val="24"/>
          <w:highlight w:val="white"/>
        </w:rPr>
      </w:pPr>
      <w:r>
        <w:rPr>
          <w:rFonts w:cs="Arial" w:ascii="Arial" w:hAnsi="Arial"/>
          <w:color w:val="222222"/>
          <w:sz w:val="24"/>
          <w:szCs w:val="24"/>
          <w:shd w:fill="FFFFFF" w:val="clear"/>
        </w:rPr>
        <w:t>Gouthier, M. and Raquet, M., 2023, January. Employee engagement requires motivation and qualification: The use of blended learning to implement service excellence. In </w:t>
      </w:r>
      <w:r>
        <w:rPr>
          <w:rFonts w:cs="Arial" w:ascii="Arial" w:hAnsi="Arial"/>
          <w:i/>
          <w:iCs/>
          <w:color w:val="222222"/>
          <w:sz w:val="24"/>
          <w:szCs w:val="24"/>
          <w:shd w:fill="FFFFFF" w:val="clear"/>
        </w:rPr>
        <w:t>Market Leader Through Service Excellence</w:t>
      </w:r>
      <w:r>
        <w:rPr>
          <w:rFonts w:cs="Arial" w:ascii="Arial" w:hAnsi="Arial"/>
          <w:color w:val="222222"/>
          <w:sz w:val="24"/>
          <w:szCs w:val="24"/>
          <w:shd w:fill="FFFFFF" w:val="clear"/>
        </w:rPr>
        <w:t> (pp. 111-122). Nomos Verlagsgesellschaft mbH &amp; Co. KG.</w:t>
      </w:r>
    </w:p>
    <w:p>
      <w:pPr>
        <w:pStyle w:val="Normal"/>
        <w:ind w:left="720" w:hanging="720"/>
        <w:rPr>
          <w:rFonts w:ascii="Arial" w:hAnsi="Arial" w:cs="Arial"/>
          <w:color w:val="222222"/>
          <w:sz w:val="24"/>
          <w:szCs w:val="24"/>
          <w:highlight w:val="white"/>
        </w:rPr>
      </w:pPr>
      <w:r>
        <w:rPr>
          <w:rFonts w:cs="Arial" w:ascii="Arial" w:hAnsi="Arial"/>
          <w:color w:val="222222"/>
          <w:sz w:val="24"/>
          <w:szCs w:val="24"/>
          <w:shd w:fill="FFFFFF" w:val="clear"/>
        </w:rPr>
        <w:t>Hassanein, F. and Özgit, H., 2022. Sustaining human resources through talent management strategies and employee engagement in the Middle East hotel industry. </w:t>
      </w:r>
      <w:r>
        <w:rPr>
          <w:rFonts w:cs="Arial" w:ascii="Arial" w:hAnsi="Arial"/>
          <w:i/>
          <w:iCs/>
          <w:color w:val="222222"/>
          <w:sz w:val="24"/>
          <w:szCs w:val="24"/>
          <w:shd w:fill="FFFFFF" w:val="clear"/>
        </w:rPr>
        <w:t>Sustainability</w:t>
      </w:r>
      <w:r>
        <w:rPr>
          <w:rFonts w:cs="Arial" w:ascii="Arial" w:hAnsi="Arial"/>
          <w:color w:val="222222"/>
          <w:sz w:val="24"/>
          <w:szCs w:val="24"/>
          <w:shd w:fill="FFFFFF" w:val="clear"/>
        </w:rPr>
        <w:t>, </w:t>
      </w:r>
      <w:r>
        <w:rPr>
          <w:rFonts w:cs="Arial" w:ascii="Arial" w:hAnsi="Arial"/>
          <w:i/>
          <w:iCs/>
          <w:color w:val="222222"/>
          <w:sz w:val="24"/>
          <w:szCs w:val="24"/>
          <w:shd w:fill="FFFFFF" w:val="clear"/>
        </w:rPr>
        <w:t>14</w:t>
      </w:r>
      <w:r>
        <w:rPr>
          <w:rFonts w:cs="Arial" w:ascii="Arial" w:hAnsi="Arial"/>
          <w:color w:val="222222"/>
          <w:sz w:val="24"/>
          <w:szCs w:val="24"/>
          <w:shd w:fill="FFFFFF" w:val="clear"/>
        </w:rPr>
        <w:t>(22), p.15365.</w:t>
      </w:r>
    </w:p>
    <w:p>
      <w:pPr>
        <w:pStyle w:val="Normal"/>
        <w:ind w:left="720" w:hanging="720"/>
        <w:rPr>
          <w:rFonts w:ascii="Arial" w:hAnsi="Arial" w:cs="Arial"/>
          <w:color w:val="222222"/>
          <w:sz w:val="24"/>
          <w:szCs w:val="24"/>
          <w:highlight w:val="white"/>
        </w:rPr>
      </w:pPr>
      <w:r>
        <w:rPr>
          <w:rFonts w:cs="Arial" w:ascii="Arial" w:hAnsi="Arial"/>
          <w:color w:val="222222"/>
          <w:sz w:val="24"/>
          <w:szCs w:val="24"/>
          <w:shd w:fill="FFFFFF" w:val="clear"/>
        </w:rPr>
        <w:t>Hur, H., 2020. The role of inclusive work environment practices in promoting LGBT employee job satisfaction and commitment. </w:t>
      </w:r>
      <w:r>
        <w:rPr>
          <w:rFonts w:cs="Arial" w:ascii="Arial" w:hAnsi="Arial"/>
          <w:i/>
          <w:iCs/>
          <w:color w:val="222222"/>
          <w:sz w:val="24"/>
          <w:szCs w:val="24"/>
          <w:shd w:fill="FFFFFF" w:val="clear"/>
        </w:rPr>
        <w:t>Public Money &amp; Management</w:t>
      </w:r>
      <w:r>
        <w:rPr>
          <w:rFonts w:cs="Arial" w:ascii="Arial" w:hAnsi="Arial"/>
          <w:color w:val="222222"/>
          <w:sz w:val="24"/>
          <w:szCs w:val="24"/>
          <w:shd w:fill="FFFFFF" w:val="clear"/>
        </w:rPr>
        <w:t>, </w:t>
      </w:r>
      <w:r>
        <w:rPr>
          <w:rFonts w:cs="Arial" w:ascii="Arial" w:hAnsi="Arial"/>
          <w:i/>
          <w:iCs/>
          <w:color w:val="222222"/>
          <w:sz w:val="24"/>
          <w:szCs w:val="24"/>
          <w:shd w:fill="FFFFFF" w:val="clear"/>
        </w:rPr>
        <w:t>40</w:t>
      </w:r>
      <w:r>
        <w:rPr>
          <w:rFonts w:cs="Arial" w:ascii="Arial" w:hAnsi="Arial"/>
          <w:color w:val="222222"/>
          <w:sz w:val="24"/>
          <w:szCs w:val="24"/>
          <w:shd w:fill="FFFFFF" w:val="clear"/>
        </w:rPr>
        <w:t>(6), pp.426-436.</w:t>
      </w:r>
    </w:p>
    <w:p>
      <w:pPr>
        <w:pStyle w:val="Normal"/>
        <w:ind w:left="720" w:hanging="720"/>
        <w:rPr>
          <w:rFonts w:ascii="Arial" w:hAnsi="Arial" w:cs="Arial"/>
          <w:color w:val="222222"/>
          <w:sz w:val="24"/>
          <w:szCs w:val="24"/>
          <w:highlight w:val="white"/>
        </w:rPr>
      </w:pPr>
      <w:r>
        <w:rPr>
          <w:rFonts w:cs="Arial" w:ascii="Arial" w:hAnsi="Arial"/>
          <w:color w:val="222222"/>
          <w:sz w:val="24"/>
          <w:szCs w:val="24"/>
          <w:shd w:fill="FFFFFF" w:val="clear"/>
        </w:rPr>
        <w:t>Itam, U., Misra, S. and Anjum, H., 2020. HRD indicators and branding practices: A viewpoint on the employer brand building process. </w:t>
      </w:r>
      <w:r>
        <w:rPr>
          <w:rFonts w:cs="Arial" w:ascii="Arial" w:hAnsi="Arial"/>
          <w:i/>
          <w:iCs/>
          <w:color w:val="222222"/>
          <w:sz w:val="24"/>
          <w:szCs w:val="24"/>
          <w:shd w:fill="FFFFFF" w:val="clear"/>
        </w:rPr>
        <w:t>European Journal of Training and Development</w:t>
      </w:r>
      <w:r>
        <w:rPr>
          <w:rFonts w:cs="Arial" w:ascii="Arial" w:hAnsi="Arial"/>
          <w:color w:val="222222"/>
          <w:sz w:val="24"/>
          <w:szCs w:val="24"/>
          <w:shd w:fill="FFFFFF" w:val="clear"/>
        </w:rPr>
        <w:t>, </w:t>
      </w:r>
      <w:r>
        <w:rPr>
          <w:rFonts w:cs="Arial" w:ascii="Arial" w:hAnsi="Arial"/>
          <w:i/>
          <w:iCs/>
          <w:color w:val="222222"/>
          <w:sz w:val="24"/>
          <w:szCs w:val="24"/>
          <w:shd w:fill="FFFFFF" w:val="clear"/>
        </w:rPr>
        <w:t>44</w:t>
      </w:r>
      <w:r>
        <w:rPr>
          <w:rFonts w:cs="Arial" w:ascii="Arial" w:hAnsi="Arial"/>
          <w:color w:val="222222"/>
          <w:sz w:val="24"/>
          <w:szCs w:val="24"/>
          <w:shd w:fill="FFFFFF" w:val="clear"/>
        </w:rPr>
        <w:t>(6/7), pp.675-694.</w:t>
      </w:r>
    </w:p>
    <w:p>
      <w:pPr>
        <w:pStyle w:val="Normal"/>
        <w:ind w:left="720" w:hanging="720"/>
        <w:rPr>
          <w:rFonts w:ascii="Arial" w:hAnsi="Arial" w:cs="Arial"/>
          <w:color w:val="222222"/>
          <w:sz w:val="24"/>
          <w:szCs w:val="24"/>
          <w:highlight w:val="white"/>
        </w:rPr>
      </w:pPr>
      <w:r>
        <w:rPr>
          <w:rFonts w:cs="Arial" w:ascii="Arial" w:hAnsi="Arial"/>
          <w:color w:val="222222"/>
          <w:sz w:val="24"/>
          <w:szCs w:val="24"/>
          <w:shd w:fill="FFFFFF" w:val="clear"/>
        </w:rPr>
        <w:t>Karim, M.M., Choudhury, M.M. and Latif, W.B., 2019. The impact of training and development on employees’ performance: an analysis of quantitative data. </w:t>
      </w:r>
      <w:r>
        <w:rPr>
          <w:rFonts w:cs="Arial" w:ascii="Arial" w:hAnsi="Arial"/>
          <w:i/>
          <w:iCs/>
          <w:color w:val="222222"/>
          <w:sz w:val="24"/>
          <w:szCs w:val="24"/>
          <w:shd w:fill="FFFFFF" w:val="clear"/>
        </w:rPr>
        <w:t>Noble International Journal of Business and Management Research</w:t>
      </w:r>
      <w:r>
        <w:rPr>
          <w:rFonts w:cs="Arial" w:ascii="Arial" w:hAnsi="Arial"/>
          <w:color w:val="222222"/>
          <w:sz w:val="24"/>
          <w:szCs w:val="24"/>
          <w:shd w:fill="FFFFFF" w:val="clear"/>
        </w:rPr>
        <w:t>, </w:t>
      </w:r>
      <w:r>
        <w:rPr>
          <w:rFonts w:cs="Arial" w:ascii="Arial" w:hAnsi="Arial"/>
          <w:i/>
          <w:iCs/>
          <w:color w:val="222222"/>
          <w:sz w:val="24"/>
          <w:szCs w:val="24"/>
          <w:shd w:fill="FFFFFF" w:val="clear"/>
        </w:rPr>
        <w:t>3</w:t>
      </w:r>
      <w:r>
        <w:rPr>
          <w:rFonts w:cs="Arial" w:ascii="Arial" w:hAnsi="Arial"/>
          <w:color w:val="222222"/>
          <w:sz w:val="24"/>
          <w:szCs w:val="24"/>
          <w:shd w:fill="FFFFFF" w:val="clear"/>
        </w:rPr>
        <w:t>(2), pp.25-33.</w:t>
      </w:r>
    </w:p>
    <w:p>
      <w:pPr>
        <w:pStyle w:val="Normal"/>
        <w:ind w:left="720" w:hanging="720"/>
        <w:rPr>
          <w:rFonts w:ascii="Arial" w:hAnsi="Arial" w:cs="Arial"/>
          <w:color w:val="222222"/>
          <w:sz w:val="24"/>
          <w:szCs w:val="24"/>
          <w:highlight w:val="white"/>
        </w:rPr>
      </w:pPr>
      <w:r>
        <w:rPr>
          <w:rFonts w:cs="Arial" w:ascii="Arial" w:hAnsi="Arial"/>
          <w:color w:val="222222"/>
          <w:sz w:val="24"/>
          <w:szCs w:val="24"/>
          <w:shd w:fill="FFFFFF" w:val="clear"/>
        </w:rPr>
        <w:t>Kitsios, F. and Kamariotou, M., 2021. Job satisfaction behind motivation: An empirical study in public health workers. </w:t>
      </w:r>
      <w:r>
        <w:rPr>
          <w:rFonts w:cs="Arial" w:ascii="Arial" w:hAnsi="Arial"/>
          <w:i/>
          <w:iCs/>
          <w:color w:val="222222"/>
          <w:sz w:val="24"/>
          <w:szCs w:val="24"/>
          <w:shd w:fill="FFFFFF" w:val="clear"/>
        </w:rPr>
        <w:t>Heliyon</w:t>
      </w:r>
      <w:r>
        <w:rPr>
          <w:rFonts w:cs="Arial" w:ascii="Arial" w:hAnsi="Arial"/>
          <w:color w:val="222222"/>
          <w:sz w:val="24"/>
          <w:szCs w:val="24"/>
          <w:shd w:fill="FFFFFF" w:val="clear"/>
        </w:rPr>
        <w:t>, </w:t>
      </w:r>
      <w:r>
        <w:rPr>
          <w:rFonts w:cs="Arial" w:ascii="Arial" w:hAnsi="Arial"/>
          <w:i/>
          <w:iCs/>
          <w:color w:val="222222"/>
          <w:sz w:val="24"/>
          <w:szCs w:val="24"/>
          <w:shd w:fill="FFFFFF" w:val="clear"/>
        </w:rPr>
        <w:t>7</w:t>
      </w:r>
      <w:r>
        <w:rPr>
          <w:rFonts w:cs="Arial" w:ascii="Arial" w:hAnsi="Arial"/>
          <w:color w:val="222222"/>
          <w:sz w:val="24"/>
          <w:szCs w:val="24"/>
          <w:shd w:fill="FFFFFF" w:val="clear"/>
        </w:rPr>
        <w:t>(4), p.e06857.</w:t>
      </w:r>
    </w:p>
    <w:p>
      <w:pPr>
        <w:pStyle w:val="Normal"/>
        <w:ind w:left="720" w:hanging="720"/>
        <w:rPr>
          <w:rFonts w:ascii="Arial" w:hAnsi="Arial" w:cs="Arial"/>
          <w:color w:val="222222"/>
          <w:sz w:val="24"/>
          <w:szCs w:val="24"/>
          <w:highlight w:val="white"/>
        </w:rPr>
      </w:pPr>
      <w:r>
        <w:rPr>
          <w:rFonts w:cs="Arial" w:ascii="Arial" w:hAnsi="Arial"/>
          <w:color w:val="222222"/>
          <w:sz w:val="24"/>
          <w:szCs w:val="24"/>
          <w:shd w:fill="FFFFFF" w:val="clear"/>
        </w:rPr>
        <w:t>Krchová, E., 2019. Green communication: case study of the outdoor clothing company Patagonia Inc.</w:t>
      </w:r>
    </w:p>
    <w:p>
      <w:pPr>
        <w:pStyle w:val="Normal"/>
        <w:ind w:left="720" w:hanging="720"/>
        <w:rPr>
          <w:rFonts w:ascii="Arial" w:hAnsi="Arial" w:cs="Arial"/>
          <w:color w:val="222222"/>
          <w:sz w:val="24"/>
          <w:szCs w:val="24"/>
          <w:highlight w:val="white"/>
        </w:rPr>
      </w:pPr>
      <w:r>
        <w:rPr>
          <w:rFonts w:cs="Arial" w:ascii="Arial" w:hAnsi="Arial"/>
          <w:color w:val="222222"/>
          <w:sz w:val="24"/>
          <w:szCs w:val="24"/>
          <w:shd w:fill="FFFFFF" w:val="clear"/>
        </w:rPr>
        <w:t>Kujur, F. and Singh, S., 2020. Visual communication and consumer-brand relationship on social networking sites-uses &amp; gratifications theory perspective. </w:t>
      </w:r>
      <w:r>
        <w:rPr>
          <w:rFonts w:cs="Arial" w:ascii="Arial" w:hAnsi="Arial"/>
          <w:i/>
          <w:iCs/>
          <w:color w:val="222222"/>
          <w:sz w:val="24"/>
          <w:szCs w:val="24"/>
          <w:shd w:fill="FFFFFF" w:val="clear"/>
        </w:rPr>
        <w:t>Journal of theoretical and applied electronic commerce research</w:t>
      </w:r>
      <w:r>
        <w:rPr>
          <w:rFonts w:cs="Arial" w:ascii="Arial" w:hAnsi="Arial"/>
          <w:color w:val="222222"/>
          <w:sz w:val="24"/>
          <w:szCs w:val="24"/>
          <w:shd w:fill="FFFFFF" w:val="clear"/>
        </w:rPr>
        <w:t>, </w:t>
      </w:r>
      <w:r>
        <w:rPr>
          <w:rFonts w:cs="Arial" w:ascii="Arial" w:hAnsi="Arial"/>
          <w:i/>
          <w:iCs/>
          <w:color w:val="222222"/>
          <w:sz w:val="24"/>
          <w:szCs w:val="24"/>
          <w:shd w:fill="FFFFFF" w:val="clear"/>
        </w:rPr>
        <w:t>15</w:t>
      </w:r>
      <w:r>
        <w:rPr>
          <w:rFonts w:cs="Arial" w:ascii="Arial" w:hAnsi="Arial"/>
          <w:color w:val="222222"/>
          <w:sz w:val="24"/>
          <w:szCs w:val="24"/>
          <w:shd w:fill="FFFFFF" w:val="clear"/>
        </w:rPr>
        <w:t>(1), pp.30-47.</w:t>
      </w:r>
    </w:p>
    <w:p>
      <w:pPr>
        <w:pStyle w:val="Normal"/>
        <w:ind w:left="720" w:hanging="720"/>
        <w:rPr>
          <w:rFonts w:ascii="Arial" w:hAnsi="Arial" w:cs="Arial"/>
          <w:color w:val="222222"/>
          <w:sz w:val="24"/>
          <w:szCs w:val="24"/>
          <w:highlight w:val="white"/>
        </w:rPr>
      </w:pPr>
      <w:r>
        <w:rPr>
          <w:rFonts w:cs="Arial" w:ascii="Arial" w:hAnsi="Arial"/>
          <w:color w:val="222222"/>
          <w:sz w:val="24"/>
          <w:szCs w:val="24"/>
          <w:shd w:fill="FFFFFF" w:val="clear"/>
        </w:rPr>
        <w:t xml:space="preserve">Lee, Y., 2022. Dynamics of millennial employees' communicative behaviors in the workplace: the role of inclusive leadership and symmetrical organisational communication. </w:t>
      </w:r>
      <w:r>
        <w:rPr>
          <w:rFonts w:cs="Arial" w:ascii="Arial" w:hAnsi="Arial"/>
          <w:i/>
          <w:iCs/>
          <w:color w:val="222222"/>
          <w:sz w:val="24"/>
          <w:szCs w:val="24"/>
          <w:shd w:fill="FFFFFF" w:val="clear"/>
        </w:rPr>
        <w:t>Personnel Review</w:t>
      </w:r>
      <w:r>
        <w:rPr>
          <w:rFonts w:cs="Arial" w:ascii="Arial" w:hAnsi="Arial"/>
          <w:color w:val="222222"/>
          <w:sz w:val="24"/>
          <w:szCs w:val="24"/>
          <w:shd w:fill="FFFFFF" w:val="clear"/>
        </w:rPr>
        <w:t>, </w:t>
      </w:r>
      <w:r>
        <w:rPr>
          <w:rFonts w:cs="Arial" w:ascii="Arial" w:hAnsi="Arial"/>
          <w:i/>
          <w:iCs/>
          <w:color w:val="222222"/>
          <w:sz w:val="24"/>
          <w:szCs w:val="24"/>
          <w:shd w:fill="FFFFFF" w:val="clear"/>
        </w:rPr>
        <w:t>51</w:t>
      </w:r>
      <w:r>
        <w:rPr>
          <w:rFonts w:cs="Arial" w:ascii="Arial" w:hAnsi="Arial"/>
          <w:color w:val="222222"/>
          <w:sz w:val="24"/>
          <w:szCs w:val="24"/>
          <w:shd w:fill="FFFFFF" w:val="clear"/>
        </w:rPr>
        <w:t>(6), pp.1629-1650.</w:t>
      </w:r>
    </w:p>
    <w:p>
      <w:pPr>
        <w:pStyle w:val="Normal"/>
        <w:ind w:left="720" w:hanging="720"/>
        <w:rPr>
          <w:rFonts w:ascii="Arial" w:hAnsi="Arial" w:cs="Arial"/>
          <w:color w:val="222222"/>
          <w:sz w:val="24"/>
          <w:szCs w:val="24"/>
          <w:highlight w:val="white"/>
        </w:rPr>
      </w:pPr>
      <w:r>
        <w:rPr>
          <w:rFonts w:cs="Arial" w:ascii="Arial" w:hAnsi="Arial"/>
          <w:color w:val="222222"/>
          <w:sz w:val="24"/>
          <w:szCs w:val="24"/>
          <w:shd w:fill="FFFFFF" w:val="clear"/>
        </w:rPr>
        <w:t>Lesener, T., Gusy, B. and Wolter, C., 2019. The job demands-resources model: A meta-analytic review of longitudinal studies. </w:t>
      </w:r>
      <w:r>
        <w:rPr>
          <w:rFonts w:cs="Arial" w:ascii="Arial" w:hAnsi="Arial"/>
          <w:i/>
          <w:iCs/>
          <w:color w:val="222222"/>
          <w:sz w:val="24"/>
          <w:szCs w:val="24"/>
          <w:shd w:fill="FFFFFF" w:val="clear"/>
        </w:rPr>
        <w:t>Work &amp; stress</w:t>
      </w:r>
      <w:r>
        <w:rPr>
          <w:rFonts w:cs="Arial" w:ascii="Arial" w:hAnsi="Arial"/>
          <w:color w:val="222222"/>
          <w:sz w:val="24"/>
          <w:szCs w:val="24"/>
          <w:shd w:fill="FFFFFF" w:val="clear"/>
        </w:rPr>
        <w:t>, </w:t>
      </w:r>
      <w:r>
        <w:rPr>
          <w:rFonts w:cs="Arial" w:ascii="Arial" w:hAnsi="Arial"/>
          <w:i/>
          <w:iCs/>
          <w:color w:val="222222"/>
          <w:sz w:val="24"/>
          <w:szCs w:val="24"/>
          <w:shd w:fill="FFFFFF" w:val="clear"/>
        </w:rPr>
        <w:t>33</w:t>
      </w:r>
      <w:r>
        <w:rPr>
          <w:rFonts w:cs="Arial" w:ascii="Arial" w:hAnsi="Arial"/>
          <w:color w:val="222222"/>
          <w:sz w:val="24"/>
          <w:szCs w:val="24"/>
          <w:shd w:fill="FFFFFF" w:val="clear"/>
        </w:rPr>
        <w:t>(1), pp.76-103.</w:t>
      </w:r>
    </w:p>
    <w:p>
      <w:pPr>
        <w:pStyle w:val="Normal"/>
        <w:ind w:left="720" w:hanging="720"/>
        <w:rPr>
          <w:rFonts w:ascii="Arial" w:hAnsi="Arial" w:cs="Arial"/>
          <w:color w:val="222222"/>
          <w:sz w:val="24"/>
          <w:szCs w:val="24"/>
          <w:highlight w:val="white"/>
        </w:rPr>
      </w:pPr>
      <w:r>
        <w:rPr>
          <w:rFonts w:cs="Arial" w:ascii="Arial" w:hAnsi="Arial"/>
          <w:color w:val="222222"/>
          <w:sz w:val="24"/>
          <w:szCs w:val="24"/>
          <w:shd w:fill="FFFFFF" w:val="clear"/>
        </w:rPr>
        <w:t xml:space="preserve">Martela, F., 2019. What makes self-managing organisations novel? Comparing how Weberian bureaucracy, Mintzberg's adhocracy, and self-organising solve six fundamental problems of organising. </w:t>
      </w:r>
      <w:r>
        <w:rPr>
          <w:rFonts w:cs="Arial" w:ascii="Arial" w:hAnsi="Arial"/>
          <w:i/>
          <w:iCs/>
          <w:color w:val="222222"/>
          <w:sz w:val="24"/>
          <w:szCs w:val="24"/>
          <w:shd w:fill="FFFFFF" w:val="clear"/>
        </w:rPr>
        <w:t>Journal of Organization Design</w:t>
      </w:r>
      <w:r>
        <w:rPr>
          <w:rFonts w:cs="Arial" w:ascii="Arial" w:hAnsi="Arial"/>
          <w:color w:val="222222"/>
          <w:sz w:val="24"/>
          <w:szCs w:val="24"/>
          <w:shd w:fill="FFFFFF" w:val="clear"/>
        </w:rPr>
        <w:t>, </w:t>
      </w:r>
      <w:r>
        <w:rPr>
          <w:rFonts w:cs="Arial" w:ascii="Arial" w:hAnsi="Arial"/>
          <w:i/>
          <w:iCs/>
          <w:color w:val="222222"/>
          <w:sz w:val="24"/>
          <w:szCs w:val="24"/>
          <w:shd w:fill="FFFFFF" w:val="clear"/>
        </w:rPr>
        <w:t>8</w:t>
      </w:r>
      <w:r>
        <w:rPr>
          <w:rFonts w:cs="Arial" w:ascii="Arial" w:hAnsi="Arial"/>
          <w:color w:val="222222"/>
          <w:sz w:val="24"/>
          <w:szCs w:val="24"/>
          <w:shd w:fill="FFFFFF" w:val="clear"/>
        </w:rPr>
        <w:t>(1), p.23.</w:t>
      </w:r>
    </w:p>
    <w:p>
      <w:pPr>
        <w:pStyle w:val="Normal"/>
        <w:ind w:left="720" w:hanging="720"/>
        <w:rPr>
          <w:rFonts w:ascii="Arial" w:hAnsi="Arial" w:cs="Arial"/>
          <w:color w:val="222222"/>
          <w:sz w:val="24"/>
          <w:szCs w:val="24"/>
          <w:highlight w:val="white"/>
        </w:rPr>
      </w:pPr>
      <w:r>
        <w:rPr>
          <w:rFonts w:cs="Arial" w:ascii="Arial" w:hAnsi="Arial"/>
          <w:color w:val="222222"/>
          <w:sz w:val="24"/>
          <w:szCs w:val="24"/>
          <w:shd w:fill="FFFFFF" w:val="clear"/>
        </w:rPr>
        <w:t>Mazzetti, G., Robledo, E., Vignoli, M., Topa, G., Guglielmi, D. and Schaufeli, W.B., 2021. Work engagement: A meta-analysis using the job demands-resources model. </w:t>
      </w:r>
      <w:r>
        <w:rPr>
          <w:rFonts w:cs="Arial" w:ascii="Arial" w:hAnsi="Arial"/>
          <w:i/>
          <w:iCs/>
          <w:color w:val="222222"/>
          <w:sz w:val="24"/>
          <w:szCs w:val="24"/>
          <w:shd w:fill="FFFFFF" w:val="clear"/>
        </w:rPr>
        <w:t>Psychological Reports</w:t>
      </w:r>
      <w:r>
        <w:rPr>
          <w:rFonts w:cs="Arial" w:ascii="Arial" w:hAnsi="Arial"/>
          <w:color w:val="222222"/>
          <w:sz w:val="24"/>
          <w:szCs w:val="24"/>
          <w:shd w:fill="FFFFFF" w:val="clear"/>
        </w:rPr>
        <w:t>, p.00332941211051988.</w:t>
      </w:r>
    </w:p>
    <w:p>
      <w:pPr>
        <w:pStyle w:val="Normal"/>
        <w:ind w:left="720" w:hanging="720"/>
        <w:rPr>
          <w:rFonts w:ascii="Arial" w:hAnsi="Arial" w:cs="Arial"/>
          <w:color w:val="222222"/>
          <w:sz w:val="24"/>
          <w:szCs w:val="24"/>
          <w:highlight w:val="white"/>
        </w:rPr>
      </w:pPr>
      <w:r>
        <w:rPr>
          <w:rFonts w:cs="Arial" w:ascii="Arial" w:hAnsi="Arial"/>
          <w:color w:val="222222"/>
          <w:sz w:val="24"/>
          <w:szCs w:val="24"/>
          <w:shd w:fill="FFFFFF" w:val="clear"/>
        </w:rPr>
        <w:t>Murphy, K.R., 2020. Performance evaluation will not die, but it should. </w:t>
      </w:r>
      <w:r>
        <w:rPr>
          <w:rFonts w:cs="Arial" w:ascii="Arial" w:hAnsi="Arial"/>
          <w:i/>
          <w:iCs/>
          <w:color w:val="222222"/>
          <w:sz w:val="24"/>
          <w:szCs w:val="24"/>
          <w:shd w:fill="FFFFFF" w:val="clear"/>
        </w:rPr>
        <w:t>Human Resource Management Journal</w:t>
      </w:r>
      <w:r>
        <w:rPr>
          <w:rFonts w:cs="Arial" w:ascii="Arial" w:hAnsi="Arial"/>
          <w:color w:val="222222"/>
          <w:sz w:val="24"/>
          <w:szCs w:val="24"/>
          <w:shd w:fill="FFFFFF" w:val="clear"/>
        </w:rPr>
        <w:t>, </w:t>
      </w:r>
      <w:r>
        <w:rPr>
          <w:rFonts w:cs="Arial" w:ascii="Arial" w:hAnsi="Arial"/>
          <w:i/>
          <w:iCs/>
          <w:color w:val="222222"/>
          <w:sz w:val="24"/>
          <w:szCs w:val="24"/>
          <w:shd w:fill="FFFFFF" w:val="clear"/>
        </w:rPr>
        <w:t>30</w:t>
      </w:r>
      <w:r>
        <w:rPr>
          <w:rFonts w:cs="Arial" w:ascii="Arial" w:hAnsi="Arial"/>
          <w:color w:val="222222"/>
          <w:sz w:val="24"/>
          <w:szCs w:val="24"/>
          <w:shd w:fill="FFFFFF" w:val="clear"/>
        </w:rPr>
        <w:t>(1), pp.13-31.</w:t>
      </w:r>
    </w:p>
    <w:p>
      <w:pPr>
        <w:pStyle w:val="Normal"/>
        <w:ind w:left="720" w:hanging="720"/>
        <w:rPr>
          <w:rFonts w:ascii="Arial" w:hAnsi="Arial" w:cs="Arial"/>
          <w:color w:val="222222"/>
          <w:sz w:val="24"/>
          <w:szCs w:val="24"/>
          <w:highlight w:val="white"/>
        </w:rPr>
      </w:pPr>
      <w:r>
        <w:rPr>
          <w:rFonts w:cs="Arial" w:ascii="Arial" w:hAnsi="Arial"/>
          <w:color w:val="222222"/>
          <w:sz w:val="24"/>
          <w:szCs w:val="24"/>
          <w:shd w:fill="FFFFFF" w:val="clear"/>
        </w:rPr>
        <w:t>Nguyen, T.D., 2020. Making Work a Happy Practice. In </w:t>
      </w:r>
      <w:r>
        <w:rPr>
          <w:rFonts w:cs="Arial" w:ascii="Arial" w:hAnsi="Arial"/>
          <w:i/>
          <w:iCs/>
          <w:color w:val="222222"/>
          <w:sz w:val="24"/>
          <w:szCs w:val="24"/>
          <w:shd w:fill="FFFFFF" w:val="clear"/>
        </w:rPr>
        <w:t>The Routledge Companion to Happiness at Work</w:t>
      </w:r>
      <w:r>
        <w:rPr>
          <w:rFonts w:cs="Arial" w:ascii="Arial" w:hAnsi="Arial"/>
          <w:color w:val="222222"/>
          <w:sz w:val="24"/>
          <w:szCs w:val="24"/>
          <w:shd w:fill="FFFFFF" w:val="clear"/>
        </w:rPr>
        <w:t> (pp. 51-60). Routledge.</w:t>
      </w:r>
    </w:p>
    <w:p>
      <w:pPr>
        <w:pStyle w:val="Normal"/>
        <w:ind w:left="720" w:hanging="720"/>
        <w:rPr>
          <w:rFonts w:ascii="Arial" w:hAnsi="Arial" w:cs="Arial"/>
          <w:color w:val="222222"/>
          <w:sz w:val="24"/>
          <w:szCs w:val="24"/>
          <w:highlight w:val="white"/>
        </w:rPr>
      </w:pPr>
      <w:r>
        <w:rPr>
          <w:rFonts w:cs="Arial" w:ascii="Arial" w:hAnsi="Arial"/>
          <w:color w:val="222222"/>
          <w:sz w:val="24"/>
          <w:szCs w:val="24"/>
          <w:shd w:fill="FFFFFF" w:val="clear"/>
        </w:rPr>
        <w:t>Norbu, J. and Wetprasit, P., 2021. The study of job motivational factors and its influence on job satisfaction for hotel employees of Thimphu, Bhutan. </w:t>
      </w:r>
      <w:r>
        <w:rPr>
          <w:rFonts w:cs="Arial" w:ascii="Arial" w:hAnsi="Arial"/>
          <w:i/>
          <w:iCs/>
          <w:color w:val="222222"/>
          <w:sz w:val="24"/>
          <w:szCs w:val="24"/>
          <w:shd w:fill="FFFFFF" w:val="clear"/>
        </w:rPr>
        <w:t>Journal of Quality Assurance in Hospitality &amp; Tourism</w:t>
      </w:r>
      <w:r>
        <w:rPr>
          <w:rFonts w:cs="Arial" w:ascii="Arial" w:hAnsi="Arial"/>
          <w:color w:val="222222"/>
          <w:sz w:val="24"/>
          <w:szCs w:val="24"/>
          <w:shd w:fill="FFFFFF" w:val="clear"/>
        </w:rPr>
        <w:t>, </w:t>
      </w:r>
      <w:r>
        <w:rPr>
          <w:rFonts w:cs="Arial" w:ascii="Arial" w:hAnsi="Arial"/>
          <w:i/>
          <w:iCs/>
          <w:color w:val="222222"/>
          <w:sz w:val="24"/>
          <w:szCs w:val="24"/>
          <w:shd w:fill="FFFFFF" w:val="clear"/>
        </w:rPr>
        <w:t>22</w:t>
      </w:r>
      <w:r>
        <w:rPr>
          <w:rFonts w:cs="Arial" w:ascii="Arial" w:hAnsi="Arial"/>
          <w:color w:val="222222"/>
          <w:sz w:val="24"/>
          <w:szCs w:val="24"/>
          <w:shd w:fill="FFFFFF" w:val="clear"/>
        </w:rPr>
        <w:t>(2), pp.245-266.</w:t>
      </w:r>
    </w:p>
    <w:p>
      <w:pPr>
        <w:pStyle w:val="Normal"/>
        <w:ind w:left="720" w:hanging="720"/>
        <w:rPr>
          <w:rFonts w:ascii="Arial" w:hAnsi="Arial" w:cs="Arial"/>
          <w:color w:val="222222"/>
          <w:sz w:val="24"/>
          <w:szCs w:val="24"/>
          <w:highlight w:val="white"/>
        </w:rPr>
      </w:pPr>
      <w:r>
        <w:rPr>
          <w:rFonts w:cs="Arial" w:ascii="Arial" w:hAnsi="Arial"/>
          <w:color w:val="222222"/>
          <w:sz w:val="24"/>
          <w:szCs w:val="24"/>
          <w:shd w:fill="FFFFFF" w:val="clear"/>
        </w:rPr>
        <w:t>Radic, A., Arjona-Fuentes, J.M., Ariza-Montes, A., Han, H. and Law, R., 2020. Job demands–job resources (JD-R) model, work engagement, and well-being of cruise ship employees. </w:t>
      </w:r>
      <w:r>
        <w:rPr>
          <w:rFonts w:cs="Arial" w:ascii="Arial" w:hAnsi="Arial"/>
          <w:i/>
          <w:iCs/>
          <w:color w:val="222222"/>
          <w:sz w:val="24"/>
          <w:szCs w:val="24"/>
          <w:shd w:fill="FFFFFF" w:val="clear"/>
        </w:rPr>
        <w:t>International Journal of Hospitality Management</w:t>
      </w:r>
      <w:r>
        <w:rPr>
          <w:rFonts w:cs="Arial" w:ascii="Arial" w:hAnsi="Arial"/>
          <w:color w:val="222222"/>
          <w:sz w:val="24"/>
          <w:szCs w:val="24"/>
          <w:shd w:fill="FFFFFF" w:val="clear"/>
        </w:rPr>
        <w:t>, </w:t>
      </w:r>
      <w:r>
        <w:rPr>
          <w:rFonts w:cs="Arial" w:ascii="Arial" w:hAnsi="Arial"/>
          <w:i/>
          <w:iCs/>
          <w:color w:val="222222"/>
          <w:sz w:val="24"/>
          <w:szCs w:val="24"/>
          <w:shd w:fill="FFFFFF" w:val="clear"/>
        </w:rPr>
        <w:t>88</w:t>
      </w:r>
      <w:r>
        <w:rPr>
          <w:rFonts w:cs="Arial" w:ascii="Arial" w:hAnsi="Arial"/>
          <w:color w:val="222222"/>
          <w:sz w:val="24"/>
          <w:szCs w:val="24"/>
          <w:shd w:fill="FFFFFF" w:val="clear"/>
        </w:rPr>
        <w:t>, p.102518.</w:t>
      </w:r>
    </w:p>
    <w:p>
      <w:pPr>
        <w:pStyle w:val="Normal"/>
        <w:ind w:left="720" w:hanging="720"/>
        <w:rPr>
          <w:rFonts w:ascii="Arial" w:hAnsi="Arial" w:cs="Arial"/>
          <w:color w:val="222222"/>
          <w:sz w:val="24"/>
          <w:szCs w:val="24"/>
          <w:highlight w:val="white"/>
        </w:rPr>
      </w:pPr>
      <w:r>
        <w:rPr>
          <w:rFonts w:cs="Arial" w:ascii="Arial" w:hAnsi="Arial"/>
          <w:color w:val="222222"/>
          <w:sz w:val="24"/>
          <w:szCs w:val="24"/>
          <w:shd w:fill="FFFFFF" w:val="clear"/>
        </w:rPr>
        <w:t>Rodríguez-Sánchez, J.L., González-Torres, T., Montero-Navarro, A. and Gallego-Losada, R., 2020. Investing time and resources for work–life balance: The effect on talent retention. </w:t>
      </w:r>
      <w:r>
        <w:rPr>
          <w:rFonts w:cs="Arial" w:ascii="Arial" w:hAnsi="Arial"/>
          <w:i/>
          <w:iCs/>
          <w:color w:val="222222"/>
          <w:sz w:val="24"/>
          <w:szCs w:val="24"/>
          <w:shd w:fill="FFFFFF" w:val="clear"/>
        </w:rPr>
        <w:t>International journal of environmental research and public health</w:t>
      </w:r>
      <w:r>
        <w:rPr>
          <w:rFonts w:cs="Arial" w:ascii="Arial" w:hAnsi="Arial"/>
          <w:color w:val="222222"/>
          <w:sz w:val="24"/>
          <w:szCs w:val="24"/>
          <w:shd w:fill="FFFFFF" w:val="clear"/>
        </w:rPr>
        <w:t>, </w:t>
      </w:r>
      <w:r>
        <w:rPr>
          <w:rFonts w:cs="Arial" w:ascii="Arial" w:hAnsi="Arial"/>
          <w:i/>
          <w:iCs/>
          <w:color w:val="222222"/>
          <w:sz w:val="24"/>
          <w:szCs w:val="24"/>
          <w:shd w:fill="FFFFFF" w:val="clear"/>
        </w:rPr>
        <w:t>17</w:t>
      </w:r>
      <w:r>
        <w:rPr>
          <w:rFonts w:cs="Arial" w:ascii="Arial" w:hAnsi="Arial"/>
          <w:color w:val="222222"/>
          <w:sz w:val="24"/>
          <w:szCs w:val="24"/>
          <w:shd w:fill="FFFFFF" w:val="clear"/>
        </w:rPr>
        <w:t>(6), p.1920.</w:t>
      </w:r>
    </w:p>
    <w:p>
      <w:pPr>
        <w:pStyle w:val="Normal"/>
        <w:spacing w:before="0" w:after="160"/>
        <w:ind w:left="720" w:hanging="720"/>
        <w:rPr/>
      </w:pPr>
      <w:r>
        <w:rPr>
          <w:rFonts w:cs="Arial" w:ascii="Arial" w:hAnsi="Arial"/>
          <w:color w:val="222222"/>
          <w:sz w:val="24"/>
          <w:szCs w:val="24"/>
          <w:shd w:fill="FFFFFF" w:val="clear"/>
        </w:rPr>
        <w:t>Stone, R.J., Cox, A. and Gavin, M., 2020. </w:t>
      </w:r>
      <w:r>
        <w:rPr>
          <w:rFonts w:cs="Arial" w:ascii="Arial" w:hAnsi="Arial"/>
          <w:i/>
          <w:iCs/>
          <w:color w:val="222222"/>
          <w:sz w:val="24"/>
          <w:szCs w:val="24"/>
          <w:shd w:fill="FFFFFF" w:val="clear"/>
        </w:rPr>
        <w:t>Human resource management</w:t>
      </w:r>
      <w:r>
        <w:rPr>
          <w:rFonts w:cs="Arial" w:ascii="Arial" w:hAnsi="Arial"/>
          <w:color w:val="222222"/>
          <w:sz w:val="24"/>
          <w:szCs w:val="24"/>
          <w:shd w:fill="FFFFFF" w:val="clear"/>
        </w:rPr>
        <w:t>. John Wiley &amp; Sons.</w:t>
      </w:r>
    </w:p>
    <w:sectPr>
      <w:footerReference w:type="default" r:id="rId2"/>
      <w:type w:val="nextPage"/>
      <w:pgSz w:w="12240" w:h="15840"/>
      <w:pgMar w:left="1440" w:right="1440" w:header="0" w:top="1440" w:footer="720" w:bottom="1440" w:gutter="0"/>
      <w:pgBorders w:display="allPages" w:offsetFrom="page">
        <w:top w:val="double" w:sz="4" w:space="24" w:color="000000"/>
        <w:left w:val="double" w:sz="4" w:space="24" w:color="000000"/>
        <w:bottom w:val="double" w:sz="4" w:space="24" w:color="000000"/>
        <w:right w:val="double" w:sz="4" w:space="24" w:color="000000"/>
      </w:pgBorders>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Calibri Light">
    <w:charset w:val="00"/>
    <w:family w:val="roman"/>
    <w:pitch w:val="variable"/>
  </w:font>
  <w:font w:name="Liberation Sans">
    <w:altName w:val="Arial"/>
    <w:charset w:val="00"/>
    <w:family w:val="swiss"/>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385687177"/>
    </w:sdtPr>
    <w:sdtContent>
      <w:p>
        <w:pPr>
          <w:pStyle w:val="Footer"/>
          <w:jc w:val="right"/>
          <w:rPr/>
        </w:pPr>
        <w:r>
          <w:rPr/>
          <w:fldChar w:fldCharType="begin"/>
        </w:r>
        <w:r>
          <w:rPr/>
          <w:instrText> PAGE </w:instrText>
        </w:r>
        <w:r>
          <w:rPr/>
          <w:fldChar w:fldCharType="separate"/>
        </w:r>
        <w:r>
          <w:rPr/>
          <w:t>10</w:t>
        </w:r>
        <w:r>
          <w:rPr/>
          <w:fldChar w:fldCharType="end"/>
        </w:r>
      </w:p>
    </w:sdtContent>
  </w:sdt>
  <w:p>
    <w:pPr>
      <w:pStyle w:val="Footer"/>
      <w:rPr/>
    </w:pPr>
    <w:r>
      <w:rPr/>
    </w:r>
  </w:p>
</w:ftr>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360"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paragraph" w:styleId="Heading1">
    <w:name w:val="Heading 1"/>
    <w:basedOn w:val="Normal"/>
    <w:next w:val="Normal"/>
    <w:link w:val="Heading1Char"/>
    <w:uiPriority w:val="9"/>
    <w:qFormat/>
    <w:rsid w:val="000818b0"/>
    <w:pPr>
      <w:keepNext w:val="true"/>
      <w:keepLines/>
      <w:spacing w:before="240" w:after="0"/>
      <w:outlineLvl w:val="0"/>
    </w:pPr>
    <w:rPr>
      <w:rFonts w:ascii="Calibri Light" w:hAnsi="Calibri Light" w:eastAsia="等线 Light"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0818b0"/>
    <w:rPr>
      <w:rFonts w:ascii="Calibri Light" w:hAnsi="Calibri Light" w:eastAsia="等线 Light" w:cs="" w:asciiTheme="majorHAnsi" w:cstheme="majorBidi" w:eastAsiaTheme="majorEastAsia" w:hAnsiTheme="majorHAnsi"/>
      <w:color w:val="2F5496" w:themeColor="accent1" w:themeShade="bf"/>
      <w:sz w:val="32"/>
      <w:szCs w:val="32"/>
      <w:lang w:val="en-GB"/>
    </w:rPr>
  </w:style>
  <w:style w:type="character" w:styleId="HeaderChar" w:customStyle="1">
    <w:name w:val="Header Char"/>
    <w:basedOn w:val="DefaultParagraphFont"/>
    <w:link w:val="Header"/>
    <w:uiPriority w:val="99"/>
    <w:qFormat/>
    <w:rsid w:val="00ca402a"/>
    <w:rPr>
      <w:lang w:val="en-GB"/>
    </w:rPr>
  </w:style>
  <w:style w:type="character" w:styleId="FooterChar" w:customStyle="1">
    <w:name w:val="Footer Char"/>
    <w:basedOn w:val="DefaultParagraphFont"/>
    <w:link w:val="Footer"/>
    <w:uiPriority w:val="99"/>
    <w:qFormat/>
    <w:rsid w:val="00ca402a"/>
    <w:rPr>
      <w:lang w:val="en-GB"/>
    </w:rPr>
  </w:style>
  <w:style w:type="character" w:styleId="Annotationreference">
    <w:name w:val="annotation reference"/>
    <w:basedOn w:val="DefaultParagraphFont"/>
    <w:uiPriority w:val="99"/>
    <w:semiHidden/>
    <w:unhideWhenUsed/>
    <w:qFormat/>
    <w:rsid w:val="00181ae0"/>
    <w:rPr>
      <w:sz w:val="16"/>
      <w:szCs w:val="16"/>
    </w:rPr>
  </w:style>
  <w:style w:type="character" w:styleId="CommentTextChar" w:customStyle="1">
    <w:name w:val="Comment Text Char"/>
    <w:basedOn w:val="DefaultParagraphFont"/>
    <w:link w:val="CommentText"/>
    <w:uiPriority w:val="99"/>
    <w:qFormat/>
    <w:rsid w:val="00181ae0"/>
    <w:rPr>
      <w:sz w:val="20"/>
      <w:szCs w:val="20"/>
      <w:lang w:val="en-GB"/>
    </w:rPr>
  </w:style>
  <w:style w:type="character" w:styleId="CommentSubjectChar" w:customStyle="1">
    <w:name w:val="Comment Subject Char"/>
    <w:basedOn w:val="CommentTextChar"/>
    <w:link w:val="CommentSubject"/>
    <w:uiPriority w:val="99"/>
    <w:semiHidden/>
    <w:qFormat/>
    <w:rsid w:val="00181ae0"/>
    <w:rPr>
      <w:b/>
      <w:bCs/>
      <w:sz w:val="20"/>
      <w:szCs w:val="20"/>
      <w:lang w:val="en-GB"/>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Spacing">
    <w:name w:val="No Spacing"/>
    <w:uiPriority w:val="1"/>
    <w:qFormat/>
    <w:rsid w:val="000818b0"/>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paragraph" w:styleId="ListParagraph">
    <w:name w:val="List Paragraph"/>
    <w:basedOn w:val="Normal"/>
    <w:uiPriority w:val="34"/>
    <w:qFormat/>
    <w:rsid w:val="00a31f13"/>
    <w:pPr>
      <w:spacing w:before="0" w:after="160"/>
      <w:ind w:left="720" w:hanging="0"/>
      <w:contextualSpacing/>
    </w:pPr>
    <w:rPr/>
  </w:style>
  <w:style w:type="paragraph" w:styleId="Header">
    <w:name w:val="Header"/>
    <w:basedOn w:val="Normal"/>
    <w:link w:val="HeaderChar"/>
    <w:uiPriority w:val="99"/>
    <w:unhideWhenUsed/>
    <w:rsid w:val="00ca402a"/>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ca402a"/>
    <w:pPr>
      <w:tabs>
        <w:tab w:val="clear" w:pos="720"/>
        <w:tab w:val="center" w:pos="4680" w:leader="none"/>
        <w:tab w:val="right" w:pos="9360" w:leader="none"/>
      </w:tabs>
      <w:spacing w:lineRule="auto" w:line="240" w:before="0" w:after="0"/>
    </w:pPr>
    <w:rPr/>
  </w:style>
  <w:style w:type="paragraph" w:styleId="Annotationtext">
    <w:name w:val="annotation text"/>
    <w:basedOn w:val="Normal"/>
    <w:link w:val="CommentTextChar"/>
    <w:uiPriority w:val="99"/>
    <w:unhideWhenUsed/>
    <w:qFormat/>
    <w:rsid w:val="00181ae0"/>
    <w:pPr>
      <w:spacing w:lineRule="auto" w:line="240"/>
    </w:pPr>
    <w:rPr>
      <w:sz w:val="20"/>
      <w:szCs w:val="20"/>
    </w:rPr>
  </w:style>
  <w:style w:type="paragraph" w:styleId="Annotationsubject">
    <w:name w:val="annotation subject"/>
    <w:basedOn w:val="Annotationtext"/>
    <w:next w:val="Annotationtext"/>
    <w:link w:val="CommentSubjectChar"/>
    <w:uiPriority w:val="99"/>
    <w:semiHidden/>
    <w:unhideWhenUsed/>
    <w:qFormat/>
    <w:rsid w:val="00181ae0"/>
    <w:pPr/>
    <w:rPr>
      <w:b/>
      <w:bCs/>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0A242D-43F5-4EC1-BD6B-26C812F3B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Application>Neat_Office/6.2.8.2$Windows_x86 LibreOffice_project/</Application>
  <Pages>10</Pages>
  <Words>2749</Words>
  <Characters>15897</Characters>
  <CharactersWithSpaces>18596</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2023-02-06T13:35:00Z</dcterms:created>
  <dc:creator>Muhammad Aamir Khan</dc:creator>
  <dc:description/>
  <dc:language>en-GB</dc:language>
  <cp:lastModifiedBy/>
  <dcterms:modified xsi:type="dcterms:W3CDTF">2023-02-12T22:50:55Z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