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 /><Relationship Id="rId2" Type="http://schemas.openxmlformats.org/package/2006/relationships/metadata/thumbnail" Target="docProps/thumbnail.emf" /><Relationship Id="rId1" Type="http://schemas.openxmlformats.org/officeDocument/2006/relationships/officeDocument" Target="word/document.xml" /><Relationship Id="rId4"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F6D9A5" w14:textId="0D74DD89" w:rsidR="0032234B" w:rsidRPr="00DF70B3" w:rsidRDefault="0032234B" w:rsidP="005E0A6A">
      <w:pPr>
        <w:spacing w:after="0"/>
        <w:ind w:left="49"/>
        <w:jc w:val="center"/>
        <w:rPr>
          <w:rFonts w:cs="Arial"/>
        </w:rPr>
      </w:pPr>
      <w:r w:rsidRPr="00DF70B3">
        <w:rPr>
          <w:rFonts w:cs="Arial"/>
          <w:noProof/>
          <w:lang w:val="en-US"/>
        </w:rPr>
        <w:drawing>
          <wp:inline distT="0" distB="0" distL="0" distR="0" wp14:anchorId="1C7D59AF" wp14:editId="2DA2C25F">
            <wp:extent cx="4940300" cy="2056962"/>
            <wp:effectExtent l="0" t="0" r="0" b="6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986055" cy="2076013"/>
                    </a:xfrm>
                    <a:prstGeom prst="rect">
                      <a:avLst/>
                    </a:prstGeom>
                    <a:noFill/>
                  </pic:spPr>
                </pic:pic>
              </a:graphicData>
            </a:graphic>
          </wp:inline>
        </w:drawing>
      </w:r>
    </w:p>
    <w:p w14:paraId="74977EA4" w14:textId="36F34027" w:rsidR="0032234B" w:rsidRDefault="00DF70B3" w:rsidP="005E0A6A">
      <w:pPr>
        <w:spacing w:after="42"/>
        <w:ind w:left="89"/>
        <w:jc w:val="center"/>
        <w:rPr>
          <w:rFonts w:cs="Arial"/>
          <w:b/>
          <w:bCs/>
          <w:sz w:val="40"/>
          <w:szCs w:val="40"/>
        </w:rPr>
      </w:pPr>
      <w:r w:rsidRPr="00DF70B3">
        <w:rPr>
          <w:rFonts w:cs="Arial"/>
          <w:b/>
          <w:bCs/>
          <w:sz w:val="40"/>
          <w:szCs w:val="40"/>
        </w:rPr>
        <w:t>The Impact of Digital Health Interventions on Chronic Disease Management in Older Adults in the Unit</w:t>
      </w:r>
      <w:r w:rsidR="005E0A6A">
        <w:rPr>
          <w:rFonts w:cs="Arial"/>
          <w:b/>
          <w:bCs/>
          <w:sz w:val="40"/>
          <w:szCs w:val="40"/>
        </w:rPr>
        <w:t>ed Kingdom: A Systematic Review</w:t>
      </w:r>
    </w:p>
    <w:p w14:paraId="094AF5EF" w14:textId="77777777" w:rsidR="005E0A6A" w:rsidRDefault="005E0A6A" w:rsidP="005E0A6A">
      <w:pPr>
        <w:spacing w:after="42"/>
        <w:ind w:left="89"/>
        <w:jc w:val="center"/>
        <w:rPr>
          <w:rFonts w:cs="Arial"/>
          <w:bCs/>
          <w:sz w:val="24"/>
          <w:szCs w:val="40"/>
        </w:rPr>
      </w:pPr>
    </w:p>
    <w:p w14:paraId="578FD481" w14:textId="77777777" w:rsidR="005E0A6A" w:rsidRDefault="005E0A6A" w:rsidP="005E0A6A">
      <w:pPr>
        <w:spacing w:after="42"/>
        <w:ind w:left="89"/>
        <w:jc w:val="center"/>
        <w:rPr>
          <w:rFonts w:cs="Arial"/>
          <w:bCs/>
          <w:sz w:val="24"/>
          <w:szCs w:val="40"/>
        </w:rPr>
      </w:pPr>
    </w:p>
    <w:p w14:paraId="2CF0E2F3" w14:textId="77717B30" w:rsidR="005E0A6A" w:rsidRDefault="005E0A6A" w:rsidP="005E0A6A">
      <w:pPr>
        <w:spacing w:after="42"/>
        <w:ind w:left="89"/>
        <w:jc w:val="center"/>
        <w:rPr>
          <w:rFonts w:cs="Arial"/>
          <w:bCs/>
          <w:sz w:val="24"/>
          <w:szCs w:val="40"/>
        </w:rPr>
      </w:pPr>
      <w:r w:rsidRPr="005E0A6A">
        <w:rPr>
          <w:rFonts w:cs="Arial"/>
          <w:bCs/>
          <w:sz w:val="24"/>
          <w:szCs w:val="40"/>
        </w:rPr>
        <w:t>Student Name: Md. Nasir Uddin Nahid</w:t>
      </w:r>
    </w:p>
    <w:p w14:paraId="6B6EAB30" w14:textId="31B2D290" w:rsidR="005E0A6A" w:rsidRDefault="005E0A6A" w:rsidP="005E0A6A">
      <w:pPr>
        <w:spacing w:after="42"/>
        <w:ind w:left="89"/>
        <w:jc w:val="center"/>
        <w:rPr>
          <w:rFonts w:cs="Arial"/>
          <w:bCs/>
          <w:sz w:val="24"/>
          <w:szCs w:val="40"/>
        </w:rPr>
      </w:pPr>
      <w:r w:rsidRPr="005E0A6A">
        <w:rPr>
          <w:rFonts w:cs="Arial"/>
          <w:bCs/>
          <w:sz w:val="24"/>
          <w:szCs w:val="40"/>
        </w:rPr>
        <w:t>Student ID: 2432642</w:t>
      </w:r>
    </w:p>
    <w:p w14:paraId="3444B9A7" w14:textId="0FB95781" w:rsidR="005E0A6A" w:rsidRPr="005E0A6A" w:rsidRDefault="005E0A6A" w:rsidP="005E0A6A">
      <w:pPr>
        <w:spacing w:after="42"/>
        <w:ind w:left="89"/>
        <w:jc w:val="center"/>
        <w:rPr>
          <w:rFonts w:cs="Arial"/>
          <w:bCs/>
          <w:sz w:val="24"/>
          <w:szCs w:val="40"/>
        </w:rPr>
      </w:pPr>
      <w:r w:rsidRPr="005E0A6A">
        <w:rPr>
          <w:rFonts w:cs="Arial"/>
          <w:bCs/>
          <w:sz w:val="24"/>
          <w:szCs w:val="40"/>
        </w:rPr>
        <w:t>Word Count:</w:t>
      </w:r>
      <w:r w:rsidR="00171618">
        <w:rPr>
          <w:rFonts w:cs="Arial"/>
          <w:bCs/>
          <w:sz w:val="24"/>
          <w:szCs w:val="40"/>
        </w:rPr>
        <w:t xml:space="preserve"> 15586</w:t>
      </w:r>
    </w:p>
    <w:p w14:paraId="72130C26" w14:textId="0CF7695D" w:rsidR="00DF70B3" w:rsidRDefault="005E0A6A" w:rsidP="0032234B">
      <w:pPr>
        <w:spacing w:after="157"/>
        <w:ind w:left="2367" w:right="2359"/>
        <w:jc w:val="center"/>
        <w:rPr>
          <w:rFonts w:cs="Arial"/>
          <w:bCs/>
          <w:szCs w:val="24"/>
        </w:rPr>
      </w:pPr>
      <w:r w:rsidRPr="005E0A6A">
        <w:rPr>
          <w:rFonts w:cs="Arial"/>
          <w:bCs/>
          <w:szCs w:val="24"/>
        </w:rPr>
        <w:t>Supervisor: Dr. Soban Sadiq</w:t>
      </w:r>
      <w:r>
        <w:rPr>
          <w:rFonts w:cs="Arial"/>
          <w:bCs/>
          <w:szCs w:val="24"/>
        </w:rPr>
        <w:t xml:space="preserve"> </w:t>
      </w:r>
    </w:p>
    <w:p w14:paraId="0A91C20C" w14:textId="285844ED" w:rsidR="005E0A6A" w:rsidRPr="005E0A6A" w:rsidRDefault="005E0A6A" w:rsidP="0032234B">
      <w:pPr>
        <w:spacing w:after="157"/>
        <w:ind w:left="2367" w:right="2359"/>
        <w:jc w:val="center"/>
        <w:rPr>
          <w:rFonts w:cs="Arial"/>
          <w:bCs/>
          <w:szCs w:val="24"/>
        </w:rPr>
      </w:pPr>
      <w:r w:rsidRPr="005E0A6A">
        <w:rPr>
          <w:rFonts w:cs="Arial"/>
          <w:bCs/>
          <w:szCs w:val="24"/>
        </w:rPr>
        <w:t xml:space="preserve">Submission Date: </w:t>
      </w:r>
      <w:r w:rsidR="00BA3C8C">
        <w:rPr>
          <w:rFonts w:cs="Arial"/>
          <w:bCs/>
          <w:szCs w:val="24"/>
        </w:rPr>
        <w:t>24</w:t>
      </w:r>
      <w:r w:rsidR="00BA3C8C">
        <w:rPr>
          <w:rFonts w:cs="Arial"/>
          <w:bCs/>
          <w:szCs w:val="24"/>
          <w:vertAlign w:val="superscript"/>
        </w:rPr>
        <w:t>th</w:t>
      </w:r>
      <w:r w:rsidR="004A3BC7">
        <w:rPr>
          <w:rFonts w:cs="Arial"/>
          <w:bCs/>
          <w:szCs w:val="24"/>
        </w:rPr>
        <w:t xml:space="preserve"> </w:t>
      </w:r>
      <w:r w:rsidRPr="005E0A6A">
        <w:rPr>
          <w:rFonts w:cs="Arial"/>
          <w:bCs/>
          <w:szCs w:val="24"/>
        </w:rPr>
        <w:t>September 2026</w:t>
      </w:r>
      <w:r>
        <w:rPr>
          <w:rFonts w:cs="Arial"/>
          <w:bCs/>
          <w:szCs w:val="24"/>
        </w:rPr>
        <w:t xml:space="preserve"> </w:t>
      </w:r>
    </w:p>
    <w:p w14:paraId="2C194F6F" w14:textId="538174E7" w:rsidR="0032234B" w:rsidRDefault="0032234B" w:rsidP="005E0A6A">
      <w:pPr>
        <w:spacing w:after="158"/>
        <w:rPr>
          <w:rFonts w:cs="Arial"/>
          <w:bCs/>
          <w:szCs w:val="24"/>
        </w:rPr>
      </w:pPr>
    </w:p>
    <w:p w14:paraId="286EA965" w14:textId="38655B9D" w:rsidR="004A3BC7" w:rsidRDefault="004A3BC7" w:rsidP="005E0A6A">
      <w:pPr>
        <w:spacing w:after="158"/>
        <w:rPr>
          <w:rFonts w:cs="Arial"/>
          <w:bCs/>
          <w:szCs w:val="24"/>
        </w:rPr>
      </w:pPr>
    </w:p>
    <w:p w14:paraId="23785A4C" w14:textId="77777777" w:rsidR="004A3BC7" w:rsidRPr="005E0A6A" w:rsidRDefault="004A3BC7" w:rsidP="005E0A6A">
      <w:pPr>
        <w:spacing w:after="158"/>
        <w:rPr>
          <w:rFonts w:cs="Arial"/>
        </w:rPr>
      </w:pPr>
    </w:p>
    <w:p w14:paraId="620929EB" w14:textId="23518E47" w:rsidR="0032234B" w:rsidRPr="005E0A6A" w:rsidRDefault="0032234B" w:rsidP="0032234B">
      <w:pPr>
        <w:spacing w:after="156"/>
        <w:ind w:left="59"/>
        <w:jc w:val="center"/>
        <w:rPr>
          <w:rFonts w:cs="Arial"/>
          <w:szCs w:val="24"/>
        </w:rPr>
      </w:pPr>
      <w:r w:rsidRPr="005E0A6A">
        <w:rPr>
          <w:rFonts w:cs="Arial"/>
          <w:szCs w:val="24"/>
        </w:rPr>
        <w:t xml:space="preserve">A Dissertation submitted in partial fulfilment of the requirements for the degree of </w:t>
      </w:r>
      <w:r w:rsidR="00AB5FBA" w:rsidRPr="005E0A6A">
        <w:rPr>
          <w:rFonts w:cs="Arial"/>
          <w:szCs w:val="24"/>
        </w:rPr>
        <w:t>Master of Science</w:t>
      </w:r>
      <w:r w:rsidRPr="005E0A6A">
        <w:rPr>
          <w:rFonts w:cs="Arial"/>
          <w:szCs w:val="24"/>
        </w:rPr>
        <w:t xml:space="preserve"> in Public Health and Social Care in Practice</w:t>
      </w:r>
    </w:p>
    <w:p w14:paraId="1499F8FC" w14:textId="77777777" w:rsidR="0032234B" w:rsidRPr="005E0A6A" w:rsidRDefault="0032234B" w:rsidP="0032234B">
      <w:pPr>
        <w:spacing w:after="169"/>
        <w:jc w:val="center"/>
        <w:rPr>
          <w:rFonts w:cs="Arial"/>
          <w:bCs/>
        </w:rPr>
      </w:pPr>
    </w:p>
    <w:p w14:paraId="5B0661E2" w14:textId="0FC7F57C" w:rsidR="00295905" w:rsidRPr="005E0A6A" w:rsidRDefault="005E0A6A">
      <w:pPr>
        <w:spacing w:line="259" w:lineRule="auto"/>
        <w:jc w:val="left"/>
        <w:rPr>
          <w:rFonts w:cs="Arial"/>
        </w:rPr>
      </w:pPr>
      <w:r>
        <w:rPr>
          <w:rFonts w:cs="Arial"/>
        </w:rPr>
        <w:br w:type="page"/>
      </w:r>
    </w:p>
    <w:p w14:paraId="458E23BE" w14:textId="60421A33" w:rsidR="00295905" w:rsidRPr="00DF70B3" w:rsidRDefault="00295905" w:rsidP="00F309DE">
      <w:pPr>
        <w:pStyle w:val="Heading1"/>
        <w:spacing w:after="240"/>
        <w:jc w:val="center"/>
        <w:rPr>
          <w:rFonts w:cs="Arial"/>
          <w:lang w:val="hr-HR"/>
        </w:rPr>
      </w:pPr>
      <w:bookmarkStart w:id="0" w:name="_Toc241175674"/>
      <w:r w:rsidRPr="00DF70B3">
        <w:rPr>
          <w:rFonts w:cs="Arial"/>
          <w:lang w:val="hr-HR"/>
        </w:rPr>
        <w:lastRenderedPageBreak/>
        <w:t>DECLARATION</w:t>
      </w:r>
      <w:bookmarkEnd w:id="0"/>
    </w:p>
    <w:p w14:paraId="59189E1D" w14:textId="2518FF8F" w:rsidR="00B76840" w:rsidRDefault="00295905" w:rsidP="00295905">
      <w:pPr>
        <w:rPr>
          <w:rFonts w:cs="Arial"/>
          <w:lang w:val="hr-HR"/>
        </w:rPr>
      </w:pPr>
      <w:r w:rsidRPr="00DF70B3">
        <w:rPr>
          <w:rFonts w:cs="Arial"/>
          <w:noProof/>
          <w:lang w:val="en-US"/>
        </w:rPr>
        <mc:AlternateContent>
          <mc:Choice Requires="wpi">
            <w:drawing>
              <wp:anchor distT="0" distB="0" distL="114300" distR="114300" simplePos="0" relativeHeight="251652096" behindDoc="0" locked="0" layoutInCell="1" allowOverlap="1" wp14:anchorId="1209BE73" wp14:editId="10BC53A9">
                <wp:simplePos x="0" y="0"/>
                <wp:positionH relativeFrom="column">
                  <wp:posOffset>-2084070</wp:posOffset>
                </wp:positionH>
                <wp:positionV relativeFrom="paragraph">
                  <wp:posOffset>-224790</wp:posOffset>
                </wp:positionV>
                <wp:extent cx="920750" cy="920750"/>
                <wp:effectExtent l="1905" t="3810" r="1270" b="0"/>
                <wp:wrapNone/>
                <wp:docPr id="16" name="Ink 16"/>
                <wp:cNvGraphicFramePr>
                  <a:graphicFrameLocks xmlns:a="http://schemas.openxmlformats.org/drawingml/2006/main" noChangeAspect="1"/>
                </wp:cNvGraphicFramePr>
                <a:graphic xmlns:a="http://schemas.openxmlformats.org/drawingml/2006/main">
                  <a:graphicData uri="http://schemas.microsoft.com/office/word/2010/wordprocessingInk">
                    <w14:contentPart bwMode="auto" r:id="rId9">
                      <w14:nvContentPartPr>
                        <w14:cNvContentPartPr>
                          <a14:cpLocks xmlns:a14="http://schemas.microsoft.com/office/drawing/2010/main" noRot="1" noChangeAspect="1" noEditPoints="1" noChangeArrowheads="1" noChangeShapeType="1"/>
                        </w14:cNvContentPartPr>
                      </w14:nvContentPartPr>
                      <w14:xfrm>
                        <a:off x="0" y="0"/>
                        <a:ext cx="920750" cy="920750"/>
                      </w14:xfrm>
                    </w14:contentPart>
                  </a:graphicData>
                </a:graphic>
                <wp14:sizeRelH relativeFrom="page">
                  <wp14:pctWidth>0</wp14:pctWidth>
                </wp14:sizeRelH>
                <wp14:sizeRelV relativeFrom="page">
                  <wp14:pctHeight>0</wp14:pctHeight>
                </wp14:sizeRelV>
              </wp:anchor>
            </w:drawing>
          </mc:Choice>
          <mc:Fallback>
            <w:pict>
              <v:shapetype w14:anchorId="34B21A28"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6" o:spid="_x0000_s1026" type="#_x0000_t75" style="position:absolute;margin-left:-164.1pt;margin-top:-17.7pt;width:72.5pt;height:72.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">
                <o:lock v:ext="edit" rotation="t" verticies="t" shapetype="t"/>
              </v:shape>
            </w:pict>
          </mc:Fallback>
        </mc:AlternateContent>
      </w:r>
      <w:r w:rsidRPr="00DF70B3">
        <w:rPr>
          <w:rFonts w:cs="Arial"/>
          <w:noProof/>
          <w:lang w:val="en-US"/>
        </w:rPr>
        <mc:AlternateContent>
          <mc:Choice Requires="wpi">
            <w:drawing>
              <wp:anchor distT="0" distB="0" distL="114300" distR="114300" simplePos="0" relativeHeight="251656192" behindDoc="0" locked="0" layoutInCell="1" allowOverlap="1" wp14:anchorId="1ADBEC1D" wp14:editId="5C66EFF4">
                <wp:simplePos x="0" y="0"/>
                <wp:positionH relativeFrom="column">
                  <wp:posOffset>-2084070</wp:posOffset>
                </wp:positionH>
                <wp:positionV relativeFrom="paragraph">
                  <wp:posOffset>233045</wp:posOffset>
                </wp:positionV>
                <wp:extent cx="920750" cy="40640"/>
                <wp:effectExtent l="1905" t="4445" r="1270" b="2540"/>
                <wp:wrapNone/>
                <wp:docPr id="15" name="Ink 15"/>
                <wp:cNvGraphicFramePr>
                  <a:graphicFrameLocks xmlns:a="http://schemas.openxmlformats.org/drawingml/2006/main" noChangeAspect="1"/>
                </wp:cNvGraphicFramePr>
                <a:graphic xmlns:a="http://schemas.openxmlformats.org/drawingml/2006/main">
                  <a:graphicData uri="http://schemas.microsoft.com/office/word/2010/wordprocessingInk">
                    <w14:contentPart bwMode="auto" r:id="rId10">
                      <w14:nvContentPartPr>
                        <w14:cNvContentPartPr>
                          <a14:cpLocks xmlns:a14="http://schemas.microsoft.com/office/drawing/2010/main" noRot="1" noChangeAspect="1" noEditPoints="1" noChangeArrowheads="1" noChangeShapeType="1"/>
                        </w14:cNvContentPartPr>
                      </w14:nvContentPartPr>
                      <w14:xfrm>
                        <a:off x="0" y="0"/>
                        <a:ext cx="920750" cy="40640"/>
                      </w14:xfrm>
                    </w14:contentPart>
                  </a:graphicData>
                </a:graphic>
                <wp14:sizeRelH relativeFrom="page">
                  <wp14:pctWidth>0</wp14:pctWidth>
                </wp14:sizeRelH>
                <wp14:sizeRelV relativeFrom="page">
                  <wp14:pctHeight>0</wp14:pctHeight>
                </wp14:sizeRelV>
              </wp:anchor>
            </w:drawing>
          </mc:Choice>
          <mc:Fallback>
            <w:pict>
              <v:shape w14:anchorId="76BB04DA" id="Ink 15" o:spid="_x0000_s1026" type="#_x0000_t75" style="position:absolute;margin-left:-164.1pt;margin-top:18.35pt;width:72.5pt;height:3.2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">
                <o:lock v:ext="edit" rotation="t" verticies="t" shapetype="t"/>
              </v:shape>
            </w:pict>
          </mc:Fallback>
        </mc:AlternateContent>
      </w:r>
      <w:r w:rsidRPr="00DF70B3">
        <w:rPr>
          <w:rFonts w:cs="Arial"/>
          <w:noProof/>
          <w:lang w:val="en-US"/>
        </w:rPr>
        <mc:AlternateContent>
          <mc:Choice Requires="wpi">
            <w:drawing>
              <wp:anchor distT="0" distB="0" distL="114300" distR="114300" simplePos="0" relativeHeight="251658240" behindDoc="0" locked="0" layoutInCell="1" allowOverlap="1" wp14:anchorId="01FDE011" wp14:editId="7D7C8187">
                <wp:simplePos x="0" y="0"/>
                <wp:positionH relativeFrom="column">
                  <wp:posOffset>-2084070</wp:posOffset>
                </wp:positionH>
                <wp:positionV relativeFrom="paragraph">
                  <wp:posOffset>-214630</wp:posOffset>
                </wp:positionV>
                <wp:extent cx="920750" cy="920750"/>
                <wp:effectExtent l="1905" t="4445" r="1270" b="0"/>
                <wp:wrapNone/>
                <wp:docPr id="14" name="Ink 14"/>
                <wp:cNvGraphicFramePr>
                  <a:graphicFrameLocks xmlns:a="http://schemas.openxmlformats.org/drawingml/2006/main" noChangeAspect="1"/>
                </wp:cNvGraphicFramePr>
                <a:graphic xmlns:a="http://schemas.openxmlformats.org/drawingml/2006/main">
                  <a:graphicData uri="http://schemas.microsoft.com/office/word/2010/wordprocessingInk">
                    <w14:contentPart bwMode="auto" r:id="rId11">
                      <w14:nvContentPartPr>
                        <w14:cNvContentPartPr>
                          <a14:cpLocks xmlns:a14="http://schemas.microsoft.com/office/drawing/2010/main" noRot="1" noChangeAspect="1" noEditPoints="1" noChangeArrowheads="1" noChangeShapeType="1"/>
                        </w14:cNvContentPartPr>
                      </w14:nvContentPartPr>
                      <w14:xfrm>
                        <a:off x="0" y="0"/>
                        <a:ext cx="920750" cy="920750"/>
                      </w14:xfrm>
                    </w14:contentPart>
                  </a:graphicData>
                </a:graphic>
                <wp14:sizeRelH relativeFrom="page">
                  <wp14:pctWidth>0</wp14:pctWidth>
                </wp14:sizeRelH>
                <wp14:sizeRelV relativeFrom="page">
                  <wp14:pctHeight>0</wp14:pctHeight>
                </wp14:sizeRelV>
              </wp:anchor>
            </w:drawing>
          </mc:Choice>
          <mc:Fallback>
            <w:pict>
              <v:shape w14:anchorId="64BF9D71" id="Ink 14" o:spid="_x0000_s1026" type="#_x0000_t75" style="position:absolute;margin-left:-164.1pt;margin-top:-16.9pt;width:72.5pt;height:7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">
                <o:lock v:ext="edit" rotation="t" verticies="t" shapetype="t"/>
              </v:shape>
            </w:pict>
          </mc:Fallback>
        </mc:AlternateContent>
      </w:r>
      <w:r w:rsidRPr="00DF70B3">
        <w:rPr>
          <w:rFonts w:cs="Arial"/>
          <w:noProof/>
          <w:lang w:val="en-US"/>
        </w:rPr>
        <mc:AlternateContent>
          <mc:Choice Requires="wpi">
            <w:drawing>
              <wp:anchor distT="0" distB="0" distL="114300" distR="114300" simplePos="0" relativeHeight="251664384" behindDoc="0" locked="0" layoutInCell="1" allowOverlap="1" wp14:anchorId="0389A341" wp14:editId="067BA6AE">
                <wp:simplePos x="0" y="0"/>
                <wp:positionH relativeFrom="column">
                  <wp:posOffset>-2395855</wp:posOffset>
                </wp:positionH>
                <wp:positionV relativeFrom="paragraph">
                  <wp:posOffset>-216535</wp:posOffset>
                </wp:positionV>
                <wp:extent cx="920750" cy="920750"/>
                <wp:effectExtent l="4445" t="2540" r="0" b="635"/>
                <wp:wrapNone/>
                <wp:docPr id="13" name="Ink 13"/>
                <wp:cNvGraphicFramePr>
                  <a:graphicFrameLocks xmlns:a="http://schemas.openxmlformats.org/drawingml/2006/main" noChangeAspect="1"/>
                </wp:cNvGraphicFramePr>
                <a:graphic xmlns:a="http://schemas.openxmlformats.org/drawingml/2006/main">
                  <a:graphicData uri="http://schemas.microsoft.com/office/word/2010/wordprocessingInk">
                    <w14:contentPart bwMode="auto" r:id="rId12">
                      <w14:nvContentPartPr>
                        <w14:cNvContentPartPr>
                          <a14:cpLocks xmlns:a14="http://schemas.microsoft.com/office/drawing/2010/main" noRot="1" noChangeAspect="1" noEditPoints="1" noChangeArrowheads="1" noChangeShapeType="1"/>
                        </w14:cNvContentPartPr>
                      </w14:nvContentPartPr>
                      <w14:xfrm>
                        <a:off x="0" y="0"/>
                        <a:ext cx="920750" cy="920750"/>
                      </w14:xfrm>
                    </w14:contentPart>
                  </a:graphicData>
                </a:graphic>
                <wp14:sizeRelH relativeFrom="page">
                  <wp14:pctWidth>0</wp14:pctWidth>
                </wp14:sizeRelH>
                <wp14:sizeRelV relativeFrom="page">
                  <wp14:pctHeight>0</wp14:pctHeight>
                </wp14:sizeRelV>
              </wp:anchor>
            </w:drawing>
          </mc:Choice>
          <mc:Fallback>
            <w:pict>
              <v:shape w14:anchorId="64DAD282" id="Ink 13" o:spid="_x0000_s1026" type="#_x0000_t75" style="position:absolute;margin-left:-188.65pt;margin-top:-17.05pt;width:72.5pt;height:7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">
                <o:lock v:ext="edit" rotation="t" verticies="t" shapetype="t"/>
              </v:shape>
            </w:pict>
          </mc:Fallback>
        </mc:AlternateContent>
      </w:r>
      <w:r w:rsidRPr="00DF70B3">
        <w:rPr>
          <w:rFonts w:cs="Arial"/>
          <w:lang w:val="hr-HR"/>
        </w:rPr>
        <w:t xml:space="preserve">I, </w:t>
      </w:r>
      <w:r w:rsidR="00B76840">
        <w:rPr>
          <w:rFonts w:cs="Arial"/>
          <w:szCs w:val="24"/>
        </w:rPr>
        <w:t>Md.</w:t>
      </w:r>
      <w:r w:rsidR="00AA19F3" w:rsidRPr="00DF70B3">
        <w:rPr>
          <w:rFonts w:cs="Arial"/>
          <w:szCs w:val="24"/>
        </w:rPr>
        <w:t xml:space="preserve"> Nasir Uddin Nahid</w:t>
      </w:r>
      <w:r w:rsidRPr="00DF70B3">
        <w:rPr>
          <w:rFonts w:cs="Arial"/>
          <w:lang w:val="hr-HR"/>
        </w:rPr>
        <w:t xml:space="preserve"> declare that this dissertation has been composed by myself, that the work contained herein is entirely my own except where explicitly stated otherwise in the text, and that this work has not been submitted for any other degree or qualification, in whole or in part, except as specified.</w:t>
      </w:r>
      <w:r w:rsidR="00B76840">
        <w:rPr>
          <w:rFonts w:cs="Arial"/>
          <w:lang w:val="hr-HR"/>
        </w:rPr>
        <w:t xml:space="preserve"> </w:t>
      </w:r>
    </w:p>
    <w:p w14:paraId="5EC1DB88" w14:textId="77777777" w:rsidR="00B76840" w:rsidRDefault="00B76840" w:rsidP="00295905">
      <w:pPr>
        <w:rPr>
          <w:rFonts w:cs="Arial"/>
          <w:lang w:val="hr-HR"/>
        </w:rPr>
      </w:pPr>
    </w:p>
    <w:p w14:paraId="7C165281" w14:textId="77777777" w:rsidR="00B76840" w:rsidRDefault="00B76840" w:rsidP="00295905">
      <w:pPr>
        <w:rPr>
          <w:rFonts w:cs="Arial"/>
          <w:lang w:val="hr-HR"/>
        </w:rPr>
      </w:pPr>
    </w:p>
    <w:p w14:paraId="3080AF0A" w14:textId="1B6FDBCF" w:rsidR="00B76840" w:rsidRDefault="00B76840" w:rsidP="00295905">
      <w:pPr>
        <w:rPr>
          <w:rFonts w:cs="Arial"/>
          <w:lang w:val="hr-HR"/>
        </w:rPr>
      </w:pPr>
    </w:p>
    <w:p w14:paraId="2D504CB2" w14:textId="7D4DC790" w:rsidR="00B76840" w:rsidRDefault="00B76840" w:rsidP="00295905">
      <w:pPr>
        <w:rPr>
          <w:rFonts w:cs="Arial"/>
          <w:lang w:val="hr-HR"/>
        </w:rPr>
      </w:pPr>
    </w:p>
    <w:p w14:paraId="2BEDCBA9" w14:textId="77777777" w:rsidR="00B76840" w:rsidRDefault="00B76840" w:rsidP="00295905">
      <w:pPr>
        <w:rPr>
          <w:rFonts w:cs="Arial"/>
          <w:lang w:val="hr-HR"/>
        </w:rPr>
      </w:pPr>
    </w:p>
    <w:p w14:paraId="75DF7E05" w14:textId="77777777" w:rsidR="00B76840" w:rsidRDefault="00B76840" w:rsidP="00295905">
      <w:pPr>
        <w:rPr>
          <w:rFonts w:cs="Arial"/>
          <w:lang w:val="hr-HR"/>
        </w:rPr>
      </w:pPr>
    </w:p>
    <w:p w14:paraId="09429342" w14:textId="77777777" w:rsidR="00B76840" w:rsidRDefault="00B76840" w:rsidP="00295905">
      <w:pPr>
        <w:rPr>
          <w:rFonts w:cs="Arial"/>
        </w:rPr>
      </w:pPr>
      <w:r>
        <w:rPr>
          <w:rFonts w:cs="Arial"/>
        </w:rPr>
        <w:t xml:space="preserve">Signed: </w:t>
      </w:r>
      <w:r w:rsidRPr="00B76840">
        <w:rPr>
          <w:rFonts w:cs="Arial"/>
        </w:rPr>
        <w:t xml:space="preserve">Md. Nasir Uddin Nahid </w:t>
      </w:r>
      <w:r>
        <w:rPr>
          <w:rFonts w:cs="Arial"/>
        </w:rPr>
        <w:t xml:space="preserve"> </w:t>
      </w:r>
    </w:p>
    <w:p w14:paraId="09941962" w14:textId="285A961B" w:rsidR="0032234B" w:rsidRPr="00DF70B3" w:rsidRDefault="000C62DB" w:rsidP="00295905">
      <w:pPr>
        <w:rPr>
          <w:rFonts w:cs="Arial"/>
          <w:lang w:val="hr-HR"/>
        </w:rPr>
      </w:pPr>
      <w:r>
        <w:rPr>
          <w:rFonts w:cs="Arial"/>
        </w:rPr>
        <w:t>Date: 24</w:t>
      </w:r>
      <w:r w:rsidR="00BA3C8C">
        <w:rPr>
          <w:rFonts w:cs="Arial"/>
          <w:vertAlign w:val="superscript"/>
        </w:rPr>
        <w:t>th</w:t>
      </w:r>
      <w:r w:rsidR="00B76840">
        <w:rPr>
          <w:rFonts w:cs="Arial"/>
        </w:rPr>
        <w:t xml:space="preserve"> September 2026 </w:t>
      </w:r>
      <w:r w:rsidR="0032234B" w:rsidRPr="00DF70B3">
        <w:rPr>
          <w:rFonts w:cs="Arial"/>
        </w:rPr>
        <w:br w:type="page"/>
      </w:r>
    </w:p>
    <w:p w14:paraId="119E8A83" w14:textId="6DAE6A7D" w:rsidR="0032234B" w:rsidRPr="00DF70B3" w:rsidRDefault="005C65A5" w:rsidP="008405EE">
      <w:pPr>
        <w:keepNext/>
        <w:keepLines/>
        <w:spacing w:before="240" w:after="0"/>
        <w:jc w:val="center"/>
        <w:outlineLvl w:val="0"/>
        <w:rPr>
          <w:rFonts w:eastAsiaTheme="majorEastAsia" w:cs="Arial"/>
          <w:b/>
          <w:sz w:val="32"/>
          <w:szCs w:val="32"/>
        </w:rPr>
      </w:pPr>
      <w:bookmarkStart w:id="1" w:name="_Toc240564515"/>
      <w:bookmarkStart w:id="2" w:name="_Toc241175675"/>
      <w:r w:rsidRPr="00DF70B3">
        <w:rPr>
          <w:rFonts w:eastAsiaTheme="majorEastAsia" w:cs="Arial"/>
          <w:b/>
          <w:sz w:val="32"/>
          <w:szCs w:val="32"/>
          <w:lang w:val="en-US"/>
        </w:rPr>
        <w:lastRenderedPageBreak/>
        <w:t>ACKNOWLEDGEMENTS</w:t>
      </w:r>
      <w:bookmarkEnd w:id="1"/>
      <w:bookmarkEnd w:id="2"/>
    </w:p>
    <w:p w14:paraId="0A348920" w14:textId="77777777" w:rsidR="0032234B" w:rsidRPr="00DF70B3" w:rsidRDefault="0032234B" w:rsidP="008405EE">
      <w:pPr>
        <w:spacing w:before="240"/>
        <w:rPr>
          <w:rFonts w:cs="Arial"/>
          <w:lang w:val="en-US"/>
        </w:rPr>
      </w:pPr>
      <w:r w:rsidRPr="00DF70B3">
        <w:rPr>
          <w:rFonts w:cs="Arial"/>
          <w:lang w:val="en-US"/>
        </w:rPr>
        <w:t>Finally, I would like to thank my supervisor, Dr Soban Sadiq, for his guidance, constructive feedback, and support throughout the writing of this dissertation. I would also like to thank the academic staff at the Institute of Inner-City Learning and the University of Wales Trinity Saint David for their help and learning experiences while studying for the MSc. Last but not least, I would like to express my gratitude to all my family and friends for being patient, encouraging and supporting me during my studies.</w:t>
      </w:r>
    </w:p>
    <w:p w14:paraId="242E6267" w14:textId="77777777" w:rsidR="00D46FD8" w:rsidRPr="00DF70B3" w:rsidRDefault="00D46FD8">
      <w:pPr>
        <w:spacing w:line="259" w:lineRule="auto"/>
        <w:jc w:val="left"/>
        <w:rPr>
          <w:rFonts w:eastAsiaTheme="majorEastAsia" w:cs="Arial"/>
          <w:b/>
          <w:sz w:val="32"/>
          <w:szCs w:val="32"/>
          <w:lang w:val="en-US"/>
        </w:rPr>
      </w:pPr>
      <w:r w:rsidRPr="00DF70B3">
        <w:rPr>
          <w:rFonts w:cs="Arial"/>
          <w:lang w:val="en-US"/>
        </w:rPr>
        <w:br w:type="page"/>
      </w:r>
    </w:p>
    <w:p w14:paraId="10CFC3F6" w14:textId="5065586B" w:rsidR="00C1777B" w:rsidRPr="00DF70B3" w:rsidRDefault="005C65A5" w:rsidP="00627683">
      <w:pPr>
        <w:pStyle w:val="Heading1"/>
        <w:jc w:val="center"/>
        <w:rPr>
          <w:rFonts w:cs="Arial"/>
        </w:rPr>
      </w:pPr>
      <w:bookmarkStart w:id="3" w:name="_Toc241175676"/>
      <w:r w:rsidRPr="00DF70B3">
        <w:rPr>
          <w:rFonts w:cs="Arial"/>
          <w:lang w:val="en-US"/>
        </w:rPr>
        <w:lastRenderedPageBreak/>
        <w:t>ABSTRACT</w:t>
      </w:r>
      <w:bookmarkEnd w:id="3"/>
    </w:p>
    <w:p w14:paraId="38D5911A" w14:textId="77777777" w:rsidR="00E0509F" w:rsidRDefault="006A192D" w:rsidP="00B2456C">
      <w:pPr>
        <w:spacing w:before="240"/>
        <w:rPr>
          <w:rFonts w:cs="Arial"/>
          <w:lang w:val="en-US"/>
        </w:rPr>
      </w:pPr>
      <w:r w:rsidRPr="00DF70B3">
        <w:rPr>
          <w:rFonts w:cs="Arial"/>
          <w:b/>
          <w:bCs/>
          <w:lang w:val="en-US"/>
        </w:rPr>
        <w:t>Background:</w:t>
      </w:r>
      <w:r w:rsidRPr="00DF70B3">
        <w:rPr>
          <w:rFonts w:cs="Arial"/>
          <w:lang w:val="en-US"/>
        </w:rPr>
        <w:t xml:space="preserve"> Digital health technologies are being utilised in the UK health and social care system, and older people may not have equal access due to variations in their digital skills, socio</w:t>
      </w:r>
      <w:r w:rsidR="00DB53CE">
        <w:rPr>
          <w:rFonts w:cs="Arial"/>
          <w:lang w:val="en-US"/>
        </w:rPr>
        <w:t xml:space="preserve"> </w:t>
      </w:r>
      <w:r w:rsidRPr="00DF70B3">
        <w:rPr>
          <w:rFonts w:cs="Arial"/>
          <w:lang w:val="en-US"/>
        </w:rPr>
        <w:t xml:space="preserve">economic resources, language, health status, usability, and provision of supporting services. </w:t>
      </w:r>
    </w:p>
    <w:p w14:paraId="7D966A56" w14:textId="33314189" w:rsidR="004F4637" w:rsidRDefault="00E0509F" w:rsidP="00B2456C">
      <w:pPr>
        <w:spacing w:before="240"/>
        <w:rPr>
          <w:rFonts w:cs="Arial"/>
          <w:lang w:val="en-US"/>
        </w:rPr>
      </w:pPr>
      <w:r w:rsidRPr="00DF70B3">
        <w:rPr>
          <w:rFonts w:cs="Arial"/>
          <w:b/>
          <w:bCs/>
          <w:lang w:val="en-US"/>
        </w:rPr>
        <w:t>Objective:</w:t>
      </w:r>
      <w:r w:rsidRPr="00DF70B3">
        <w:rPr>
          <w:rFonts w:cs="Arial"/>
          <w:lang w:val="en-US"/>
        </w:rPr>
        <w:t>To</w:t>
      </w:r>
      <w:r>
        <w:rPr>
          <w:rFonts w:cs="Arial"/>
          <w:lang w:val="en-US"/>
        </w:rPr>
        <w:t xml:space="preserve"> </w:t>
      </w:r>
      <w:r w:rsidR="006A192D" w:rsidRPr="00DF70B3">
        <w:rPr>
          <w:rFonts w:cs="Arial"/>
          <w:lang w:val="en-US"/>
        </w:rPr>
        <w:t>systematically</w:t>
      </w:r>
      <w:r>
        <w:rPr>
          <w:rFonts w:cs="Arial"/>
          <w:lang w:val="en-US"/>
        </w:rPr>
        <w:t xml:space="preserve"> </w:t>
      </w:r>
      <w:r w:rsidR="006A192D" w:rsidRPr="00DF70B3">
        <w:rPr>
          <w:rFonts w:cs="Arial"/>
          <w:lang w:val="en-US"/>
        </w:rPr>
        <w:t xml:space="preserve">review barriers and facilitators shaping the effectiveness of digital health technologies for managing chronic conditions in older adults in the UK. </w:t>
      </w:r>
    </w:p>
    <w:p w14:paraId="6BF958BC" w14:textId="684D6E89" w:rsidR="006B2E0A" w:rsidRDefault="006A192D" w:rsidP="00B2456C">
      <w:pPr>
        <w:spacing w:before="240"/>
        <w:rPr>
          <w:rFonts w:cs="Arial"/>
          <w:lang w:val="en-US"/>
        </w:rPr>
      </w:pPr>
      <w:r w:rsidRPr="004F4637">
        <w:rPr>
          <w:rFonts w:cs="Arial"/>
          <w:b/>
          <w:lang w:val="en-US"/>
        </w:rPr>
        <w:t>Methods:</w:t>
      </w:r>
      <w:r w:rsidRPr="00DF70B3">
        <w:rPr>
          <w:rFonts w:cs="Arial"/>
          <w:lang w:val="en-US"/>
        </w:rPr>
        <w:t xml:space="preserve"> An interpretative systematic qualitative and mixed-methods review of evidence was conducted. MEDLINE, PubMed, CINAHL, PsycINFO and Web of Science were searched, along with additional citation searching. The selection was based on the SPIDER criteria. The CASP qualitative checklist was used to critically appraise the studies, and a three-stage thematic synthesis was undertaken to synthesise the findings from the studies. Four hundred records were identified, and </w:t>
      </w:r>
      <w:r w:rsidR="006B2E0A" w:rsidRPr="00DF70B3">
        <w:rPr>
          <w:rFonts w:cs="Arial"/>
        </w:rPr>
        <w:t>fifteen</w:t>
      </w:r>
      <w:r w:rsidR="005D3F97" w:rsidRPr="00DF70B3">
        <w:rPr>
          <w:rFonts w:cs="Arial"/>
        </w:rPr>
        <w:t xml:space="preserve"> articles representing 14 unique studies were included in the final synthesis</w:t>
      </w:r>
      <w:r w:rsidRPr="00DF70B3">
        <w:rPr>
          <w:rFonts w:cs="Arial"/>
          <w:lang w:val="en-US"/>
        </w:rPr>
        <w:t xml:space="preserve">. </w:t>
      </w:r>
    </w:p>
    <w:p w14:paraId="002119BA" w14:textId="77777777" w:rsidR="003F71F4" w:rsidRDefault="006B2E0A" w:rsidP="00B2456C">
      <w:pPr>
        <w:spacing w:before="240"/>
        <w:rPr>
          <w:rFonts w:cs="Arial"/>
          <w:lang w:val="en-US"/>
        </w:rPr>
      </w:pPr>
      <w:r>
        <w:rPr>
          <w:rFonts w:cs="Arial"/>
          <w:b/>
          <w:bCs/>
          <w:lang w:val="en-US"/>
        </w:rPr>
        <w:t>Results</w:t>
      </w:r>
      <w:r w:rsidR="006A192D" w:rsidRPr="00DF70B3">
        <w:rPr>
          <w:rFonts w:cs="Arial"/>
          <w:b/>
          <w:bCs/>
          <w:lang w:val="en-US"/>
        </w:rPr>
        <w:t>:</w:t>
      </w:r>
      <w:r w:rsidR="006A192D" w:rsidRPr="00DF70B3">
        <w:rPr>
          <w:rFonts w:cs="Arial"/>
          <w:lang w:val="en-US"/>
        </w:rPr>
        <w:t xml:space="preserve"> Four overarching themes were revealed: (1) digital capability, (2) confidence and identity, (3) usability and fit with ageing and chronic illness, and (4) human support, trust and relational continuity, and perceived usefulness, feedback and hybrid choice. Digital intervention can decrease travel, facilitate monitoring and rehabilitation, hasten communication and reassure. But digital capability was not consistent; costs and connectivity were an issue; physical and cognitive factors, language and system-literacy issues, fear of error or fraud, and fragmented platforms and poor organisational implementation were factors that held back benefits. Digital health effectiveness for older adults is a socio-technical outcome, and not something inherent to technology. The following elements are important to meaningful engagement: accessible design, clinical fit, responsive human support, continuity, and genuine choice. Hybrid pathways with viable alternative options (such as phone and in-person) are more suitable than digital-by-default for equitable chronic disease management.</w:t>
      </w:r>
    </w:p>
    <w:p w14:paraId="3B912A26" w14:textId="13A727FA" w:rsidR="00316276" w:rsidRDefault="00E858AA" w:rsidP="00E858AA">
      <w:pPr>
        <w:spacing w:before="240"/>
        <w:rPr>
          <w:rFonts w:cs="Arial"/>
          <w:lang w:val="en-US"/>
        </w:rPr>
      </w:pPr>
      <w:r w:rsidRPr="00E858AA">
        <w:rPr>
          <w:rFonts w:cs="Arial"/>
          <w:b/>
          <w:bCs/>
          <w:lang w:val="en-US"/>
        </w:rPr>
        <w:t>Conclusion</w:t>
      </w:r>
      <w:r w:rsidRPr="00E858AA">
        <w:rPr>
          <w:rFonts w:cs="Arial"/>
          <w:lang w:val="en-US"/>
        </w:rPr>
        <w:t xml:space="preserve">: The power of digitised health becomes most apparent for older individuals when it's accessible, clinically appropriate, supported by humans, and continuous and patient </w:t>
      </w:r>
      <w:r w:rsidR="0031126E" w:rsidRPr="00E858AA">
        <w:rPr>
          <w:rFonts w:cs="Arial"/>
          <w:lang w:val="en-US"/>
        </w:rPr>
        <w:t>centered</w:t>
      </w:r>
      <w:r w:rsidRPr="00E858AA">
        <w:rPr>
          <w:rFonts w:cs="Arial"/>
          <w:lang w:val="en-US"/>
        </w:rPr>
        <w:t xml:space="preserve">. In the context of chronic disease, </w:t>
      </w:r>
    </w:p>
    <w:p w14:paraId="19A33EF5" w14:textId="68E6AB4F" w:rsidR="00492300" w:rsidRDefault="00E0509F" w:rsidP="00AA642E">
      <w:pPr>
        <w:spacing w:before="240" w:line="240" w:lineRule="auto"/>
        <w:rPr>
          <w:rFonts w:cs="Arial"/>
          <w:lang w:val="en-US"/>
        </w:rPr>
      </w:pPr>
      <w:r w:rsidRPr="00E858AA">
        <w:rPr>
          <w:rFonts w:cs="Arial"/>
          <w:lang w:val="en-US"/>
        </w:rPr>
        <w:lastRenderedPageBreak/>
        <w:t>Therefore</w:t>
      </w:r>
      <w:r w:rsidR="00316276" w:rsidRPr="00E858AA">
        <w:rPr>
          <w:rFonts w:cs="Arial"/>
          <w:lang w:val="en-US"/>
        </w:rPr>
        <w:t>, hybrid</w:t>
      </w:r>
      <w:r w:rsidR="005A19FF">
        <w:rPr>
          <w:rFonts w:cs="Arial"/>
          <w:lang w:val="en-US"/>
        </w:rPr>
        <w:t xml:space="preserve"> </w:t>
      </w:r>
      <w:r w:rsidR="00E858AA" w:rsidRPr="00E858AA">
        <w:rPr>
          <w:rFonts w:cs="Arial"/>
          <w:lang w:val="en-US"/>
        </w:rPr>
        <w:t>models which retain the opportunities for face-to-face and</w:t>
      </w:r>
    </w:p>
    <w:p w14:paraId="0A0D9030" w14:textId="5FD8EA78" w:rsidR="00CE2185" w:rsidRDefault="00E858AA" w:rsidP="00AA642E">
      <w:pPr>
        <w:spacing w:before="240" w:line="240" w:lineRule="auto"/>
        <w:rPr>
          <w:rFonts w:cs="Arial"/>
          <w:lang w:val="en-US"/>
        </w:rPr>
      </w:pPr>
      <w:r w:rsidRPr="00E858AA">
        <w:rPr>
          <w:rFonts w:cs="Arial"/>
          <w:lang w:val="en-US"/>
        </w:rPr>
        <w:t>phone-based care are better options than digital-only models for equitable care.</w:t>
      </w:r>
    </w:p>
    <w:p w14:paraId="1980FF56" w14:textId="77777777" w:rsidR="00AA642E" w:rsidRDefault="00AA642E" w:rsidP="00AA642E">
      <w:pPr>
        <w:spacing w:before="240" w:line="276" w:lineRule="auto"/>
        <w:rPr>
          <w:rFonts w:cs="Arial"/>
          <w:lang w:val="en-US"/>
        </w:rPr>
      </w:pPr>
    </w:p>
    <w:p w14:paraId="0D9D7482" w14:textId="067EDDCD" w:rsidR="00E0158C" w:rsidRPr="00DF70B3" w:rsidRDefault="00857952" w:rsidP="00B2456C">
      <w:pPr>
        <w:spacing w:before="240"/>
        <w:rPr>
          <w:rFonts w:cs="Arial"/>
          <w:lang w:val="en-US"/>
        </w:rPr>
      </w:pPr>
      <w:r w:rsidRPr="00857952">
        <w:rPr>
          <w:rFonts w:cs="Arial"/>
          <w:b/>
          <w:bCs/>
          <w:lang w:val="en-US"/>
        </w:rPr>
        <w:t>Keywords</w:t>
      </w:r>
      <w:r>
        <w:rPr>
          <w:rFonts w:cs="Arial"/>
          <w:lang w:val="en-US"/>
        </w:rPr>
        <w:t>:</w:t>
      </w:r>
      <w:r w:rsidR="00567D9A">
        <w:rPr>
          <w:rFonts w:cs="Arial"/>
          <w:lang w:val="en-US"/>
        </w:rPr>
        <w:t xml:space="preserve"> </w:t>
      </w:r>
      <w:r w:rsidR="00D33621" w:rsidRPr="00D33621">
        <w:rPr>
          <w:rFonts w:cs="Arial"/>
          <w:lang w:val="en-US"/>
        </w:rPr>
        <w:t xml:space="preserve">Digital health interventions, Chronic disease management, </w:t>
      </w:r>
      <w:r w:rsidR="00567D9A" w:rsidRPr="00D33621">
        <w:rPr>
          <w:rFonts w:cs="Arial"/>
          <w:lang w:val="en-US"/>
        </w:rPr>
        <w:t>older</w:t>
      </w:r>
      <w:r w:rsidR="00D33621" w:rsidRPr="00D33621">
        <w:rPr>
          <w:rFonts w:cs="Arial"/>
          <w:lang w:val="en-US"/>
        </w:rPr>
        <w:t xml:space="preserve"> adults, Digital exclusion, Barriers and facilitators, Hybrid care, Systematic review, United Kingdom</w:t>
      </w:r>
    </w:p>
    <w:p w14:paraId="0B1E4067" w14:textId="1CAFC1F7" w:rsidR="00E0158C" w:rsidRPr="00DF70B3" w:rsidRDefault="00E0158C">
      <w:pPr>
        <w:spacing w:line="259" w:lineRule="auto"/>
        <w:jc w:val="left"/>
        <w:rPr>
          <w:rFonts w:cs="Arial"/>
          <w:lang w:val="en-US"/>
        </w:rPr>
      </w:pPr>
      <w:r w:rsidRPr="00DF70B3">
        <w:rPr>
          <w:rFonts w:cs="Arial"/>
          <w:lang w:val="en-US"/>
        </w:rPr>
        <w:br w:type="page"/>
      </w:r>
    </w:p>
    <w:p w14:paraId="7AD28F53" w14:textId="1A668924" w:rsidR="004F767F" w:rsidRPr="00DF70B3" w:rsidRDefault="004F767F" w:rsidP="00C67871">
      <w:pPr>
        <w:pStyle w:val="Heading1"/>
        <w:jc w:val="center"/>
        <w:rPr>
          <w:rFonts w:cs="Arial"/>
          <w:lang w:val="en-US"/>
        </w:rPr>
      </w:pPr>
      <w:bookmarkStart w:id="4" w:name="_Toc241175677"/>
      <w:r w:rsidRPr="00DF70B3">
        <w:rPr>
          <w:rFonts w:cs="Arial"/>
          <w:lang w:val="en-US"/>
        </w:rPr>
        <w:lastRenderedPageBreak/>
        <w:t>List of Tables</w:t>
      </w:r>
      <w:bookmarkEnd w:id="4"/>
    </w:p>
    <w:tbl>
      <w:tblPr>
        <w:tblStyle w:val="TableGrid"/>
        <w:tblW w:w="0" w:type="auto"/>
        <w:tblLook w:val="04A0" w:firstRow="1" w:lastRow="0" w:firstColumn="1" w:lastColumn="0" w:noHBand="0" w:noVBand="1"/>
      </w:tblPr>
      <w:tblGrid>
        <w:gridCol w:w="8522"/>
      </w:tblGrid>
      <w:tr w:rsidR="00ED7AF0" w:rsidRPr="00DF70B3" w14:paraId="11008F41" w14:textId="77777777" w:rsidTr="00ED7AF0">
        <w:tc>
          <w:tcPr>
            <w:tcW w:w="9118" w:type="dxa"/>
          </w:tcPr>
          <w:p w14:paraId="1D84F6E6" w14:textId="77777777" w:rsidR="00ED7AF0" w:rsidRPr="00DF70B3" w:rsidRDefault="00ED7AF0" w:rsidP="00C67871">
            <w:pPr>
              <w:jc w:val="left"/>
              <w:rPr>
                <w:rFonts w:cs="Arial"/>
                <w:lang w:val="en-US"/>
              </w:rPr>
            </w:pPr>
            <w:r w:rsidRPr="00DF70B3">
              <w:rPr>
                <w:rFonts w:cs="Arial"/>
                <w:lang w:val="en-US"/>
              </w:rPr>
              <w:t>Table 1: UK data supporting the research focus</w:t>
            </w:r>
          </w:p>
        </w:tc>
      </w:tr>
      <w:tr w:rsidR="00ED7AF0" w:rsidRPr="00DF70B3" w14:paraId="3BF09D3B" w14:textId="77777777" w:rsidTr="00ED7AF0">
        <w:tc>
          <w:tcPr>
            <w:tcW w:w="9118" w:type="dxa"/>
          </w:tcPr>
          <w:p w14:paraId="5D846A58" w14:textId="77777777" w:rsidR="00ED7AF0" w:rsidRPr="00DF70B3" w:rsidRDefault="00ED7AF0" w:rsidP="00C67871">
            <w:pPr>
              <w:jc w:val="left"/>
              <w:rPr>
                <w:rFonts w:cs="Arial"/>
                <w:lang w:val="en-US"/>
              </w:rPr>
            </w:pPr>
            <w:r w:rsidRPr="00DF70B3">
              <w:rPr>
                <w:rFonts w:cs="Arial"/>
                <w:lang w:val="en-US"/>
              </w:rPr>
              <w:t xml:space="preserve">Table 3.1: SPIDER framework and operational definitions </w:t>
            </w:r>
          </w:p>
        </w:tc>
      </w:tr>
      <w:tr w:rsidR="00ED7AF0" w:rsidRPr="00DF70B3" w14:paraId="7E4CE10B" w14:textId="77777777" w:rsidTr="00ED7AF0">
        <w:tc>
          <w:tcPr>
            <w:tcW w:w="9118" w:type="dxa"/>
          </w:tcPr>
          <w:p w14:paraId="18CCA7C5" w14:textId="77777777" w:rsidR="00ED7AF0" w:rsidRPr="00DF70B3" w:rsidRDefault="00ED7AF0" w:rsidP="00C67871">
            <w:pPr>
              <w:jc w:val="left"/>
              <w:rPr>
                <w:rFonts w:cs="Arial"/>
                <w:lang w:val="en-US"/>
              </w:rPr>
            </w:pPr>
            <w:r w:rsidRPr="00DF70B3">
              <w:rPr>
                <w:rFonts w:cs="Arial"/>
                <w:lang w:val="en-US"/>
              </w:rPr>
              <w:t xml:space="preserve">Table 3.2: Core search concepts and indicative keywords </w:t>
            </w:r>
          </w:p>
        </w:tc>
      </w:tr>
      <w:tr w:rsidR="00ED7AF0" w:rsidRPr="00DF70B3" w14:paraId="64C42D08" w14:textId="77777777" w:rsidTr="00ED7AF0">
        <w:tc>
          <w:tcPr>
            <w:tcW w:w="9118" w:type="dxa"/>
          </w:tcPr>
          <w:p w14:paraId="666250D7" w14:textId="77777777" w:rsidR="00ED7AF0" w:rsidRPr="00DF70B3" w:rsidRDefault="00ED7AF0" w:rsidP="00C67871">
            <w:pPr>
              <w:jc w:val="left"/>
              <w:rPr>
                <w:rFonts w:cs="Arial"/>
                <w:lang w:val="en-US"/>
              </w:rPr>
            </w:pPr>
            <w:r w:rsidRPr="00DF70B3">
              <w:rPr>
                <w:rFonts w:cs="Arial"/>
                <w:lang w:val="en-US"/>
              </w:rPr>
              <w:t xml:space="preserve">Table 3.3: Information sources and documented search parameters </w:t>
            </w:r>
          </w:p>
        </w:tc>
      </w:tr>
      <w:tr w:rsidR="00ED7AF0" w:rsidRPr="00DF70B3" w14:paraId="0F2615B4" w14:textId="77777777" w:rsidTr="00ED7AF0">
        <w:tc>
          <w:tcPr>
            <w:tcW w:w="9118" w:type="dxa"/>
          </w:tcPr>
          <w:p w14:paraId="55007F72" w14:textId="77777777" w:rsidR="00ED7AF0" w:rsidRPr="00DF70B3" w:rsidRDefault="00ED7AF0" w:rsidP="00C67871">
            <w:pPr>
              <w:jc w:val="left"/>
              <w:rPr>
                <w:rFonts w:cs="Arial"/>
                <w:lang w:val="en-US"/>
              </w:rPr>
            </w:pPr>
            <w:r w:rsidRPr="00DF70B3">
              <w:rPr>
                <w:rFonts w:cs="Arial"/>
                <w:lang w:val="en-US"/>
              </w:rPr>
              <w:t xml:space="preserve">Table 3.4: Confirmed review-flow totals </w:t>
            </w:r>
          </w:p>
        </w:tc>
      </w:tr>
      <w:tr w:rsidR="00ED7AF0" w:rsidRPr="00DF70B3" w14:paraId="0A58E5E2" w14:textId="77777777" w:rsidTr="00ED7AF0">
        <w:tc>
          <w:tcPr>
            <w:tcW w:w="9118" w:type="dxa"/>
          </w:tcPr>
          <w:p w14:paraId="431B5356" w14:textId="77777777" w:rsidR="00ED7AF0" w:rsidRPr="00DF70B3" w:rsidRDefault="00ED7AF0" w:rsidP="00C67871">
            <w:pPr>
              <w:jc w:val="left"/>
              <w:rPr>
                <w:rFonts w:cs="Arial"/>
                <w:lang w:val="en-US"/>
              </w:rPr>
            </w:pPr>
            <w:r w:rsidRPr="00DF70B3">
              <w:rPr>
                <w:rFonts w:cs="Arial"/>
                <w:lang w:val="en-US"/>
              </w:rPr>
              <w:t xml:space="preserve">Table 3.5: Inclusion and exclusion criteria </w:t>
            </w:r>
          </w:p>
        </w:tc>
      </w:tr>
      <w:tr w:rsidR="00ED7AF0" w:rsidRPr="00DF70B3" w14:paraId="01480FBE" w14:textId="77777777" w:rsidTr="00ED7AF0">
        <w:tc>
          <w:tcPr>
            <w:tcW w:w="9118" w:type="dxa"/>
          </w:tcPr>
          <w:p w14:paraId="0F77C833" w14:textId="77777777" w:rsidR="00ED7AF0" w:rsidRPr="00DF70B3" w:rsidRDefault="00ED7AF0" w:rsidP="00C67871">
            <w:pPr>
              <w:jc w:val="left"/>
              <w:rPr>
                <w:rFonts w:cs="Arial"/>
                <w:lang w:val="en-US"/>
              </w:rPr>
            </w:pPr>
            <w:r w:rsidRPr="00DF70B3">
              <w:rPr>
                <w:rFonts w:cs="Arial"/>
                <w:lang w:val="en-US"/>
              </w:rPr>
              <w:t xml:space="preserve">Table 3.6: CASP qualitative appraisal domains </w:t>
            </w:r>
          </w:p>
        </w:tc>
      </w:tr>
      <w:tr w:rsidR="00ED7AF0" w:rsidRPr="00DF70B3" w14:paraId="7ADF27B2" w14:textId="77777777" w:rsidTr="00ED7AF0">
        <w:tc>
          <w:tcPr>
            <w:tcW w:w="9118" w:type="dxa"/>
          </w:tcPr>
          <w:p w14:paraId="44909CE0" w14:textId="77777777" w:rsidR="00ED7AF0" w:rsidRPr="00DF70B3" w:rsidRDefault="00ED7AF0" w:rsidP="00C67871">
            <w:pPr>
              <w:jc w:val="left"/>
              <w:rPr>
                <w:rFonts w:cs="Arial"/>
                <w:lang w:val="en-US"/>
              </w:rPr>
            </w:pPr>
            <w:r w:rsidRPr="00DF70B3">
              <w:rPr>
                <w:rFonts w:cs="Arial"/>
                <w:lang w:val="en-US"/>
              </w:rPr>
              <w:t xml:space="preserve">Table 4.1: Characteristics, principal findings, appraisal and synthesised themes of the 15 included reports </w:t>
            </w:r>
          </w:p>
        </w:tc>
      </w:tr>
    </w:tbl>
    <w:p w14:paraId="36E233AC" w14:textId="3D21BD49" w:rsidR="004D54CE" w:rsidRDefault="004D54CE" w:rsidP="004D54CE"/>
    <w:p w14:paraId="52676905" w14:textId="77777777" w:rsidR="004D54CE" w:rsidRPr="004D54CE" w:rsidRDefault="004D54CE" w:rsidP="004D54CE"/>
    <w:p w14:paraId="750E8D4C" w14:textId="3790538E" w:rsidR="004F767F" w:rsidRPr="00DF70B3" w:rsidRDefault="004F767F" w:rsidP="00C67871">
      <w:pPr>
        <w:pStyle w:val="Heading1"/>
        <w:jc w:val="center"/>
        <w:rPr>
          <w:rFonts w:cs="Arial"/>
          <w:lang w:val="en-US"/>
        </w:rPr>
      </w:pPr>
      <w:bookmarkStart w:id="5" w:name="_Toc241175678"/>
      <w:r w:rsidRPr="00DF70B3">
        <w:rPr>
          <w:rFonts w:cs="Arial"/>
          <w:lang w:val="en-US"/>
        </w:rPr>
        <w:t>List of Figures</w:t>
      </w:r>
      <w:bookmarkEnd w:id="5"/>
    </w:p>
    <w:tbl>
      <w:tblPr>
        <w:tblStyle w:val="TableGrid"/>
        <w:tblW w:w="0" w:type="auto"/>
        <w:tblLook w:val="04A0" w:firstRow="1" w:lastRow="0" w:firstColumn="1" w:lastColumn="0" w:noHBand="0" w:noVBand="1"/>
      </w:tblPr>
      <w:tblGrid>
        <w:gridCol w:w="8522"/>
      </w:tblGrid>
      <w:tr w:rsidR="002D0480" w:rsidRPr="00DF70B3" w14:paraId="47CFA74F" w14:textId="77777777" w:rsidTr="002D0480">
        <w:tc>
          <w:tcPr>
            <w:tcW w:w="9118" w:type="dxa"/>
          </w:tcPr>
          <w:p w14:paraId="12A10F2B" w14:textId="77777777" w:rsidR="002D0480" w:rsidRPr="00DF70B3" w:rsidRDefault="002D0480" w:rsidP="00627683">
            <w:pPr>
              <w:jc w:val="left"/>
              <w:rPr>
                <w:rFonts w:cs="Arial"/>
                <w:lang w:val="en-US"/>
              </w:rPr>
            </w:pPr>
            <w:r w:rsidRPr="00DF70B3">
              <w:rPr>
                <w:rFonts w:cs="Arial"/>
                <w:lang w:val="en-US"/>
              </w:rPr>
              <w:t xml:space="preserve">Figure 1: Dissertation chapter flow </w:t>
            </w:r>
          </w:p>
        </w:tc>
      </w:tr>
      <w:tr w:rsidR="002D0480" w:rsidRPr="00DF70B3" w14:paraId="649A654E" w14:textId="77777777" w:rsidTr="002D0480">
        <w:tc>
          <w:tcPr>
            <w:tcW w:w="9118" w:type="dxa"/>
          </w:tcPr>
          <w:p w14:paraId="04524E81" w14:textId="77777777" w:rsidR="002D0480" w:rsidRPr="00DF70B3" w:rsidRDefault="002D0480" w:rsidP="00627683">
            <w:pPr>
              <w:jc w:val="left"/>
              <w:rPr>
                <w:rFonts w:cs="Arial"/>
                <w:lang w:val="en-US"/>
              </w:rPr>
            </w:pPr>
            <w:r w:rsidRPr="00DF70B3">
              <w:rPr>
                <w:rFonts w:cs="Arial"/>
                <w:lang w:val="en-US"/>
              </w:rPr>
              <w:t xml:space="preserve">Figure 2.1: Digital Divide Theory Framework </w:t>
            </w:r>
          </w:p>
        </w:tc>
      </w:tr>
      <w:tr w:rsidR="002D0480" w:rsidRPr="00DF70B3" w14:paraId="702C5203" w14:textId="77777777" w:rsidTr="002D0480">
        <w:tc>
          <w:tcPr>
            <w:tcW w:w="9118" w:type="dxa"/>
          </w:tcPr>
          <w:p w14:paraId="122D5541" w14:textId="77777777" w:rsidR="002D0480" w:rsidRPr="00DF70B3" w:rsidRDefault="002D0480" w:rsidP="00627683">
            <w:pPr>
              <w:jc w:val="left"/>
              <w:rPr>
                <w:rFonts w:cs="Arial"/>
                <w:lang w:val="en-US"/>
              </w:rPr>
            </w:pPr>
            <w:r w:rsidRPr="00DF70B3">
              <w:rPr>
                <w:rFonts w:cs="Arial"/>
                <w:lang w:val="en-US"/>
              </w:rPr>
              <w:t xml:space="preserve">Figure 2.2: Technology Acceptance Model Framework </w:t>
            </w:r>
          </w:p>
        </w:tc>
      </w:tr>
      <w:tr w:rsidR="002D0480" w:rsidRPr="00DF70B3" w14:paraId="651E921D" w14:textId="77777777" w:rsidTr="002D0480">
        <w:tc>
          <w:tcPr>
            <w:tcW w:w="9118" w:type="dxa"/>
          </w:tcPr>
          <w:p w14:paraId="6F532E27" w14:textId="77777777" w:rsidR="002D0480" w:rsidRPr="00DF70B3" w:rsidRDefault="002D0480" w:rsidP="00627683">
            <w:pPr>
              <w:jc w:val="left"/>
              <w:rPr>
                <w:rFonts w:cs="Arial"/>
                <w:lang w:val="en-US"/>
              </w:rPr>
            </w:pPr>
            <w:r w:rsidRPr="00DF70B3">
              <w:rPr>
                <w:rFonts w:cs="Arial"/>
                <w:lang w:val="en-US"/>
              </w:rPr>
              <w:t xml:space="preserve">Figure 2.3: Remote Consultation Complexity and Practical Ethics Framework </w:t>
            </w:r>
          </w:p>
        </w:tc>
      </w:tr>
      <w:tr w:rsidR="002D0480" w:rsidRPr="00DF70B3" w14:paraId="679306DE" w14:textId="77777777" w:rsidTr="002D0480">
        <w:tc>
          <w:tcPr>
            <w:tcW w:w="9118" w:type="dxa"/>
          </w:tcPr>
          <w:p w14:paraId="60D85DCA" w14:textId="77777777" w:rsidR="002D0480" w:rsidRPr="00DF70B3" w:rsidRDefault="002D0480" w:rsidP="00627683">
            <w:pPr>
              <w:jc w:val="left"/>
              <w:rPr>
                <w:rFonts w:cs="Arial"/>
                <w:lang w:val="en-US"/>
              </w:rPr>
            </w:pPr>
            <w:r w:rsidRPr="00DF70B3">
              <w:rPr>
                <w:rFonts w:cs="Arial"/>
                <w:lang w:val="en-US"/>
              </w:rPr>
              <w:t xml:space="preserve">Figure 2.4: Conceptual Framework for Digital Health Interventions and Chronic Disease Management in Older UK Adults </w:t>
            </w:r>
          </w:p>
        </w:tc>
      </w:tr>
      <w:tr w:rsidR="002D0480" w:rsidRPr="00DF70B3" w14:paraId="2BA523E9" w14:textId="77777777" w:rsidTr="002D0480">
        <w:tc>
          <w:tcPr>
            <w:tcW w:w="9118" w:type="dxa"/>
          </w:tcPr>
          <w:p w14:paraId="0E7B4F7D" w14:textId="77777777" w:rsidR="002D0480" w:rsidRPr="00DF70B3" w:rsidRDefault="002D0480" w:rsidP="00627683">
            <w:pPr>
              <w:jc w:val="left"/>
              <w:rPr>
                <w:rFonts w:cs="Arial"/>
                <w:lang w:val="en-US"/>
              </w:rPr>
            </w:pPr>
            <w:r w:rsidRPr="00DF70B3">
              <w:rPr>
                <w:rFonts w:cs="Arial"/>
                <w:lang w:val="en-US"/>
              </w:rPr>
              <w:t xml:space="preserve">Figure 4.1: PRISMA flow of study selection </w:t>
            </w:r>
          </w:p>
        </w:tc>
      </w:tr>
    </w:tbl>
    <w:p w14:paraId="764B932C" w14:textId="77777777" w:rsidR="004F767F" w:rsidRPr="00DF70B3" w:rsidRDefault="004F767F">
      <w:pPr>
        <w:spacing w:line="259" w:lineRule="auto"/>
        <w:jc w:val="left"/>
        <w:rPr>
          <w:rFonts w:cs="Arial"/>
          <w:b/>
          <w:bCs/>
          <w:lang w:val="en-US"/>
        </w:rPr>
      </w:pPr>
      <w:r w:rsidRPr="00DF70B3">
        <w:rPr>
          <w:rFonts w:cs="Arial"/>
          <w:b/>
          <w:bCs/>
          <w:lang w:val="en-US"/>
        </w:rPr>
        <w:br w:type="page"/>
      </w:r>
    </w:p>
    <w:p w14:paraId="536E2F8B" w14:textId="091B45A5" w:rsidR="004F767F" w:rsidRPr="00DF70B3" w:rsidRDefault="004F767F" w:rsidP="00C67871">
      <w:pPr>
        <w:pStyle w:val="Heading1"/>
        <w:jc w:val="center"/>
        <w:rPr>
          <w:rFonts w:cs="Arial"/>
          <w:lang w:val="en-US"/>
        </w:rPr>
      </w:pPr>
      <w:bookmarkStart w:id="6" w:name="_Toc241175679"/>
      <w:r w:rsidRPr="00DF70B3">
        <w:rPr>
          <w:rFonts w:cs="Arial"/>
          <w:lang w:val="en-US"/>
        </w:rPr>
        <w:lastRenderedPageBreak/>
        <w:t>List of Abbreviations</w:t>
      </w:r>
      <w:bookmarkEnd w:id="6"/>
    </w:p>
    <w:p w14:paraId="4522C65B" w14:textId="77777777" w:rsidR="004F767F" w:rsidRPr="00DF70B3" w:rsidRDefault="004F767F" w:rsidP="00C67871">
      <w:pPr>
        <w:spacing w:before="240"/>
        <w:rPr>
          <w:rFonts w:cs="Arial"/>
          <w:lang w:val="en-US"/>
        </w:rPr>
      </w:pPr>
      <w:r w:rsidRPr="00DF70B3">
        <w:rPr>
          <w:rFonts w:cs="Arial"/>
          <w:b/>
          <w:bCs/>
          <w:lang w:val="en-US"/>
        </w:rPr>
        <w:t>CASP</w:t>
      </w:r>
      <w:r w:rsidRPr="00DF70B3">
        <w:rPr>
          <w:rFonts w:cs="Arial"/>
          <w:lang w:val="en-US"/>
        </w:rPr>
        <w:t xml:space="preserve"> - Critical Appraisal Skills Programme</w:t>
      </w:r>
    </w:p>
    <w:p w14:paraId="6220693F" w14:textId="77777777" w:rsidR="004F767F" w:rsidRPr="00DF70B3" w:rsidRDefault="004F767F" w:rsidP="004F767F">
      <w:pPr>
        <w:rPr>
          <w:rFonts w:cs="Arial"/>
          <w:lang w:val="en-US"/>
        </w:rPr>
      </w:pPr>
      <w:r w:rsidRPr="00DF70B3">
        <w:rPr>
          <w:rFonts w:cs="Arial"/>
          <w:b/>
          <w:bCs/>
          <w:lang w:val="en-US"/>
        </w:rPr>
        <w:t>CKD</w:t>
      </w:r>
      <w:r w:rsidRPr="00DF70B3">
        <w:rPr>
          <w:rFonts w:cs="Arial"/>
          <w:lang w:val="en-US"/>
        </w:rPr>
        <w:t xml:space="preserve"> - Chronic Kidney Disease</w:t>
      </w:r>
    </w:p>
    <w:p w14:paraId="10728E13" w14:textId="77777777" w:rsidR="004F767F" w:rsidRPr="00DF70B3" w:rsidRDefault="004F767F" w:rsidP="004F767F">
      <w:pPr>
        <w:rPr>
          <w:rFonts w:cs="Arial"/>
          <w:lang w:val="en-US"/>
        </w:rPr>
      </w:pPr>
      <w:r w:rsidRPr="00DF70B3">
        <w:rPr>
          <w:rFonts w:cs="Arial"/>
          <w:b/>
          <w:bCs/>
          <w:lang w:val="en-US"/>
        </w:rPr>
        <w:t>COPD</w:t>
      </w:r>
      <w:r w:rsidRPr="00DF70B3">
        <w:rPr>
          <w:rFonts w:cs="Arial"/>
          <w:lang w:val="en-US"/>
        </w:rPr>
        <w:t xml:space="preserve"> - Chronic Obstructive Pulmonary Disease</w:t>
      </w:r>
    </w:p>
    <w:p w14:paraId="15C12FDE" w14:textId="77777777" w:rsidR="004F767F" w:rsidRPr="00DF70B3" w:rsidRDefault="004F767F" w:rsidP="004F767F">
      <w:pPr>
        <w:rPr>
          <w:rFonts w:cs="Arial"/>
          <w:lang w:val="en-US"/>
        </w:rPr>
      </w:pPr>
      <w:r w:rsidRPr="00DF70B3">
        <w:rPr>
          <w:rFonts w:cs="Arial"/>
          <w:b/>
          <w:bCs/>
          <w:lang w:val="en-US"/>
        </w:rPr>
        <w:t>DHI</w:t>
      </w:r>
      <w:r w:rsidRPr="00DF70B3">
        <w:rPr>
          <w:rFonts w:cs="Arial"/>
          <w:lang w:val="en-US"/>
        </w:rPr>
        <w:t xml:space="preserve"> - Digital Health Intervention</w:t>
      </w:r>
    </w:p>
    <w:p w14:paraId="2F561DA2" w14:textId="77777777" w:rsidR="004F767F" w:rsidRPr="00DF70B3" w:rsidRDefault="004F767F" w:rsidP="004F767F">
      <w:pPr>
        <w:rPr>
          <w:rFonts w:cs="Arial"/>
          <w:lang w:val="en-US"/>
        </w:rPr>
      </w:pPr>
      <w:r w:rsidRPr="00DF70B3">
        <w:rPr>
          <w:rFonts w:cs="Arial"/>
          <w:b/>
          <w:bCs/>
          <w:lang w:val="en-US"/>
        </w:rPr>
        <w:t>DHT</w:t>
      </w:r>
      <w:r w:rsidRPr="00DF70B3">
        <w:rPr>
          <w:rFonts w:cs="Arial"/>
          <w:lang w:val="en-US"/>
        </w:rPr>
        <w:t xml:space="preserve"> - Digital Health Technology</w:t>
      </w:r>
    </w:p>
    <w:p w14:paraId="15BB9C5B" w14:textId="77777777" w:rsidR="004F767F" w:rsidRPr="00DF70B3" w:rsidRDefault="004F767F" w:rsidP="004F767F">
      <w:pPr>
        <w:rPr>
          <w:rFonts w:cs="Arial"/>
          <w:lang w:val="en-US"/>
        </w:rPr>
      </w:pPr>
      <w:r w:rsidRPr="00DF70B3">
        <w:rPr>
          <w:rFonts w:cs="Arial"/>
          <w:b/>
          <w:bCs/>
          <w:lang w:val="en-US"/>
        </w:rPr>
        <w:t>LTC</w:t>
      </w:r>
      <w:r w:rsidRPr="00DF70B3">
        <w:rPr>
          <w:rFonts w:cs="Arial"/>
          <w:lang w:val="en-US"/>
        </w:rPr>
        <w:t xml:space="preserve"> - Long-Term Condition</w:t>
      </w:r>
    </w:p>
    <w:p w14:paraId="596A13FE" w14:textId="77777777" w:rsidR="004F767F" w:rsidRPr="00DF70B3" w:rsidRDefault="004F767F" w:rsidP="004F767F">
      <w:pPr>
        <w:rPr>
          <w:rFonts w:cs="Arial"/>
          <w:lang w:val="en-US"/>
        </w:rPr>
      </w:pPr>
      <w:r w:rsidRPr="00DF70B3">
        <w:rPr>
          <w:rFonts w:cs="Arial"/>
          <w:b/>
          <w:bCs/>
          <w:lang w:val="en-US"/>
        </w:rPr>
        <w:t>NHS</w:t>
      </w:r>
      <w:r w:rsidRPr="00DF70B3">
        <w:rPr>
          <w:rFonts w:cs="Arial"/>
          <w:lang w:val="en-US"/>
        </w:rPr>
        <w:t xml:space="preserve"> - National Health Service</w:t>
      </w:r>
    </w:p>
    <w:p w14:paraId="558DD54F" w14:textId="77777777" w:rsidR="004F767F" w:rsidRPr="00DF70B3" w:rsidRDefault="004F767F" w:rsidP="004F767F">
      <w:pPr>
        <w:rPr>
          <w:rFonts w:cs="Arial"/>
          <w:lang w:val="en-US"/>
        </w:rPr>
      </w:pPr>
      <w:r w:rsidRPr="00DF70B3">
        <w:rPr>
          <w:rFonts w:cs="Arial"/>
          <w:b/>
          <w:bCs/>
          <w:lang w:val="en-US"/>
        </w:rPr>
        <w:t>PR</w:t>
      </w:r>
      <w:r w:rsidRPr="00DF70B3">
        <w:rPr>
          <w:rFonts w:cs="Arial"/>
          <w:lang w:val="en-US"/>
        </w:rPr>
        <w:t xml:space="preserve"> - Pulmonary Rehabilitation</w:t>
      </w:r>
    </w:p>
    <w:p w14:paraId="3D3D0FF7" w14:textId="77777777" w:rsidR="004F767F" w:rsidRPr="00DF70B3" w:rsidRDefault="004F767F" w:rsidP="004F767F">
      <w:pPr>
        <w:rPr>
          <w:rFonts w:cs="Arial"/>
          <w:lang w:val="en-US"/>
        </w:rPr>
      </w:pPr>
      <w:r w:rsidRPr="00DF70B3">
        <w:rPr>
          <w:rFonts w:cs="Arial"/>
          <w:b/>
          <w:bCs/>
          <w:lang w:val="en-US"/>
        </w:rPr>
        <w:t>PRISMA</w:t>
      </w:r>
      <w:r w:rsidRPr="00DF70B3">
        <w:rPr>
          <w:rFonts w:cs="Arial"/>
          <w:lang w:val="en-US"/>
        </w:rPr>
        <w:t xml:space="preserve"> - Preferred Reporting Items for Systematic Reviews and Meta-Analyses</w:t>
      </w:r>
    </w:p>
    <w:p w14:paraId="6A9A4F85" w14:textId="77777777" w:rsidR="004F767F" w:rsidRPr="00DF70B3" w:rsidRDefault="004F767F" w:rsidP="004F767F">
      <w:pPr>
        <w:rPr>
          <w:rFonts w:cs="Arial"/>
          <w:lang w:val="en-US"/>
        </w:rPr>
      </w:pPr>
      <w:r w:rsidRPr="00DF70B3">
        <w:rPr>
          <w:rFonts w:cs="Arial"/>
          <w:b/>
          <w:bCs/>
          <w:lang w:val="en-US"/>
        </w:rPr>
        <w:t>SPIDER</w:t>
      </w:r>
      <w:r w:rsidRPr="00DF70B3">
        <w:rPr>
          <w:rFonts w:cs="Arial"/>
          <w:lang w:val="en-US"/>
        </w:rPr>
        <w:t xml:space="preserve"> - Sample, Phenomenon of Interest, Design, Evaluation and Research type</w:t>
      </w:r>
    </w:p>
    <w:p w14:paraId="3CE98486" w14:textId="77777777" w:rsidR="004F767F" w:rsidRPr="00DF70B3" w:rsidRDefault="004F767F" w:rsidP="004F767F">
      <w:pPr>
        <w:rPr>
          <w:rFonts w:cs="Arial"/>
          <w:lang w:val="en-US"/>
        </w:rPr>
      </w:pPr>
      <w:r w:rsidRPr="00DF70B3">
        <w:rPr>
          <w:rFonts w:cs="Arial"/>
          <w:b/>
          <w:bCs/>
          <w:lang w:val="en-US"/>
        </w:rPr>
        <w:t>TAM</w:t>
      </w:r>
      <w:r w:rsidRPr="00DF70B3">
        <w:rPr>
          <w:rFonts w:cs="Arial"/>
          <w:lang w:val="en-US"/>
        </w:rPr>
        <w:t xml:space="preserve"> - Technology Acceptance Model</w:t>
      </w:r>
    </w:p>
    <w:p w14:paraId="010F5AA8" w14:textId="77777777" w:rsidR="00C1777B" w:rsidRPr="00DF70B3" w:rsidRDefault="00C1777B" w:rsidP="00C1777B">
      <w:pPr>
        <w:rPr>
          <w:rFonts w:cs="Arial"/>
          <w:lang w:val="en-US"/>
        </w:rPr>
      </w:pPr>
    </w:p>
    <w:p w14:paraId="61F8161F" w14:textId="5E4DFBE7" w:rsidR="00C24A68" w:rsidRPr="00DF70B3" w:rsidRDefault="00C24A68">
      <w:pPr>
        <w:spacing w:line="259" w:lineRule="auto"/>
        <w:jc w:val="left"/>
        <w:rPr>
          <w:rFonts w:cs="Arial"/>
        </w:rPr>
      </w:pPr>
      <w:r w:rsidRPr="00DF70B3">
        <w:rPr>
          <w:rFonts w:cs="Arial"/>
        </w:rPr>
        <w:br w:type="page"/>
      </w:r>
    </w:p>
    <w:sdt>
      <w:sdtPr>
        <w:rPr>
          <w:rFonts w:ascii="Arial" w:eastAsiaTheme="minorHAnsi" w:hAnsi="Arial" w:cs="Arial"/>
          <w:color w:val="auto"/>
          <w:sz w:val="24"/>
          <w:szCs w:val="22"/>
          <w:lang w:val="en-GB"/>
        </w:rPr>
        <w:id w:val="931392589"/>
        <w:docPartObj>
          <w:docPartGallery w:val="Table of Contents"/>
          <w:docPartUnique/>
        </w:docPartObj>
      </w:sdtPr>
      <w:sdtEndPr>
        <w:rPr>
          <w:b/>
          <w:bCs/>
          <w:noProof/>
          <w:sz w:val="22"/>
        </w:rPr>
      </w:sdtEndPr>
      <w:sdtContent>
        <w:p w14:paraId="2F7B8696" w14:textId="15A9522A" w:rsidR="00FD02F5" w:rsidRPr="00037ED3" w:rsidRDefault="00FD02F5" w:rsidP="005C65A5">
          <w:pPr>
            <w:pStyle w:val="TOCHeading"/>
            <w:jc w:val="center"/>
            <w:rPr>
              <w:rFonts w:ascii="Arial" w:hAnsi="Arial" w:cs="Arial"/>
              <w:color w:val="auto"/>
            </w:rPr>
          </w:pPr>
          <w:r w:rsidRPr="00037ED3">
            <w:rPr>
              <w:rFonts w:ascii="Arial" w:hAnsi="Arial" w:cs="Arial"/>
              <w:color w:val="auto"/>
            </w:rPr>
            <w:t>Table of Contents</w:t>
          </w:r>
        </w:p>
        <w:p w14:paraId="44DA2369" w14:textId="1ED94DC7" w:rsidR="0045687E" w:rsidRDefault="00FD02F5">
          <w:pPr>
            <w:pStyle w:val="TOC1"/>
            <w:rPr>
              <w:rFonts w:asciiTheme="minorHAnsi" w:eastAsiaTheme="minorEastAsia" w:hAnsiTheme="minorHAnsi" w:cstheme="minorBidi"/>
              <w:kern w:val="2"/>
              <w:sz w:val="24"/>
              <w:szCs w:val="24"/>
              <w14:ligatures w14:val="standardContextual"/>
            </w:rPr>
          </w:pPr>
          <w:r w:rsidRPr="00DF70B3">
            <w:fldChar w:fldCharType="begin"/>
          </w:r>
          <w:r w:rsidRPr="00DF70B3">
            <w:instrText xml:space="preserve"> TOC \o "1-3" \h \z \u </w:instrText>
          </w:r>
          <w:r w:rsidRPr="00DF70B3">
            <w:fldChar w:fldCharType="separate"/>
          </w:r>
          <w:hyperlink w:anchor="_Toc241175674" w:history="1">
            <w:r w:rsidR="0045687E" w:rsidRPr="00990075">
              <w:rPr>
                <w:rStyle w:val="Hyperlink"/>
                <w:lang w:val="hr-HR"/>
              </w:rPr>
              <w:t>DECLARATION</w:t>
            </w:r>
            <w:r w:rsidR="0045687E">
              <w:rPr>
                <w:webHidden/>
              </w:rPr>
              <w:tab/>
            </w:r>
            <w:r w:rsidR="0045687E">
              <w:rPr>
                <w:webHidden/>
              </w:rPr>
              <w:fldChar w:fldCharType="begin"/>
            </w:r>
            <w:r w:rsidR="0045687E">
              <w:rPr>
                <w:webHidden/>
              </w:rPr>
              <w:instrText xml:space="preserve"> PAGEREF _Toc241175674 \h </w:instrText>
            </w:r>
            <w:r w:rsidR="0045687E">
              <w:rPr>
                <w:webHidden/>
              </w:rPr>
            </w:r>
            <w:r w:rsidR="0045687E">
              <w:rPr>
                <w:webHidden/>
              </w:rPr>
              <w:fldChar w:fldCharType="separate"/>
            </w:r>
            <w:r w:rsidR="0045687E">
              <w:rPr>
                <w:webHidden/>
              </w:rPr>
              <w:t>2</w:t>
            </w:r>
            <w:r w:rsidR="0045687E">
              <w:rPr>
                <w:webHidden/>
              </w:rPr>
              <w:fldChar w:fldCharType="end"/>
            </w:r>
          </w:hyperlink>
        </w:p>
        <w:p w14:paraId="7F8D4E8E" w14:textId="624CE32F" w:rsidR="0045687E" w:rsidRDefault="0045687E">
          <w:pPr>
            <w:pStyle w:val="TOC1"/>
            <w:rPr>
              <w:rFonts w:asciiTheme="minorHAnsi" w:eastAsiaTheme="minorEastAsia" w:hAnsiTheme="minorHAnsi" w:cstheme="minorBidi"/>
              <w:kern w:val="2"/>
              <w:sz w:val="24"/>
              <w:szCs w:val="24"/>
              <w14:ligatures w14:val="standardContextual"/>
            </w:rPr>
          </w:pPr>
          <w:hyperlink w:anchor="_Toc241175675" w:history="1">
            <w:r w:rsidRPr="00990075">
              <w:rPr>
                <w:rStyle w:val="Hyperlink"/>
                <w:b/>
              </w:rPr>
              <w:t>ACKNOWLEDGEMENTS</w:t>
            </w:r>
            <w:r>
              <w:rPr>
                <w:webHidden/>
              </w:rPr>
              <w:tab/>
            </w:r>
            <w:r>
              <w:rPr>
                <w:webHidden/>
              </w:rPr>
              <w:fldChar w:fldCharType="begin"/>
            </w:r>
            <w:r>
              <w:rPr>
                <w:webHidden/>
              </w:rPr>
              <w:instrText xml:space="preserve"> PAGEREF _Toc241175675 \h </w:instrText>
            </w:r>
            <w:r>
              <w:rPr>
                <w:webHidden/>
              </w:rPr>
            </w:r>
            <w:r>
              <w:rPr>
                <w:webHidden/>
              </w:rPr>
              <w:fldChar w:fldCharType="separate"/>
            </w:r>
            <w:r>
              <w:rPr>
                <w:webHidden/>
              </w:rPr>
              <w:t>3</w:t>
            </w:r>
            <w:r>
              <w:rPr>
                <w:webHidden/>
              </w:rPr>
              <w:fldChar w:fldCharType="end"/>
            </w:r>
          </w:hyperlink>
        </w:p>
        <w:p w14:paraId="6B0B8E80" w14:textId="398F341F" w:rsidR="0045687E" w:rsidRDefault="0045687E">
          <w:pPr>
            <w:pStyle w:val="TOC1"/>
            <w:rPr>
              <w:rFonts w:asciiTheme="minorHAnsi" w:eastAsiaTheme="minorEastAsia" w:hAnsiTheme="minorHAnsi" w:cstheme="minorBidi"/>
              <w:kern w:val="2"/>
              <w:sz w:val="24"/>
              <w:szCs w:val="24"/>
              <w14:ligatures w14:val="standardContextual"/>
            </w:rPr>
          </w:pPr>
          <w:hyperlink w:anchor="_Toc241175676" w:history="1">
            <w:r w:rsidRPr="00990075">
              <w:rPr>
                <w:rStyle w:val="Hyperlink"/>
              </w:rPr>
              <w:t>ABSTRACT</w:t>
            </w:r>
            <w:r>
              <w:rPr>
                <w:webHidden/>
              </w:rPr>
              <w:tab/>
            </w:r>
            <w:r>
              <w:rPr>
                <w:webHidden/>
              </w:rPr>
              <w:fldChar w:fldCharType="begin"/>
            </w:r>
            <w:r>
              <w:rPr>
                <w:webHidden/>
              </w:rPr>
              <w:instrText xml:space="preserve"> PAGEREF _Toc241175676 \h </w:instrText>
            </w:r>
            <w:r>
              <w:rPr>
                <w:webHidden/>
              </w:rPr>
            </w:r>
            <w:r>
              <w:rPr>
                <w:webHidden/>
              </w:rPr>
              <w:fldChar w:fldCharType="separate"/>
            </w:r>
            <w:r>
              <w:rPr>
                <w:webHidden/>
              </w:rPr>
              <w:t>4</w:t>
            </w:r>
            <w:r>
              <w:rPr>
                <w:webHidden/>
              </w:rPr>
              <w:fldChar w:fldCharType="end"/>
            </w:r>
          </w:hyperlink>
        </w:p>
        <w:p w14:paraId="3566BA83" w14:textId="3F44F7B0" w:rsidR="0045687E" w:rsidRDefault="0045687E">
          <w:pPr>
            <w:pStyle w:val="TOC1"/>
            <w:rPr>
              <w:rFonts w:asciiTheme="minorHAnsi" w:eastAsiaTheme="minorEastAsia" w:hAnsiTheme="minorHAnsi" w:cstheme="minorBidi"/>
              <w:kern w:val="2"/>
              <w:sz w:val="24"/>
              <w:szCs w:val="24"/>
              <w14:ligatures w14:val="standardContextual"/>
            </w:rPr>
          </w:pPr>
          <w:hyperlink w:anchor="_Toc241175677" w:history="1">
            <w:r w:rsidRPr="00990075">
              <w:rPr>
                <w:rStyle w:val="Hyperlink"/>
              </w:rPr>
              <w:t>List of Tables</w:t>
            </w:r>
            <w:r>
              <w:rPr>
                <w:webHidden/>
              </w:rPr>
              <w:tab/>
            </w:r>
            <w:r>
              <w:rPr>
                <w:webHidden/>
              </w:rPr>
              <w:fldChar w:fldCharType="begin"/>
            </w:r>
            <w:r>
              <w:rPr>
                <w:webHidden/>
              </w:rPr>
              <w:instrText xml:space="preserve"> PAGEREF _Toc241175677 \h </w:instrText>
            </w:r>
            <w:r>
              <w:rPr>
                <w:webHidden/>
              </w:rPr>
            </w:r>
            <w:r>
              <w:rPr>
                <w:webHidden/>
              </w:rPr>
              <w:fldChar w:fldCharType="separate"/>
            </w:r>
            <w:r>
              <w:rPr>
                <w:webHidden/>
              </w:rPr>
              <w:t>6</w:t>
            </w:r>
            <w:r>
              <w:rPr>
                <w:webHidden/>
              </w:rPr>
              <w:fldChar w:fldCharType="end"/>
            </w:r>
          </w:hyperlink>
        </w:p>
        <w:p w14:paraId="410E10BA" w14:textId="2B054C1B" w:rsidR="0045687E" w:rsidRDefault="0045687E">
          <w:pPr>
            <w:pStyle w:val="TOC1"/>
            <w:rPr>
              <w:rFonts w:asciiTheme="minorHAnsi" w:eastAsiaTheme="minorEastAsia" w:hAnsiTheme="minorHAnsi" w:cstheme="minorBidi"/>
              <w:kern w:val="2"/>
              <w:sz w:val="24"/>
              <w:szCs w:val="24"/>
              <w14:ligatures w14:val="standardContextual"/>
            </w:rPr>
          </w:pPr>
          <w:hyperlink w:anchor="_Toc241175678" w:history="1">
            <w:r w:rsidRPr="00990075">
              <w:rPr>
                <w:rStyle w:val="Hyperlink"/>
              </w:rPr>
              <w:t>List of Figures</w:t>
            </w:r>
            <w:r>
              <w:rPr>
                <w:webHidden/>
              </w:rPr>
              <w:tab/>
            </w:r>
            <w:r>
              <w:rPr>
                <w:webHidden/>
              </w:rPr>
              <w:fldChar w:fldCharType="begin"/>
            </w:r>
            <w:r>
              <w:rPr>
                <w:webHidden/>
              </w:rPr>
              <w:instrText xml:space="preserve"> PAGEREF _Toc241175678 \h </w:instrText>
            </w:r>
            <w:r>
              <w:rPr>
                <w:webHidden/>
              </w:rPr>
            </w:r>
            <w:r>
              <w:rPr>
                <w:webHidden/>
              </w:rPr>
              <w:fldChar w:fldCharType="separate"/>
            </w:r>
            <w:r>
              <w:rPr>
                <w:webHidden/>
              </w:rPr>
              <w:t>6</w:t>
            </w:r>
            <w:r>
              <w:rPr>
                <w:webHidden/>
              </w:rPr>
              <w:fldChar w:fldCharType="end"/>
            </w:r>
          </w:hyperlink>
        </w:p>
        <w:p w14:paraId="53A480F1" w14:textId="533E74FF" w:rsidR="0045687E" w:rsidRDefault="0045687E">
          <w:pPr>
            <w:pStyle w:val="TOC1"/>
            <w:rPr>
              <w:rFonts w:asciiTheme="minorHAnsi" w:eastAsiaTheme="minorEastAsia" w:hAnsiTheme="minorHAnsi" w:cstheme="minorBidi"/>
              <w:kern w:val="2"/>
              <w:sz w:val="24"/>
              <w:szCs w:val="24"/>
              <w14:ligatures w14:val="standardContextual"/>
            </w:rPr>
          </w:pPr>
          <w:hyperlink w:anchor="_Toc241175679" w:history="1">
            <w:r w:rsidRPr="00990075">
              <w:rPr>
                <w:rStyle w:val="Hyperlink"/>
              </w:rPr>
              <w:t>List of Abbreviations</w:t>
            </w:r>
            <w:r>
              <w:rPr>
                <w:webHidden/>
              </w:rPr>
              <w:tab/>
            </w:r>
            <w:r>
              <w:rPr>
                <w:webHidden/>
              </w:rPr>
              <w:fldChar w:fldCharType="begin"/>
            </w:r>
            <w:r>
              <w:rPr>
                <w:webHidden/>
              </w:rPr>
              <w:instrText xml:space="preserve"> PAGEREF _Toc241175679 \h </w:instrText>
            </w:r>
            <w:r>
              <w:rPr>
                <w:webHidden/>
              </w:rPr>
            </w:r>
            <w:r>
              <w:rPr>
                <w:webHidden/>
              </w:rPr>
              <w:fldChar w:fldCharType="separate"/>
            </w:r>
            <w:r>
              <w:rPr>
                <w:webHidden/>
              </w:rPr>
              <w:t>7</w:t>
            </w:r>
            <w:r>
              <w:rPr>
                <w:webHidden/>
              </w:rPr>
              <w:fldChar w:fldCharType="end"/>
            </w:r>
          </w:hyperlink>
        </w:p>
        <w:p w14:paraId="68F3816E" w14:textId="1800583B" w:rsidR="0045687E" w:rsidRDefault="0045687E">
          <w:pPr>
            <w:pStyle w:val="TOC1"/>
            <w:rPr>
              <w:rFonts w:asciiTheme="minorHAnsi" w:eastAsiaTheme="minorEastAsia" w:hAnsiTheme="minorHAnsi" w:cstheme="minorBidi"/>
              <w:kern w:val="2"/>
              <w:sz w:val="24"/>
              <w:szCs w:val="24"/>
              <w14:ligatures w14:val="standardContextual"/>
            </w:rPr>
          </w:pPr>
          <w:hyperlink w:anchor="_Toc241175680" w:history="1">
            <w:r w:rsidRPr="00990075">
              <w:rPr>
                <w:rStyle w:val="Hyperlink"/>
              </w:rPr>
              <w:t>Chapter One: Introduction</w:t>
            </w:r>
            <w:r>
              <w:rPr>
                <w:webHidden/>
              </w:rPr>
              <w:tab/>
            </w:r>
            <w:r>
              <w:rPr>
                <w:webHidden/>
              </w:rPr>
              <w:fldChar w:fldCharType="begin"/>
            </w:r>
            <w:r>
              <w:rPr>
                <w:webHidden/>
              </w:rPr>
              <w:instrText xml:space="preserve"> PAGEREF _Toc241175680 \h </w:instrText>
            </w:r>
            <w:r>
              <w:rPr>
                <w:webHidden/>
              </w:rPr>
            </w:r>
            <w:r>
              <w:rPr>
                <w:webHidden/>
              </w:rPr>
              <w:fldChar w:fldCharType="separate"/>
            </w:r>
            <w:r>
              <w:rPr>
                <w:webHidden/>
              </w:rPr>
              <w:t>11</w:t>
            </w:r>
            <w:r>
              <w:rPr>
                <w:webHidden/>
              </w:rPr>
              <w:fldChar w:fldCharType="end"/>
            </w:r>
          </w:hyperlink>
        </w:p>
        <w:p w14:paraId="60B937AB" w14:textId="694E0D30" w:rsidR="0045687E" w:rsidRDefault="0045687E">
          <w:pPr>
            <w:pStyle w:val="TOC2"/>
            <w:tabs>
              <w:tab w:val="right" w:leader="dot" w:pos="8296"/>
            </w:tabs>
            <w:rPr>
              <w:rFonts w:asciiTheme="minorHAnsi" w:eastAsiaTheme="minorEastAsia" w:hAnsiTheme="minorHAnsi"/>
              <w:noProof/>
              <w:kern w:val="2"/>
              <w:sz w:val="24"/>
              <w:szCs w:val="24"/>
              <w:lang w:val="en-US"/>
              <w14:ligatures w14:val="standardContextual"/>
            </w:rPr>
          </w:pPr>
          <w:hyperlink w:anchor="_Toc241175681" w:history="1">
            <w:r w:rsidRPr="00990075">
              <w:rPr>
                <w:rStyle w:val="Hyperlink"/>
                <w:rFonts w:cs="Arial"/>
                <w:noProof/>
                <w:lang w:val="en-US"/>
              </w:rPr>
              <w:t>1.1 Introduction</w:t>
            </w:r>
            <w:r>
              <w:rPr>
                <w:noProof/>
                <w:webHidden/>
              </w:rPr>
              <w:tab/>
            </w:r>
            <w:r>
              <w:rPr>
                <w:noProof/>
                <w:webHidden/>
              </w:rPr>
              <w:fldChar w:fldCharType="begin"/>
            </w:r>
            <w:r>
              <w:rPr>
                <w:noProof/>
                <w:webHidden/>
              </w:rPr>
              <w:instrText xml:space="preserve"> PAGEREF _Toc241175681 \h </w:instrText>
            </w:r>
            <w:r>
              <w:rPr>
                <w:noProof/>
                <w:webHidden/>
              </w:rPr>
            </w:r>
            <w:r>
              <w:rPr>
                <w:noProof/>
                <w:webHidden/>
              </w:rPr>
              <w:fldChar w:fldCharType="separate"/>
            </w:r>
            <w:r>
              <w:rPr>
                <w:noProof/>
                <w:webHidden/>
              </w:rPr>
              <w:t>11</w:t>
            </w:r>
            <w:r>
              <w:rPr>
                <w:noProof/>
                <w:webHidden/>
              </w:rPr>
              <w:fldChar w:fldCharType="end"/>
            </w:r>
          </w:hyperlink>
        </w:p>
        <w:p w14:paraId="3C998BBD" w14:textId="70A572A1" w:rsidR="0045687E" w:rsidRDefault="0045687E">
          <w:pPr>
            <w:pStyle w:val="TOC2"/>
            <w:tabs>
              <w:tab w:val="right" w:leader="dot" w:pos="8296"/>
            </w:tabs>
            <w:rPr>
              <w:rFonts w:asciiTheme="minorHAnsi" w:eastAsiaTheme="minorEastAsia" w:hAnsiTheme="minorHAnsi"/>
              <w:noProof/>
              <w:kern w:val="2"/>
              <w:sz w:val="24"/>
              <w:szCs w:val="24"/>
              <w:lang w:val="en-US"/>
              <w14:ligatures w14:val="standardContextual"/>
            </w:rPr>
          </w:pPr>
          <w:hyperlink w:anchor="_Toc241175682" w:history="1">
            <w:r w:rsidRPr="00990075">
              <w:rPr>
                <w:rStyle w:val="Hyperlink"/>
                <w:rFonts w:cs="Arial"/>
                <w:noProof/>
                <w:lang w:val="en-US"/>
              </w:rPr>
              <w:t>1.2 Background of the Study</w:t>
            </w:r>
            <w:r>
              <w:rPr>
                <w:noProof/>
                <w:webHidden/>
              </w:rPr>
              <w:tab/>
            </w:r>
            <w:r>
              <w:rPr>
                <w:noProof/>
                <w:webHidden/>
              </w:rPr>
              <w:fldChar w:fldCharType="begin"/>
            </w:r>
            <w:r>
              <w:rPr>
                <w:noProof/>
                <w:webHidden/>
              </w:rPr>
              <w:instrText xml:space="preserve"> PAGEREF _Toc241175682 \h </w:instrText>
            </w:r>
            <w:r>
              <w:rPr>
                <w:noProof/>
                <w:webHidden/>
              </w:rPr>
            </w:r>
            <w:r>
              <w:rPr>
                <w:noProof/>
                <w:webHidden/>
              </w:rPr>
              <w:fldChar w:fldCharType="separate"/>
            </w:r>
            <w:r>
              <w:rPr>
                <w:noProof/>
                <w:webHidden/>
              </w:rPr>
              <w:t>11</w:t>
            </w:r>
            <w:r>
              <w:rPr>
                <w:noProof/>
                <w:webHidden/>
              </w:rPr>
              <w:fldChar w:fldCharType="end"/>
            </w:r>
          </w:hyperlink>
        </w:p>
        <w:p w14:paraId="6992ABB9" w14:textId="1C441EC7" w:rsidR="0045687E" w:rsidRDefault="0045687E">
          <w:pPr>
            <w:pStyle w:val="TOC2"/>
            <w:tabs>
              <w:tab w:val="right" w:leader="dot" w:pos="8296"/>
            </w:tabs>
            <w:rPr>
              <w:rFonts w:asciiTheme="minorHAnsi" w:eastAsiaTheme="minorEastAsia" w:hAnsiTheme="minorHAnsi"/>
              <w:noProof/>
              <w:kern w:val="2"/>
              <w:sz w:val="24"/>
              <w:szCs w:val="24"/>
              <w:lang w:val="en-US"/>
              <w14:ligatures w14:val="standardContextual"/>
            </w:rPr>
          </w:pPr>
          <w:hyperlink w:anchor="_Toc241175683" w:history="1">
            <w:r w:rsidRPr="00990075">
              <w:rPr>
                <w:rStyle w:val="Hyperlink"/>
                <w:noProof/>
                <w:lang w:val="en-US"/>
              </w:rPr>
              <w:t>1.3 Research Problem</w:t>
            </w:r>
            <w:r>
              <w:rPr>
                <w:noProof/>
                <w:webHidden/>
              </w:rPr>
              <w:tab/>
            </w:r>
            <w:r>
              <w:rPr>
                <w:noProof/>
                <w:webHidden/>
              </w:rPr>
              <w:fldChar w:fldCharType="begin"/>
            </w:r>
            <w:r>
              <w:rPr>
                <w:noProof/>
                <w:webHidden/>
              </w:rPr>
              <w:instrText xml:space="preserve"> PAGEREF _Toc241175683 \h </w:instrText>
            </w:r>
            <w:r>
              <w:rPr>
                <w:noProof/>
                <w:webHidden/>
              </w:rPr>
            </w:r>
            <w:r>
              <w:rPr>
                <w:noProof/>
                <w:webHidden/>
              </w:rPr>
              <w:fldChar w:fldCharType="separate"/>
            </w:r>
            <w:r>
              <w:rPr>
                <w:noProof/>
                <w:webHidden/>
              </w:rPr>
              <w:t>12</w:t>
            </w:r>
            <w:r>
              <w:rPr>
                <w:noProof/>
                <w:webHidden/>
              </w:rPr>
              <w:fldChar w:fldCharType="end"/>
            </w:r>
          </w:hyperlink>
        </w:p>
        <w:p w14:paraId="3AD2BEC9" w14:textId="2AE1A95D" w:rsidR="0045687E" w:rsidRDefault="0045687E">
          <w:pPr>
            <w:pStyle w:val="TOC2"/>
            <w:tabs>
              <w:tab w:val="right" w:leader="dot" w:pos="8296"/>
            </w:tabs>
            <w:rPr>
              <w:rFonts w:asciiTheme="minorHAnsi" w:eastAsiaTheme="minorEastAsia" w:hAnsiTheme="minorHAnsi"/>
              <w:noProof/>
              <w:kern w:val="2"/>
              <w:sz w:val="24"/>
              <w:szCs w:val="24"/>
              <w:lang w:val="en-US"/>
              <w14:ligatures w14:val="standardContextual"/>
            </w:rPr>
          </w:pPr>
          <w:hyperlink w:anchor="_Toc241175684" w:history="1">
            <w:r w:rsidRPr="00990075">
              <w:rPr>
                <w:rStyle w:val="Hyperlink"/>
                <w:rFonts w:cs="Arial"/>
                <w:noProof/>
                <w:lang w:val="en-US"/>
              </w:rPr>
              <w:t>1.4 Research Rationale and Gap</w:t>
            </w:r>
            <w:r>
              <w:rPr>
                <w:noProof/>
                <w:webHidden/>
              </w:rPr>
              <w:tab/>
            </w:r>
            <w:r>
              <w:rPr>
                <w:noProof/>
                <w:webHidden/>
              </w:rPr>
              <w:fldChar w:fldCharType="begin"/>
            </w:r>
            <w:r>
              <w:rPr>
                <w:noProof/>
                <w:webHidden/>
              </w:rPr>
              <w:instrText xml:space="preserve"> PAGEREF _Toc241175684 \h </w:instrText>
            </w:r>
            <w:r>
              <w:rPr>
                <w:noProof/>
                <w:webHidden/>
              </w:rPr>
            </w:r>
            <w:r>
              <w:rPr>
                <w:noProof/>
                <w:webHidden/>
              </w:rPr>
              <w:fldChar w:fldCharType="separate"/>
            </w:r>
            <w:r>
              <w:rPr>
                <w:noProof/>
                <w:webHidden/>
              </w:rPr>
              <w:t>13</w:t>
            </w:r>
            <w:r>
              <w:rPr>
                <w:noProof/>
                <w:webHidden/>
              </w:rPr>
              <w:fldChar w:fldCharType="end"/>
            </w:r>
          </w:hyperlink>
        </w:p>
        <w:p w14:paraId="41EDF20C" w14:textId="4804D4AE" w:rsidR="0045687E" w:rsidRDefault="0045687E">
          <w:pPr>
            <w:pStyle w:val="TOC2"/>
            <w:tabs>
              <w:tab w:val="right" w:leader="dot" w:pos="8296"/>
            </w:tabs>
            <w:rPr>
              <w:rFonts w:asciiTheme="minorHAnsi" w:eastAsiaTheme="minorEastAsia" w:hAnsiTheme="minorHAnsi"/>
              <w:noProof/>
              <w:kern w:val="2"/>
              <w:sz w:val="24"/>
              <w:szCs w:val="24"/>
              <w:lang w:val="en-US"/>
              <w14:ligatures w14:val="standardContextual"/>
            </w:rPr>
          </w:pPr>
          <w:hyperlink w:anchor="_Toc241175685" w:history="1">
            <w:r w:rsidRPr="00990075">
              <w:rPr>
                <w:rStyle w:val="Hyperlink"/>
                <w:rFonts w:cs="Arial"/>
                <w:noProof/>
                <w:lang w:val="en-US"/>
              </w:rPr>
              <w:t>1.5 Research Aim</w:t>
            </w:r>
            <w:r>
              <w:rPr>
                <w:noProof/>
                <w:webHidden/>
              </w:rPr>
              <w:tab/>
            </w:r>
            <w:r>
              <w:rPr>
                <w:noProof/>
                <w:webHidden/>
              </w:rPr>
              <w:fldChar w:fldCharType="begin"/>
            </w:r>
            <w:r>
              <w:rPr>
                <w:noProof/>
                <w:webHidden/>
              </w:rPr>
              <w:instrText xml:space="preserve"> PAGEREF _Toc241175685 \h </w:instrText>
            </w:r>
            <w:r>
              <w:rPr>
                <w:noProof/>
                <w:webHidden/>
              </w:rPr>
            </w:r>
            <w:r>
              <w:rPr>
                <w:noProof/>
                <w:webHidden/>
              </w:rPr>
              <w:fldChar w:fldCharType="separate"/>
            </w:r>
            <w:r>
              <w:rPr>
                <w:noProof/>
                <w:webHidden/>
              </w:rPr>
              <w:t>13</w:t>
            </w:r>
            <w:r>
              <w:rPr>
                <w:noProof/>
                <w:webHidden/>
              </w:rPr>
              <w:fldChar w:fldCharType="end"/>
            </w:r>
          </w:hyperlink>
        </w:p>
        <w:p w14:paraId="606B85B5" w14:textId="05CC6720" w:rsidR="0045687E" w:rsidRDefault="0045687E">
          <w:pPr>
            <w:pStyle w:val="TOC2"/>
            <w:tabs>
              <w:tab w:val="left" w:pos="960"/>
              <w:tab w:val="right" w:leader="dot" w:pos="8296"/>
            </w:tabs>
            <w:rPr>
              <w:rFonts w:asciiTheme="minorHAnsi" w:eastAsiaTheme="minorEastAsia" w:hAnsiTheme="minorHAnsi"/>
              <w:noProof/>
              <w:kern w:val="2"/>
              <w:sz w:val="24"/>
              <w:szCs w:val="24"/>
              <w:lang w:val="en-US"/>
              <w14:ligatures w14:val="standardContextual"/>
            </w:rPr>
          </w:pPr>
          <w:hyperlink w:anchor="_Toc241175686" w:history="1">
            <w:r w:rsidRPr="00990075">
              <w:rPr>
                <w:rStyle w:val="Hyperlink"/>
                <w:rFonts w:cs="Arial"/>
                <w:noProof/>
                <w:lang w:val="en-US"/>
              </w:rPr>
              <w:t>1.6</w:t>
            </w:r>
            <w:r>
              <w:rPr>
                <w:rFonts w:asciiTheme="minorHAnsi" w:eastAsiaTheme="minorEastAsia" w:hAnsiTheme="minorHAnsi"/>
                <w:noProof/>
                <w:kern w:val="2"/>
                <w:sz w:val="24"/>
                <w:szCs w:val="24"/>
                <w:lang w:val="en-US"/>
                <w14:ligatures w14:val="standardContextual"/>
              </w:rPr>
              <w:tab/>
            </w:r>
            <w:r w:rsidRPr="00990075">
              <w:rPr>
                <w:rStyle w:val="Hyperlink"/>
                <w:rFonts w:cs="Arial"/>
                <w:noProof/>
                <w:lang w:val="en-US"/>
              </w:rPr>
              <w:t>Research Objectives</w:t>
            </w:r>
            <w:r>
              <w:rPr>
                <w:noProof/>
                <w:webHidden/>
              </w:rPr>
              <w:tab/>
            </w:r>
            <w:r>
              <w:rPr>
                <w:noProof/>
                <w:webHidden/>
              </w:rPr>
              <w:fldChar w:fldCharType="begin"/>
            </w:r>
            <w:r>
              <w:rPr>
                <w:noProof/>
                <w:webHidden/>
              </w:rPr>
              <w:instrText xml:space="preserve"> PAGEREF _Toc241175686 \h </w:instrText>
            </w:r>
            <w:r>
              <w:rPr>
                <w:noProof/>
                <w:webHidden/>
              </w:rPr>
            </w:r>
            <w:r>
              <w:rPr>
                <w:noProof/>
                <w:webHidden/>
              </w:rPr>
              <w:fldChar w:fldCharType="separate"/>
            </w:r>
            <w:r>
              <w:rPr>
                <w:noProof/>
                <w:webHidden/>
              </w:rPr>
              <w:t>14</w:t>
            </w:r>
            <w:r>
              <w:rPr>
                <w:noProof/>
                <w:webHidden/>
              </w:rPr>
              <w:fldChar w:fldCharType="end"/>
            </w:r>
          </w:hyperlink>
        </w:p>
        <w:p w14:paraId="17F5584F" w14:textId="58073688" w:rsidR="0045687E" w:rsidRDefault="0045687E">
          <w:pPr>
            <w:pStyle w:val="TOC2"/>
            <w:tabs>
              <w:tab w:val="right" w:leader="dot" w:pos="8296"/>
            </w:tabs>
            <w:rPr>
              <w:rFonts w:asciiTheme="minorHAnsi" w:eastAsiaTheme="minorEastAsia" w:hAnsiTheme="minorHAnsi"/>
              <w:noProof/>
              <w:kern w:val="2"/>
              <w:sz w:val="24"/>
              <w:szCs w:val="24"/>
              <w:lang w:val="en-US"/>
              <w14:ligatures w14:val="standardContextual"/>
            </w:rPr>
          </w:pPr>
          <w:hyperlink w:anchor="_Toc241175687" w:history="1">
            <w:r w:rsidRPr="00990075">
              <w:rPr>
                <w:rStyle w:val="Hyperlink"/>
                <w:rFonts w:cs="Arial"/>
                <w:noProof/>
                <w:lang w:val="en-US"/>
              </w:rPr>
              <w:t>1.7 Research Question</w:t>
            </w:r>
            <w:r>
              <w:rPr>
                <w:noProof/>
                <w:webHidden/>
              </w:rPr>
              <w:tab/>
            </w:r>
            <w:r>
              <w:rPr>
                <w:noProof/>
                <w:webHidden/>
              </w:rPr>
              <w:fldChar w:fldCharType="begin"/>
            </w:r>
            <w:r>
              <w:rPr>
                <w:noProof/>
                <w:webHidden/>
              </w:rPr>
              <w:instrText xml:space="preserve"> PAGEREF _Toc241175687 \h </w:instrText>
            </w:r>
            <w:r>
              <w:rPr>
                <w:noProof/>
                <w:webHidden/>
              </w:rPr>
            </w:r>
            <w:r>
              <w:rPr>
                <w:noProof/>
                <w:webHidden/>
              </w:rPr>
              <w:fldChar w:fldCharType="separate"/>
            </w:r>
            <w:r>
              <w:rPr>
                <w:noProof/>
                <w:webHidden/>
              </w:rPr>
              <w:t>14</w:t>
            </w:r>
            <w:r>
              <w:rPr>
                <w:noProof/>
                <w:webHidden/>
              </w:rPr>
              <w:fldChar w:fldCharType="end"/>
            </w:r>
          </w:hyperlink>
        </w:p>
        <w:p w14:paraId="3A49833A" w14:textId="1E86622A" w:rsidR="0045687E" w:rsidRDefault="0045687E">
          <w:pPr>
            <w:pStyle w:val="TOC2"/>
            <w:tabs>
              <w:tab w:val="right" w:leader="dot" w:pos="8296"/>
            </w:tabs>
            <w:rPr>
              <w:rFonts w:asciiTheme="minorHAnsi" w:eastAsiaTheme="minorEastAsia" w:hAnsiTheme="minorHAnsi"/>
              <w:noProof/>
              <w:kern w:val="2"/>
              <w:sz w:val="24"/>
              <w:szCs w:val="24"/>
              <w:lang w:val="en-US"/>
              <w14:ligatures w14:val="standardContextual"/>
            </w:rPr>
          </w:pPr>
          <w:hyperlink w:anchor="_Toc241175688" w:history="1">
            <w:r w:rsidRPr="00990075">
              <w:rPr>
                <w:rStyle w:val="Hyperlink"/>
                <w:rFonts w:cs="Arial"/>
                <w:noProof/>
                <w:lang w:val="en-US"/>
              </w:rPr>
              <w:t>1.8 Scope and Methodological Overview</w:t>
            </w:r>
            <w:r>
              <w:rPr>
                <w:noProof/>
                <w:webHidden/>
              </w:rPr>
              <w:tab/>
            </w:r>
            <w:r>
              <w:rPr>
                <w:noProof/>
                <w:webHidden/>
              </w:rPr>
              <w:fldChar w:fldCharType="begin"/>
            </w:r>
            <w:r>
              <w:rPr>
                <w:noProof/>
                <w:webHidden/>
              </w:rPr>
              <w:instrText xml:space="preserve"> PAGEREF _Toc241175688 \h </w:instrText>
            </w:r>
            <w:r>
              <w:rPr>
                <w:noProof/>
                <w:webHidden/>
              </w:rPr>
            </w:r>
            <w:r>
              <w:rPr>
                <w:noProof/>
                <w:webHidden/>
              </w:rPr>
              <w:fldChar w:fldCharType="separate"/>
            </w:r>
            <w:r>
              <w:rPr>
                <w:noProof/>
                <w:webHidden/>
              </w:rPr>
              <w:t>14</w:t>
            </w:r>
            <w:r>
              <w:rPr>
                <w:noProof/>
                <w:webHidden/>
              </w:rPr>
              <w:fldChar w:fldCharType="end"/>
            </w:r>
          </w:hyperlink>
        </w:p>
        <w:p w14:paraId="313C0836" w14:textId="13350135" w:rsidR="0045687E" w:rsidRDefault="0045687E">
          <w:pPr>
            <w:pStyle w:val="TOC2"/>
            <w:tabs>
              <w:tab w:val="right" w:leader="dot" w:pos="8296"/>
            </w:tabs>
            <w:rPr>
              <w:rFonts w:asciiTheme="minorHAnsi" w:eastAsiaTheme="minorEastAsia" w:hAnsiTheme="minorHAnsi"/>
              <w:noProof/>
              <w:kern w:val="2"/>
              <w:sz w:val="24"/>
              <w:szCs w:val="24"/>
              <w:lang w:val="en-US"/>
              <w14:ligatures w14:val="standardContextual"/>
            </w:rPr>
          </w:pPr>
          <w:hyperlink w:anchor="_Toc241175689" w:history="1">
            <w:r w:rsidRPr="00990075">
              <w:rPr>
                <w:rStyle w:val="Hyperlink"/>
                <w:rFonts w:cs="Arial"/>
                <w:noProof/>
                <w:lang w:val="en-US"/>
              </w:rPr>
              <w:t>1.9 Significance of the Study</w:t>
            </w:r>
            <w:r>
              <w:rPr>
                <w:noProof/>
                <w:webHidden/>
              </w:rPr>
              <w:tab/>
            </w:r>
            <w:r>
              <w:rPr>
                <w:noProof/>
                <w:webHidden/>
              </w:rPr>
              <w:fldChar w:fldCharType="begin"/>
            </w:r>
            <w:r>
              <w:rPr>
                <w:noProof/>
                <w:webHidden/>
              </w:rPr>
              <w:instrText xml:space="preserve"> PAGEREF _Toc241175689 \h </w:instrText>
            </w:r>
            <w:r>
              <w:rPr>
                <w:noProof/>
                <w:webHidden/>
              </w:rPr>
            </w:r>
            <w:r>
              <w:rPr>
                <w:noProof/>
                <w:webHidden/>
              </w:rPr>
              <w:fldChar w:fldCharType="separate"/>
            </w:r>
            <w:r>
              <w:rPr>
                <w:noProof/>
                <w:webHidden/>
              </w:rPr>
              <w:t>14</w:t>
            </w:r>
            <w:r>
              <w:rPr>
                <w:noProof/>
                <w:webHidden/>
              </w:rPr>
              <w:fldChar w:fldCharType="end"/>
            </w:r>
          </w:hyperlink>
        </w:p>
        <w:p w14:paraId="6713C5AC" w14:textId="7846E9FF" w:rsidR="0045687E" w:rsidRDefault="0045687E">
          <w:pPr>
            <w:pStyle w:val="TOC2"/>
            <w:tabs>
              <w:tab w:val="right" w:leader="dot" w:pos="8296"/>
            </w:tabs>
            <w:rPr>
              <w:rFonts w:asciiTheme="minorHAnsi" w:eastAsiaTheme="minorEastAsia" w:hAnsiTheme="minorHAnsi"/>
              <w:noProof/>
              <w:kern w:val="2"/>
              <w:sz w:val="24"/>
              <w:szCs w:val="24"/>
              <w:lang w:val="en-US"/>
              <w14:ligatures w14:val="standardContextual"/>
            </w:rPr>
          </w:pPr>
          <w:hyperlink w:anchor="_Toc241175690" w:history="1">
            <w:r w:rsidRPr="00990075">
              <w:rPr>
                <w:rStyle w:val="Hyperlink"/>
                <w:rFonts w:cs="Arial"/>
                <w:noProof/>
                <w:lang w:val="en-US"/>
              </w:rPr>
              <w:t>1.10 Dissertation Structure</w:t>
            </w:r>
            <w:r>
              <w:rPr>
                <w:noProof/>
                <w:webHidden/>
              </w:rPr>
              <w:tab/>
            </w:r>
            <w:r>
              <w:rPr>
                <w:noProof/>
                <w:webHidden/>
              </w:rPr>
              <w:fldChar w:fldCharType="begin"/>
            </w:r>
            <w:r>
              <w:rPr>
                <w:noProof/>
                <w:webHidden/>
              </w:rPr>
              <w:instrText xml:space="preserve"> PAGEREF _Toc241175690 \h </w:instrText>
            </w:r>
            <w:r>
              <w:rPr>
                <w:noProof/>
                <w:webHidden/>
              </w:rPr>
            </w:r>
            <w:r>
              <w:rPr>
                <w:noProof/>
                <w:webHidden/>
              </w:rPr>
              <w:fldChar w:fldCharType="separate"/>
            </w:r>
            <w:r>
              <w:rPr>
                <w:noProof/>
                <w:webHidden/>
              </w:rPr>
              <w:t>15</w:t>
            </w:r>
            <w:r>
              <w:rPr>
                <w:noProof/>
                <w:webHidden/>
              </w:rPr>
              <w:fldChar w:fldCharType="end"/>
            </w:r>
          </w:hyperlink>
        </w:p>
        <w:p w14:paraId="7C935150" w14:textId="38860CF4" w:rsidR="0045687E" w:rsidRDefault="0045687E">
          <w:pPr>
            <w:pStyle w:val="TOC2"/>
            <w:tabs>
              <w:tab w:val="right" w:leader="dot" w:pos="8296"/>
            </w:tabs>
            <w:rPr>
              <w:rFonts w:asciiTheme="minorHAnsi" w:eastAsiaTheme="minorEastAsia" w:hAnsiTheme="minorHAnsi"/>
              <w:noProof/>
              <w:kern w:val="2"/>
              <w:sz w:val="24"/>
              <w:szCs w:val="24"/>
              <w:lang w:val="en-US"/>
              <w14:ligatures w14:val="standardContextual"/>
            </w:rPr>
          </w:pPr>
          <w:hyperlink w:anchor="_Toc241175691" w:history="1">
            <w:r w:rsidRPr="00990075">
              <w:rPr>
                <w:rStyle w:val="Hyperlink"/>
                <w:rFonts w:cs="Arial"/>
                <w:noProof/>
                <w:lang w:val="en-US"/>
              </w:rPr>
              <w:t>1.11 Chapter Summary</w:t>
            </w:r>
            <w:r>
              <w:rPr>
                <w:noProof/>
                <w:webHidden/>
              </w:rPr>
              <w:tab/>
            </w:r>
            <w:r>
              <w:rPr>
                <w:noProof/>
                <w:webHidden/>
              </w:rPr>
              <w:fldChar w:fldCharType="begin"/>
            </w:r>
            <w:r>
              <w:rPr>
                <w:noProof/>
                <w:webHidden/>
              </w:rPr>
              <w:instrText xml:space="preserve"> PAGEREF _Toc241175691 \h </w:instrText>
            </w:r>
            <w:r>
              <w:rPr>
                <w:noProof/>
                <w:webHidden/>
              </w:rPr>
            </w:r>
            <w:r>
              <w:rPr>
                <w:noProof/>
                <w:webHidden/>
              </w:rPr>
              <w:fldChar w:fldCharType="separate"/>
            </w:r>
            <w:r>
              <w:rPr>
                <w:noProof/>
                <w:webHidden/>
              </w:rPr>
              <w:t>16</w:t>
            </w:r>
            <w:r>
              <w:rPr>
                <w:noProof/>
                <w:webHidden/>
              </w:rPr>
              <w:fldChar w:fldCharType="end"/>
            </w:r>
          </w:hyperlink>
        </w:p>
        <w:p w14:paraId="3AA3779A" w14:textId="1F90BB59" w:rsidR="0045687E" w:rsidRDefault="0045687E">
          <w:pPr>
            <w:pStyle w:val="TOC1"/>
            <w:rPr>
              <w:rFonts w:asciiTheme="minorHAnsi" w:eastAsiaTheme="minorEastAsia" w:hAnsiTheme="minorHAnsi" w:cstheme="minorBidi"/>
              <w:kern w:val="2"/>
              <w:sz w:val="24"/>
              <w:szCs w:val="24"/>
              <w14:ligatures w14:val="standardContextual"/>
            </w:rPr>
          </w:pPr>
          <w:hyperlink w:anchor="_Toc241175692" w:history="1">
            <w:r w:rsidRPr="00990075">
              <w:rPr>
                <w:rStyle w:val="Hyperlink"/>
              </w:rPr>
              <w:t>Chapter Two: Literature Review</w:t>
            </w:r>
            <w:r>
              <w:rPr>
                <w:webHidden/>
              </w:rPr>
              <w:tab/>
            </w:r>
            <w:r>
              <w:rPr>
                <w:webHidden/>
              </w:rPr>
              <w:fldChar w:fldCharType="begin"/>
            </w:r>
            <w:r>
              <w:rPr>
                <w:webHidden/>
              </w:rPr>
              <w:instrText xml:space="preserve"> PAGEREF _Toc241175692 \h </w:instrText>
            </w:r>
            <w:r>
              <w:rPr>
                <w:webHidden/>
              </w:rPr>
            </w:r>
            <w:r>
              <w:rPr>
                <w:webHidden/>
              </w:rPr>
              <w:fldChar w:fldCharType="separate"/>
            </w:r>
            <w:r>
              <w:rPr>
                <w:webHidden/>
              </w:rPr>
              <w:t>17</w:t>
            </w:r>
            <w:r>
              <w:rPr>
                <w:webHidden/>
              </w:rPr>
              <w:fldChar w:fldCharType="end"/>
            </w:r>
          </w:hyperlink>
        </w:p>
        <w:p w14:paraId="2C302D6E" w14:textId="79CB41CE" w:rsidR="0045687E" w:rsidRDefault="0045687E">
          <w:pPr>
            <w:pStyle w:val="TOC2"/>
            <w:tabs>
              <w:tab w:val="right" w:leader="dot" w:pos="8296"/>
            </w:tabs>
            <w:rPr>
              <w:rFonts w:asciiTheme="minorHAnsi" w:eastAsiaTheme="minorEastAsia" w:hAnsiTheme="minorHAnsi"/>
              <w:noProof/>
              <w:kern w:val="2"/>
              <w:sz w:val="24"/>
              <w:szCs w:val="24"/>
              <w:lang w:val="en-US"/>
              <w14:ligatures w14:val="standardContextual"/>
            </w:rPr>
          </w:pPr>
          <w:hyperlink w:anchor="_Toc241175693" w:history="1">
            <w:r w:rsidRPr="00990075">
              <w:rPr>
                <w:rStyle w:val="Hyperlink"/>
                <w:rFonts w:cs="Arial"/>
                <w:noProof/>
              </w:rPr>
              <w:t>2.1 Introduction</w:t>
            </w:r>
            <w:r>
              <w:rPr>
                <w:noProof/>
                <w:webHidden/>
              </w:rPr>
              <w:tab/>
            </w:r>
            <w:r>
              <w:rPr>
                <w:noProof/>
                <w:webHidden/>
              </w:rPr>
              <w:fldChar w:fldCharType="begin"/>
            </w:r>
            <w:r>
              <w:rPr>
                <w:noProof/>
                <w:webHidden/>
              </w:rPr>
              <w:instrText xml:space="preserve"> PAGEREF _Toc241175693 \h </w:instrText>
            </w:r>
            <w:r>
              <w:rPr>
                <w:noProof/>
                <w:webHidden/>
              </w:rPr>
            </w:r>
            <w:r>
              <w:rPr>
                <w:noProof/>
                <w:webHidden/>
              </w:rPr>
              <w:fldChar w:fldCharType="separate"/>
            </w:r>
            <w:r>
              <w:rPr>
                <w:noProof/>
                <w:webHidden/>
              </w:rPr>
              <w:t>17</w:t>
            </w:r>
            <w:r>
              <w:rPr>
                <w:noProof/>
                <w:webHidden/>
              </w:rPr>
              <w:fldChar w:fldCharType="end"/>
            </w:r>
          </w:hyperlink>
        </w:p>
        <w:p w14:paraId="4F4BB0AC" w14:textId="2C777446" w:rsidR="0045687E" w:rsidRDefault="0045687E">
          <w:pPr>
            <w:pStyle w:val="TOC2"/>
            <w:tabs>
              <w:tab w:val="right" w:leader="dot" w:pos="8296"/>
            </w:tabs>
            <w:rPr>
              <w:rFonts w:asciiTheme="minorHAnsi" w:eastAsiaTheme="minorEastAsia" w:hAnsiTheme="minorHAnsi"/>
              <w:noProof/>
              <w:kern w:val="2"/>
              <w:sz w:val="24"/>
              <w:szCs w:val="24"/>
              <w:lang w:val="en-US"/>
              <w14:ligatures w14:val="standardContextual"/>
            </w:rPr>
          </w:pPr>
          <w:hyperlink w:anchor="_Toc241175694" w:history="1">
            <w:r w:rsidRPr="00990075">
              <w:rPr>
                <w:rStyle w:val="Hyperlink"/>
                <w:rFonts w:cs="Arial"/>
                <w:noProof/>
              </w:rPr>
              <w:t>2.2 Conceptualising Digital Health Interventions</w:t>
            </w:r>
            <w:r>
              <w:rPr>
                <w:noProof/>
                <w:webHidden/>
              </w:rPr>
              <w:tab/>
            </w:r>
            <w:r>
              <w:rPr>
                <w:noProof/>
                <w:webHidden/>
              </w:rPr>
              <w:fldChar w:fldCharType="begin"/>
            </w:r>
            <w:r>
              <w:rPr>
                <w:noProof/>
                <w:webHidden/>
              </w:rPr>
              <w:instrText xml:space="preserve"> PAGEREF _Toc241175694 \h </w:instrText>
            </w:r>
            <w:r>
              <w:rPr>
                <w:noProof/>
                <w:webHidden/>
              </w:rPr>
            </w:r>
            <w:r>
              <w:rPr>
                <w:noProof/>
                <w:webHidden/>
              </w:rPr>
              <w:fldChar w:fldCharType="separate"/>
            </w:r>
            <w:r>
              <w:rPr>
                <w:noProof/>
                <w:webHidden/>
              </w:rPr>
              <w:t>17</w:t>
            </w:r>
            <w:r>
              <w:rPr>
                <w:noProof/>
                <w:webHidden/>
              </w:rPr>
              <w:fldChar w:fldCharType="end"/>
            </w:r>
          </w:hyperlink>
        </w:p>
        <w:p w14:paraId="25C59CEA" w14:textId="0E5489FA" w:rsidR="0045687E" w:rsidRDefault="0045687E">
          <w:pPr>
            <w:pStyle w:val="TOC2"/>
            <w:tabs>
              <w:tab w:val="right" w:leader="dot" w:pos="8296"/>
            </w:tabs>
            <w:rPr>
              <w:rFonts w:asciiTheme="minorHAnsi" w:eastAsiaTheme="minorEastAsia" w:hAnsiTheme="minorHAnsi"/>
              <w:noProof/>
              <w:kern w:val="2"/>
              <w:sz w:val="24"/>
              <w:szCs w:val="24"/>
              <w:lang w:val="en-US"/>
              <w14:ligatures w14:val="standardContextual"/>
            </w:rPr>
          </w:pPr>
          <w:hyperlink w:anchor="_Toc241175695" w:history="1">
            <w:r w:rsidRPr="00990075">
              <w:rPr>
                <w:rStyle w:val="Hyperlink"/>
                <w:rFonts w:cs="Arial"/>
                <w:noProof/>
              </w:rPr>
              <w:t>2.3 Chronic Disease Management and Older Adults in the UK</w:t>
            </w:r>
            <w:r>
              <w:rPr>
                <w:noProof/>
                <w:webHidden/>
              </w:rPr>
              <w:tab/>
            </w:r>
            <w:r>
              <w:rPr>
                <w:noProof/>
                <w:webHidden/>
              </w:rPr>
              <w:fldChar w:fldCharType="begin"/>
            </w:r>
            <w:r>
              <w:rPr>
                <w:noProof/>
                <w:webHidden/>
              </w:rPr>
              <w:instrText xml:space="preserve"> PAGEREF _Toc241175695 \h </w:instrText>
            </w:r>
            <w:r>
              <w:rPr>
                <w:noProof/>
                <w:webHidden/>
              </w:rPr>
            </w:r>
            <w:r>
              <w:rPr>
                <w:noProof/>
                <w:webHidden/>
              </w:rPr>
              <w:fldChar w:fldCharType="separate"/>
            </w:r>
            <w:r>
              <w:rPr>
                <w:noProof/>
                <w:webHidden/>
              </w:rPr>
              <w:t>18</w:t>
            </w:r>
            <w:r>
              <w:rPr>
                <w:noProof/>
                <w:webHidden/>
              </w:rPr>
              <w:fldChar w:fldCharType="end"/>
            </w:r>
          </w:hyperlink>
        </w:p>
        <w:p w14:paraId="29217C19" w14:textId="4FDB3F3A" w:rsidR="0045687E" w:rsidRDefault="0045687E">
          <w:pPr>
            <w:pStyle w:val="TOC2"/>
            <w:tabs>
              <w:tab w:val="right" w:leader="dot" w:pos="8296"/>
            </w:tabs>
            <w:rPr>
              <w:rFonts w:asciiTheme="minorHAnsi" w:eastAsiaTheme="minorEastAsia" w:hAnsiTheme="minorHAnsi"/>
              <w:noProof/>
              <w:kern w:val="2"/>
              <w:sz w:val="24"/>
              <w:szCs w:val="24"/>
              <w:lang w:val="en-US"/>
              <w14:ligatures w14:val="standardContextual"/>
            </w:rPr>
          </w:pPr>
          <w:hyperlink w:anchor="_Toc241175696" w:history="1">
            <w:r w:rsidRPr="00990075">
              <w:rPr>
                <w:rStyle w:val="Hyperlink"/>
                <w:rFonts w:cs="Arial"/>
                <w:noProof/>
              </w:rPr>
              <w:t>2.4 Digital Health Effectiveness: Clinical and Psychosocial Outcomes</w:t>
            </w:r>
            <w:r>
              <w:rPr>
                <w:noProof/>
                <w:webHidden/>
              </w:rPr>
              <w:tab/>
            </w:r>
            <w:r>
              <w:rPr>
                <w:noProof/>
                <w:webHidden/>
              </w:rPr>
              <w:fldChar w:fldCharType="begin"/>
            </w:r>
            <w:r>
              <w:rPr>
                <w:noProof/>
                <w:webHidden/>
              </w:rPr>
              <w:instrText xml:space="preserve"> PAGEREF _Toc241175696 \h </w:instrText>
            </w:r>
            <w:r>
              <w:rPr>
                <w:noProof/>
                <w:webHidden/>
              </w:rPr>
            </w:r>
            <w:r>
              <w:rPr>
                <w:noProof/>
                <w:webHidden/>
              </w:rPr>
              <w:fldChar w:fldCharType="separate"/>
            </w:r>
            <w:r>
              <w:rPr>
                <w:noProof/>
                <w:webHidden/>
              </w:rPr>
              <w:t>18</w:t>
            </w:r>
            <w:r>
              <w:rPr>
                <w:noProof/>
                <w:webHidden/>
              </w:rPr>
              <w:fldChar w:fldCharType="end"/>
            </w:r>
          </w:hyperlink>
        </w:p>
        <w:p w14:paraId="04A2A2AD" w14:textId="38D83647" w:rsidR="0045687E" w:rsidRDefault="0045687E">
          <w:pPr>
            <w:pStyle w:val="TOC2"/>
            <w:tabs>
              <w:tab w:val="right" w:leader="dot" w:pos="8296"/>
            </w:tabs>
            <w:rPr>
              <w:rFonts w:asciiTheme="minorHAnsi" w:eastAsiaTheme="minorEastAsia" w:hAnsiTheme="minorHAnsi"/>
              <w:noProof/>
              <w:kern w:val="2"/>
              <w:sz w:val="24"/>
              <w:szCs w:val="24"/>
              <w:lang w:val="en-US"/>
              <w14:ligatures w14:val="standardContextual"/>
            </w:rPr>
          </w:pPr>
          <w:hyperlink w:anchor="_Toc241175697" w:history="1">
            <w:r w:rsidRPr="00990075">
              <w:rPr>
                <w:rStyle w:val="Hyperlink"/>
                <w:rFonts w:cs="Arial"/>
                <w:noProof/>
              </w:rPr>
              <w:t>2.5 Barriers to Digital Health Use Among Older Adults</w:t>
            </w:r>
            <w:r>
              <w:rPr>
                <w:noProof/>
                <w:webHidden/>
              </w:rPr>
              <w:tab/>
            </w:r>
            <w:r>
              <w:rPr>
                <w:noProof/>
                <w:webHidden/>
              </w:rPr>
              <w:fldChar w:fldCharType="begin"/>
            </w:r>
            <w:r>
              <w:rPr>
                <w:noProof/>
                <w:webHidden/>
              </w:rPr>
              <w:instrText xml:space="preserve"> PAGEREF _Toc241175697 \h </w:instrText>
            </w:r>
            <w:r>
              <w:rPr>
                <w:noProof/>
                <w:webHidden/>
              </w:rPr>
            </w:r>
            <w:r>
              <w:rPr>
                <w:noProof/>
                <w:webHidden/>
              </w:rPr>
              <w:fldChar w:fldCharType="separate"/>
            </w:r>
            <w:r>
              <w:rPr>
                <w:noProof/>
                <w:webHidden/>
              </w:rPr>
              <w:t>19</w:t>
            </w:r>
            <w:r>
              <w:rPr>
                <w:noProof/>
                <w:webHidden/>
              </w:rPr>
              <w:fldChar w:fldCharType="end"/>
            </w:r>
          </w:hyperlink>
        </w:p>
        <w:p w14:paraId="6E478749" w14:textId="7C0C99D0" w:rsidR="0045687E" w:rsidRDefault="0045687E">
          <w:pPr>
            <w:pStyle w:val="TOC3"/>
            <w:tabs>
              <w:tab w:val="right" w:leader="dot" w:pos="8296"/>
            </w:tabs>
            <w:rPr>
              <w:rFonts w:asciiTheme="minorHAnsi" w:eastAsiaTheme="minorEastAsia" w:hAnsiTheme="minorHAnsi"/>
              <w:noProof/>
              <w:kern w:val="2"/>
              <w:sz w:val="24"/>
              <w:szCs w:val="24"/>
              <w:lang w:val="en-US"/>
              <w14:ligatures w14:val="standardContextual"/>
            </w:rPr>
          </w:pPr>
          <w:hyperlink w:anchor="_Toc241175698" w:history="1">
            <w:r w:rsidRPr="00990075">
              <w:rPr>
                <w:rStyle w:val="Hyperlink"/>
                <w:rFonts w:cs="Arial"/>
                <w:noProof/>
              </w:rPr>
              <w:t>2.5.1 Individual-Level Barriers: Skills, Confidence, Health Status and Usability</w:t>
            </w:r>
            <w:r>
              <w:rPr>
                <w:noProof/>
                <w:webHidden/>
              </w:rPr>
              <w:tab/>
            </w:r>
            <w:r>
              <w:rPr>
                <w:noProof/>
                <w:webHidden/>
              </w:rPr>
              <w:fldChar w:fldCharType="begin"/>
            </w:r>
            <w:r>
              <w:rPr>
                <w:noProof/>
                <w:webHidden/>
              </w:rPr>
              <w:instrText xml:space="preserve"> PAGEREF _Toc241175698 \h </w:instrText>
            </w:r>
            <w:r>
              <w:rPr>
                <w:noProof/>
                <w:webHidden/>
              </w:rPr>
            </w:r>
            <w:r>
              <w:rPr>
                <w:noProof/>
                <w:webHidden/>
              </w:rPr>
              <w:fldChar w:fldCharType="separate"/>
            </w:r>
            <w:r>
              <w:rPr>
                <w:noProof/>
                <w:webHidden/>
              </w:rPr>
              <w:t>19</w:t>
            </w:r>
            <w:r>
              <w:rPr>
                <w:noProof/>
                <w:webHidden/>
              </w:rPr>
              <w:fldChar w:fldCharType="end"/>
            </w:r>
          </w:hyperlink>
        </w:p>
        <w:p w14:paraId="491DDD73" w14:textId="60268B55" w:rsidR="0045687E" w:rsidRDefault="0045687E">
          <w:pPr>
            <w:pStyle w:val="TOC3"/>
            <w:tabs>
              <w:tab w:val="right" w:leader="dot" w:pos="8296"/>
            </w:tabs>
            <w:rPr>
              <w:rFonts w:asciiTheme="minorHAnsi" w:eastAsiaTheme="minorEastAsia" w:hAnsiTheme="minorHAnsi"/>
              <w:noProof/>
              <w:kern w:val="2"/>
              <w:sz w:val="24"/>
              <w:szCs w:val="24"/>
              <w:lang w:val="en-US"/>
              <w14:ligatures w14:val="standardContextual"/>
            </w:rPr>
          </w:pPr>
          <w:hyperlink w:anchor="_Toc241175699" w:history="1">
            <w:r w:rsidRPr="00990075">
              <w:rPr>
                <w:rStyle w:val="Hyperlink"/>
                <w:rFonts w:cs="Arial"/>
                <w:noProof/>
              </w:rPr>
              <w:t>2.5.2 Structural and Service-Level Barriers: Access, Inequality, Language and Digital-First Systems</w:t>
            </w:r>
            <w:r>
              <w:rPr>
                <w:noProof/>
                <w:webHidden/>
              </w:rPr>
              <w:tab/>
            </w:r>
            <w:r>
              <w:rPr>
                <w:noProof/>
                <w:webHidden/>
              </w:rPr>
              <w:fldChar w:fldCharType="begin"/>
            </w:r>
            <w:r>
              <w:rPr>
                <w:noProof/>
                <w:webHidden/>
              </w:rPr>
              <w:instrText xml:space="preserve"> PAGEREF _Toc241175699 \h </w:instrText>
            </w:r>
            <w:r>
              <w:rPr>
                <w:noProof/>
                <w:webHidden/>
              </w:rPr>
            </w:r>
            <w:r>
              <w:rPr>
                <w:noProof/>
                <w:webHidden/>
              </w:rPr>
              <w:fldChar w:fldCharType="separate"/>
            </w:r>
            <w:r>
              <w:rPr>
                <w:noProof/>
                <w:webHidden/>
              </w:rPr>
              <w:t>20</w:t>
            </w:r>
            <w:r>
              <w:rPr>
                <w:noProof/>
                <w:webHidden/>
              </w:rPr>
              <w:fldChar w:fldCharType="end"/>
            </w:r>
          </w:hyperlink>
        </w:p>
        <w:p w14:paraId="19C56E34" w14:textId="68159FF4" w:rsidR="0045687E" w:rsidRDefault="0045687E">
          <w:pPr>
            <w:pStyle w:val="TOC2"/>
            <w:tabs>
              <w:tab w:val="right" w:leader="dot" w:pos="8296"/>
            </w:tabs>
            <w:rPr>
              <w:rFonts w:asciiTheme="minorHAnsi" w:eastAsiaTheme="minorEastAsia" w:hAnsiTheme="minorHAnsi"/>
              <w:noProof/>
              <w:kern w:val="2"/>
              <w:sz w:val="24"/>
              <w:szCs w:val="24"/>
              <w:lang w:val="en-US"/>
              <w14:ligatures w14:val="standardContextual"/>
            </w:rPr>
          </w:pPr>
          <w:hyperlink w:anchor="_Toc241175700" w:history="1">
            <w:r w:rsidRPr="00990075">
              <w:rPr>
                <w:rStyle w:val="Hyperlink"/>
                <w:rFonts w:cs="Arial"/>
                <w:noProof/>
              </w:rPr>
              <w:t>2.6 Facilitators of Digital Health Engagement</w:t>
            </w:r>
            <w:r>
              <w:rPr>
                <w:noProof/>
                <w:webHidden/>
              </w:rPr>
              <w:tab/>
            </w:r>
            <w:r>
              <w:rPr>
                <w:noProof/>
                <w:webHidden/>
              </w:rPr>
              <w:fldChar w:fldCharType="begin"/>
            </w:r>
            <w:r>
              <w:rPr>
                <w:noProof/>
                <w:webHidden/>
              </w:rPr>
              <w:instrText xml:space="preserve"> PAGEREF _Toc241175700 \h </w:instrText>
            </w:r>
            <w:r>
              <w:rPr>
                <w:noProof/>
                <w:webHidden/>
              </w:rPr>
            </w:r>
            <w:r>
              <w:rPr>
                <w:noProof/>
                <w:webHidden/>
              </w:rPr>
              <w:fldChar w:fldCharType="separate"/>
            </w:r>
            <w:r>
              <w:rPr>
                <w:noProof/>
                <w:webHidden/>
              </w:rPr>
              <w:t>21</w:t>
            </w:r>
            <w:r>
              <w:rPr>
                <w:noProof/>
                <w:webHidden/>
              </w:rPr>
              <w:fldChar w:fldCharType="end"/>
            </w:r>
          </w:hyperlink>
        </w:p>
        <w:p w14:paraId="46218A2C" w14:textId="244AE0EA" w:rsidR="0045687E" w:rsidRDefault="0045687E">
          <w:pPr>
            <w:pStyle w:val="TOC2"/>
            <w:tabs>
              <w:tab w:val="right" w:leader="dot" w:pos="8296"/>
            </w:tabs>
            <w:rPr>
              <w:rFonts w:asciiTheme="minorHAnsi" w:eastAsiaTheme="minorEastAsia" w:hAnsiTheme="minorHAnsi"/>
              <w:noProof/>
              <w:kern w:val="2"/>
              <w:sz w:val="24"/>
              <w:szCs w:val="24"/>
              <w:lang w:val="en-US"/>
              <w14:ligatures w14:val="standardContextual"/>
            </w:rPr>
          </w:pPr>
          <w:hyperlink w:anchor="_Toc241175701" w:history="1">
            <w:r w:rsidRPr="00990075">
              <w:rPr>
                <w:rStyle w:val="Hyperlink"/>
                <w:rFonts w:cs="Arial"/>
                <w:noProof/>
              </w:rPr>
              <w:t>2.7 Digital Inclusion, Inequality and the Risk of Widening Health Gaps</w:t>
            </w:r>
            <w:r>
              <w:rPr>
                <w:noProof/>
                <w:webHidden/>
              </w:rPr>
              <w:tab/>
            </w:r>
            <w:r>
              <w:rPr>
                <w:noProof/>
                <w:webHidden/>
              </w:rPr>
              <w:fldChar w:fldCharType="begin"/>
            </w:r>
            <w:r>
              <w:rPr>
                <w:noProof/>
                <w:webHidden/>
              </w:rPr>
              <w:instrText xml:space="preserve"> PAGEREF _Toc241175701 \h </w:instrText>
            </w:r>
            <w:r>
              <w:rPr>
                <w:noProof/>
                <w:webHidden/>
              </w:rPr>
            </w:r>
            <w:r>
              <w:rPr>
                <w:noProof/>
                <w:webHidden/>
              </w:rPr>
              <w:fldChar w:fldCharType="separate"/>
            </w:r>
            <w:r>
              <w:rPr>
                <w:noProof/>
                <w:webHidden/>
              </w:rPr>
              <w:t>21</w:t>
            </w:r>
            <w:r>
              <w:rPr>
                <w:noProof/>
                <w:webHidden/>
              </w:rPr>
              <w:fldChar w:fldCharType="end"/>
            </w:r>
          </w:hyperlink>
        </w:p>
        <w:p w14:paraId="0FBE8631" w14:textId="7CAC6D52" w:rsidR="0045687E" w:rsidRDefault="0045687E">
          <w:pPr>
            <w:pStyle w:val="TOC3"/>
            <w:tabs>
              <w:tab w:val="right" w:leader="dot" w:pos="8296"/>
            </w:tabs>
            <w:rPr>
              <w:rFonts w:asciiTheme="minorHAnsi" w:eastAsiaTheme="minorEastAsia" w:hAnsiTheme="minorHAnsi"/>
              <w:noProof/>
              <w:kern w:val="2"/>
              <w:sz w:val="24"/>
              <w:szCs w:val="24"/>
              <w:lang w:val="en-US"/>
              <w14:ligatures w14:val="standardContextual"/>
            </w:rPr>
          </w:pPr>
          <w:hyperlink w:anchor="_Toc241175702" w:history="1">
            <w:r w:rsidRPr="00990075">
              <w:rPr>
                <w:rStyle w:val="Hyperlink"/>
                <w:rFonts w:cs="Arial"/>
                <w:noProof/>
              </w:rPr>
              <w:t>2.7.1 Ageing, Digital Exclusion and Access Inequality</w:t>
            </w:r>
            <w:r>
              <w:rPr>
                <w:noProof/>
                <w:webHidden/>
              </w:rPr>
              <w:tab/>
            </w:r>
            <w:r>
              <w:rPr>
                <w:noProof/>
                <w:webHidden/>
              </w:rPr>
              <w:fldChar w:fldCharType="begin"/>
            </w:r>
            <w:r>
              <w:rPr>
                <w:noProof/>
                <w:webHidden/>
              </w:rPr>
              <w:instrText xml:space="preserve"> PAGEREF _Toc241175702 \h </w:instrText>
            </w:r>
            <w:r>
              <w:rPr>
                <w:noProof/>
                <w:webHidden/>
              </w:rPr>
            </w:r>
            <w:r>
              <w:rPr>
                <w:noProof/>
                <w:webHidden/>
              </w:rPr>
              <w:fldChar w:fldCharType="separate"/>
            </w:r>
            <w:r>
              <w:rPr>
                <w:noProof/>
                <w:webHidden/>
              </w:rPr>
              <w:t>21</w:t>
            </w:r>
            <w:r>
              <w:rPr>
                <w:noProof/>
                <w:webHidden/>
              </w:rPr>
              <w:fldChar w:fldCharType="end"/>
            </w:r>
          </w:hyperlink>
        </w:p>
        <w:p w14:paraId="1B2EAEDD" w14:textId="38B3C932" w:rsidR="0045687E" w:rsidRDefault="0045687E">
          <w:pPr>
            <w:pStyle w:val="TOC3"/>
            <w:tabs>
              <w:tab w:val="right" w:leader="dot" w:pos="8296"/>
            </w:tabs>
            <w:rPr>
              <w:rFonts w:asciiTheme="minorHAnsi" w:eastAsiaTheme="minorEastAsia" w:hAnsiTheme="minorHAnsi"/>
              <w:noProof/>
              <w:kern w:val="2"/>
              <w:sz w:val="24"/>
              <w:szCs w:val="24"/>
              <w:lang w:val="en-US"/>
              <w14:ligatures w14:val="standardContextual"/>
            </w:rPr>
          </w:pPr>
          <w:hyperlink w:anchor="_Toc241175703" w:history="1">
            <w:r w:rsidRPr="00990075">
              <w:rPr>
                <w:rStyle w:val="Hyperlink"/>
                <w:rFonts w:cs="Arial"/>
                <w:noProof/>
              </w:rPr>
              <w:t>2.7.2 Deprivation, Ethnicity, Language and Intersectionality</w:t>
            </w:r>
            <w:r>
              <w:rPr>
                <w:noProof/>
                <w:webHidden/>
              </w:rPr>
              <w:tab/>
            </w:r>
            <w:r>
              <w:rPr>
                <w:noProof/>
                <w:webHidden/>
              </w:rPr>
              <w:fldChar w:fldCharType="begin"/>
            </w:r>
            <w:r>
              <w:rPr>
                <w:noProof/>
                <w:webHidden/>
              </w:rPr>
              <w:instrText xml:space="preserve"> PAGEREF _Toc241175703 \h </w:instrText>
            </w:r>
            <w:r>
              <w:rPr>
                <w:noProof/>
                <w:webHidden/>
              </w:rPr>
            </w:r>
            <w:r>
              <w:rPr>
                <w:noProof/>
                <w:webHidden/>
              </w:rPr>
              <w:fldChar w:fldCharType="separate"/>
            </w:r>
            <w:r>
              <w:rPr>
                <w:noProof/>
                <w:webHidden/>
              </w:rPr>
              <w:t>22</w:t>
            </w:r>
            <w:r>
              <w:rPr>
                <w:noProof/>
                <w:webHidden/>
              </w:rPr>
              <w:fldChar w:fldCharType="end"/>
            </w:r>
          </w:hyperlink>
        </w:p>
        <w:p w14:paraId="68F71C70" w14:textId="2AB067D6" w:rsidR="0045687E" w:rsidRDefault="0045687E">
          <w:pPr>
            <w:pStyle w:val="TOC3"/>
            <w:tabs>
              <w:tab w:val="right" w:leader="dot" w:pos="8296"/>
            </w:tabs>
            <w:rPr>
              <w:rFonts w:asciiTheme="minorHAnsi" w:eastAsiaTheme="minorEastAsia" w:hAnsiTheme="minorHAnsi"/>
              <w:noProof/>
              <w:kern w:val="2"/>
              <w:sz w:val="24"/>
              <w:szCs w:val="24"/>
              <w:lang w:val="en-US"/>
              <w14:ligatures w14:val="standardContextual"/>
            </w:rPr>
          </w:pPr>
          <w:hyperlink w:anchor="_Toc241175704" w:history="1">
            <w:r w:rsidRPr="00990075">
              <w:rPr>
                <w:rStyle w:val="Hyperlink"/>
                <w:rFonts w:cs="Arial"/>
                <w:noProof/>
              </w:rPr>
              <w:t>2.7.3 Policy Responses and Inclusive Digital Healthcare</w:t>
            </w:r>
            <w:r>
              <w:rPr>
                <w:noProof/>
                <w:webHidden/>
              </w:rPr>
              <w:tab/>
            </w:r>
            <w:r>
              <w:rPr>
                <w:noProof/>
                <w:webHidden/>
              </w:rPr>
              <w:fldChar w:fldCharType="begin"/>
            </w:r>
            <w:r>
              <w:rPr>
                <w:noProof/>
                <w:webHidden/>
              </w:rPr>
              <w:instrText xml:space="preserve"> PAGEREF _Toc241175704 \h </w:instrText>
            </w:r>
            <w:r>
              <w:rPr>
                <w:noProof/>
                <w:webHidden/>
              </w:rPr>
            </w:r>
            <w:r>
              <w:rPr>
                <w:noProof/>
                <w:webHidden/>
              </w:rPr>
              <w:fldChar w:fldCharType="separate"/>
            </w:r>
            <w:r>
              <w:rPr>
                <w:noProof/>
                <w:webHidden/>
              </w:rPr>
              <w:t>22</w:t>
            </w:r>
            <w:r>
              <w:rPr>
                <w:noProof/>
                <w:webHidden/>
              </w:rPr>
              <w:fldChar w:fldCharType="end"/>
            </w:r>
          </w:hyperlink>
        </w:p>
        <w:p w14:paraId="6B0AF1D1" w14:textId="3A5ED7CA" w:rsidR="0045687E" w:rsidRDefault="0045687E">
          <w:pPr>
            <w:pStyle w:val="TOC2"/>
            <w:tabs>
              <w:tab w:val="right" w:leader="dot" w:pos="8296"/>
            </w:tabs>
            <w:rPr>
              <w:rFonts w:asciiTheme="minorHAnsi" w:eastAsiaTheme="minorEastAsia" w:hAnsiTheme="minorHAnsi"/>
              <w:noProof/>
              <w:kern w:val="2"/>
              <w:sz w:val="24"/>
              <w:szCs w:val="24"/>
              <w:lang w:val="en-US"/>
              <w14:ligatures w14:val="standardContextual"/>
            </w:rPr>
          </w:pPr>
          <w:hyperlink w:anchor="_Toc241175705" w:history="1">
            <w:r w:rsidRPr="00990075">
              <w:rPr>
                <w:rStyle w:val="Hyperlink"/>
                <w:rFonts w:cs="Arial"/>
                <w:noProof/>
              </w:rPr>
              <w:t>2.8 Theoretical Framework</w:t>
            </w:r>
            <w:r>
              <w:rPr>
                <w:noProof/>
                <w:webHidden/>
              </w:rPr>
              <w:tab/>
            </w:r>
            <w:r>
              <w:rPr>
                <w:noProof/>
                <w:webHidden/>
              </w:rPr>
              <w:fldChar w:fldCharType="begin"/>
            </w:r>
            <w:r>
              <w:rPr>
                <w:noProof/>
                <w:webHidden/>
              </w:rPr>
              <w:instrText xml:space="preserve"> PAGEREF _Toc241175705 \h </w:instrText>
            </w:r>
            <w:r>
              <w:rPr>
                <w:noProof/>
                <w:webHidden/>
              </w:rPr>
            </w:r>
            <w:r>
              <w:rPr>
                <w:noProof/>
                <w:webHidden/>
              </w:rPr>
              <w:fldChar w:fldCharType="separate"/>
            </w:r>
            <w:r>
              <w:rPr>
                <w:noProof/>
                <w:webHidden/>
              </w:rPr>
              <w:t>23</w:t>
            </w:r>
            <w:r>
              <w:rPr>
                <w:noProof/>
                <w:webHidden/>
              </w:rPr>
              <w:fldChar w:fldCharType="end"/>
            </w:r>
          </w:hyperlink>
        </w:p>
        <w:p w14:paraId="1DEBC5CE" w14:textId="23886300" w:rsidR="0045687E" w:rsidRDefault="0045687E">
          <w:pPr>
            <w:pStyle w:val="TOC3"/>
            <w:tabs>
              <w:tab w:val="right" w:leader="dot" w:pos="8296"/>
            </w:tabs>
            <w:rPr>
              <w:rFonts w:asciiTheme="minorHAnsi" w:eastAsiaTheme="minorEastAsia" w:hAnsiTheme="minorHAnsi"/>
              <w:noProof/>
              <w:kern w:val="2"/>
              <w:sz w:val="24"/>
              <w:szCs w:val="24"/>
              <w:lang w:val="en-US"/>
              <w14:ligatures w14:val="standardContextual"/>
            </w:rPr>
          </w:pPr>
          <w:hyperlink w:anchor="_Toc241175706" w:history="1">
            <w:r w:rsidRPr="00990075">
              <w:rPr>
                <w:rStyle w:val="Hyperlink"/>
                <w:rFonts w:cs="Arial"/>
                <w:noProof/>
              </w:rPr>
              <w:t>2.8.1 Digital Divide Theory</w:t>
            </w:r>
            <w:r>
              <w:rPr>
                <w:noProof/>
                <w:webHidden/>
              </w:rPr>
              <w:tab/>
            </w:r>
            <w:r>
              <w:rPr>
                <w:noProof/>
                <w:webHidden/>
              </w:rPr>
              <w:fldChar w:fldCharType="begin"/>
            </w:r>
            <w:r>
              <w:rPr>
                <w:noProof/>
                <w:webHidden/>
              </w:rPr>
              <w:instrText xml:space="preserve"> PAGEREF _Toc241175706 \h </w:instrText>
            </w:r>
            <w:r>
              <w:rPr>
                <w:noProof/>
                <w:webHidden/>
              </w:rPr>
            </w:r>
            <w:r>
              <w:rPr>
                <w:noProof/>
                <w:webHidden/>
              </w:rPr>
              <w:fldChar w:fldCharType="separate"/>
            </w:r>
            <w:r>
              <w:rPr>
                <w:noProof/>
                <w:webHidden/>
              </w:rPr>
              <w:t>23</w:t>
            </w:r>
            <w:r>
              <w:rPr>
                <w:noProof/>
                <w:webHidden/>
              </w:rPr>
              <w:fldChar w:fldCharType="end"/>
            </w:r>
          </w:hyperlink>
        </w:p>
        <w:p w14:paraId="79103272" w14:textId="488E788F" w:rsidR="0045687E" w:rsidRDefault="0045687E">
          <w:pPr>
            <w:pStyle w:val="TOC3"/>
            <w:tabs>
              <w:tab w:val="right" w:leader="dot" w:pos="8296"/>
            </w:tabs>
            <w:rPr>
              <w:rFonts w:asciiTheme="minorHAnsi" w:eastAsiaTheme="minorEastAsia" w:hAnsiTheme="minorHAnsi"/>
              <w:noProof/>
              <w:kern w:val="2"/>
              <w:sz w:val="24"/>
              <w:szCs w:val="24"/>
              <w:lang w:val="en-US"/>
              <w14:ligatures w14:val="standardContextual"/>
            </w:rPr>
          </w:pPr>
          <w:hyperlink w:anchor="_Toc241175707" w:history="1">
            <w:r w:rsidRPr="00990075">
              <w:rPr>
                <w:rStyle w:val="Hyperlink"/>
                <w:rFonts w:cs="Arial"/>
                <w:noProof/>
              </w:rPr>
              <w:t>2.8.2 Technology Acceptance Model</w:t>
            </w:r>
            <w:r>
              <w:rPr>
                <w:noProof/>
                <w:webHidden/>
              </w:rPr>
              <w:tab/>
            </w:r>
            <w:r>
              <w:rPr>
                <w:noProof/>
                <w:webHidden/>
              </w:rPr>
              <w:fldChar w:fldCharType="begin"/>
            </w:r>
            <w:r>
              <w:rPr>
                <w:noProof/>
                <w:webHidden/>
              </w:rPr>
              <w:instrText xml:space="preserve"> PAGEREF _Toc241175707 \h </w:instrText>
            </w:r>
            <w:r>
              <w:rPr>
                <w:noProof/>
                <w:webHidden/>
              </w:rPr>
            </w:r>
            <w:r>
              <w:rPr>
                <w:noProof/>
                <w:webHidden/>
              </w:rPr>
              <w:fldChar w:fldCharType="separate"/>
            </w:r>
            <w:r>
              <w:rPr>
                <w:noProof/>
                <w:webHidden/>
              </w:rPr>
              <w:t>24</w:t>
            </w:r>
            <w:r>
              <w:rPr>
                <w:noProof/>
                <w:webHidden/>
              </w:rPr>
              <w:fldChar w:fldCharType="end"/>
            </w:r>
          </w:hyperlink>
        </w:p>
        <w:p w14:paraId="7D6C2B9B" w14:textId="390DB78B" w:rsidR="0045687E" w:rsidRDefault="0045687E">
          <w:pPr>
            <w:pStyle w:val="TOC2"/>
            <w:tabs>
              <w:tab w:val="right" w:leader="dot" w:pos="8296"/>
            </w:tabs>
            <w:rPr>
              <w:rFonts w:asciiTheme="minorHAnsi" w:eastAsiaTheme="minorEastAsia" w:hAnsiTheme="minorHAnsi"/>
              <w:noProof/>
              <w:kern w:val="2"/>
              <w:sz w:val="24"/>
              <w:szCs w:val="24"/>
              <w:lang w:val="en-US"/>
              <w14:ligatures w14:val="standardContextual"/>
            </w:rPr>
          </w:pPr>
          <w:hyperlink w:anchor="_Toc241175708" w:history="1">
            <w:r w:rsidRPr="00990075">
              <w:rPr>
                <w:rStyle w:val="Hyperlink"/>
                <w:rFonts w:cs="Arial"/>
                <w:noProof/>
              </w:rPr>
              <w:t>2.9 Conceptual Framework</w:t>
            </w:r>
            <w:r>
              <w:rPr>
                <w:noProof/>
                <w:webHidden/>
              </w:rPr>
              <w:tab/>
            </w:r>
            <w:r>
              <w:rPr>
                <w:noProof/>
                <w:webHidden/>
              </w:rPr>
              <w:fldChar w:fldCharType="begin"/>
            </w:r>
            <w:r>
              <w:rPr>
                <w:noProof/>
                <w:webHidden/>
              </w:rPr>
              <w:instrText xml:space="preserve"> PAGEREF _Toc241175708 \h </w:instrText>
            </w:r>
            <w:r>
              <w:rPr>
                <w:noProof/>
                <w:webHidden/>
              </w:rPr>
            </w:r>
            <w:r>
              <w:rPr>
                <w:noProof/>
                <w:webHidden/>
              </w:rPr>
              <w:fldChar w:fldCharType="separate"/>
            </w:r>
            <w:r>
              <w:rPr>
                <w:noProof/>
                <w:webHidden/>
              </w:rPr>
              <w:t>26</w:t>
            </w:r>
            <w:r>
              <w:rPr>
                <w:noProof/>
                <w:webHidden/>
              </w:rPr>
              <w:fldChar w:fldCharType="end"/>
            </w:r>
          </w:hyperlink>
        </w:p>
        <w:p w14:paraId="39D1E49A" w14:textId="680CFC50" w:rsidR="0045687E" w:rsidRDefault="0045687E">
          <w:pPr>
            <w:pStyle w:val="TOC3"/>
            <w:tabs>
              <w:tab w:val="right" w:leader="dot" w:pos="8296"/>
            </w:tabs>
            <w:rPr>
              <w:rFonts w:asciiTheme="minorHAnsi" w:eastAsiaTheme="minorEastAsia" w:hAnsiTheme="minorHAnsi"/>
              <w:noProof/>
              <w:kern w:val="2"/>
              <w:sz w:val="24"/>
              <w:szCs w:val="24"/>
              <w:lang w:val="en-US"/>
              <w14:ligatures w14:val="standardContextual"/>
            </w:rPr>
          </w:pPr>
          <w:hyperlink w:anchor="_Toc241175709" w:history="1">
            <w:r w:rsidRPr="00990075">
              <w:rPr>
                <w:rStyle w:val="Hyperlink"/>
                <w:rFonts w:cs="Arial"/>
                <w:noProof/>
              </w:rPr>
              <w:t>2.9.1 Proposed Conceptual Framework</w:t>
            </w:r>
            <w:r>
              <w:rPr>
                <w:noProof/>
                <w:webHidden/>
              </w:rPr>
              <w:tab/>
            </w:r>
            <w:r>
              <w:rPr>
                <w:noProof/>
                <w:webHidden/>
              </w:rPr>
              <w:fldChar w:fldCharType="begin"/>
            </w:r>
            <w:r>
              <w:rPr>
                <w:noProof/>
                <w:webHidden/>
              </w:rPr>
              <w:instrText xml:space="preserve"> PAGEREF _Toc241175709 \h </w:instrText>
            </w:r>
            <w:r>
              <w:rPr>
                <w:noProof/>
                <w:webHidden/>
              </w:rPr>
            </w:r>
            <w:r>
              <w:rPr>
                <w:noProof/>
                <w:webHidden/>
              </w:rPr>
              <w:fldChar w:fldCharType="separate"/>
            </w:r>
            <w:r>
              <w:rPr>
                <w:noProof/>
                <w:webHidden/>
              </w:rPr>
              <w:t>26</w:t>
            </w:r>
            <w:r>
              <w:rPr>
                <w:noProof/>
                <w:webHidden/>
              </w:rPr>
              <w:fldChar w:fldCharType="end"/>
            </w:r>
          </w:hyperlink>
        </w:p>
        <w:p w14:paraId="443BB532" w14:textId="7272E457" w:rsidR="0045687E" w:rsidRDefault="0045687E">
          <w:pPr>
            <w:pStyle w:val="TOC3"/>
            <w:tabs>
              <w:tab w:val="right" w:leader="dot" w:pos="8296"/>
            </w:tabs>
            <w:rPr>
              <w:rFonts w:asciiTheme="minorHAnsi" w:eastAsiaTheme="minorEastAsia" w:hAnsiTheme="minorHAnsi"/>
              <w:noProof/>
              <w:kern w:val="2"/>
              <w:sz w:val="24"/>
              <w:szCs w:val="24"/>
              <w:lang w:val="en-US"/>
              <w14:ligatures w14:val="standardContextual"/>
            </w:rPr>
          </w:pPr>
          <w:hyperlink w:anchor="_Toc241175710" w:history="1">
            <w:r w:rsidRPr="00990075">
              <w:rPr>
                <w:rStyle w:val="Hyperlink"/>
                <w:rFonts w:cs="Arial"/>
                <w:noProof/>
              </w:rPr>
              <w:t>2.9.2 Explanation of Framework Relationships</w:t>
            </w:r>
            <w:r>
              <w:rPr>
                <w:noProof/>
                <w:webHidden/>
              </w:rPr>
              <w:tab/>
            </w:r>
            <w:r>
              <w:rPr>
                <w:noProof/>
                <w:webHidden/>
              </w:rPr>
              <w:fldChar w:fldCharType="begin"/>
            </w:r>
            <w:r>
              <w:rPr>
                <w:noProof/>
                <w:webHidden/>
              </w:rPr>
              <w:instrText xml:space="preserve"> PAGEREF _Toc241175710 \h </w:instrText>
            </w:r>
            <w:r>
              <w:rPr>
                <w:noProof/>
                <w:webHidden/>
              </w:rPr>
            </w:r>
            <w:r>
              <w:rPr>
                <w:noProof/>
                <w:webHidden/>
              </w:rPr>
              <w:fldChar w:fldCharType="separate"/>
            </w:r>
            <w:r>
              <w:rPr>
                <w:noProof/>
                <w:webHidden/>
              </w:rPr>
              <w:t>27</w:t>
            </w:r>
            <w:r>
              <w:rPr>
                <w:noProof/>
                <w:webHidden/>
              </w:rPr>
              <w:fldChar w:fldCharType="end"/>
            </w:r>
          </w:hyperlink>
        </w:p>
        <w:p w14:paraId="41A3236B" w14:textId="1BCADC96" w:rsidR="0045687E" w:rsidRDefault="0045687E">
          <w:pPr>
            <w:pStyle w:val="TOC2"/>
            <w:tabs>
              <w:tab w:val="right" w:leader="dot" w:pos="8296"/>
            </w:tabs>
            <w:rPr>
              <w:rFonts w:asciiTheme="minorHAnsi" w:eastAsiaTheme="minorEastAsia" w:hAnsiTheme="minorHAnsi"/>
              <w:noProof/>
              <w:kern w:val="2"/>
              <w:sz w:val="24"/>
              <w:szCs w:val="24"/>
              <w:lang w:val="en-US"/>
              <w14:ligatures w14:val="standardContextual"/>
            </w:rPr>
          </w:pPr>
          <w:hyperlink w:anchor="_Toc241175711" w:history="1">
            <w:r w:rsidRPr="00990075">
              <w:rPr>
                <w:rStyle w:val="Hyperlink"/>
                <w:rFonts w:cs="Arial"/>
                <w:noProof/>
              </w:rPr>
              <w:t>2.10 Literature Gap</w:t>
            </w:r>
            <w:r>
              <w:rPr>
                <w:noProof/>
                <w:webHidden/>
              </w:rPr>
              <w:tab/>
            </w:r>
            <w:r>
              <w:rPr>
                <w:noProof/>
                <w:webHidden/>
              </w:rPr>
              <w:fldChar w:fldCharType="begin"/>
            </w:r>
            <w:r>
              <w:rPr>
                <w:noProof/>
                <w:webHidden/>
              </w:rPr>
              <w:instrText xml:space="preserve"> PAGEREF _Toc241175711 \h </w:instrText>
            </w:r>
            <w:r>
              <w:rPr>
                <w:noProof/>
                <w:webHidden/>
              </w:rPr>
            </w:r>
            <w:r>
              <w:rPr>
                <w:noProof/>
                <w:webHidden/>
              </w:rPr>
              <w:fldChar w:fldCharType="separate"/>
            </w:r>
            <w:r>
              <w:rPr>
                <w:noProof/>
                <w:webHidden/>
              </w:rPr>
              <w:t>27</w:t>
            </w:r>
            <w:r>
              <w:rPr>
                <w:noProof/>
                <w:webHidden/>
              </w:rPr>
              <w:fldChar w:fldCharType="end"/>
            </w:r>
          </w:hyperlink>
        </w:p>
        <w:p w14:paraId="2A929B0F" w14:textId="6C84D7CE" w:rsidR="0045687E" w:rsidRDefault="0045687E">
          <w:pPr>
            <w:pStyle w:val="TOC2"/>
            <w:tabs>
              <w:tab w:val="right" w:leader="dot" w:pos="8296"/>
            </w:tabs>
            <w:rPr>
              <w:rFonts w:asciiTheme="minorHAnsi" w:eastAsiaTheme="minorEastAsia" w:hAnsiTheme="minorHAnsi"/>
              <w:noProof/>
              <w:kern w:val="2"/>
              <w:sz w:val="24"/>
              <w:szCs w:val="24"/>
              <w:lang w:val="en-US"/>
              <w14:ligatures w14:val="standardContextual"/>
            </w:rPr>
          </w:pPr>
          <w:hyperlink w:anchor="_Toc241175712" w:history="1">
            <w:r w:rsidRPr="00990075">
              <w:rPr>
                <w:rStyle w:val="Hyperlink"/>
                <w:rFonts w:cs="Arial"/>
                <w:noProof/>
              </w:rPr>
              <w:t>2.11 Chapter Summary</w:t>
            </w:r>
            <w:r>
              <w:rPr>
                <w:noProof/>
                <w:webHidden/>
              </w:rPr>
              <w:tab/>
            </w:r>
            <w:r>
              <w:rPr>
                <w:noProof/>
                <w:webHidden/>
              </w:rPr>
              <w:fldChar w:fldCharType="begin"/>
            </w:r>
            <w:r>
              <w:rPr>
                <w:noProof/>
                <w:webHidden/>
              </w:rPr>
              <w:instrText xml:space="preserve"> PAGEREF _Toc241175712 \h </w:instrText>
            </w:r>
            <w:r>
              <w:rPr>
                <w:noProof/>
                <w:webHidden/>
              </w:rPr>
            </w:r>
            <w:r>
              <w:rPr>
                <w:noProof/>
                <w:webHidden/>
              </w:rPr>
              <w:fldChar w:fldCharType="separate"/>
            </w:r>
            <w:r>
              <w:rPr>
                <w:noProof/>
                <w:webHidden/>
              </w:rPr>
              <w:t>28</w:t>
            </w:r>
            <w:r>
              <w:rPr>
                <w:noProof/>
                <w:webHidden/>
              </w:rPr>
              <w:fldChar w:fldCharType="end"/>
            </w:r>
          </w:hyperlink>
        </w:p>
        <w:p w14:paraId="55536A76" w14:textId="28D8F4BB" w:rsidR="0045687E" w:rsidRDefault="0045687E">
          <w:pPr>
            <w:pStyle w:val="TOC1"/>
            <w:rPr>
              <w:rFonts w:asciiTheme="minorHAnsi" w:eastAsiaTheme="minorEastAsia" w:hAnsiTheme="minorHAnsi" w:cstheme="minorBidi"/>
              <w:kern w:val="2"/>
              <w:sz w:val="24"/>
              <w:szCs w:val="24"/>
              <w14:ligatures w14:val="standardContextual"/>
            </w:rPr>
          </w:pPr>
          <w:hyperlink w:anchor="_Toc241175713" w:history="1">
            <w:r w:rsidRPr="00990075">
              <w:rPr>
                <w:rStyle w:val="Hyperlink"/>
              </w:rPr>
              <w:t>Chapter Three: Methodology</w:t>
            </w:r>
            <w:r>
              <w:rPr>
                <w:webHidden/>
              </w:rPr>
              <w:tab/>
            </w:r>
            <w:r>
              <w:rPr>
                <w:webHidden/>
              </w:rPr>
              <w:fldChar w:fldCharType="begin"/>
            </w:r>
            <w:r>
              <w:rPr>
                <w:webHidden/>
              </w:rPr>
              <w:instrText xml:space="preserve"> PAGEREF _Toc241175713 \h </w:instrText>
            </w:r>
            <w:r>
              <w:rPr>
                <w:webHidden/>
              </w:rPr>
            </w:r>
            <w:r>
              <w:rPr>
                <w:webHidden/>
              </w:rPr>
              <w:fldChar w:fldCharType="separate"/>
            </w:r>
            <w:r>
              <w:rPr>
                <w:webHidden/>
              </w:rPr>
              <w:t>29</w:t>
            </w:r>
            <w:r>
              <w:rPr>
                <w:webHidden/>
              </w:rPr>
              <w:fldChar w:fldCharType="end"/>
            </w:r>
          </w:hyperlink>
        </w:p>
        <w:p w14:paraId="7C280CCD" w14:textId="50746452" w:rsidR="0045687E" w:rsidRDefault="0045687E">
          <w:pPr>
            <w:pStyle w:val="TOC2"/>
            <w:tabs>
              <w:tab w:val="right" w:leader="dot" w:pos="8296"/>
            </w:tabs>
            <w:rPr>
              <w:rFonts w:asciiTheme="minorHAnsi" w:eastAsiaTheme="minorEastAsia" w:hAnsiTheme="minorHAnsi"/>
              <w:noProof/>
              <w:kern w:val="2"/>
              <w:sz w:val="24"/>
              <w:szCs w:val="24"/>
              <w:lang w:val="en-US"/>
              <w14:ligatures w14:val="standardContextual"/>
            </w:rPr>
          </w:pPr>
          <w:hyperlink w:anchor="_Toc241175714" w:history="1">
            <w:r w:rsidRPr="00990075">
              <w:rPr>
                <w:rStyle w:val="Hyperlink"/>
                <w:rFonts w:cs="Arial"/>
                <w:noProof/>
              </w:rPr>
              <w:t>3.1 Introduction</w:t>
            </w:r>
            <w:r>
              <w:rPr>
                <w:noProof/>
                <w:webHidden/>
              </w:rPr>
              <w:tab/>
            </w:r>
            <w:r>
              <w:rPr>
                <w:noProof/>
                <w:webHidden/>
              </w:rPr>
              <w:fldChar w:fldCharType="begin"/>
            </w:r>
            <w:r>
              <w:rPr>
                <w:noProof/>
                <w:webHidden/>
              </w:rPr>
              <w:instrText xml:space="preserve"> PAGEREF _Toc241175714 \h </w:instrText>
            </w:r>
            <w:r>
              <w:rPr>
                <w:noProof/>
                <w:webHidden/>
              </w:rPr>
            </w:r>
            <w:r>
              <w:rPr>
                <w:noProof/>
                <w:webHidden/>
              </w:rPr>
              <w:fldChar w:fldCharType="separate"/>
            </w:r>
            <w:r>
              <w:rPr>
                <w:noProof/>
                <w:webHidden/>
              </w:rPr>
              <w:t>29</w:t>
            </w:r>
            <w:r>
              <w:rPr>
                <w:noProof/>
                <w:webHidden/>
              </w:rPr>
              <w:fldChar w:fldCharType="end"/>
            </w:r>
          </w:hyperlink>
        </w:p>
        <w:p w14:paraId="27800FCE" w14:textId="6749E3A5" w:rsidR="0045687E" w:rsidRDefault="0045687E">
          <w:pPr>
            <w:pStyle w:val="TOC2"/>
            <w:tabs>
              <w:tab w:val="right" w:leader="dot" w:pos="8296"/>
            </w:tabs>
            <w:rPr>
              <w:rFonts w:asciiTheme="minorHAnsi" w:eastAsiaTheme="minorEastAsia" w:hAnsiTheme="minorHAnsi"/>
              <w:noProof/>
              <w:kern w:val="2"/>
              <w:sz w:val="24"/>
              <w:szCs w:val="24"/>
              <w:lang w:val="en-US"/>
              <w14:ligatures w14:val="standardContextual"/>
            </w:rPr>
          </w:pPr>
          <w:hyperlink w:anchor="_Toc241175715" w:history="1">
            <w:r w:rsidRPr="00990075">
              <w:rPr>
                <w:rStyle w:val="Hyperlink"/>
                <w:rFonts w:cs="Arial"/>
                <w:noProof/>
              </w:rPr>
              <w:t>3.2 Research Philosophy and Paradigm</w:t>
            </w:r>
            <w:r>
              <w:rPr>
                <w:noProof/>
                <w:webHidden/>
              </w:rPr>
              <w:tab/>
            </w:r>
            <w:r>
              <w:rPr>
                <w:noProof/>
                <w:webHidden/>
              </w:rPr>
              <w:fldChar w:fldCharType="begin"/>
            </w:r>
            <w:r>
              <w:rPr>
                <w:noProof/>
                <w:webHidden/>
              </w:rPr>
              <w:instrText xml:space="preserve"> PAGEREF _Toc241175715 \h </w:instrText>
            </w:r>
            <w:r>
              <w:rPr>
                <w:noProof/>
                <w:webHidden/>
              </w:rPr>
            </w:r>
            <w:r>
              <w:rPr>
                <w:noProof/>
                <w:webHidden/>
              </w:rPr>
              <w:fldChar w:fldCharType="separate"/>
            </w:r>
            <w:r>
              <w:rPr>
                <w:noProof/>
                <w:webHidden/>
              </w:rPr>
              <w:t>29</w:t>
            </w:r>
            <w:r>
              <w:rPr>
                <w:noProof/>
                <w:webHidden/>
              </w:rPr>
              <w:fldChar w:fldCharType="end"/>
            </w:r>
          </w:hyperlink>
        </w:p>
        <w:p w14:paraId="76EB2B13" w14:textId="1125EAD6" w:rsidR="0045687E" w:rsidRDefault="0045687E">
          <w:pPr>
            <w:pStyle w:val="TOC2"/>
            <w:tabs>
              <w:tab w:val="right" w:leader="dot" w:pos="8296"/>
            </w:tabs>
            <w:rPr>
              <w:rFonts w:asciiTheme="minorHAnsi" w:eastAsiaTheme="minorEastAsia" w:hAnsiTheme="minorHAnsi"/>
              <w:noProof/>
              <w:kern w:val="2"/>
              <w:sz w:val="24"/>
              <w:szCs w:val="24"/>
              <w:lang w:val="en-US"/>
              <w14:ligatures w14:val="standardContextual"/>
            </w:rPr>
          </w:pPr>
          <w:hyperlink w:anchor="_Toc241175716" w:history="1">
            <w:r w:rsidRPr="00990075">
              <w:rPr>
                <w:rStyle w:val="Hyperlink"/>
                <w:rFonts w:cs="Arial"/>
                <w:noProof/>
              </w:rPr>
              <w:t>3.3 Research Approach and Strategy</w:t>
            </w:r>
            <w:r>
              <w:rPr>
                <w:noProof/>
                <w:webHidden/>
              </w:rPr>
              <w:tab/>
            </w:r>
            <w:r>
              <w:rPr>
                <w:noProof/>
                <w:webHidden/>
              </w:rPr>
              <w:fldChar w:fldCharType="begin"/>
            </w:r>
            <w:r>
              <w:rPr>
                <w:noProof/>
                <w:webHidden/>
              </w:rPr>
              <w:instrText xml:space="preserve"> PAGEREF _Toc241175716 \h </w:instrText>
            </w:r>
            <w:r>
              <w:rPr>
                <w:noProof/>
                <w:webHidden/>
              </w:rPr>
            </w:r>
            <w:r>
              <w:rPr>
                <w:noProof/>
                <w:webHidden/>
              </w:rPr>
              <w:fldChar w:fldCharType="separate"/>
            </w:r>
            <w:r>
              <w:rPr>
                <w:noProof/>
                <w:webHidden/>
              </w:rPr>
              <w:t>30</w:t>
            </w:r>
            <w:r>
              <w:rPr>
                <w:noProof/>
                <w:webHidden/>
              </w:rPr>
              <w:fldChar w:fldCharType="end"/>
            </w:r>
          </w:hyperlink>
        </w:p>
        <w:p w14:paraId="36E05E8E" w14:textId="2B11D606" w:rsidR="0045687E" w:rsidRDefault="0045687E">
          <w:pPr>
            <w:pStyle w:val="TOC2"/>
            <w:tabs>
              <w:tab w:val="right" w:leader="dot" w:pos="8296"/>
            </w:tabs>
            <w:rPr>
              <w:rFonts w:asciiTheme="minorHAnsi" w:eastAsiaTheme="minorEastAsia" w:hAnsiTheme="minorHAnsi"/>
              <w:noProof/>
              <w:kern w:val="2"/>
              <w:sz w:val="24"/>
              <w:szCs w:val="24"/>
              <w:lang w:val="en-US"/>
              <w14:ligatures w14:val="standardContextual"/>
            </w:rPr>
          </w:pPr>
          <w:hyperlink w:anchor="_Toc241175717" w:history="1">
            <w:r w:rsidRPr="00990075">
              <w:rPr>
                <w:rStyle w:val="Hyperlink"/>
                <w:rFonts w:cs="Arial"/>
                <w:noProof/>
              </w:rPr>
              <w:t>3.4 Systematic Review Design</w:t>
            </w:r>
            <w:r>
              <w:rPr>
                <w:noProof/>
                <w:webHidden/>
              </w:rPr>
              <w:tab/>
            </w:r>
            <w:r>
              <w:rPr>
                <w:noProof/>
                <w:webHidden/>
              </w:rPr>
              <w:fldChar w:fldCharType="begin"/>
            </w:r>
            <w:r>
              <w:rPr>
                <w:noProof/>
                <w:webHidden/>
              </w:rPr>
              <w:instrText xml:space="preserve"> PAGEREF _Toc241175717 \h </w:instrText>
            </w:r>
            <w:r>
              <w:rPr>
                <w:noProof/>
                <w:webHidden/>
              </w:rPr>
            </w:r>
            <w:r>
              <w:rPr>
                <w:noProof/>
                <w:webHidden/>
              </w:rPr>
              <w:fldChar w:fldCharType="separate"/>
            </w:r>
            <w:r>
              <w:rPr>
                <w:noProof/>
                <w:webHidden/>
              </w:rPr>
              <w:t>30</w:t>
            </w:r>
            <w:r>
              <w:rPr>
                <w:noProof/>
                <w:webHidden/>
              </w:rPr>
              <w:fldChar w:fldCharType="end"/>
            </w:r>
          </w:hyperlink>
        </w:p>
        <w:p w14:paraId="589841BB" w14:textId="1EBC60CD" w:rsidR="0045687E" w:rsidRDefault="0045687E">
          <w:pPr>
            <w:pStyle w:val="TOC2"/>
            <w:tabs>
              <w:tab w:val="right" w:leader="dot" w:pos="8296"/>
            </w:tabs>
            <w:rPr>
              <w:rFonts w:asciiTheme="minorHAnsi" w:eastAsiaTheme="minorEastAsia" w:hAnsiTheme="minorHAnsi"/>
              <w:noProof/>
              <w:kern w:val="2"/>
              <w:sz w:val="24"/>
              <w:szCs w:val="24"/>
              <w:lang w:val="en-US"/>
              <w14:ligatures w14:val="standardContextual"/>
            </w:rPr>
          </w:pPr>
          <w:hyperlink w:anchor="_Toc241175718" w:history="1">
            <w:r w:rsidRPr="00990075">
              <w:rPr>
                <w:rStyle w:val="Hyperlink"/>
                <w:rFonts w:cs="Arial"/>
                <w:noProof/>
              </w:rPr>
              <w:t>3.5 Ethical Considerations</w:t>
            </w:r>
            <w:r>
              <w:rPr>
                <w:noProof/>
                <w:webHidden/>
              </w:rPr>
              <w:tab/>
            </w:r>
            <w:r>
              <w:rPr>
                <w:noProof/>
                <w:webHidden/>
              </w:rPr>
              <w:fldChar w:fldCharType="begin"/>
            </w:r>
            <w:r>
              <w:rPr>
                <w:noProof/>
                <w:webHidden/>
              </w:rPr>
              <w:instrText xml:space="preserve"> PAGEREF _Toc241175718 \h </w:instrText>
            </w:r>
            <w:r>
              <w:rPr>
                <w:noProof/>
                <w:webHidden/>
              </w:rPr>
            </w:r>
            <w:r>
              <w:rPr>
                <w:noProof/>
                <w:webHidden/>
              </w:rPr>
              <w:fldChar w:fldCharType="separate"/>
            </w:r>
            <w:r>
              <w:rPr>
                <w:noProof/>
                <w:webHidden/>
              </w:rPr>
              <w:t>31</w:t>
            </w:r>
            <w:r>
              <w:rPr>
                <w:noProof/>
                <w:webHidden/>
              </w:rPr>
              <w:fldChar w:fldCharType="end"/>
            </w:r>
          </w:hyperlink>
        </w:p>
        <w:p w14:paraId="641E7C19" w14:textId="44C80B19" w:rsidR="0045687E" w:rsidRDefault="0045687E">
          <w:pPr>
            <w:pStyle w:val="TOC2"/>
            <w:tabs>
              <w:tab w:val="right" w:leader="dot" w:pos="8296"/>
            </w:tabs>
            <w:rPr>
              <w:rFonts w:asciiTheme="minorHAnsi" w:eastAsiaTheme="minorEastAsia" w:hAnsiTheme="minorHAnsi"/>
              <w:noProof/>
              <w:kern w:val="2"/>
              <w:sz w:val="24"/>
              <w:szCs w:val="24"/>
              <w:lang w:val="en-US"/>
              <w14:ligatures w14:val="standardContextual"/>
            </w:rPr>
          </w:pPr>
          <w:hyperlink w:anchor="_Toc241175719" w:history="1">
            <w:r w:rsidRPr="00990075">
              <w:rPr>
                <w:rStyle w:val="Hyperlink"/>
                <w:rFonts w:cs="Arial"/>
                <w:noProof/>
              </w:rPr>
              <w:t>3.6 Data Collection</w:t>
            </w:r>
            <w:r>
              <w:rPr>
                <w:noProof/>
                <w:webHidden/>
              </w:rPr>
              <w:tab/>
            </w:r>
            <w:r>
              <w:rPr>
                <w:noProof/>
                <w:webHidden/>
              </w:rPr>
              <w:fldChar w:fldCharType="begin"/>
            </w:r>
            <w:r>
              <w:rPr>
                <w:noProof/>
                <w:webHidden/>
              </w:rPr>
              <w:instrText xml:space="preserve"> PAGEREF _Toc241175719 \h </w:instrText>
            </w:r>
            <w:r>
              <w:rPr>
                <w:noProof/>
                <w:webHidden/>
              </w:rPr>
            </w:r>
            <w:r>
              <w:rPr>
                <w:noProof/>
                <w:webHidden/>
              </w:rPr>
              <w:fldChar w:fldCharType="separate"/>
            </w:r>
            <w:r>
              <w:rPr>
                <w:noProof/>
                <w:webHidden/>
              </w:rPr>
              <w:t>31</w:t>
            </w:r>
            <w:r>
              <w:rPr>
                <w:noProof/>
                <w:webHidden/>
              </w:rPr>
              <w:fldChar w:fldCharType="end"/>
            </w:r>
          </w:hyperlink>
        </w:p>
        <w:p w14:paraId="008BAAC5" w14:textId="4E5B7A5F" w:rsidR="0045687E" w:rsidRDefault="0045687E">
          <w:pPr>
            <w:pStyle w:val="TOC3"/>
            <w:tabs>
              <w:tab w:val="right" w:leader="dot" w:pos="8296"/>
            </w:tabs>
            <w:rPr>
              <w:rFonts w:asciiTheme="minorHAnsi" w:eastAsiaTheme="minorEastAsia" w:hAnsiTheme="minorHAnsi"/>
              <w:noProof/>
              <w:kern w:val="2"/>
              <w:sz w:val="24"/>
              <w:szCs w:val="24"/>
              <w:lang w:val="en-US"/>
              <w14:ligatures w14:val="standardContextual"/>
            </w:rPr>
          </w:pPr>
          <w:hyperlink w:anchor="_Toc241175720" w:history="1">
            <w:r w:rsidRPr="00990075">
              <w:rPr>
                <w:rStyle w:val="Hyperlink"/>
                <w:rFonts w:cs="Arial"/>
                <w:noProof/>
              </w:rPr>
              <w:t>3.6.1 Question Framework: SPIDER</w:t>
            </w:r>
            <w:r>
              <w:rPr>
                <w:noProof/>
                <w:webHidden/>
              </w:rPr>
              <w:tab/>
            </w:r>
            <w:r>
              <w:rPr>
                <w:noProof/>
                <w:webHidden/>
              </w:rPr>
              <w:fldChar w:fldCharType="begin"/>
            </w:r>
            <w:r>
              <w:rPr>
                <w:noProof/>
                <w:webHidden/>
              </w:rPr>
              <w:instrText xml:space="preserve"> PAGEREF _Toc241175720 \h </w:instrText>
            </w:r>
            <w:r>
              <w:rPr>
                <w:noProof/>
                <w:webHidden/>
              </w:rPr>
            </w:r>
            <w:r>
              <w:rPr>
                <w:noProof/>
                <w:webHidden/>
              </w:rPr>
              <w:fldChar w:fldCharType="separate"/>
            </w:r>
            <w:r>
              <w:rPr>
                <w:noProof/>
                <w:webHidden/>
              </w:rPr>
              <w:t>31</w:t>
            </w:r>
            <w:r>
              <w:rPr>
                <w:noProof/>
                <w:webHidden/>
              </w:rPr>
              <w:fldChar w:fldCharType="end"/>
            </w:r>
          </w:hyperlink>
        </w:p>
        <w:p w14:paraId="0922F953" w14:textId="0C316C5B" w:rsidR="0045687E" w:rsidRDefault="0045687E">
          <w:pPr>
            <w:pStyle w:val="TOC3"/>
            <w:tabs>
              <w:tab w:val="right" w:leader="dot" w:pos="8296"/>
            </w:tabs>
            <w:rPr>
              <w:rFonts w:asciiTheme="minorHAnsi" w:eastAsiaTheme="minorEastAsia" w:hAnsiTheme="minorHAnsi"/>
              <w:noProof/>
              <w:kern w:val="2"/>
              <w:sz w:val="24"/>
              <w:szCs w:val="24"/>
              <w:lang w:val="en-US"/>
              <w14:ligatures w14:val="standardContextual"/>
            </w:rPr>
          </w:pPr>
          <w:hyperlink w:anchor="_Toc241175721" w:history="1">
            <w:r w:rsidRPr="00990075">
              <w:rPr>
                <w:rStyle w:val="Hyperlink"/>
                <w:rFonts w:cs="Arial"/>
                <w:noProof/>
              </w:rPr>
              <w:t>3.6.2 Information Sources and Search Strategy</w:t>
            </w:r>
            <w:r>
              <w:rPr>
                <w:noProof/>
                <w:webHidden/>
              </w:rPr>
              <w:tab/>
            </w:r>
            <w:r>
              <w:rPr>
                <w:noProof/>
                <w:webHidden/>
              </w:rPr>
              <w:fldChar w:fldCharType="begin"/>
            </w:r>
            <w:r>
              <w:rPr>
                <w:noProof/>
                <w:webHidden/>
              </w:rPr>
              <w:instrText xml:space="preserve"> PAGEREF _Toc241175721 \h </w:instrText>
            </w:r>
            <w:r>
              <w:rPr>
                <w:noProof/>
                <w:webHidden/>
              </w:rPr>
            </w:r>
            <w:r>
              <w:rPr>
                <w:noProof/>
                <w:webHidden/>
              </w:rPr>
              <w:fldChar w:fldCharType="separate"/>
            </w:r>
            <w:r>
              <w:rPr>
                <w:noProof/>
                <w:webHidden/>
              </w:rPr>
              <w:t>32</w:t>
            </w:r>
            <w:r>
              <w:rPr>
                <w:noProof/>
                <w:webHidden/>
              </w:rPr>
              <w:fldChar w:fldCharType="end"/>
            </w:r>
          </w:hyperlink>
        </w:p>
        <w:p w14:paraId="1DC389A5" w14:textId="017052E4" w:rsidR="0045687E" w:rsidRDefault="0045687E">
          <w:pPr>
            <w:pStyle w:val="TOC3"/>
            <w:tabs>
              <w:tab w:val="right" w:leader="dot" w:pos="8296"/>
            </w:tabs>
            <w:rPr>
              <w:rFonts w:asciiTheme="minorHAnsi" w:eastAsiaTheme="minorEastAsia" w:hAnsiTheme="minorHAnsi"/>
              <w:noProof/>
              <w:kern w:val="2"/>
              <w:sz w:val="24"/>
              <w:szCs w:val="24"/>
              <w:lang w:val="en-US"/>
              <w14:ligatures w14:val="standardContextual"/>
            </w:rPr>
          </w:pPr>
          <w:hyperlink w:anchor="_Toc241175722" w:history="1">
            <w:r w:rsidRPr="00990075">
              <w:rPr>
                <w:rStyle w:val="Hyperlink"/>
                <w:rFonts w:cs="Arial"/>
                <w:noProof/>
              </w:rPr>
              <w:t>3.6.3 Search Management and Supplementary Searching</w:t>
            </w:r>
            <w:r>
              <w:rPr>
                <w:noProof/>
                <w:webHidden/>
              </w:rPr>
              <w:tab/>
            </w:r>
            <w:r>
              <w:rPr>
                <w:noProof/>
                <w:webHidden/>
              </w:rPr>
              <w:fldChar w:fldCharType="begin"/>
            </w:r>
            <w:r>
              <w:rPr>
                <w:noProof/>
                <w:webHidden/>
              </w:rPr>
              <w:instrText xml:space="preserve"> PAGEREF _Toc241175722 \h </w:instrText>
            </w:r>
            <w:r>
              <w:rPr>
                <w:noProof/>
                <w:webHidden/>
              </w:rPr>
            </w:r>
            <w:r>
              <w:rPr>
                <w:noProof/>
                <w:webHidden/>
              </w:rPr>
              <w:fldChar w:fldCharType="separate"/>
            </w:r>
            <w:r>
              <w:rPr>
                <w:noProof/>
                <w:webHidden/>
              </w:rPr>
              <w:t>33</w:t>
            </w:r>
            <w:r>
              <w:rPr>
                <w:noProof/>
                <w:webHidden/>
              </w:rPr>
              <w:fldChar w:fldCharType="end"/>
            </w:r>
          </w:hyperlink>
        </w:p>
        <w:p w14:paraId="71844F86" w14:textId="2D2C3A3C" w:rsidR="0045687E" w:rsidRDefault="0045687E">
          <w:pPr>
            <w:pStyle w:val="TOC2"/>
            <w:tabs>
              <w:tab w:val="right" w:leader="dot" w:pos="8296"/>
            </w:tabs>
            <w:rPr>
              <w:rFonts w:asciiTheme="minorHAnsi" w:eastAsiaTheme="minorEastAsia" w:hAnsiTheme="minorHAnsi"/>
              <w:noProof/>
              <w:kern w:val="2"/>
              <w:sz w:val="24"/>
              <w:szCs w:val="24"/>
              <w:lang w:val="en-US"/>
              <w14:ligatures w14:val="standardContextual"/>
            </w:rPr>
          </w:pPr>
          <w:hyperlink w:anchor="_Toc241175723" w:history="1">
            <w:r w:rsidRPr="00990075">
              <w:rPr>
                <w:rStyle w:val="Hyperlink"/>
                <w:rFonts w:cs="Arial"/>
                <w:noProof/>
              </w:rPr>
              <w:t>3.7 Eligibility Criteria</w:t>
            </w:r>
            <w:r>
              <w:rPr>
                <w:noProof/>
                <w:webHidden/>
              </w:rPr>
              <w:tab/>
            </w:r>
            <w:r>
              <w:rPr>
                <w:noProof/>
                <w:webHidden/>
              </w:rPr>
              <w:fldChar w:fldCharType="begin"/>
            </w:r>
            <w:r>
              <w:rPr>
                <w:noProof/>
                <w:webHidden/>
              </w:rPr>
              <w:instrText xml:space="preserve"> PAGEREF _Toc241175723 \h </w:instrText>
            </w:r>
            <w:r>
              <w:rPr>
                <w:noProof/>
                <w:webHidden/>
              </w:rPr>
            </w:r>
            <w:r>
              <w:rPr>
                <w:noProof/>
                <w:webHidden/>
              </w:rPr>
              <w:fldChar w:fldCharType="separate"/>
            </w:r>
            <w:r>
              <w:rPr>
                <w:noProof/>
                <w:webHidden/>
              </w:rPr>
              <w:t>34</w:t>
            </w:r>
            <w:r>
              <w:rPr>
                <w:noProof/>
                <w:webHidden/>
              </w:rPr>
              <w:fldChar w:fldCharType="end"/>
            </w:r>
          </w:hyperlink>
        </w:p>
        <w:p w14:paraId="7BEBC24C" w14:textId="0FD57A14" w:rsidR="0045687E" w:rsidRDefault="0045687E">
          <w:pPr>
            <w:pStyle w:val="TOC2"/>
            <w:tabs>
              <w:tab w:val="right" w:leader="dot" w:pos="8296"/>
            </w:tabs>
            <w:rPr>
              <w:rFonts w:asciiTheme="minorHAnsi" w:eastAsiaTheme="minorEastAsia" w:hAnsiTheme="minorHAnsi"/>
              <w:noProof/>
              <w:kern w:val="2"/>
              <w:sz w:val="24"/>
              <w:szCs w:val="24"/>
              <w:lang w:val="en-US"/>
              <w14:ligatures w14:val="standardContextual"/>
            </w:rPr>
          </w:pPr>
          <w:hyperlink w:anchor="_Toc241175724" w:history="1">
            <w:r w:rsidRPr="00990075">
              <w:rPr>
                <w:rStyle w:val="Hyperlink"/>
                <w:rFonts w:cs="Arial"/>
                <w:noProof/>
              </w:rPr>
              <w:t>3.8 Study Selection</w:t>
            </w:r>
            <w:r>
              <w:rPr>
                <w:noProof/>
                <w:webHidden/>
              </w:rPr>
              <w:tab/>
            </w:r>
            <w:r>
              <w:rPr>
                <w:noProof/>
                <w:webHidden/>
              </w:rPr>
              <w:fldChar w:fldCharType="begin"/>
            </w:r>
            <w:r>
              <w:rPr>
                <w:noProof/>
                <w:webHidden/>
              </w:rPr>
              <w:instrText xml:space="preserve"> PAGEREF _Toc241175724 \h </w:instrText>
            </w:r>
            <w:r>
              <w:rPr>
                <w:noProof/>
                <w:webHidden/>
              </w:rPr>
            </w:r>
            <w:r>
              <w:rPr>
                <w:noProof/>
                <w:webHidden/>
              </w:rPr>
              <w:fldChar w:fldCharType="separate"/>
            </w:r>
            <w:r>
              <w:rPr>
                <w:noProof/>
                <w:webHidden/>
              </w:rPr>
              <w:t>35</w:t>
            </w:r>
            <w:r>
              <w:rPr>
                <w:noProof/>
                <w:webHidden/>
              </w:rPr>
              <w:fldChar w:fldCharType="end"/>
            </w:r>
          </w:hyperlink>
        </w:p>
        <w:p w14:paraId="1E89D486" w14:textId="53F4DED3" w:rsidR="0045687E" w:rsidRDefault="0045687E">
          <w:pPr>
            <w:pStyle w:val="TOC2"/>
            <w:tabs>
              <w:tab w:val="right" w:leader="dot" w:pos="8296"/>
            </w:tabs>
            <w:rPr>
              <w:rFonts w:asciiTheme="minorHAnsi" w:eastAsiaTheme="minorEastAsia" w:hAnsiTheme="minorHAnsi"/>
              <w:noProof/>
              <w:kern w:val="2"/>
              <w:sz w:val="24"/>
              <w:szCs w:val="24"/>
              <w:lang w:val="en-US"/>
              <w14:ligatures w14:val="standardContextual"/>
            </w:rPr>
          </w:pPr>
          <w:hyperlink w:anchor="_Toc241175725" w:history="1">
            <w:r w:rsidRPr="00990075">
              <w:rPr>
                <w:rStyle w:val="Hyperlink"/>
                <w:rFonts w:cs="Arial"/>
                <w:noProof/>
              </w:rPr>
              <w:t>3.9 Critical Appraisal</w:t>
            </w:r>
            <w:r>
              <w:rPr>
                <w:noProof/>
                <w:webHidden/>
              </w:rPr>
              <w:tab/>
            </w:r>
            <w:r>
              <w:rPr>
                <w:noProof/>
                <w:webHidden/>
              </w:rPr>
              <w:fldChar w:fldCharType="begin"/>
            </w:r>
            <w:r>
              <w:rPr>
                <w:noProof/>
                <w:webHidden/>
              </w:rPr>
              <w:instrText xml:space="preserve"> PAGEREF _Toc241175725 \h </w:instrText>
            </w:r>
            <w:r>
              <w:rPr>
                <w:noProof/>
                <w:webHidden/>
              </w:rPr>
            </w:r>
            <w:r>
              <w:rPr>
                <w:noProof/>
                <w:webHidden/>
              </w:rPr>
              <w:fldChar w:fldCharType="separate"/>
            </w:r>
            <w:r>
              <w:rPr>
                <w:noProof/>
                <w:webHidden/>
              </w:rPr>
              <w:t>36</w:t>
            </w:r>
            <w:r>
              <w:rPr>
                <w:noProof/>
                <w:webHidden/>
              </w:rPr>
              <w:fldChar w:fldCharType="end"/>
            </w:r>
          </w:hyperlink>
        </w:p>
        <w:p w14:paraId="28AAD659" w14:textId="69CC731B" w:rsidR="0045687E" w:rsidRDefault="0045687E">
          <w:pPr>
            <w:pStyle w:val="TOC2"/>
            <w:tabs>
              <w:tab w:val="right" w:leader="dot" w:pos="8296"/>
            </w:tabs>
            <w:rPr>
              <w:rFonts w:asciiTheme="minorHAnsi" w:eastAsiaTheme="minorEastAsia" w:hAnsiTheme="minorHAnsi"/>
              <w:noProof/>
              <w:kern w:val="2"/>
              <w:sz w:val="24"/>
              <w:szCs w:val="24"/>
              <w:lang w:val="en-US"/>
              <w14:ligatures w14:val="standardContextual"/>
            </w:rPr>
          </w:pPr>
          <w:hyperlink w:anchor="_Toc241175726" w:history="1">
            <w:r w:rsidRPr="00990075">
              <w:rPr>
                <w:rStyle w:val="Hyperlink"/>
                <w:rFonts w:cs="Arial"/>
                <w:noProof/>
              </w:rPr>
              <w:t>3.10 Data Extraction</w:t>
            </w:r>
            <w:r>
              <w:rPr>
                <w:noProof/>
                <w:webHidden/>
              </w:rPr>
              <w:tab/>
            </w:r>
            <w:r>
              <w:rPr>
                <w:noProof/>
                <w:webHidden/>
              </w:rPr>
              <w:fldChar w:fldCharType="begin"/>
            </w:r>
            <w:r>
              <w:rPr>
                <w:noProof/>
                <w:webHidden/>
              </w:rPr>
              <w:instrText xml:space="preserve"> PAGEREF _Toc241175726 \h </w:instrText>
            </w:r>
            <w:r>
              <w:rPr>
                <w:noProof/>
                <w:webHidden/>
              </w:rPr>
            </w:r>
            <w:r>
              <w:rPr>
                <w:noProof/>
                <w:webHidden/>
              </w:rPr>
              <w:fldChar w:fldCharType="separate"/>
            </w:r>
            <w:r>
              <w:rPr>
                <w:noProof/>
                <w:webHidden/>
              </w:rPr>
              <w:t>37</w:t>
            </w:r>
            <w:r>
              <w:rPr>
                <w:noProof/>
                <w:webHidden/>
              </w:rPr>
              <w:fldChar w:fldCharType="end"/>
            </w:r>
          </w:hyperlink>
        </w:p>
        <w:p w14:paraId="3CEDDA9E" w14:textId="45E17DDE" w:rsidR="0045687E" w:rsidRDefault="0045687E">
          <w:pPr>
            <w:pStyle w:val="TOC2"/>
            <w:tabs>
              <w:tab w:val="right" w:leader="dot" w:pos="8296"/>
            </w:tabs>
            <w:rPr>
              <w:rFonts w:asciiTheme="minorHAnsi" w:eastAsiaTheme="minorEastAsia" w:hAnsiTheme="minorHAnsi"/>
              <w:noProof/>
              <w:kern w:val="2"/>
              <w:sz w:val="24"/>
              <w:szCs w:val="24"/>
              <w:lang w:val="en-US"/>
              <w14:ligatures w14:val="standardContextual"/>
            </w:rPr>
          </w:pPr>
          <w:hyperlink w:anchor="_Toc241175727" w:history="1">
            <w:r w:rsidRPr="00990075">
              <w:rPr>
                <w:rStyle w:val="Hyperlink"/>
                <w:rFonts w:cs="Arial"/>
                <w:noProof/>
              </w:rPr>
              <w:t>3.11 Data Synthesis and Analysis</w:t>
            </w:r>
            <w:r>
              <w:rPr>
                <w:noProof/>
                <w:webHidden/>
              </w:rPr>
              <w:tab/>
            </w:r>
            <w:r>
              <w:rPr>
                <w:noProof/>
                <w:webHidden/>
              </w:rPr>
              <w:fldChar w:fldCharType="begin"/>
            </w:r>
            <w:r>
              <w:rPr>
                <w:noProof/>
                <w:webHidden/>
              </w:rPr>
              <w:instrText xml:space="preserve"> PAGEREF _Toc241175727 \h </w:instrText>
            </w:r>
            <w:r>
              <w:rPr>
                <w:noProof/>
                <w:webHidden/>
              </w:rPr>
            </w:r>
            <w:r>
              <w:rPr>
                <w:noProof/>
                <w:webHidden/>
              </w:rPr>
              <w:fldChar w:fldCharType="separate"/>
            </w:r>
            <w:r>
              <w:rPr>
                <w:noProof/>
                <w:webHidden/>
              </w:rPr>
              <w:t>37</w:t>
            </w:r>
            <w:r>
              <w:rPr>
                <w:noProof/>
                <w:webHidden/>
              </w:rPr>
              <w:fldChar w:fldCharType="end"/>
            </w:r>
          </w:hyperlink>
        </w:p>
        <w:p w14:paraId="0BE8A16A" w14:textId="6DD0D645" w:rsidR="0045687E" w:rsidRDefault="0045687E">
          <w:pPr>
            <w:pStyle w:val="TOC2"/>
            <w:tabs>
              <w:tab w:val="right" w:leader="dot" w:pos="8296"/>
            </w:tabs>
            <w:rPr>
              <w:rFonts w:asciiTheme="minorHAnsi" w:eastAsiaTheme="minorEastAsia" w:hAnsiTheme="minorHAnsi"/>
              <w:noProof/>
              <w:kern w:val="2"/>
              <w:sz w:val="24"/>
              <w:szCs w:val="24"/>
              <w:lang w:val="en-US"/>
              <w14:ligatures w14:val="standardContextual"/>
            </w:rPr>
          </w:pPr>
          <w:hyperlink w:anchor="_Toc241175728" w:history="1">
            <w:r w:rsidRPr="00990075">
              <w:rPr>
                <w:rStyle w:val="Hyperlink"/>
                <w:rFonts w:cs="Arial"/>
                <w:noProof/>
              </w:rPr>
              <w:t>3.12 Rigour, Bias and Limitations</w:t>
            </w:r>
            <w:r>
              <w:rPr>
                <w:noProof/>
                <w:webHidden/>
              </w:rPr>
              <w:tab/>
            </w:r>
            <w:r>
              <w:rPr>
                <w:noProof/>
                <w:webHidden/>
              </w:rPr>
              <w:fldChar w:fldCharType="begin"/>
            </w:r>
            <w:r>
              <w:rPr>
                <w:noProof/>
                <w:webHidden/>
              </w:rPr>
              <w:instrText xml:space="preserve"> PAGEREF _Toc241175728 \h </w:instrText>
            </w:r>
            <w:r>
              <w:rPr>
                <w:noProof/>
                <w:webHidden/>
              </w:rPr>
            </w:r>
            <w:r>
              <w:rPr>
                <w:noProof/>
                <w:webHidden/>
              </w:rPr>
              <w:fldChar w:fldCharType="separate"/>
            </w:r>
            <w:r>
              <w:rPr>
                <w:noProof/>
                <w:webHidden/>
              </w:rPr>
              <w:t>38</w:t>
            </w:r>
            <w:r>
              <w:rPr>
                <w:noProof/>
                <w:webHidden/>
              </w:rPr>
              <w:fldChar w:fldCharType="end"/>
            </w:r>
          </w:hyperlink>
        </w:p>
        <w:p w14:paraId="768513F4" w14:textId="777AEBF4" w:rsidR="0045687E" w:rsidRDefault="0045687E">
          <w:pPr>
            <w:pStyle w:val="TOC2"/>
            <w:tabs>
              <w:tab w:val="right" w:leader="dot" w:pos="8296"/>
            </w:tabs>
            <w:rPr>
              <w:rFonts w:asciiTheme="minorHAnsi" w:eastAsiaTheme="minorEastAsia" w:hAnsiTheme="minorHAnsi"/>
              <w:noProof/>
              <w:kern w:val="2"/>
              <w:sz w:val="24"/>
              <w:szCs w:val="24"/>
              <w:lang w:val="en-US"/>
              <w14:ligatures w14:val="standardContextual"/>
            </w:rPr>
          </w:pPr>
          <w:hyperlink w:anchor="_Toc241175729" w:history="1">
            <w:r w:rsidRPr="00990075">
              <w:rPr>
                <w:rStyle w:val="Hyperlink"/>
                <w:rFonts w:cs="Arial"/>
                <w:noProof/>
              </w:rPr>
              <w:t>3.13 Chapter Summary</w:t>
            </w:r>
            <w:r>
              <w:rPr>
                <w:noProof/>
                <w:webHidden/>
              </w:rPr>
              <w:tab/>
            </w:r>
            <w:r>
              <w:rPr>
                <w:noProof/>
                <w:webHidden/>
              </w:rPr>
              <w:fldChar w:fldCharType="begin"/>
            </w:r>
            <w:r>
              <w:rPr>
                <w:noProof/>
                <w:webHidden/>
              </w:rPr>
              <w:instrText xml:space="preserve"> PAGEREF _Toc241175729 \h </w:instrText>
            </w:r>
            <w:r>
              <w:rPr>
                <w:noProof/>
                <w:webHidden/>
              </w:rPr>
            </w:r>
            <w:r>
              <w:rPr>
                <w:noProof/>
                <w:webHidden/>
              </w:rPr>
              <w:fldChar w:fldCharType="separate"/>
            </w:r>
            <w:r>
              <w:rPr>
                <w:noProof/>
                <w:webHidden/>
              </w:rPr>
              <w:t>39</w:t>
            </w:r>
            <w:r>
              <w:rPr>
                <w:noProof/>
                <w:webHidden/>
              </w:rPr>
              <w:fldChar w:fldCharType="end"/>
            </w:r>
          </w:hyperlink>
        </w:p>
        <w:p w14:paraId="6A5B7D89" w14:textId="38DE2241" w:rsidR="0045687E" w:rsidRDefault="0045687E">
          <w:pPr>
            <w:pStyle w:val="TOC1"/>
            <w:rPr>
              <w:rFonts w:asciiTheme="minorHAnsi" w:eastAsiaTheme="minorEastAsia" w:hAnsiTheme="minorHAnsi" w:cstheme="minorBidi"/>
              <w:kern w:val="2"/>
              <w:sz w:val="24"/>
              <w:szCs w:val="24"/>
              <w14:ligatures w14:val="standardContextual"/>
            </w:rPr>
          </w:pPr>
          <w:hyperlink w:anchor="_Toc241175730" w:history="1">
            <w:r w:rsidRPr="00990075">
              <w:rPr>
                <w:rStyle w:val="Hyperlink"/>
              </w:rPr>
              <w:t>Chapter 4: Results and Discussion</w:t>
            </w:r>
            <w:r>
              <w:rPr>
                <w:webHidden/>
              </w:rPr>
              <w:tab/>
            </w:r>
            <w:r>
              <w:rPr>
                <w:webHidden/>
              </w:rPr>
              <w:fldChar w:fldCharType="begin"/>
            </w:r>
            <w:r>
              <w:rPr>
                <w:webHidden/>
              </w:rPr>
              <w:instrText xml:space="preserve"> PAGEREF _Toc241175730 \h </w:instrText>
            </w:r>
            <w:r>
              <w:rPr>
                <w:webHidden/>
              </w:rPr>
            </w:r>
            <w:r>
              <w:rPr>
                <w:webHidden/>
              </w:rPr>
              <w:fldChar w:fldCharType="separate"/>
            </w:r>
            <w:r>
              <w:rPr>
                <w:webHidden/>
              </w:rPr>
              <w:t>40</w:t>
            </w:r>
            <w:r>
              <w:rPr>
                <w:webHidden/>
              </w:rPr>
              <w:fldChar w:fldCharType="end"/>
            </w:r>
          </w:hyperlink>
        </w:p>
        <w:p w14:paraId="52EBE163" w14:textId="4FF7E40C" w:rsidR="0045687E" w:rsidRDefault="0045687E">
          <w:pPr>
            <w:pStyle w:val="TOC2"/>
            <w:tabs>
              <w:tab w:val="right" w:leader="dot" w:pos="8296"/>
            </w:tabs>
            <w:rPr>
              <w:rFonts w:asciiTheme="minorHAnsi" w:eastAsiaTheme="minorEastAsia" w:hAnsiTheme="minorHAnsi"/>
              <w:noProof/>
              <w:kern w:val="2"/>
              <w:sz w:val="24"/>
              <w:szCs w:val="24"/>
              <w:lang w:val="en-US"/>
              <w14:ligatures w14:val="standardContextual"/>
            </w:rPr>
          </w:pPr>
          <w:hyperlink w:anchor="_Toc241175731" w:history="1">
            <w:r w:rsidRPr="00990075">
              <w:rPr>
                <w:rStyle w:val="Hyperlink"/>
                <w:rFonts w:cs="Arial"/>
                <w:noProof/>
              </w:rPr>
              <w:t>4.1 Introduction</w:t>
            </w:r>
            <w:r>
              <w:rPr>
                <w:noProof/>
                <w:webHidden/>
              </w:rPr>
              <w:tab/>
            </w:r>
            <w:r>
              <w:rPr>
                <w:noProof/>
                <w:webHidden/>
              </w:rPr>
              <w:fldChar w:fldCharType="begin"/>
            </w:r>
            <w:r>
              <w:rPr>
                <w:noProof/>
                <w:webHidden/>
              </w:rPr>
              <w:instrText xml:space="preserve"> PAGEREF _Toc241175731 \h </w:instrText>
            </w:r>
            <w:r>
              <w:rPr>
                <w:noProof/>
                <w:webHidden/>
              </w:rPr>
            </w:r>
            <w:r>
              <w:rPr>
                <w:noProof/>
                <w:webHidden/>
              </w:rPr>
              <w:fldChar w:fldCharType="separate"/>
            </w:r>
            <w:r>
              <w:rPr>
                <w:noProof/>
                <w:webHidden/>
              </w:rPr>
              <w:t>40</w:t>
            </w:r>
            <w:r>
              <w:rPr>
                <w:noProof/>
                <w:webHidden/>
              </w:rPr>
              <w:fldChar w:fldCharType="end"/>
            </w:r>
          </w:hyperlink>
        </w:p>
        <w:p w14:paraId="3E326D07" w14:textId="0320BDCD" w:rsidR="0045687E" w:rsidRDefault="0045687E">
          <w:pPr>
            <w:pStyle w:val="TOC2"/>
            <w:tabs>
              <w:tab w:val="right" w:leader="dot" w:pos="8296"/>
            </w:tabs>
            <w:rPr>
              <w:rFonts w:asciiTheme="minorHAnsi" w:eastAsiaTheme="minorEastAsia" w:hAnsiTheme="minorHAnsi"/>
              <w:noProof/>
              <w:kern w:val="2"/>
              <w:sz w:val="24"/>
              <w:szCs w:val="24"/>
              <w:lang w:val="en-US"/>
              <w14:ligatures w14:val="standardContextual"/>
            </w:rPr>
          </w:pPr>
          <w:hyperlink w:anchor="_Toc241175732" w:history="1">
            <w:r w:rsidRPr="00990075">
              <w:rPr>
                <w:rStyle w:val="Hyperlink"/>
                <w:rFonts w:cs="Arial"/>
                <w:noProof/>
              </w:rPr>
              <w:t>4.2 Systematic Search Results</w:t>
            </w:r>
            <w:r>
              <w:rPr>
                <w:noProof/>
                <w:webHidden/>
              </w:rPr>
              <w:tab/>
            </w:r>
            <w:r>
              <w:rPr>
                <w:noProof/>
                <w:webHidden/>
              </w:rPr>
              <w:fldChar w:fldCharType="begin"/>
            </w:r>
            <w:r>
              <w:rPr>
                <w:noProof/>
                <w:webHidden/>
              </w:rPr>
              <w:instrText xml:space="preserve"> PAGEREF _Toc241175732 \h </w:instrText>
            </w:r>
            <w:r>
              <w:rPr>
                <w:noProof/>
                <w:webHidden/>
              </w:rPr>
            </w:r>
            <w:r>
              <w:rPr>
                <w:noProof/>
                <w:webHidden/>
              </w:rPr>
              <w:fldChar w:fldCharType="separate"/>
            </w:r>
            <w:r>
              <w:rPr>
                <w:noProof/>
                <w:webHidden/>
              </w:rPr>
              <w:t>40</w:t>
            </w:r>
            <w:r>
              <w:rPr>
                <w:noProof/>
                <w:webHidden/>
              </w:rPr>
              <w:fldChar w:fldCharType="end"/>
            </w:r>
          </w:hyperlink>
        </w:p>
        <w:p w14:paraId="2F8D8C1F" w14:textId="0EAF049C" w:rsidR="0045687E" w:rsidRDefault="0045687E">
          <w:pPr>
            <w:pStyle w:val="TOC2"/>
            <w:tabs>
              <w:tab w:val="right" w:leader="dot" w:pos="8296"/>
            </w:tabs>
            <w:rPr>
              <w:rFonts w:asciiTheme="minorHAnsi" w:eastAsiaTheme="minorEastAsia" w:hAnsiTheme="minorHAnsi"/>
              <w:noProof/>
              <w:kern w:val="2"/>
              <w:sz w:val="24"/>
              <w:szCs w:val="24"/>
              <w:lang w:val="en-US"/>
              <w14:ligatures w14:val="standardContextual"/>
            </w:rPr>
          </w:pPr>
          <w:hyperlink w:anchor="_Toc241175733" w:history="1">
            <w:r w:rsidRPr="00990075">
              <w:rPr>
                <w:rStyle w:val="Hyperlink"/>
                <w:rFonts w:cs="Arial"/>
                <w:noProof/>
              </w:rPr>
              <w:t>4.3 Study Characteristics</w:t>
            </w:r>
            <w:r>
              <w:rPr>
                <w:noProof/>
                <w:webHidden/>
              </w:rPr>
              <w:tab/>
            </w:r>
            <w:r>
              <w:rPr>
                <w:noProof/>
                <w:webHidden/>
              </w:rPr>
              <w:fldChar w:fldCharType="begin"/>
            </w:r>
            <w:r>
              <w:rPr>
                <w:noProof/>
                <w:webHidden/>
              </w:rPr>
              <w:instrText xml:space="preserve"> PAGEREF _Toc241175733 \h </w:instrText>
            </w:r>
            <w:r>
              <w:rPr>
                <w:noProof/>
                <w:webHidden/>
              </w:rPr>
            </w:r>
            <w:r>
              <w:rPr>
                <w:noProof/>
                <w:webHidden/>
              </w:rPr>
              <w:fldChar w:fldCharType="separate"/>
            </w:r>
            <w:r>
              <w:rPr>
                <w:noProof/>
                <w:webHidden/>
              </w:rPr>
              <w:t>42</w:t>
            </w:r>
            <w:r>
              <w:rPr>
                <w:noProof/>
                <w:webHidden/>
              </w:rPr>
              <w:fldChar w:fldCharType="end"/>
            </w:r>
          </w:hyperlink>
        </w:p>
        <w:p w14:paraId="64454E49" w14:textId="0E21AD59" w:rsidR="0045687E" w:rsidRDefault="0045687E">
          <w:pPr>
            <w:pStyle w:val="TOC2"/>
            <w:tabs>
              <w:tab w:val="right" w:leader="dot" w:pos="8296"/>
            </w:tabs>
            <w:rPr>
              <w:rFonts w:asciiTheme="minorHAnsi" w:eastAsiaTheme="minorEastAsia" w:hAnsiTheme="minorHAnsi"/>
              <w:noProof/>
              <w:kern w:val="2"/>
              <w:sz w:val="24"/>
              <w:szCs w:val="24"/>
              <w:lang w:val="en-US"/>
              <w14:ligatures w14:val="standardContextual"/>
            </w:rPr>
          </w:pPr>
          <w:hyperlink w:anchor="_Toc241175734" w:history="1">
            <w:r w:rsidRPr="00990075">
              <w:rPr>
                <w:rStyle w:val="Hyperlink"/>
                <w:rFonts w:eastAsiaTheme="majorEastAsia" w:cs="Arial"/>
                <w:b/>
                <w:noProof/>
              </w:rPr>
              <w:t>4.4 Methodological Quality of Included Studies</w:t>
            </w:r>
            <w:r>
              <w:rPr>
                <w:noProof/>
                <w:webHidden/>
              </w:rPr>
              <w:tab/>
            </w:r>
            <w:r>
              <w:rPr>
                <w:noProof/>
                <w:webHidden/>
              </w:rPr>
              <w:fldChar w:fldCharType="begin"/>
            </w:r>
            <w:r>
              <w:rPr>
                <w:noProof/>
                <w:webHidden/>
              </w:rPr>
              <w:instrText xml:space="preserve"> PAGEREF _Toc241175734 \h </w:instrText>
            </w:r>
            <w:r>
              <w:rPr>
                <w:noProof/>
                <w:webHidden/>
              </w:rPr>
            </w:r>
            <w:r>
              <w:rPr>
                <w:noProof/>
                <w:webHidden/>
              </w:rPr>
              <w:fldChar w:fldCharType="separate"/>
            </w:r>
            <w:r>
              <w:rPr>
                <w:noProof/>
                <w:webHidden/>
              </w:rPr>
              <w:t>46</w:t>
            </w:r>
            <w:r>
              <w:rPr>
                <w:noProof/>
                <w:webHidden/>
              </w:rPr>
              <w:fldChar w:fldCharType="end"/>
            </w:r>
          </w:hyperlink>
        </w:p>
        <w:p w14:paraId="51D93C3B" w14:textId="58E77375" w:rsidR="0045687E" w:rsidRDefault="0045687E">
          <w:pPr>
            <w:pStyle w:val="TOC2"/>
            <w:tabs>
              <w:tab w:val="right" w:leader="dot" w:pos="8296"/>
            </w:tabs>
            <w:rPr>
              <w:rFonts w:asciiTheme="minorHAnsi" w:eastAsiaTheme="minorEastAsia" w:hAnsiTheme="minorHAnsi"/>
              <w:noProof/>
              <w:kern w:val="2"/>
              <w:sz w:val="24"/>
              <w:szCs w:val="24"/>
              <w:lang w:val="en-US"/>
              <w14:ligatures w14:val="standardContextual"/>
            </w:rPr>
          </w:pPr>
          <w:hyperlink w:anchor="_Toc241175735" w:history="1">
            <w:r w:rsidRPr="00990075">
              <w:rPr>
                <w:rStyle w:val="Hyperlink"/>
                <w:rFonts w:cs="Arial"/>
                <w:noProof/>
              </w:rPr>
              <w:t>4.5 Thematic Results</w:t>
            </w:r>
            <w:r>
              <w:rPr>
                <w:noProof/>
                <w:webHidden/>
              </w:rPr>
              <w:tab/>
            </w:r>
            <w:r>
              <w:rPr>
                <w:noProof/>
                <w:webHidden/>
              </w:rPr>
              <w:fldChar w:fldCharType="begin"/>
            </w:r>
            <w:r>
              <w:rPr>
                <w:noProof/>
                <w:webHidden/>
              </w:rPr>
              <w:instrText xml:space="preserve"> PAGEREF _Toc241175735 \h </w:instrText>
            </w:r>
            <w:r>
              <w:rPr>
                <w:noProof/>
                <w:webHidden/>
              </w:rPr>
            </w:r>
            <w:r>
              <w:rPr>
                <w:noProof/>
                <w:webHidden/>
              </w:rPr>
              <w:fldChar w:fldCharType="separate"/>
            </w:r>
            <w:r>
              <w:rPr>
                <w:noProof/>
                <w:webHidden/>
              </w:rPr>
              <w:t>47</w:t>
            </w:r>
            <w:r>
              <w:rPr>
                <w:noProof/>
                <w:webHidden/>
              </w:rPr>
              <w:fldChar w:fldCharType="end"/>
            </w:r>
          </w:hyperlink>
        </w:p>
        <w:p w14:paraId="15E88AFD" w14:textId="73191D96" w:rsidR="0045687E" w:rsidRDefault="0045687E">
          <w:pPr>
            <w:pStyle w:val="TOC3"/>
            <w:tabs>
              <w:tab w:val="right" w:leader="dot" w:pos="8296"/>
            </w:tabs>
            <w:rPr>
              <w:rFonts w:asciiTheme="minorHAnsi" w:eastAsiaTheme="minorEastAsia" w:hAnsiTheme="minorHAnsi"/>
              <w:noProof/>
              <w:kern w:val="2"/>
              <w:sz w:val="24"/>
              <w:szCs w:val="24"/>
              <w:lang w:val="en-US"/>
              <w14:ligatures w14:val="standardContextual"/>
            </w:rPr>
          </w:pPr>
          <w:hyperlink w:anchor="_Toc241175736" w:history="1">
            <w:r w:rsidRPr="00990075">
              <w:rPr>
                <w:rStyle w:val="Hyperlink"/>
                <w:rFonts w:cs="Arial"/>
                <w:noProof/>
              </w:rPr>
              <w:t>4.5.1 Digital Capability, Confidence and Identity</w:t>
            </w:r>
            <w:r>
              <w:rPr>
                <w:noProof/>
                <w:webHidden/>
              </w:rPr>
              <w:tab/>
            </w:r>
            <w:r>
              <w:rPr>
                <w:noProof/>
                <w:webHidden/>
              </w:rPr>
              <w:fldChar w:fldCharType="begin"/>
            </w:r>
            <w:r>
              <w:rPr>
                <w:noProof/>
                <w:webHidden/>
              </w:rPr>
              <w:instrText xml:space="preserve"> PAGEREF _Toc241175736 \h </w:instrText>
            </w:r>
            <w:r>
              <w:rPr>
                <w:noProof/>
                <w:webHidden/>
              </w:rPr>
            </w:r>
            <w:r>
              <w:rPr>
                <w:noProof/>
                <w:webHidden/>
              </w:rPr>
              <w:fldChar w:fldCharType="separate"/>
            </w:r>
            <w:r>
              <w:rPr>
                <w:noProof/>
                <w:webHidden/>
              </w:rPr>
              <w:t>47</w:t>
            </w:r>
            <w:r>
              <w:rPr>
                <w:noProof/>
                <w:webHidden/>
              </w:rPr>
              <w:fldChar w:fldCharType="end"/>
            </w:r>
          </w:hyperlink>
        </w:p>
        <w:p w14:paraId="1528C070" w14:textId="4439B896" w:rsidR="0045687E" w:rsidRDefault="0045687E">
          <w:pPr>
            <w:pStyle w:val="TOC3"/>
            <w:tabs>
              <w:tab w:val="right" w:leader="dot" w:pos="8296"/>
            </w:tabs>
            <w:rPr>
              <w:rFonts w:asciiTheme="minorHAnsi" w:eastAsiaTheme="minorEastAsia" w:hAnsiTheme="minorHAnsi"/>
              <w:noProof/>
              <w:kern w:val="2"/>
              <w:sz w:val="24"/>
              <w:szCs w:val="24"/>
              <w:lang w:val="en-US"/>
              <w14:ligatures w14:val="standardContextual"/>
            </w:rPr>
          </w:pPr>
          <w:hyperlink w:anchor="_Toc241175737" w:history="1">
            <w:r w:rsidRPr="00990075">
              <w:rPr>
                <w:rStyle w:val="Hyperlink"/>
                <w:rFonts w:cs="Arial"/>
                <w:noProof/>
              </w:rPr>
              <w:t>4.5.2 Usability and Fit with Ageing and Chronic Illness</w:t>
            </w:r>
            <w:r>
              <w:rPr>
                <w:noProof/>
                <w:webHidden/>
              </w:rPr>
              <w:tab/>
            </w:r>
            <w:r>
              <w:rPr>
                <w:noProof/>
                <w:webHidden/>
              </w:rPr>
              <w:fldChar w:fldCharType="begin"/>
            </w:r>
            <w:r>
              <w:rPr>
                <w:noProof/>
                <w:webHidden/>
              </w:rPr>
              <w:instrText xml:space="preserve"> PAGEREF _Toc241175737 \h </w:instrText>
            </w:r>
            <w:r>
              <w:rPr>
                <w:noProof/>
                <w:webHidden/>
              </w:rPr>
            </w:r>
            <w:r>
              <w:rPr>
                <w:noProof/>
                <w:webHidden/>
              </w:rPr>
              <w:fldChar w:fldCharType="separate"/>
            </w:r>
            <w:r>
              <w:rPr>
                <w:noProof/>
                <w:webHidden/>
              </w:rPr>
              <w:t>48</w:t>
            </w:r>
            <w:r>
              <w:rPr>
                <w:noProof/>
                <w:webHidden/>
              </w:rPr>
              <w:fldChar w:fldCharType="end"/>
            </w:r>
          </w:hyperlink>
        </w:p>
        <w:p w14:paraId="576B48D3" w14:textId="2DCC90D1" w:rsidR="0045687E" w:rsidRDefault="0045687E">
          <w:pPr>
            <w:pStyle w:val="TOC3"/>
            <w:tabs>
              <w:tab w:val="right" w:leader="dot" w:pos="8296"/>
            </w:tabs>
            <w:rPr>
              <w:rFonts w:asciiTheme="minorHAnsi" w:eastAsiaTheme="minorEastAsia" w:hAnsiTheme="minorHAnsi"/>
              <w:noProof/>
              <w:kern w:val="2"/>
              <w:sz w:val="24"/>
              <w:szCs w:val="24"/>
              <w:lang w:val="en-US"/>
              <w14:ligatures w14:val="standardContextual"/>
            </w:rPr>
          </w:pPr>
          <w:hyperlink w:anchor="_Toc241175738" w:history="1">
            <w:r w:rsidRPr="00990075">
              <w:rPr>
                <w:rStyle w:val="Hyperlink"/>
                <w:rFonts w:cs="Arial"/>
                <w:noProof/>
              </w:rPr>
              <w:t>4.5.3 Human Support, Trust and Relational Continuity</w:t>
            </w:r>
            <w:r>
              <w:rPr>
                <w:noProof/>
                <w:webHidden/>
              </w:rPr>
              <w:tab/>
            </w:r>
            <w:r>
              <w:rPr>
                <w:noProof/>
                <w:webHidden/>
              </w:rPr>
              <w:fldChar w:fldCharType="begin"/>
            </w:r>
            <w:r>
              <w:rPr>
                <w:noProof/>
                <w:webHidden/>
              </w:rPr>
              <w:instrText xml:space="preserve"> PAGEREF _Toc241175738 \h </w:instrText>
            </w:r>
            <w:r>
              <w:rPr>
                <w:noProof/>
                <w:webHidden/>
              </w:rPr>
            </w:r>
            <w:r>
              <w:rPr>
                <w:noProof/>
                <w:webHidden/>
              </w:rPr>
              <w:fldChar w:fldCharType="separate"/>
            </w:r>
            <w:r>
              <w:rPr>
                <w:noProof/>
                <w:webHidden/>
              </w:rPr>
              <w:t>49</w:t>
            </w:r>
            <w:r>
              <w:rPr>
                <w:noProof/>
                <w:webHidden/>
              </w:rPr>
              <w:fldChar w:fldCharType="end"/>
            </w:r>
          </w:hyperlink>
        </w:p>
        <w:p w14:paraId="49D5B313" w14:textId="724BB97B" w:rsidR="0045687E" w:rsidRDefault="0045687E">
          <w:pPr>
            <w:pStyle w:val="TOC3"/>
            <w:tabs>
              <w:tab w:val="right" w:leader="dot" w:pos="8296"/>
            </w:tabs>
            <w:rPr>
              <w:rFonts w:asciiTheme="minorHAnsi" w:eastAsiaTheme="minorEastAsia" w:hAnsiTheme="minorHAnsi"/>
              <w:noProof/>
              <w:kern w:val="2"/>
              <w:sz w:val="24"/>
              <w:szCs w:val="24"/>
              <w:lang w:val="en-US"/>
              <w14:ligatures w14:val="standardContextual"/>
            </w:rPr>
          </w:pPr>
          <w:hyperlink w:anchor="_Toc241175739" w:history="1">
            <w:r w:rsidRPr="00990075">
              <w:rPr>
                <w:rStyle w:val="Hyperlink"/>
                <w:rFonts w:cs="Arial"/>
                <w:noProof/>
              </w:rPr>
              <w:t>4.5.4 Perceived Usefulness, Feedback and Hybrid Choice</w:t>
            </w:r>
            <w:r>
              <w:rPr>
                <w:noProof/>
                <w:webHidden/>
              </w:rPr>
              <w:tab/>
            </w:r>
            <w:r>
              <w:rPr>
                <w:noProof/>
                <w:webHidden/>
              </w:rPr>
              <w:fldChar w:fldCharType="begin"/>
            </w:r>
            <w:r>
              <w:rPr>
                <w:noProof/>
                <w:webHidden/>
              </w:rPr>
              <w:instrText xml:space="preserve"> PAGEREF _Toc241175739 \h </w:instrText>
            </w:r>
            <w:r>
              <w:rPr>
                <w:noProof/>
                <w:webHidden/>
              </w:rPr>
            </w:r>
            <w:r>
              <w:rPr>
                <w:noProof/>
                <w:webHidden/>
              </w:rPr>
              <w:fldChar w:fldCharType="separate"/>
            </w:r>
            <w:r>
              <w:rPr>
                <w:noProof/>
                <w:webHidden/>
              </w:rPr>
              <w:t>50</w:t>
            </w:r>
            <w:r>
              <w:rPr>
                <w:noProof/>
                <w:webHidden/>
              </w:rPr>
              <w:fldChar w:fldCharType="end"/>
            </w:r>
          </w:hyperlink>
        </w:p>
        <w:p w14:paraId="2643B360" w14:textId="47B2BE5B" w:rsidR="0045687E" w:rsidRDefault="0045687E">
          <w:pPr>
            <w:pStyle w:val="TOC2"/>
            <w:tabs>
              <w:tab w:val="right" w:leader="dot" w:pos="8296"/>
            </w:tabs>
            <w:rPr>
              <w:rFonts w:asciiTheme="minorHAnsi" w:eastAsiaTheme="minorEastAsia" w:hAnsiTheme="minorHAnsi"/>
              <w:noProof/>
              <w:kern w:val="2"/>
              <w:sz w:val="24"/>
              <w:szCs w:val="24"/>
              <w:lang w:val="en-US"/>
              <w14:ligatures w14:val="standardContextual"/>
            </w:rPr>
          </w:pPr>
          <w:hyperlink w:anchor="_Toc241175740" w:history="1">
            <w:r w:rsidRPr="00990075">
              <w:rPr>
                <w:rStyle w:val="Hyperlink"/>
                <w:rFonts w:cs="Arial"/>
                <w:noProof/>
              </w:rPr>
              <w:t>4.6 Summary of Main Findings</w:t>
            </w:r>
            <w:r>
              <w:rPr>
                <w:noProof/>
                <w:webHidden/>
              </w:rPr>
              <w:tab/>
            </w:r>
            <w:r>
              <w:rPr>
                <w:noProof/>
                <w:webHidden/>
              </w:rPr>
              <w:fldChar w:fldCharType="begin"/>
            </w:r>
            <w:r>
              <w:rPr>
                <w:noProof/>
                <w:webHidden/>
              </w:rPr>
              <w:instrText xml:space="preserve"> PAGEREF _Toc241175740 \h </w:instrText>
            </w:r>
            <w:r>
              <w:rPr>
                <w:noProof/>
                <w:webHidden/>
              </w:rPr>
            </w:r>
            <w:r>
              <w:rPr>
                <w:noProof/>
                <w:webHidden/>
              </w:rPr>
              <w:fldChar w:fldCharType="separate"/>
            </w:r>
            <w:r>
              <w:rPr>
                <w:noProof/>
                <w:webHidden/>
              </w:rPr>
              <w:t>51</w:t>
            </w:r>
            <w:r>
              <w:rPr>
                <w:noProof/>
                <w:webHidden/>
              </w:rPr>
              <w:fldChar w:fldCharType="end"/>
            </w:r>
          </w:hyperlink>
        </w:p>
        <w:p w14:paraId="0E452AB1" w14:textId="65C523DF" w:rsidR="0045687E" w:rsidRDefault="0045687E">
          <w:pPr>
            <w:pStyle w:val="TOC2"/>
            <w:tabs>
              <w:tab w:val="right" w:leader="dot" w:pos="8296"/>
            </w:tabs>
            <w:rPr>
              <w:rFonts w:asciiTheme="minorHAnsi" w:eastAsiaTheme="minorEastAsia" w:hAnsiTheme="minorHAnsi"/>
              <w:noProof/>
              <w:kern w:val="2"/>
              <w:sz w:val="24"/>
              <w:szCs w:val="24"/>
              <w:lang w:val="en-US"/>
              <w14:ligatures w14:val="standardContextual"/>
            </w:rPr>
          </w:pPr>
          <w:hyperlink w:anchor="_Toc241175741" w:history="1">
            <w:r w:rsidRPr="00990075">
              <w:rPr>
                <w:rStyle w:val="Hyperlink"/>
                <w:rFonts w:cs="Arial"/>
                <w:noProof/>
              </w:rPr>
              <w:t>4.7 Conclusion</w:t>
            </w:r>
            <w:r>
              <w:rPr>
                <w:noProof/>
                <w:webHidden/>
              </w:rPr>
              <w:tab/>
            </w:r>
            <w:r>
              <w:rPr>
                <w:noProof/>
                <w:webHidden/>
              </w:rPr>
              <w:fldChar w:fldCharType="begin"/>
            </w:r>
            <w:r>
              <w:rPr>
                <w:noProof/>
                <w:webHidden/>
              </w:rPr>
              <w:instrText xml:space="preserve"> PAGEREF _Toc241175741 \h </w:instrText>
            </w:r>
            <w:r>
              <w:rPr>
                <w:noProof/>
                <w:webHidden/>
              </w:rPr>
            </w:r>
            <w:r>
              <w:rPr>
                <w:noProof/>
                <w:webHidden/>
              </w:rPr>
              <w:fldChar w:fldCharType="separate"/>
            </w:r>
            <w:r>
              <w:rPr>
                <w:noProof/>
                <w:webHidden/>
              </w:rPr>
              <w:t>51</w:t>
            </w:r>
            <w:r>
              <w:rPr>
                <w:noProof/>
                <w:webHidden/>
              </w:rPr>
              <w:fldChar w:fldCharType="end"/>
            </w:r>
          </w:hyperlink>
        </w:p>
        <w:p w14:paraId="0E83805A" w14:textId="6BB8E913" w:rsidR="0045687E" w:rsidRDefault="0045687E">
          <w:pPr>
            <w:pStyle w:val="TOC1"/>
            <w:rPr>
              <w:rFonts w:asciiTheme="minorHAnsi" w:eastAsiaTheme="minorEastAsia" w:hAnsiTheme="minorHAnsi" w:cstheme="minorBidi"/>
              <w:kern w:val="2"/>
              <w:sz w:val="24"/>
              <w:szCs w:val="24"/>
              <w14:ligatures w14:val="standardContextual"/>
            </w:rPr>
          </w:pPr>
          <w:hyperlink w:anchor="_Toc241175742" w:history="1">
            <w:r w:rsidRPr="00990075">
              <w:rPr>
                <w:rStyle w:val="Hyperlink"/>
              </w:rPr>
              <w:t>Chapter Five: Discussion</w:t>
            </w:r>
            <w:r>
              <w:rPr>
                <w:webHidden/>
              </w:rPr>
              <w:tab/>
            </w:r>
            <w:r>
              <w:rPr>
                <w:webHidden/>
              </w:rPr>
              <w:fldChar w:fldCharType="begin"/>
            </w:r>
            <w:r>
              <w:rPr>
                <w:webHidden/>
              </w:rPr>
              <w:instrText xml:space="preserve"> PAGEREF _Toc241175742 \h </w:instrText>
            </w:r>
            <w:r>
              <w:rPr>
                <w:webHidden/>
              </w:rPr>
            </w:r>
            <w:r>
              <w:rPr>
                <w:webHidden/>
              </w:rPr>
              <w:fldChar w:fldCharType="separate"/>
            </w:r>
            <w:r>
              <w:rPr>
                <w:webHidden/>
              </w:rPr>
              <w:t>53</w:t>
            </w:r>
            <w:r>
              <w:rPr>
                <w:webHidden/>
              </w:rPr>
              <w:fldChar w:fldCharType="end"/>
            </w:r>
          </w:hyperlink>
        </w:p>
        <w:p w14:paraId="65DFAB13" w14:textId="39C3BD8D" w:rsidR="0045687E" w:rsidRDefault="0045687E">
          <w:pPr>
            <w:pStyle w:val="TOC2"/>
            <w:tabs>
              <w:tab w:val="right" w:leader="dot" w:pos="8296"/>
            </w:tabs>
            <w:rPr>
              <w:rFonts w:asciiTheme="minorHAnsi" w:eastAsiaTheme="minorEastAsia" w:hAnsiTheme="minorHAnsi"/>
              <w:noProof/>
              <w:kern w:val="2"/>
              <w:sz w:val="24"/>
              <w:szCs w:val="24"/>
              <w:lang w:val="en-US"/>
              <w14:ligatures w14:val="standardContextual"/>
            </w:rPr>
          </w:pPr>
          <w:hyperlink w:anchor="_Toc241175743" w:history="1">
            <w:r w:rsidRPr="00990075">
              <w:rPr>
                <w:rStyle w:val="Hyperlink"/>
                <w:rFonts w:cs="Arial"/>
                <w:noProof/>
              </w:rPr>
              <w:t>5.1 Digital Capability, Inequality and Meaningful Access</w:t>
            </w:r>
            <w:r>
              <w:rPr>
                <w:noProof/>
                <w:webHidden/>
              </w:rPr>
              <w:tab/>
            </w:r>
            <w:r>
              <w:rPr>
                <w:noProof/>
                <w:webHidden/>
              </w:rPr>
              <w:fldChar w:fldCharType="begin"/>
            </w:r>
            <w:r>
              <w:rPr>
                <w:noProof/>
                <w:webHidden/>
              </w:rPr>
              <w:instrText xml:space="preserve"> PAGEREF _Toc241175743 \h </w:instrText>
            </w:r>
            <w:r>
              <w:rPr>
                <w:noProof/>
                <w:webHidden/>
              </w:rPr>
            </w:r>
            <w:r>
              <w:rPr>
                <w:noProof/>
                <w:webHidden/>
              </w:rPr>
              <w:fldChar w:fldCharType="separate"/>
            </w:r>
            <w:r>
              <w:rPr>
                <w:noProof/>
                <w:webHidden/>
              </w:rPr>
              <w:t>53</w:t>
            </w:r>
            <w:r>
              <w:rPr>
                <w:noProof/>
                <w:webHidden/>
              </w:rPr>
              <w:fldChar w:fldCharType="end"/>
            </w:r>
          </w:hyperlink>
        </w:p>
        <w:p w14:paraId="50B2E273" w14:textId="639F5770" w:rsidR="0045687E" w:rsidRDefault="0045687E">
          <w:pPr>
            <w:pStyle w:val="TOC2"/>
            <w:tabs>
              <w:tab w:val="right" w:leader="dot" w:pos="8296"/>
            </w:tabs>
            <w:rPr>
              <w:rFonts w:asciiTheme="minorHAnsi" w:eastAsiaTheme="minorEastAsia" w:hAnsiTheme="minorHAnsi"/>
              <w:noProof/>
              <w:kern w:val="2"/>
              <w:sz w:val="24"/>
              <w:szCs w:val="24"/>
              <w:lang w:val="en-US"/>
              <w14:ligatures w14:val="standardContextual"/>
            </w:rPr>
          </w:pPr>
          <w:hyperlink w:anchor="_Toc241175744" w:history="1">
            <w:r w:rsidRPr="00990075">
              <w:rPr>
                <w:rStyle w:val="Hyperlink"/>
                <w:rFonts w:cs="Arial"/>
                <w:noProof/>
              </w:rPr>
              <w:t>5.2 Usability, Clinical Fit and Relational Care</w:t>
            </w:r>
            <w:r>
              <w:rPr>
                <w:noProof/>
                <w:webHidden/>
              </w:rPr>
              <w:tab/>
            </w:r>
            <w:r>
              <w:rPr>
                <w:noProof/>
                <w:webHidden/>
              </w:rPr>
              <w:fldChar w:fldCharType="begin"/>
            </w:r>
            <w:r>
              <w:rPr>
                <w:noProof/>
                <w:webHidden/>
              </w:rPr>
              <w:instrText xml:space="preserve"> PAGEREF _Toc241175744 \h </w:instrText>
            </w:r>
            <w:r>
              <w:rPr>
                <w:noProof/>
                <w:webHidden/>
              </w:rPr>
            </w:r>
            <w:r>
              <w:rPr>
                <w:noProof/>
                <w:webHidden/>
              </w:rPr>
              <w:fldChar w:fldCharType="separate"/>
            </w:r>
            <w:r>
              <w:rPr>
                <w:noProof/>
                <w:webHidden/>
              </w:rPr>
              <w:t>54</w:t>
            </w:r>
            <w:r>
              <w:rPr>
                <w:noProof/>
                <w:webHidden/>
              </w:rPr>
              <w:fldChar w:fldCharType="end"/>
            </w:r>
          </w:hyperlink>
        </w:p>
        <w:p w14:paraId="79A63ADA" w14:textId="21387F58" w:rsidR="0045687E" w:rsidRDefault="0045687E">
          <w:pPr>
            <w:pStyle w:val="TOC2"/>
            <w:tabs>
              <w:tab w:val="right" w:leader="dot" w:pos="8296"/>
            </w:tabs>
            <w:rPr>
              <w:rFonts w:asciiTheme="minorHAnsi" w:eastAsiaTheme="minorEastAsia" w:hAnsiTheme="minorHAnsi"/>
              <w:noProof/>
              <w:kern w:val="2"/>
              <w:sz w:val="24"/>
              <w:szCs w:val="24"/>
              <w:lang w:val="en-US"/>
              <w14:ligatures w14:val="standardContextual"/>
            </w:rPr>
          </w:pPr>
          <w:hyperlink w:anchor="_Toc241175745" w:history="1">
            <w:r w:rsidRPr="00990075">
              <w:rPr>
                <w:rStyle w:val="Hyperlink"/>
                <w:rFonts w:cs="Arial"/>
                <w:noProof/>
              </w:rPr>
              <w:t>5.3 Implementation, Service Responsibility and Hybrid Care</w:t>
            </w:r>
            <w:r>
              <w:rPr>
                <w:noProof/>
                <w:webHidden/>
              </w:rPr>
              <w:tab/>
            </w:r>
            <w:r>
              <w:rPr>
                <w:noProof/>
                <w:webHidden/>
              </w:rPr>
              <w:fldChar w:fldCharType="begin"/>
            </w:r>
            <w:r>
              <w:rPr>
                <w:noProof/>
                <w:webHidden/>
              </w:rPr>
              <w:instrText xml:space="preserve"> PAGEREF _Toc241175745 \h </w:instrText>
            </w:r>
            <w:r>
              <w:rPr>
                <w:noProof/>
                <w:webHidden/>
              </w:rPr>
            </w:r>
            <w:r>
              <w:rPr>
                <w:noProof/>
                <w:webHidden/>
              </w:rPr>
              <w:fldChar w:fldCharType="separate"/>
            </w:r>
            <w:r>
              <w:rPr>
                <w:noProof/>
                <w:webHidden/>
              </w:rPr>
              <w:t>55</w:t>
            </w:r>
            <w:r>
              <w:rPr>
                <w:noProof/>
                <w:webHidden/>
              </w:rPr>
              <w:fldChar w:fldCharType="end"/>
            </w:r>
          </w:hyperlink>
        </w:p>
        <w:p w14:paraId="792CBEAB" w14:textId="59ABFA2F" w:rsidR="0045687E" w:rsidRDefault="0045687E">
          <w:pPr>
            <w:pStyle w:val="TOC1"/>
            <w:rPr>
              <w:rFonts w:asciiTheme="minorHAnsi" w:eastAsiaTheme="minorEastAsia" w:hAnsiTheme="minorHAnsi" w:cstheme="minorBidi"/>
              <w:kern w:val="2"/>
              <w:sz w:val="24"/>
              <w:szCs w:val="24"/>
              <w14:ligatures w14:val="standardContextual"/>
            </w:rPr>
          </w:pPr>
          <w:hyperlink w:anchor="_Toc241175746" w:history="1">
            <w:r w:rsidRPr="00990075">
              <w:rPr>
                <w:rStyle w:val="Hyperlink"/>
              </w:rPr>
              <w:t>Chapter Six: Conclusions and Recommendations</w:t>
            </w:r>
            <w:r>
              <w:rPr>
                <w:webHidden/>
              </w:rPr>
              <w:tab/>
            </w:r>
            <w:r>
              <w:rPr>
                <w:webHidden/>
              </w:rPr>
              <w:fldChar w:fldCharType="begin"/>
            </w:r>
            <w:r>
              <w:rPr>
                <w:webHidden/>
              </w:rPr>
              <w:instrText xml:space="preserve"> PAGEREF _Toc241175746 \h </w:instrText>
            </w:r>
            <w:r>
              <w:rPr>
                <w:webHidden/>
              </w:rPr>
            </w:r>
            <w:r>
              <w:rPr>
                <w:webHidden/>
              </w:rPr>
              <w:fldChar w:fldCharType="separate"/>
            </w:r>
            <w:r>
              <w:rPr>
                <w:webHidden/>
              </w:rPr>
              <w:t>57</w:t>
            </w:r>
            <w:r>
              <w:rPr>
                <w:webHidden/>
              </w:rPr>
              <w:fldChar w:fldCharType="end"/>
            </w:r>
          </w:hyperlink>
        </w:p>
        <w:p w14:paraId="449BA187" w14:textId="4E8F9600" w:rsidR="0045687E" w:rsidRDefault="0045687E">
          <w:pPr>
            <w:pStyle w:val="TOC2"/>
            <w:tabs>
              <w:tab w:val="right" w:leader="dot" w:pos="8296"/>
            </w:tabs>
            <w:rPr>
              <w:rFonts w:asciiTheme="minorHAnsi" w:eastAsiaTheme="minorEastAsia" w:hAnsiTheme="minorHAnsi"/>
              <w:noProof/>
              <w:kern w:val="2"/>
              <w:sz w:val="24"/>
              <w:szCs w:val="24"/>
              <w:lang w:val="en-US"/>
              <w14:ligatures w14:val="standardContextual"/>
            </w:rPr>
          </w:pPr>
          <w:hyperlink w:anchor="_Toc241175747" w:history="1">
            <w:r w:rsidRPr="00990075">
              <w:rPr>
                <w:rStyle w:val="Hyperlink"/>
                <w:rFonts w:cs="Arial"/>
                <w:noProof/>
              </w:rPr>
              <w:t>6.1 Introduction</w:t>
            </w:r>
            <w:r>
              <w:rPr>
                <w:noProof/>
                <w:webHidden/>
              </w:rPr>
              <w:tab/>
            </w:r>
            <w:r>
              <w:rPr>
                <w:noProof/>
                <w:webHidden/>
              </w:rPr>
              <w:fldChar w:fldCharType="begin"/>
            </w:r>
            <w:r>
              <w:rPr>
                <w:noProof/>
                <w:webHidden/>
              </w:rPr>
              <w:instrText xml:space="preserve"> PAGEREF _Toc241175747 \h </w:instrText>
            </w:r>
            <w:r>
              <w:rPr>
                <w:noProof/>
                <w:webHidden/>
              </w:rPr>
            </w:r>
            <w:r>
              <w:rPr>
                <w:noProof/>
                <w:webHidden/>
              </w:rPr>
              <w:fldChar w:fldCharType="separate"/>
            </w:r>
            <w:r>
              <w:rPr>
                <w:noProof/>
                <w:webHidden/>
              </w:rPr>
              <w:t>57</w:t>
            </w:r>
            <w:r>
              <w:rPr>
                <w:noProof/>
                <w:webHidden/>
              </w:rPr>
              <w:fldChar w:fldCharType="end"/>
            </w:r>
          </w:hyperlink>
        </w:p>
        <w:p w14:paraId="2190982E" w14:textId="74A20115" w:rsidR="0045687E" w:rsidRDefault="0045687E">
          <w:pPr>
            <w:pStyle w:val="TOC2"/>
            <w:tabs>
              <w:tab w:val="right" w:leader="dot" w:pos="8296"/>
            </w:tabs>
            <w:rPr>
              <w:rFonts w:asciiTheme="minorHAnsi" w:eastAsiaTheme="minorEastAsia" w:hAnsiTheme="minorHAnsi"/>
              <w:noProof/>
              <w:kern w:val="2"/>
              <w:sz w:val="24"/>
              <w:szCs w:val="24"/>
              <w:lang w:val="en-US"/>
              <w14:ligatures w14:val="standardContextual"/>
            </w:rPr>
          </w:pPr>
          <w:hyperlink w:anchor="_Toc241175748" w:history="1">
            <w:r w:rsidRPr="00990075">
              <w:rPr>
                <w:rStyle w:val="Hyperlink"/>
                <w:rFonts w:cs="Arial"/>
                <w:noProof/>
              </w:rPr>
              <w:t>6.2 Conclusions in Relation to the Research Question</w:t>
            </w:r>
            <w:r>
              <w:rPr>
                <w:noProof/>
                <w:webHidden/>
              </w:rPr>
              <w:tab/>
            </w:r>
            <w:r>
              <w:rPr>
                <w:noProof/>
                <w:webHidden/>
              </w:rPr>
              <w:fldChar w:fldCharType="begin"/>
            </w:r>
            <w:r>
              <w:rPr>
                <w:noProof/>
                <w:webHidden/>
              </w:rPr>
              <w:instrText xml:space="preserve"> PAGEREF _Toc241175748 \h </w:instrText>
            </w:r>
            <w:r>
              <w:rPr>
                <w:noProof/>
                <w:webHidden/>
              </w:rPr>
            </w:r>
            <w:r>
              <w:rPr>
                <w:noProof/>
                <w:webHidden/>
              </w:rPr>
              <w:fldChar w:fldCharType="separate"/>
            </w:r>
            <w:r>
              <w:rPr>
                <w:noProof/>
                <w:webHidden/>
              </w:rPr>
              <w:t>57</w:t>
            </w:r>
            <w:r>
              <w:rPr>
                <w:noProof/>
                <w:webHidden/>
              </w:rPr>
              <w:fldChar w:fldCharType="end"/>
            </w:r>
          </w:hyperlink>
        </w:p>
        <w:p w14:paraId="432AD1E9" w14:textId="3EB22294" w:rsidR="0045687E" w:rsidRDefault="0045687E">
          <w:pPr>
            <w:pStyle w:val="TOC2"/>
            <w:tabs>
              <w:tab w:val="right" w:leader="dot" w:pos="8296"/>
            </w:tabs>
            <w:rPr>
              <w:rFonts w:asciiTheme="minorHAnsi" w:eastAsiaTheme="minorEastAsia" w:hAnsiTheme="minorHAnsi"/>
              <w:noProof/>
              <w:kern w:val="2"/>
              <w:sz w:val="24"/>
              <w:szCs w:val="24"/>
              <w:lang w:val="en-US"/>
              <w14:ligatures w14:val="standardContextual"/>
            </w:rPr>
          </w:pPr>
          <w:hyperlink w:anchor="_Toc241175749" w:history="1">
            <w:r w:rsidRPr="00990075">
              <w:rPr>
                <w:rStyle w:val="Hyperlink"/>
                <w:rFonts w:cs="Arial"/>
                <w:noProof/>
              </w:rPr>
              <w:t>6.3 Implications and Recommendations for Practice</w:t>
            </w:r>
            <w:r>
              <w:rPr>
                <w:noProof/>
                <w:webHidden/>
              </w:rPr>
              <w:tab/>
            </w:r>
            <w:r>
              <w:rPr>
                <w:noProof/>
                <w:webHidden/>
              </w:rPr>
              <w:fldChar w:fldCharType="begin"/>
            </w:r>
            <w:r>
              <w:rPr>
                <w:noProof/>
                <w:webHidden/>
              </w:rPr>
              <w:instrText xml:space="preserve"> PAGEREF _Toc241175749 \h </w:instrText>
            </w:r>
            <w:r>
              <w:rPr>
                <w:noProof/>
                <w:webHidden/>
              </w:rPr>
            </w:r>
            <w:r>
              <w:rPr>
                <w:noProof/>
                <w:webHidden/>
              </w:rPr>
              <w:fldChar w:fldCharType="separate"/>
            </w:r>
            <w:r>
              <w:rPr>
                <w:noProof/>
                <w:webHidden/>
              </w:rPr>
              <w:t>58</w:t>
            </w:r>
            <w:r>
              <w:rPr>
                <w:noProof/>
                <w:webHidden/>
              </w:rPr>
              <w:fldChar w:fldCharType="end"/>
            </w:r>
          </w:hyperlink>
        </w:p>
        <w:p w14:paraId="5CC3B022" w14:textId="46625785" w:rsidR="0045687E" w:rsidRDefault="0045687E">
          <w:pPr>
            <w:pStyle w:val="TOC2"/>
            <w:tabs>
              <w:tab w:val="right" w:leader="dot" w:pos="8296"/>
            </w:tabs>
            <w:rPr>
              <w:rFonts w:asciiTheme="minorHAnsi" w:eastAsiaTheme="minorEastAsia" w:hAnsiTheme="minorHAnsi"/>
              <w:noProof/>
              <w:kern w:val="2"/>
              <w:sz w:val="24"/>
              <w:szCs w:val="24"/>
              <w:lang w:val="en-US"/>
              <w14:ligatures w14:val="standardContextual"/>
            </w:rPr>
          </w:pPr>
          <w:hyperlink w:anchor="_Toc241175750" w:history="1">
            <w:r w:rsidRPr="00990075">
              <w:rPr>
                <w:rStyle w:val="Hyperlink"/>
                <w:rFonts w:cs="Arial"/>
                <w:noProof/>
              </w:rPr>
              <w:t>6.4 Strengths and Limitations of the Review</w:t>
            </w:r>
            <w:r>
              <w:rPr>
                <w:noProof/>
                <w:webHidden/>
              </w:rPr>
              <w:tab/>
            </w:r>
            <w:r>
              <w:rPr>
                <w:noProof/>
                <w:webHidden/>
              </w:rPr>
              <w:fldChar w:fldCharType="begin"/>
            </w:r>
            <w:r>
              <w:rPr>
                <w:noProof/>
                <w:webHidden/>
              </w:rPr>
              <w:instrText xml:space="preserve"> PAGEREF _Toc241175750 \h </w:instrText>
            </w:r>
            <w:r>
              <w:rPr>
                <w:noProof/>
                <w:webHidden/>
              </w:rPr>
            </w:r>
            <w:r>
              <w:rPr>
                <w:noProof/>
                <w:webHidden/>
              </w:rPr>
              <w:fldChar w:fldCharType="separate"/>
            </w:r>
            <w:r>
              <w:rPr>
                <w:noProof/>
                <w:webHidden/>
              </w:rPr>
              <w:t>59</w:t>
            </w:r>
            <w:r>
              <w:rPr>
                <w:noProof/>
                <w:webHidden/>
              </w:rPr>
              <w:fldChar w:fldCharType="end"/>
            </w:r>
          </w:hyperlink>
        </w:p>
        <w:p w14:paraId="5A48F60C" w14:textId="1CE88701" w:rsidR="0045687E" w:rsidRDefault="0045687E">
          <w:pPr>
            <w:pStyle w:val="TOC2"/>
            <w:tabs>
              <w:tab w:val="right" w:leader="dot" w:pos="8296"/>
            </w:tabs>
            <w:rPr>
              <w:rFonts w:asciiTheme="minorHAnsi" w:eastAsiaTheme="minorEastAsia" w:hAnsiTheme="minorHAnsi"/>
              <w:noProof/>
              <w:kern w:val="2"/>
              <w:sz w:val="24"/>
              <w:szCs w:val="24"/>
              <w:lang w:val="en-US"/>
              <w14:ligatures w14:val="standardContextual"/>
            </w:rPr>
          </w:pPr>
          <w:hyperlink w:anchor="_Toc241175751" w:history="1">
            <w:r w:rsidRPr="00990075">
              <w:rPr>
                <w:rStyle w:val="Hyperlink"/>
                <w:rFonts w:cs="Arial"/>
                <w:noProof/>
              </w:rPr>
              <w:t>6.5 Recommendations for Future Research</w:t>
            </w:r>
            <w:r>
              <w:rPr>
                <w:noProof/>
                <w:webHidden/>
              </w:rPr>
              <w:tab/>
            </w:r>
            <w:r>
              <w:rPr>
                <w:noProof/>
                <w:webHidden/>
              </w:rPr>
              <w:fldChar w:fldCharType="begin"/>
            </w:r>
            <w:r>
              <w:rPr>
                <w:noProof/>
                <w:webHidden/>
              </w:rPr>
              <w:instrText xml:space="preserve"> PAGEREF _Toc241175751 \h </w:instrText>
            </w:r>
            <w:r>
              <w:rPr>
                <w:noProof/>
                <w:webHidden/>
              </w:rPr>
            </w:r>
            <w:r>
              <w:rPr>
                <w:noProof/>
                <w:webHidden/>
              </w:rPr>
              <w:fldChar w:fldCharType="separate"/>
            </w:r>
            <w:r>
              <w:rPr>
                <w:noProof/>
                <w:webHidden/>
              </w:rPr>
              <w:t>60</w:t>
            </w:r>
            <w:r>
              <w:rPr>
                <w:noProof/>
                <w:webHidden/>
              </w:rPr>
              <w:fldChar w:fldCharType="end"/>
            </w:r>
          </w:hyperlink>
        </w:p>
        <w:p w14:paraId="3C140134" w14:textId="6FAC6DDE" w:rsidR="0045687E" w:rsidRDefault="0045687E">
          <w:pPr>
            <w:pStyle w:val="TOC2"/>
            <w:tabs>
              <w:tab w:val="right" w:leader="dot" w:pos="8296"/>
            </w:tabs>
            <w:rPr>
              <w:rFonts w:asciiTheme="minorHAnsi" w:eastAsiaTheme="minorEastAsia" w:hAnsiTheme="minorHAnsi"/>
              <w:noProof/>
              <w:kern w:val="2"/>
              <w:sz w:val="24"/>
              <w:szCs w:val="24"/>
              <w:lang w:val="en-US"/>
              <w14:ligatures w14:val="standardContextual"/>
            </w:rPr>
          </w:pPr>
          <w:hyperlink w:anchor="_Toc241175752" w:history="1">
            <w:r w:rsidRPr="00990075">
              <w:rPr>
                <w:rStyle w:val="Hyperlink"/>
                <w:rFonts w:cs="Arial"/>
                <w:noProof/>
              </w:rPr>
              <w:t>6.6 Final Conclusion</w:t>
            </w:r>
            <w:r>
              <w:rPr>
                <w:noProof/>
                <w:webHidden/>
              </w:rPr>
              <w:tab/>
            </w:r>
            <w:r>
              <w:rPr>
                <w:noProof/>
                <w:webHidden/>
              </w:rPr>
              <w:fldChar w:fldCharType="begin"/>
            </w:r>
            <w:r>
              <w:rPr>
                <w:noProof/>
                <w:webHidden/>
              </w:rPr>
              <w:instrText xml:space="preserve"> PAGEREF _Toc241175752 \h </w:instrText>
            </w:r>
            <w:r>
              <w:rPr>
                <w:noProof/>
                <w:webHidden/>
              </w:rPr>
            </w:r>
            <w:r>
              <w:rPr>
                <w:noProof/>
                <w:webHidden/>
              </w:rPr>
              <w:fldChar w:fldCharType="separate"/>
            </w:r>
            <w:r>
              <w:rPr>
                <w:noProof/>
                <w:webHidden/>
              </w:rPr>
              <w:t>60</w:t>
            </w:r>
            <w:r>
              <w:rPr>
                <w:noProof/>
                <w:webHidden/>
              </w:rPr>
              <w:fldChar w:fldCharType="end"/>
            </w:r>
          </w:hyperlink>
        </w:p>
        <w:p w14:paraId="667EEF5F" w14:textId="25A434BE" w:rsidR="0045687E" w:rsidRDefault="0045687E">
          <w:pPr>
            <w:pStyle w:val="TOC1"/>
            <w:rPr>
              <w:rFonts w:asciiTheme="minorHAnsi" w:eastAsiaTheme="minorEastAsia" w:hAnsiTheme="minorHAnsi" w:cstheme="minorBidi"/>
              <w:kern w:val="2"/>
              <w:sz w:val="24"/>
              <w:szCs w:val="24"/>
              <w14:ligatures w14:val="standardContextual"/>
            </w:rPr>
          </w:pPr>
          <w:hyperlink w:anchor="_Toc241175753" w:history="1">
            <w:r w:rsidRPr="00990075">
              <w:rPr>
                <w:rStyle w:val="Hyperlink"/>
              </w:rPr>
              <w:t>Reference list</w:t>
            </w:r>
            <w:r>
              <w:rPr>
                <w:webHidden/>
              </w:rPr>
              <w:tab/>
            </w:r>
            <w:r>
              <w:rPr>
                <w:webHidden/>
              </w:rPr>
              <w:fldChar w:fldCharType="begin"/>
            </w:r>
            <w:r>
              <w:rPr>
                <w:webHidden/>
              </w:rPr>
              <w:instrText xml:space="preserve"> PAGEREF _Toc241175753 \h </w:instrText>
            </w:r>
            <w:r>
              <w:rPr>
                <w:webHidden/>
              </w:rPr>
            </w:r>
            <w:r>
              <w:rPr>
                <w:webHidden/>
              </w:rPr>
              <w:fldChar w:fldCharType="separate"/>
            </w:r>
            <w:r>
              <w:rPr>
                <w:webHidden/>
              </w:rPr>
              <w:t>61</w:t>
            </w:r>
            <w:r>
              <w:rPr>
                <w:webHidden/>
              </w:rPr>
              <w:fldChar w:fldCharType="end"/>
            </w:r>
          </w:hyperlink>
        </w:p>
        <w:p w14:paraId="2EB1F44B" w14:textId="2BE4D98B" w:rsidR="0045687E" w:rsidRDefault="0045687E">
          <w:pPr>
            <w:pStyle w:val="TOC1"/>
            <w:rPr>
              <w:rFonts w:asciiTheme="minorHAnsi" w:eastAsiaTheme="minorEastAsia" w:hAnsiTheme="minorHAnsi" w:cstheme="minorBidi"/>
              <w:kern w:val="2"/>
              <w:sz w:val="24"/>
              <w:szCs w:val="24"/>
              <w14:ligatures w14:val="standardContextual"/>
            </w:rPr>
          </w:pPr>
          <w:hyperlink w:anchor="_Toc241175754" w:history="1">
            <w:r w:rsidRPr="00990075">
              <w:rPr>
                <w:rStyle w:val="Hyperlink"/>
              </w:rPr>
              <w:t>Appendices</w:t>
            </w:r>
            <w:r>
              <w:rPr>
                <w:webHidden/>
              </w:rPr>
              <w:tab/>
            </w:r>
            <w:r>
              <w:rPr>
                <w:webHidden/>
              </w:rPr>
              <w:fldChar w:fldCharType="begin"/>
            </w:r>
            <w:r>
              <w:rPr>
                <w:webHidden/>
              </w:rPr>
              <w:instrText xml:space="preserve"> PAGEREF _Toc241175754 \h </w:instrText>
            </w:r>
            <w:r>
              <w:rPr>
                <w:webHidden/>
              </w:rPr>
            </w:r>
            <w:r>
              <w:rPr>
                <w:webHidden/>
              </w:rPr>
              <w:fldChar w:fldCharType="separate"/>
            </w:r>
            <w:r>
              <w:rPr>
                <w:webHidden/>
              </w:rPr>
              <w:t>73</w:t>
            </w:r>
            <w:r>
              <w:rPr>
                <w:webHidden/>
              </w:rPr>
              <w:fldChar w:fldCharType="end"/>
            </w:r>
          </w:hyperlink>
        </w:p>
        <w:p w14:paraId="7BF5A07B" w14:textId="43646196" w:rsidR="0045687E" w:rsidRDefault="0045687E">
          <w:pPr>
            <w:pStyle w:val="TOC2"/>
            <w:tabs>
              <w:tab w:val="right" w:leader="dot" w:pos="8296"/>
            </w:tabs>
            <w:rPr>
              <w:rFonts w:asciiTheme="minorHAnsi" w:eastAsiaTheme="minorEastAsia" w:hAnsiTheme="minorHAnsi"/>
              <w:noProof/>
              <w:kern w:val="2"/>
              <w:sz w:val="24"/>
              <w:szCs w:val="24"/>
              <w:lang w:val="en-US"/>
              <w14:ligatures w14:val="standardContextual"/>
            </w:rPr>
          </w:pPr>
          <w:hyperlink w:anchor="_Toc241175755" w:history="1">
            <w:r w:rsidRPr="00990075">
              <w:rPr>
                <w:rStyle w:val="Hyperlink"/>
                <w:rFonts w:cs="Arial"/>
                <w:noProof/>
                <w:lang w:val="en-US"/>
              </w:rPr>
              <w:t>Appendix 1 - CASP Critical Appraisals</w:t>
            </w:r>
            <w:r>
              <w:rPr>
                <w:noProof/>
                <w:webHidden/>
              </w:rPr>
              <w:tab/>
            </w:r>
            <w:r>
              <w:rPr>
                <w:noProof/>
                <w:webHidden/>
              </w:rPr>
              <w:fldChar w:fldCharType="begin"/>
            </w:r>
            <w:r>
              <w:rPr>
                <w:noProof/>
                <w:webHidden/>
              </w:rPr>
              <w:instrText xml:space="preserve"> PAGEREF _Toc241175755 \h </w:instrText>
            </w:r>
            <w:r>
              <w:rPr>
                <w:noProof/>
                <w:webHidden/>
              </w:rPr>
            </w:r>
            <w:r>
              <w:rPr>
                <w:noProof/>
                <w:webHidden/>
              </w:rPr>
              <w:fldChar w:fldCharType="separate"/>
            </w:r>
            <w:r>
              <w:rPr>
                <w:noProof/>
                <w:webHidden/>
              </w:rPr>
              <w:t>73</w:t>
            </w:r>
            <w:r>
              <w:rPr>
                <w:noProof/>
                <w:webHidden/>
              </w:rPr>
              <w:fldChar w:fldCharType="end"/>
            </w:r>
          </w:hyperlink>
        </w:p>
        <w:p w14:paraId="30E6F1D9" w14:textId="191A9A94" w:rsidR="00FD02F5" w:rsidRPr="00DF70B3" w:rsidRDefault="00FD02F5">
          <w:pPr>
            <w:rPr>
              <w:rFonts w:cs="Arial"/>
            </w:rPr>
          </w:pPr>
          <w:r w:rsidRPr="00DF70B3">
            <w:rPr>
              <w:rFonts w:cs="Arial"/>
              <w:b/>
              <w:bCs/>
              <w:noProof/>
            </w:rPr>
            <w:fldChar w:fldCharType="end"/>
          </w:r>
        </w:p>
      </w:sdtContent>
    </w:sdt>
    <w:p w14:paraId="61179AA3" w14:textId="61944F61" w:rsidR="00C24A68" w:rsidRPr="00DF70B3" w:rsidRDefault="00C24A68">
      <w:pPr>
        <w:spacing w:line="259" w:lineRule="auto"/>
        <w:jc w:val="left"/>
        <w:rPr>
          <w:rFonts w:cs="Arial"/>
        </w:rPr>
      </w:pPr>
      <w:r w:rsidRPr="00DF70B3">
        <w:rPr>
          <w:rFonts w:cs="Arial"/>
        </w:rPr>
        <w:br w:type="page"/>
      </w:r>
    </w:p>
    <w:p w14:paraId="3A3B2311" w14:textId="1068E627" w:rsidR="006209CE" w:rsidRPr="00F07A54" w:rsidRDefault="00F07A54" w:rsidP="005C65A5">
      <w:pPr>
        <w:pStyle w:val="Heading1"/>
        <w:jc w:val="center"/>
        <w:rPr>
          <w:rFonts w:cs="Arial"/>
          <w:lang w:val="en-US"/>
        </w:rPr>
      </w:pPr>
      <w:bookmarkStart w:id="7" w:name="_Toc241175680"/>
      <w:r>
        <w:rPr>
          <w:rFonts w:cs="Arial"/>
          <w:lang w:val="en-US"/>
        </w:rPr>
        <w:lastRenderedPageBreak/>
        <w:t>Chapter One</w:t>
      </w:r>
      <w:r w:rsidR="006209CE" w:rsidRPr="00F07A54">
        <w:rPr>
          <w:rFonts w:cs="Arial"/>
          <w:lang w:val="en-US"/>
        </w:rPr>
        <w:t>: Introduction</w:t>
      </w:r>
      <w:bookmarkEnd w:id="7"/>
    </w:p>
    <w:p w14:paraId="09BD2376" w14:textId="5F7E45BA" w:rsidR="006209CE" w:rsidRPr="003255C5" w:rsidRDefault="006209CE" w:rsidP="00554D7F">
      <w:pPr>
        <w:pStyle w:val="Heading2"/>
        <w:rPr>
          <w:rFonts w:cs="Arial"/>
          <w:szCs w:val="22"/>
          <w:lang w:val="en-US"/>
        </w:rPr>
      </w:pPr>
      <w:bookmarkStart w:id="8" w:name="_Toc241175681"/>
      <w:r w:rsidRPr="003255C5">
        <w:rPr>
          <w:rFonts w:cs="Arial"/>
          <w:szCs w:val="22"/>
          <w:lang w:val="en-US"/>
        </w:rPr>
        <w:t>1.1 Introduction</w:t>
      </w:r>
      <w:bookmarkEnd w:id="8"/>
    </w:p>
    <w:p w14:paraId="38062901" w14:textId="2C279583" w:rsidR="006209CE" w:rsidRPr="005C65A5" w:rsidRDefault="00554D7F" w:rsidP="00554D7F">
      <w:pPr>
        <w:rPr>
          <w:rFonts w:cs="Arial"/>
          <w:lang w:val="en-US"/>
        </w:rPr>
      </w:pPr>
      <w:r w:rsidRPr="005C65A5">
        <w:rPr>
          <w:rFonts w:cs="Arial"/>
          <w:lang w:val="en-US"/>
        </w:rPr>
        <w:t>With the quick normalisation of remote consultations, online triage, patient portals and patient monitoring at home during and beyond COVID-19 (Murphy et al., 2021; Turner et al., 2021), digital health is playing a growing role in the management of chronic diseases in the UK. These factors intersect with ageing, and this dissertation specifically targets older people, as their ability to manage themselves can be enhanced, while older people's access to and confidence in technology and social care can be reduced. (Kunonga et al., 2021; Ahmed et al., 2024). Digital services are promoted as efficient and empowering, but there is evidence that the experience of older patients depends on their usability, language, deprivation, disability and support needs, both positively and negatively (Money et al., 2024; Chadwick et al., 2024), leading to the importance of the topic. Thus, you will get to know the chapter's research background, problem, rationale, aim, objectives, research question, scope, significance, and chapter structure, following Newbould et al. (2024) and Hamilton et al. (2025).</w:t>
      </w:r>
    </w:p>
    <w:p w14:paraId="5F5FDB9C" w14:textId="77777777" w:rsidR="006209CE" w:rsidRPr="00421862" w:rsidRDefault="006209CE" w:rsidP="00554D7F">
      <w:pPr>
        <w:pStyle w:val="Heading2"/>
        <w:rPr>
          <w:rFonts w:cs="Arial"/>
          <w:szCs w:val="22"/>
          <w:lang w:val="en-US"/>
        </w:rPr>
      </w:pPr>
      <w:bookmarkStart w:id="9" w:name="_Toc241175682"/>
      <w:r w:rsidRPr="00421862">
        <w:rPr>
          <w:rFonts w:cs="Arial"/>
          <w:szCs w:val="22"/>
          <w:lang w:val="en-US"/>
        </w:rPr>
        <w:t>1.2 Background of the Study</w:t>
      </w:r>
      <w:bookmarkEnd w:id="9"/>
    </w:p>
    <w:p w14:paraId="7B78DE1D" w14:textId="139F7819" w:rsidR="006209CE" w:rsidRDefault="00554D7F" w:rsidP="00554D7F">
      <w:pPr>
        <w:rPr>
          <w:rFonts w:cs="Arial"/>
          <w:lang w:val="en-US"/>
        </w:rPr>
      </w:pPr>
      <w:r w:rsidRPr="005C65A5">
        <w:rPr>
          <w:rFonts w:cs="Arial"/>
          <w:lang w:val="en-US"/>
        </w:rPr>
        <w:t>Long-term illnesses are becoming more common in the UK health and social care context, with 46% of adults in the Health Survey for England in 2024 reporting having one or more long-standing illnesses/conditions (NHS Digital, 2026; Murphy et al., 2021). Digital tools are used to help with the self-management of respiratory disease, frailty, kidney disease, diabetes, dementia and multimorbidity, but the evidence is mixed; the use of digital tools does not inherently lead to engagement or better outcomes (Lewis et al., 2021; Moody et al., 2024). Online pulmonary rehabilitation and digital habits after COVID-19 demonstrate that the need for flexible access is a reality for some patients, but confidence, equipment, motivation and clinical reassurance are essential to ensure long-term usage (Lewis et al., 2021; Polgar et al., 2022). Convenience for some users can be facilitated by appointment booking and consultation systems on the internet (Atherton et al., 2024; Moschogianis et al., 2024), which can also cause confusion and transactional communication and gate-keeping issues for patients with complex needs in primary care.</w:t>
      </w:r>
      <w:r w:rsidR="00421862">
        <w:rPr>
          <w:rFonts w:cs="Arial"/>
          <w:lang w:val="en-US"/>
        </w:rPr>
        <w:t xml:space="preserve"> </w:t>
      </w:r>
    </w:p>
    <w:p w14:paraId="67CF1A37" w14:textId="1F1FD227" w:rsidR="00421862" w:rsidRDefault="00421862" w:rsidP="00554D7F">
      <w:pPr>
        <w:rPr>
          <w:rFonts w:cs="Arial"/>
          <w:lang w:val="en-US"/>
        </w:rPr>
      </w:pPr>
    </w:p>
    <w:p w14:paraId="22CDEF45" w14:textId="7D4026B8" w:rsidR="00421862" w:rsidRDefault="00421862" w:rsidP="00554D7F">
      <w:pPr>
        <w:rPr>
          <w:rFonts w:cs="Arial"/>
          <w:lang w:val="en-US"/>
        </w:rPr>
      </w:pPr>
    </w:p>
    <w:p w14:paraId="211A5D60" w14:textId="77777777" w:rsidR="00421862" w:rsidRPr="005C65A5" w:rsidRDefault="00421862" w:rsidP="00554D7F">
      <w:pPr>
        <w:rPr>
          <w:rFonts w:cs="Arial"/>
          <w:lang w:val="en-US"/>
        </w:rPr>
      </w:pPr>
    </w:p>
    <w:p w14:paraId="66EDF4B2" w14:textId="087F8088" w:rsidR="006209CE" w:rsidRPr="005C65A5" w:rsidRDefault="006209CE" w:rsidP="00554D7F">
      <w:pPr>
        <w:rPr>
          <w:rFonts w:cs="Arial"/>
          <w:lang w:val="en-US"/>
        </w:rPr>
      </w:pPr>
      <w:r w:rsidRPr="005C65A5">
        <w:rPr>
          <w:rFonts w:cs="Arial"/>
          <w:lang w:val="en-US"/>
        </w:rPr>
        <w:lastRenderedPageBreak/>
        <w:t xml:space="preserve">Table 1: UK </w:t>
      </w:r>
      <w:r w:rsidR="004D54CE">
        <w:rPr>
          <w:rFonts w:cs="Arial"/>
          <w:lang w:val="en-US"/>
        </w:rPr>
        <w:t>Data Supporting t</w:t>
      </w:r>
      <w:r w:rsidR="004D54CE" w:rsidRPr="005C65A5">
        <w:rPr>
          <w:rFonts w:cs="Arial"/>
          <w:lang w:val="en-US"/>
        </w:rPr>
        <w:t>he Research Focus</w:t>
      </w:r>
      <w:r w:rsidR="004D54CE">
        <w:rPr>
          <w:rFonts w:cs="Arial"/>
          <w:lang w:val="en-US"/>
        </w:rPr>
        <w:t xml:space="preserve"> </w:t>
      </w:r>
    </w:p>
    <w:tbl>
      <w:tblPr>
        <w:tblStyle w:val="TableGrid"/>
        <w:tblW w:w="0" w:type="auto"/>
        <w:jc w:val="center"/>
        <w:tblLook w:val="04A0" w:firstRow="1" w:lastRow="0" w:firstColumn="1" w:lastColumn="0" w:noHBand="0" w:noVBand="1"/>
      </w:tblPr>
      <w:tblGrid>
        <w:gridCol w:w="2619"/>
        <w:gridCol w:w="2197"/>
        <w:gridCol w:w="2350"/>
        <w:gridCol w:w="1356"/>
      </w:tblGrid>
      <w:tr w:rsidR="006209CE" w:rsidRPr="00421862" w14:paraId="315367E2" w14:textId="77777777" w:rsidTr="00421862">
        <w:trPr>
          <w:jc w:val="center"/>
        </w:trPr>
        <w:tc>
          <w:tcPr>
            <w:tcW w:w="0" w:type="auto"/>
            <w:hideMark/>
          </w:tcPr>
          <w:p w14:paraId="51D13BBC" w14:textId="77777777" w:rsidR="006209CE" w:rsidRPr="00421862" w:rsidRDefault="006209CE" w:rsidP="00421862">
            <w:pPr>
              <w:spacing w:after="160"/>
              <w:jc w:val="center"/>
              <w:rPr>
                <w:rFonts w:cs="Arial"/>
                <w:b/>
                <w:bCs/>
                <w:sz w:val="20"/>
                <w:szCs w:val="20"/>
                <w:lang w:val="en-US"/>
              </w:rPr>
            </w:pPr>
            <w:r w:rsidRPr="00421862">
              <w:rPr>
                <w:rFonts w:cs="Arial"/>
                <w:b/>
                <w:bCs/>
                <w:sz w:val="20"/>
                <w:szCs w:val="20"/>
                <w:lang w:val="en-US"/>
              </w:rPr>
              <w:t>Indicator</w:t>
            </w:r>
          </w:p>
        </w:tc>
        <w:tc>
          <w:tcPr>
            <w:tcW w:w="0" w:type="auto"/>
            <w:hideMark/>
          </w:tcPr>
          <w:p w14:paraId="62ED8ACA" w14:textId="77777777" w:rsidR="006209CE" w:rsidRPr="00421862" w:rsidRDefault="006209CE" w:rsidP="00421862">
            <w:pPr>
              <w:spacing w:after="160"/>
              <w:jc w:val="center"/>
              <w:rPr>
                <w:rFonts w:cs="Arial"/>
                <w:b/>
                <w:bCs/>
                <w:sz w:val="20"/>
                <w:szCs w:val="20"/>
                <w:lang w:val="en-US"/>
              </w:rPr>
            </w:pPr>
            <w:r w:rsidRPr="00421862">
              <w:rPr>
                <w:rFonts w:cs="Arial"/>
                <w:b/>
                <w:bCs/>
                <w:sz w:val="20"/>
                <w:szCs w:val="20"/>
                <w:lang w:val="en-US"/>
              </w:rPr>
              <w:t>UK/England value</w:t>
            </w:r>
          </w:p>
        </w:tc>
        <w:tc>
          <w:tcPr>
            <w:tcW w:w="0" w:type="auto"/>
            <w:hideMark/>
          </w:tcPr>
          <w:p w14:paraId="4DF24C03" w14:textId="77777777" w:rsidR="006209CE" w:rsidRPr="00421862" w:rsidRDefault="006209CE" w:rsidP="00421862">
            <w:pPr>
              <w:spacing w:after="160"/>
              <w:jc w:val="center"/>
              <w:rPr>
                <w:rFonts w:cs="Arial"/>
                <w:b/>
                <w:bCs/>
                <w:sz w:val="20"/>
                <w:szCs w:val="20"/>
                <w:lang w:val="en-US"/>
              </w:rPr>
            </w:pPr>
            <w:r w:rsidRPr="00421862">
              <w:rPr>
                <w:rFonts w:cs="Arial"/>
                <w:b/>
                <w:bCs/>
                <w:sz w:val="20"/>
                <w:szCs w:val="20"/>
                <w:lang w:val="en-US"/>
              </w:rPr>
              <w:t>Relevance to dissertation</w:t>
            </w:r>
          </w:p>
        </w:tc>
        <w:tc>
          <w:tcPr>
            <w:tcW w:w="0" w:type="auto"/>
            <w:hideMark/>
          </w:tcPr>
          <w:p w14:paraId="635AE6C1" w14:textId="77777777" w:rsidR="006209CE" w:rsidRPr="00421862" w:rsidRDefault="006209CE" w:rsidP="00421862">
            <w:pPr>
              <w:spacing w:after="160"/>
              <w:jc w:val="center"/>
              <w:rPr>
                <w:rFonts w:cs="Arial"/>
                <w:b/>
                <w:bCs/>
                <w:sz w:val="20"/>
                <w:szCs w:val="20"/>
                <w:lang w:val="en-US"/>
              </w:rPr>
            </w:pPr>
            <w:r w:rsidRPr="00421862">
              <w:rPr>
                <w:rFonts w:cs="Arial"/>
                <w:b/>
                <w:bCs/>
                <w:sz w:val="20"/>
                <w:szCs w:val="20"/>
                <w:lang w:val="en-US"/>
              </w:rPr>
              <w:t>Source</w:t>
            </w:r>
          </w:p>
        </w:tc>
      </w:tr>
      <w:tr w:rsidR="006209CE" w:rsidRPr="00421862" w14:paraId="77416315" w14:textId="77777777" w:rsidTr="00421862">
        <w:trPr>
          <w:jc w:val="center"/>
        </w:trPr>
        <w:tc>
          <w:tcPr>
            <w:tcW w:w="0" w:type="auto"/>
            <w:hideMark/>
          </w:tcPr>
          <w:p w14:paraId="67C526E9" w14:textId="77777777" w:rsidR="006209CE" w:rsidRPr="00421862" w:rsidRDefault="006209CE" w:rsidP="00421862">
            <w:pPr>
              <w:spacing w:after="160"/>
              <w:jc w:val="center"/>
              <w:rPr>
                <w:rFonts w:cs="Arial"/>
                <w:sz w:val="20"/>
                <w:szCs w:val="20"/>
                <w:lang w:val="en-US"/>
              </w:rPr>
            </w:pPr>
            <w:r w:rsidRPr="00421862">
              <w:rPr>
                <w:rFonts w:cs="Arial"/>
                <w:sz w:val="20"/>
                <w:szCs w:val="20"/>
                <w:lang w:val="en-US"/>
              </w:rPr>
              <w:t>Adults with at least one longstanding illness</w:t>
            </w:r>
          </w:p>
        </w:tc>
        <w:tc>
          <w:tcPr>
            <w:tcW w:w="0" w:type="auto"/>
            <w:hideMark/>
          </w:tcPr>
          <w:p w14:paraId="1172A25F" w14:textId="77777777" w:rsidR="006209CE" w:rsidRPr="00421862" w:rsidRDefault="006209CE" w:rsidP="00421862">
            <w:pPr>
              <w:spacing w:after="160"/>
              <w:jc w:val="center"/>
              <w:rPr>
                <w:rFonts w:cs="Arial"/>
                <w:sz w:val="20"/>
                <w:szCs w:val="20"/>
                <w:lang w:val="en-US"/>
              </w:rPr>
            </w:pPr>
            <w:r w:rsidRPr="00421862">
              <w:rPr>
                <w:rFonts w:cs="Arial"/>
                <w:sz w:val="20"/>
                <w:szCs w:val="20"/>
                <w:lang w:val="en-US"/>
              </w:rPr>
              <w:t>46% of adults in England, 2024</w:t>
            </w:r>
          </w:p>
        </w:tc>
        <w:tc>
          <w:tcPr>
            <w:tcW w:w="0" w:type="auto"/>
            <w:hideMark/>
          </w:tcPr>
          <w:p w14:paraId="75CBD54C" w14:textId="77777777" w:rsidR="006209CE" w:rsidRPr="00421862" w:rsidRDefault="006209CE" w:rsidP="00421862">
            <w:pPr>
              <w:spacing w:after="160"/>
              <w:jc w:val="center"/>
              <w:rPr>
                <w:rFonts w:cs="Arial"/>
                <w:sz w:val="20"/>
                <w:szCs w:val="20"/>
                <w:lang w:val="en-US"/>
              </w:rPr>
            </w:pPr>
            <w:r w:rsidRPr="00421862">
              <w:rPr>
                <w:rFonts w:cs="Arial"/>
                <w:sz w:val="20"/>
                <w:szCs w:val="20"/>
                <w:lang w:val="en-US"/>
              </w:rPr>
              <w:t>Shows high chronic disease burden</w:t>
            </w:r>
          </w:p>
        </w:tc>
        <w:tc>
          <w:tcPr>
            <w:tcW w:w="0" w:type="auto"/>
            <w:hideMark/>
          </w:tcPr>
          <w:p w14:paraId="27C2CD0E" w14:textId="77777777" w:rsidR="006209CE" w:rsidRPr="00421862" w:rsidRDefault="006209CE" w:rsidP="00421862">
            <w:pPr>
              <w:spacing w:after="160"/>
              <w:jc w:val="center"/>
              <w:rPr>
                <w:rFonts w:cs="Arial"/>
                <w:sz w:val="20"/>
                <w:szCs w:val="20"/>
                <w:lang w:val="en-US"/>
              </w:rPr>
            </w:pPr>
            <w:r w:rsidRPr="00421862">
              <w:rPr>
                <w:rFonts w:cs="Arial"/>
                <w:sz w:val="20"/>
                <w:szCs w:val="20"/>
                <w:lang w:val="en-US"/>
              </w:rPr>
              <w:t>NHS Digital (2026)</w:t>
            </w:r>
          </w:p>
        </w:tc>
      </w:tr>
      <w:tr w:rsidR="006209CE" w:rsidRPr="00421862" w14:paraId="79221474" w14:textId="77777777" w:rsidTr="00421862">
        <w:trPr>
          <w:jc w:val="center"/>
        </w:trPr>
        <w:tc>
          <w:tcPr>
            <w:tcW w:w="0" w:type="auto"/>
            <w:hideMark/>
          </w:tcPr>
          <w:p w14:paraId="22830408" w14:textId="77777777" w:rsidR="006209CE" w:rsidRPr="00421862" w:rsidRDefault="006209CE" w:rsidP="00421862">
            <w:pPr>
              <w:spacing w:after="160"/>
              <w:jc w:val="center"/>
              <w:rPr>
                <w:rFonts w:cs="Arial"/>
                <w:sz w:val="20"/>
                <w:szCs w:val="20"/>
                <w:lang w:val="en-US"/>
              </w:rPr>
            </w:pPr>
            <w:r w:rsidRPr="00421862">
              <w:rPr>
                <w:rFonts w:cs="Arial"/>
                <w:sz w:val="20"/>
                <w:szCs w:val="20"/>
                <w:lang w:val="en-US"/>
              </w:rPr>
              <w:t>People aged 65+ not using internet</w:t>
            </w:r>
          </w:p>
        </w:tc>
        <w:tc>
          <w:tcPr>
            <w:tcW w:w="0" w:type="auto"/>
            <w:hideMark/>
          </w:tcPr>
          <w:p w14:paraId="173E73DC" w14:textId="77777777" w:rsidR="006209CE" w:rsidRPr="00421862" w:rsidRDefault="006209CE" w:rsidP="00421862">
            <w:pPr>
              <w:spacing w:after="160"/>
              <w:jc w:val="center"/>
              <w:rPr>
                <w:rFonts w:cs="Arial"/>
                <w:sz w:val="20"/>
                <w:szCs w:val="20"/>
                <w:lang w:val="en-US"/>
              </w:rPr>
            </w:pPr>
            <w:r w:rsidRPr="00421862">
              <w:rPr>
                <w:rFonts w:cs="Arial"/>
                <w:sz w:val="20"/>
                <w:szCs w:val="20"/>
                <w:lang w:val="en-US"/>
              </w:rPr>
              <w:t>18%, about 2.3 million people</w:t>
            </w:r>
          </w:p>
        </w:tc>
        <w:tc>
          <w:tcPr>
            <w:tcW w:w="0" w:type="auto"/>
            <w:hideMark/>
          </w:tcPr>
          <w:p w14:paraId="51EF874D" w14:textId="77777777" w:rsidR="006209CE" w:rsidRPr="00421862" w:rsidRDefault="006209CE" w:rsidP="00421862">
            <w:pPr>
              <w:spacing w:after="160"/>
              <w:jc w:val="center"/>
              <w:rPr>
                <w:rFonts w:cs="Arial"/>
                <w:sz w:val="20"/>
                <w:szCs w:val="20"/>
                <w:lang w:val="en-US"/>
              </w:rPr>
            </w:pPr>
            <w:r w:rsidRPr="00421862">
              <w:rPr>
                <w:rFonts w:cs="Arial"/>
                <w:sz w:val="20"/>
                <w:szCs w:val="20"/>
                <w:lang w:val="en-US"/>
              </w:rPr>
              <w:t>Shows digital exclusion risk</w:t>
            </w:r>
          </w:p>
        </w:tc>
        <w:tc>
          <w:tcPr>
            <w:tcW w:w="0" w:type="auto"/>
            <w:hideMark/>
          </w:tcPr>
          <w:p w14:paraId="6D2680A4" w14:textId="77777777" w:rsidR="006209CE" w:rsidRPr="00421862" w:rsidRDefault="006209CE" w:rsidP="00421862">
            <w:pPr>
              <w:spacing w:after="160"/>
              <w:jc w:val="center"/>
              <w:rPr>
                <w:rFonts w:cs="Arial"/>
                <w:sz w:val="20"/>
                <w:szCs w:val="20"/>
                <w:lang w:val="en-US"/>
              </w:rPr>
            </w:pPr>
            <w:r w:rsidRPr="00421862">
              <w:rPr>
                <w:rFonts w:cs="Arial"/>
                <w:sz w:val="20"/>
                <w:szCs w:val="20"/>
                <w:lang w:val="en-US"/>
              </w:rPr>
              <w:t>Age UK (2024)</w:t>
            </w:r>
          </w:p>
        </w:tc>
      </w:tr>
      <w:tr w:rsidR="006209CE" w:rsidRPr="00421862" w14:paraId="5143CF85" w14:textId="77777777" w:rsidTr="00421862">
        <w:trPr>
          <w:jc w:val="center"/>
        </w:trPr>
        <w:tc>
          <w:tcPr>
            <w:tcW w:w="0" w:type="auto"/>
            <w:hideMark/>
          </w:tcPr>
          <w:p w14:paraId="2B77902A" w14:textId="77777777" w:rsidR="006209CE" w:rsidRPr="00421862" w:rsidRDefault="006209CE" w:rsidP="00421862">
            <w:pPr>
              <w:spacing w:after="160"/>
              <w:jc w:val="center"/>
              <w:rPr>
                <w:rFonts w:cs="Arial"/>
                <w:sz w:val="20"/>
                <w:szCs w:val="20"/>
                <w:lang w:val="en-US"/>
              </w:rPr>
            </w:pPr>
            <w:r w:rsidRPr="00421862">
              <w:rPr>
                <w:rFonts w:cs="Arial"/>
                <w:sz w:val="20"/>
                <w:szCs w:val="20"/>
                <w:lang w:val="en-US"/>
              </w:rPr>
              <w:t>People aged 75+ not using internet</w:t>
            </w:r>
          </w:p>
        </w:tc>
        <w:tc>
          <w:tcPr>
            <w:tcW w:w="0" w:type="auto"/>
            <w:hideMark/>
          </w:tcPr>
          <w:p w14:paraId="24E275FF" w14:textId="77777777" w:rsidR="006209CE" w:rsidRPr="00421862" w:rsidRDefault="006209CE" w:rsidP="00421862">
            <w:pPr>
              <w:spacing w:after="160"/>
              <w:jc w:val="center"/>
              <w:rPr>
                <w:rFonts w:cs="Arial"/>
                <w:sz w:val="20"/>
                <w:szCs w:val="20"/>
                <w:lang w:val="en-US"/>
              </w:rPr>
            </w:pPr>
            <w:r w:rsidRPr="00421862">
              <w:rPr>
                <w:rFonts w:cs="Arial"/>
                <w:sz w:val="20"/>
                <w:szCs w:val="20"/>
                <w:lang w:val="en-US"/>
              </w:rPr>
              <w:t>29%, about 1.7 million people</w:t>
            </w:r>
          </w:p>
        </w:tc>
        <w:tc>
          <w:tcPr>
            <w:tcW w:w="0" w:type="auto"/>
            <w:hideMark/>
          </w:tcPr>
          <w:p w14:paraId="1ED59034" w14:textId="77777777" w:rsidR="006209CE" w:rsidRPr="00421862" w:rsidRDefault="006209CE" w:rsidP="00421862">
            <w:pPr>
              <w:spacing w:after="160"/>
              <w:jc w:val="center"/>
              <w:rPr>
                <w:rFonts w:cs="Arial"/>
                <w:sz w:val="20"/>
                <w:szCs w:val="20"/>
                <w:lang w:val="en-US"/>
              </w:rPr>
            </w:pPr>
            <w:r w:rsidRPr="00421862">
              <w:rPr>
                <w:rFonts w:cs="Arial"/>
                <w:sz w:val="20"/>
                <w:szCs w:val="20"/>
                <w:lang w:val="en-US"/>
              </w:rPr>
              <w:t>Shows higher risk in oldest adults</w:t>
            </w:r>
          </w:p>
        </w:tc>
        <w:tc>
          <w:tcPr>
            <w:tcW w:w="0" w:type="auto"/>
            <w:hideMark/>
          </w:tcPr>
          <w:p w14:paraId="0209E932" w14:textId="77777777" w:rsidR="006209CE" w:rsidRPr="00421862" w:rsidRDefault="006209CE" w:rsidP="00421862">
            <w:pPr>
              <w:spacing w:after="160"/>
              <w:jc w:val="center"/>
              <w:rPr>
                <w:rFonts w:cs="Arial"/>
                <w:sz w:val="20"/>
                <w:szCs w:val="20"/>
                <w:lang w:val="en-US"/>
              </w:rPr>
            </w:pPr>
            <w:r w:rsidRPr="00421862">
              <w:rPr>
                <w:rFonts w:cs="Arial"/>
                <w:sz w:val="20"/>
                <w:szCs w:val="20"/>
                <w:lang w:val="en-US"/>
              </w:rPr>
              <w:t>Age UK (2024)</w:t>
            </w:r>
          </w:p>
        </w:tc>
      </w:tr>
      <w:tr w:rsidR="006209CE" w:rsidRPr="00421862" w14:paraId="08D374F9" w14:textId="77777777" w:rsidTr="00421862">
        <w:trPr>
          <w:jc w:val="center"/>
        </w:trPr>
        <w:tc>
          <w:tcPr>
            <w:tcW w:w="0" w:type="auto"/>
            <w:hideMark/>
          </w:tcPr>
          <w:p w14:paraId="317D0F8A" w14:textId="77777777" w:rsidR="006209CE" w:rsidRPr="00421862" w:rsidRDefault="006209CE" w:rsidP="00421862">
            <w:pPr>
              <w:spacing w:after="160"/>
              <w:jc w:val="center"/>
              <w:rPr>
                <w:rFonts w:cs="Arial"/>
                <w:sz w:val="20"/>
                <w:szCs w:val="20"/>
                <w:lang w:val="en-US"/>
              </w:rPr>
            </w:pPr>
            <w:r w:rsidRPr="00421862">
              <w:rPr>
                <w:rFonts w:cs="Arial"/>
                <w:sz w:val="20"/>
                <w:szCs w:val="20"/>
                <w:lang w:val="en-US"/>
              </w:rPr>
              <w:t>People aged 65+ using smartphone</w:t>
            </w:r>
          </w:p>
        </w:tc>
        <w:tc>
          <w:tcPr>
            <w:tcW w:w="0" w:type="auto"/>
            <w:hideMark/>
          </w:tcPr>
          <w:p w14:paraId="25C9F308" w14:textId="77777777" w:rsidR="006209CE" w:rsidRPr="00421862" w:rsidRDefault="006209CE" w:rsidP="00421862">
            <w:pPr>
              <w:spacing w:after="160"/>
              <w:jc w:val="center"/>
              <w:rPr>
                <w:rFonts w:cs="Arial"/>
                <w:sz w:val="20"/>
                <w:szCs w:val="20"/>
                <w:lang w:val="en-US"/>
              </w:rPr>
            </w:pPr>
            <w:r w:rsidRPr="00421862">
              <w:rPr>
                <w:rFonts w:cs="Arial"/>
                <w:sz w:val="20"/>
                <w:szCs w:val="20"/>
                <w:lang w:val="en-US"/>
              </w:rPr>
              <w:t>67%, about 8.5 million people</w:t>
            </w:r>
          </w:p>
        </w:tc>
        <w:tc>
          <w:tcPr>
            <w:tcW w:w="0" w:type="auto"/>
            <w:hideMark/>
          </w:tcPr>
          <w:p w14:paraId="4F7D41D6" w14:textId="77777777" w:rsidR="006209CE" w:rsidRPr="00421862" w:rsidRDefault="006209CE" w:rsidP="00421862">
            <w:pPr>
              <w:spacing w:after="160"/>
              <w:jc w:val="center"/>
              <w:rPr>
                <w:rFonts w:cs="Arial"/>
                <w:sz w:val="20"/>
                <w:szCs w:val="20"/>
                <w:lang w:val="en-US"/>
              </w:rPr>
            </w:pPr>
            <w:r w:rsidRPr="00421862">
              <w:rPr>
                <w:rFonts w:cs="Arial"/>
                <w:sz w:val="20"/>
                <w:szCs w:val="20"/>
                <w:lang w:val="en-US"/>
              </w:rPr>
              <w:t>Shows access is growing but uneven</w:t>
            </w:r>
          </w:p>
        </w:tc>
        <w:tc>
          <w:tcPr>
            <w:tcW w:w="0" w:type="auto"/>
            <w:hideMark/>
          </w:tcPr>
          <w:p w14:paraId="135396F8" w14:textId="77777777" w:rsidR="006209CE" w:rsidRPr="00421862" w:rsidRDefault="006209CE" w:rsidP="00421862">
            <w:pPr>
              <w:spacing w:after="160"/>
              <w:jc w:val="center"/>
              <w:rPr>
                <w:rFonts w:cs="Arial"/>
                <w:sz w:val="20"/>
                <w:szCs w:val="20"/>
                <w:lang w:val="en-US"/>
              </w:rPr>
            </w:pPr>
            <w:r w:rsidRPr="00421862">
              <w:rPr>
                <w:rFonts w:cs="Arial"/>
                <w:sz w:val="20"/>
                <w:szCs w:val="20"/>
                <w:lang w:val="en-US"/>
              </w:rPr>
              <w:t>Age UK (2024)</w:t>
            </w:r>
          </w:p>
        </w:tc>
      </w:tr>
      <w:tr w:rsidR="006209CE" w:rsidRPr="00421862" w14:paraId="6EED97EA" w14:textId="77777777" w:rsidTr="00421862">
        <w:trPr>
          <w:jc w:val="center"/>
        </w:trPr>
        <w:tc>
          <w:tcPr>
            <w:tcW w:w="0" w:type="auto"/>
            <w:hideMark/>
          </w:tcPr>
          <w:p w14:paraId="333B35DF" w14:textId="77777777" w:rsidR="006209CE" w:rsidRPr="00421862" w:rsidRDefault="006209CE" w:rsidP="00421862">
            <w:pPr>
              <w:spacing w:after="160"/>
              <w:jc w:val="center"/>
              <w:rPr>
                <w:rFonts w:cs="Arial"/>
                <w:sz w:val="20"/>
                <w:szCs w:val="20"/>
                <w:lang w:val="en-US"/>
              </w:rPr>
            </w:pPr>
            <w:r w:rsidRPr="00421862">
              <w:rPr>
                <w:rFonts w:cs="Arial"/>
                <w:sz w:val="20"/>
                <w:szCs w:val="20"/>
                <w:lang w:val="en-US"/>
              </w:rPr>
              <w:t>UK adults without home internet access</w:t>
            </w:r>
          </w:p>
        </w:tc>
        <w:tc>
          <w:tcPr>
            <w:tcW w:w="0" w:type="auto"/>
            <w:hideMark/>
          </w:tcPr>
          <w:p w14:paraId="018E7572" w14:textId="77777777" w:rsidR="006209CE" w:rsidRPr="00421862" w:rsidRDefault="006209CE" w:rsidP="00421862">
            <w:pPr>
              <w:spacing w:after="160"/>
              <w:jc w:val="center"/>
              <w:rPr>
                <w:rFonts w:cs="Arial"/>
                <w:sz w:val="20"/>
                <w:szCs w:val="20"/>
                <w:lang w:val="en-US"/>
              </w:rPr>
            </w:pPr>
            <w:r w:rsidRPr="00421862">
              <w:rPr>
                <w:rFonts w:cs="Arial"/>
                <w:sz w:val="20"/>
                <w:szCs w:val="20"/>
                <w:lang w:val="en-US"/>
              </w:rPr>
              <w:t>6%; 29% among adults aged 75+</w:t>
            </w:r>
          </w:p>
        </w:tc>
        <w:tc>
          <w:tcPr>
            <w:tcW w:w="0" w:type="auto"/>
            <w:hideMark/>
          </w:tcPr>
          <w:p w14:paraId="513C4A30" w14:textId="77777777" w:rsidR="006209CE" w:rsidRPr="00421862" w:rsidRDefault="006209CE" w:rsidP="00421862">
            <w:pPr>
              <w:spacing w:after="160"/>
              <w:jc w:val="center"/>
              <w:rPr>
                <w:rFonts w:cs="Arial"/>
                <w:sz w:val="20"/>
                <w:szCs w:val="20"/>
                <w:lang w:val="en-US"/>
              </w:rPr>
            </w:pPr>
            <w:r w:rsidRPr="00421862">
              <w:rPr>
                <w:rFonts w:cs="Arial"/>
                <w:sz w:val="20"/>
                <w:szCs w:val="20"/>
                <w:lang w:val="en-US"/>
              </w:rPr>
              <w:t>Shows home access inequality</w:t>
            </w:r>
          </w:p>
        </w:tc>
        <w:tc>
          <w:tcPr>
            <w:tcW w:w="0" w:type="auto"/>
            <w:hideMark/>
          </w:tcPr>
          <w:p w14:paraId="10F700FD" w14:textId="77777777" w:rsidR="006209CE" w:rsidRPr="00421862" w:rsidRDefault="006209CE" w:rsidP="00421862">
            <w:pPr>
              <w:spacing w:after="160"/>
              <w:jc w:val="center"/>
              <w:rPr>
                <w:rFonts w:cs="Arial"/>
                <w:sz w:val="20"/>
                <w:szCs w:val="20"/>
                <w:lang w:val="en-US"/>
              </w:rPr>
            </w:pPr>
            <w:r w:rsidRPr="00421862">
              <w:rPr>
                <w:rFonts w:cs="Arial"/>
                <w:sz w:val="20"/>
                <w:szCs w:val="20"/>
                <w:lang w:val="en-US"/>
              </w:rPr>
              <w:t>Ofcom (2024)</w:t>
            </w:r>
          </w:p>
        </w:tc>
      </w:tr>
    </w:tbl>
    <w:p w14:paraId="0EA69089" w14:textId="77777777" w:rsidR="003E6B72" w:rsidRDefault="003E6B72" w:rsidP="003E6B72">
      <w:pPr>
        <w:spacing w:after="0"/>
        <w:rPr>
          <w:rFonts w:cs="Arial"/>
          <w:lang w:val="en-US"/>
        </w:rPr>
      </w:pPr>
    </w:p>
    <w:p w14:paraId="2BE9DA14" w14:textId="7E89FC72" w:rsidR="006209CE" w:rsidRPr="005C65A5" w:rsidRDefault="00554D7F" w:rsidP="00554D7F">
      <w:pPr>
        <w:rPr>
          <w:rFonts w:cs="Arial"/>
          <w:lang w:val="en-US"/>
        </w:rPr>
      </w:pPr>
      <w:r w:rsidRPr="005C65A5">
        <w:rPr>
          <w:rFonts w:cs="Arial"/>
          <w:lang w:val="en-US"/>
        </w:rPr>
        <w:t>As observed in the table, the need for chronic disease and digital exclusion are not separate issues, and digital health is not a panacea (Kunonga et al., 2021; Winder et al., 2024). It also highlights the need for older adults (aged 75 years and older) to be the focus of critical attention, including the fact that they may be most in need of services but least able to access them using a digital-first route without assistance (Money et al., 2024; Wale et al., 2025).</w:t>
      </w:r>
    </w:p>
    <w:p w14:paraId="456004A9" w14:textId="77777777" w:rsidR="006209CE" w:rsidRPr="00662DFD" w:rsidRDefault="006209CE" w:rsidP="00195904">
      <w:pPr>
        <w:pStyle w:val="Heading2"/>
        <w:rPr>
          <w:lang w:val="en-US"/>
        </w:rPr>
      </w:pPr>
      <w:bookmarkStart w:id="10" w:name="_Toc241175683"/>
      <w:r w:rsidRPr="00662DFD">
        <w:rPr>
          <w:lang w:val="en-US"/>
        </w:rPr>
        <w:t>1.3 Research Problem</w:t>
      </w:r>
      <w:bookmarkEnd w:id="10"/>
    </w:p>
    <w:p w14:paraId="0F9FA79B" w14:textId="182B3791" w:rsidR="006209CE" w:rsidRPr="005C65A5" w:rsidRDefault="00554D7F" w:rsidP="00554D7F">
      <w:pPr>
        <w:rPr>
          <w:rFonts w:cs="Arial"/>
          <w:lang w:val="en-US"/>
        </w:rPr>
      </w:pPr>
      <w:r w:rsidRPr="005C65A5">
        <w:rPr>
          <w:rFonts w:cs="Arial"/>
          <w:lang w:val="en-US"/>
        </w:rPr>
        <w:t>The issue under investigation is that while the implementation of digital health technologies could aid access and self-management among older adults, their success can be undermined if the design and implementation of digital health technologies do not align with older patients' lived experiences (Chadwick et al., 2024; Hamilton et al., 2025). An increase in language, trust and navigation barriers has been reported by older adults from South Asian and Black African/Caribbean backgrounds when the alternatives to digitalisation are weak or not communicated well (Ahmed et al., 2024; Husain and Greenhalgh, 2025). Social deprivation also influences digital engagement due to the availability, confidence, cost, and previous experience of healthcare, which impacts whether patients can use digital tools safely and regularly (Chadwick et al., 2024; Poduval et al., 2025</w:t>
      </w:r>
      <w:r w:rsidR="00410C90" w:rsidRPr="005C65A5">
        <w:rPr>
          <w:rFonts w:cs="Arial"/>
          <w:lang w:val="en-US"/>
        </w:rPr>
        <w:t xml:space="preserve">; </w:t>
      </w:r>
      <w:r w:rsidR="00410C90" w:rsidRPr="005C65A5">
        <w:rPr>
          <w:rFonts w:cs="Arial"/>
        </w:rPr>
        <w:t>Ochieng et al., 2026</w:t>
      </w:r>
      <w:r w:rsidRPr="005C65A5">
        <w:rPr>
          <w:rFonts w:cs="Arial"/>
          <w:lang w:val="en-US"/>
        </w:rPr>
        <w:t xml:space="preserve">). Whilst video consultations and remote monitoring are offered, the 2022 study by Ochieng and colleagues found that older people might require support from family </w:t>
      </w:r>
      <w:r w:rsidRPr="005C65A5">
        <w:rPr>
          <w:rFonts w:cs="Arial"/>
          <w:lang w:val="en-US"/>
        </w:rPr>
        <w:lastRenderedPageBreak/>
        <w:t>members, carers, or professional facilitations, posing questions on their independence, privacy, and the level of access they have. Although it is possible to deliver video consultations and remote monitoring, if it is necessary for older people to rely on family members, carers or professional facilitation, there are questions of independence, confidentiality and equal access (Winder et al., 2024; Ochieng et al., 2022). This does not just mean digital health is not a case of 'Yes, it works', but 'Yes, it works for whom, under what circumstances, and with what support? (Newbould et al., 2024; Wale et al., 2025).</w:t>
      </w:r>
    </w:p>
    <w:p w14:paraId="7AEDA179" w14:textId="77777777" w:rsidR="006209CE" w:rsidRPr="009373CB" w:rsidRDefault="006209CE" w:rsidP="00554D7F">
      <w:pPr>
        <w:pStyle w:val="Heading2"/>
        <w:rPr>
          <w:rFonts w:cs="Arial"/>
          <w:szCs w:val="28"/>
          <w:lang w:val="en-US"/>
        </w:rPr>
      </w:pPr>
      <w:bookmarkStart w:id="11" w:name="_Toc241175684"/>
      <w:r w:rsidRPr="009373CB">
        <w:rPr>
          <w:rFonts w:cs="Arial"/>
          <w:szCs w:val="28"/>
          <w:lang w:val="en-US"/>
        </w:rPr>
        <w:t>1.4 Research Rationale and Gap</w:t>
      </w:r>
      <w:bookmarkEnd w:id="11"/>
    </w:p>
    <w:p w14:paraId="095899B1" w14:textId="40453743" w:rsidR="006209CE" w:rsidRPr="005C65A5" w:rsidRDefault="00554D7F" w:rsidP="00554D7F">
      <w:pPr>
        <w:rPr>
          <w:rFonts w:cs="Arial"/>
          <w:lang w:val="en-US"/>
        </w:rPr>
      </w:pPr>
      <w:r w:rsidRPr="005C65A5">
        <w:rPr>
          <w:rFonts w:cs="Arial"/>
          <w:lang w:val="en-US"/>
        </w:rPr>
        <w:t>The purpose of this systematic review is to examine the current digital health policy in the UK, which assumes that a remote and online service model can ease pressure on services, with some evidence suggesting that remote delivery is unevenly implemented and may not provide an equal experience for older adults (Murphy et al., 2021; Hamilton et al., 2025). Research on primary care and online services and long-term conditions provides useful insights, but is fragmented across clinical fields and tends to capture individual barriers and facilitators for older adults rather than summarising common barriers and facilitators for older users (Atherton et al., 2024; Newbould et al., 2024). Results from baseline measurement of chronic respiratory disease, pulmonary hypertension and frailty indicate that digital inclusion should not be bolted on at the end of the design stage, or after recruitment and coaching, but through all three (Ingram et al., 2025; Sait et al., 2024). There is also a lack of integration of clinical outcomes, psychosocial outcomes, and patient adherence and quality of life considerations into the larger issues of language, deprivation, trust and digital confidence (Moody et al., 2024; Husain and Greenhalgh, 2025). This dissertation does so by bringing together recent UK studies of older people's experiences of digital health interventions for managing chronic diseases (Money et al., 2024; Poduval et al., 2025).</w:t>
      </w:r>
    </w:p>
    <w:p w14:paraId="270CE329" w14:textId="77777777" w:rsidR="006209CE" w:rsidRPr="009373CB" w:rsidRDefault="006209CE" w:rsidP="00554D7F">
      <w:pPr>
        <w:pStyle w:val="Heading2"/>
        <w:rPr>
          <w:rFonts w:cs="Arial"/>
          <w:szCs w:val="28"/>
          <w:lang w:val="en-US"/>
        </w:rPr>
      </w:pPr>
      <w:bookmarkStart w:id="12" w:name="_Toc241175685"/>
      <w:r w:rsidRPr="009373CB">
        <w:rPr>
          <w:rFonts w:cs="Arial"/>
          <w:szCs w:val="28"/>
          <w:lang w:val="en-US"/>
        </w:rPr>
        <w:t>1.5 Research Aim</w:t>
      </w:r>
      <w:bookmarkEnd w:id="12"/>
    </w:p>
    <w:p w14:paraId="347356CA" w14:textId="7BA2C063" w:rsidR="006209CE" w:rsidRPr="005C65A5" w:rsidRDefault="006209CE" w:rsidP="00D33308">
      <w:pPr>
        <w:rPr>
          <w:rFonts w:cs="Arial"/>
          <w:lang w:val="en-US"/>
        </w:rPr>
      </w:pPr>
      <w:r w:rsidRPr="005C65A5">
        <w:rPr>
          <w:rFonts w:cs="Arial"/>
          <w:lang w:val="en-US"/>
        </w:rPr>
        <w:t>To critically evaluate current evidence regarding the use of digital health technologies by the UK elderly population, including the barriers a</w:t>
      </w:r>
      <w:r w:rsidR="00D33308">
        <w:rPr>
          <w:rFonts w:cs="Arial"/>
          <w:lang w:val="en-US"/>
        </w:rPr>
        <w:t xml:space="preserve">nd facilitators to identify how </w:t>
      </w:r>
      <w:r w:rsidRPr="005C65A5">
        <w:rPr>
          <w:rFonts w:cs="Arial"/>
          <w:lang w:val="en-US"/>
        </w:rPr>
        <w:t>these tools can be better designed or implemented to improve health outcomes and reduce digital exclusion.</w:t>
      </w:r>
    </w:p>
    <w:p w14:paraId="47D55461" w14:textId="324B52E4" w:rsidR="006209CE" w:rsidRPr="009373CB" w:rsidRDefault="00E1638B" w:rsidP="009373CB">
      <w:pPr>
        <w:pStyle w:val="Heading2"/>
        <w:numPr>
          <w:ilvl w:val="1"/>
          <w:numId w:val="6"/>
        </w:numPr>
        <w:rPr>
          <w:rFonts w:cs="Arial"/>
          <w:szCs w:val="28"/>
          <w:lang w:val="en-US"/>
        </w:rPr>
      </w:pPr>
      <w:r>
        <w:rPr>
          <w:rFonts w:cs="Arial"/>
          <w:szCs w:val="28"/>
          <w:lang w:val="en-US"/>
        </w:rPr>
        <w:lastRenderedPageBreak/>
        <w:t xml:space="preserve"> </w:t>
      </w:r>
      <w:bookmarkStart w:id="13" w:name="_Toc241175686"/>
      <w:r w:rsidR="006209CE" w:rsidRPr="009373CB">
        <w:rPr>
          <w:rFonts w:cs="Arial"/>
          <w:szCs w:val="28"/>
          <w:lang w:val="en-US"/>
        </w:rPr>
        <w:t>Research Objectives</w:t>
      </w:r>
      <w:bookmarkEnd w:id="13"/>
    </w:p>
    <w:p w14:paraId="5E12F4A3" w14:textId="7FD212C8" w:rsidR="006209CE" w:rsidRPr="009373CB" w:rsidRDefault="006209CE" w:rsidP="009373CB">
      <w:pPr>
        <w:pStyle w:val="ListParagraph"/>
        <w:numPr>
          <w:ilvl w:val="0"/>
          <w:numId w:val="2"/>
        </w:numPr>
        <w:rPr>
          <w:rFonts w:cs="Arial"/>
          <w:lang w:val="en-US"/>
        </w:rPr>
      </w:pPr>
      <w:r w:rsidRPr="009373CB">
        <w:rPr>
          <w:rFonts w:cs="Arial"/>
          <w:lang w:val="en-US"/>
        </w:rPr>
        <w:t>To identify the specific digital health technologies (e.g., telehealth, wearables, patient portals) currently utilised by the UK elderly population for chronic disease management.</w:t>
      </w:r>
    </w:p>
    <w:p w14:paraId="18400488" w14:textId="77777777" w:rsidR="006209CE" w:rsidRPr="005C65A5" w:rsidRDefault="006209CE" w:rsidP="00554D7F">
      <w:pPr>
        <w:pStyle w:val="ListParagraph"/>
        <w:numPr>
          <w:ilvl w:val="0"/>
          <w:numId w:val="2"/>
        </w:numPr>
        <w:rPr>
          <w:rFonts w:cs="Arial"/>
          <w:lang w:val="en-US"/>
        </w:rPr>
      </w:pPr>
      <w:r w:rsidRPr="005C65A5">
        <w:rPr>
          <w:rFonts w:cs="Arial"/>
          <w:lang w:val="en-US"/>
        </w:rPr>
        <w:t>To analyse the clinical and psychosocial outcomes of these interventions, focusing on patient adherence and quality of life.</w:t>
      </w:r>
    </w:p>
    <w:p w14:paraId="6AFA9DC9" w14:textId="1C351512" w:rsidR="006209CE" w:rsidRPr="005C65A5" w:rsidRDefault="006209CE" w:rsidP="00554D7F">
      <w:pPr>
        <w:pStyle w:val="ListParagraph"/>
        <w:numPr>
          <w:ilvl w:val="0"/>
          <w:numId w:val="2"/>
        </w:numPr>
        <w:rPr>
          <w:rFonts w:cs="Arial"/>
          <w:lang w:val="en-US"/>
        </w:rPr>
      </w:pPr>
      <w:r w:rsidRPr="005C65A5">
        <w:rPr>
          <w:rFonts w:cs="Arial"/>
          <w:lang w:val="en-US"/>
        </w:rPr>
        <w:t>To synthesi</w:t>
      </w:r>
      <w:r w:rsidR="009C4A4E" w:rsidRPr="005C65A5">
        <w:rPr>
          <w:rFonts w:cs="Arial"/>
          <w:lang w:val="en-US"/>
        </w:rPr>
        <w:t>s</w:t>
      </w:r>
      <w:r w:rsidRPr="005C65A5">
        <w:rPr>
          <w:rFonts w:cs="Arial"/>
          <w:lang w:val="en-US"/>
        </w:rPr>
        <w:t>e recommendations for UK healthcare providers to improve digital inclusivity and the technical usability of health platforms for older users.</w:t>
      </w:r>
    </w:p>
    <w:p w14:paraId="2B8413B1" w14:textId="78B8E10E" w:rsidR="006209CE" w:rsidRPr="005C65A5" w:rsidRDefault="00E42FCF" w:rsidP="00554D7F">
      <w:pPr>
        <w:pStyle w:val="ListParagraph"/>
        <w:numPr>
          <w:ilvl w:val="0"/>
          <w:numId w:val="2"/>
        </w:numPr>
        <w:rPr>
          <w:rFonts w:cs="Arial"/>
          <w:lang w:val="en-US"/>
        </w:rPr>
      </w:pPr>
      <w:r w:rsidRPr="005C65A5">
        <w:rPr>
          <w:rFonts w:cs="Arial"/>
          <w:lang w:val="en-US"/>
        </w:rPr>
        <w:t>To examine the barriers and facilitators of digital technologies used by the older population in the UK</w:t>
      </w:r>
      <w:r w:rsidR="009373CB">
        <w:rPr>
          <w:rFonts w:cs="Arial"/>
          <w:lang w:val="en-US"/>
        </w:rPr>
        <w:t xml:space="preserve">. </w:t>
      </w:r>
    </w:p>
    <w:p w14:paraId="04F447E5" w14:textId="77777777" w:rsidR="006209CE" w:rsidRPr="009373CB" w:rsidRDefault="006209CE" w:rsidP="00554D7F">
      <w:pPr>
        <w:pStyle w:val="Heading2"/>
        <w:rPr>
          <w:rFonts w:cs="Arial"/>
          <w:szCs w:val="28"/>
          <w:lang w:val="en-US"/>
        </w:rPr>
      </w:pPr>
      <w:bookmarkStart w:id="14" w:name="_Toc241175687"/>
      <w:r w:rsidRPr="009373CB">
        <w:rPr>
          <w:rFonts w:cs="Arial"/>
          <w:szCs w:val="28"/>
          <w:lang w:val="en-US"/>
        </w:rPr>
        <w:t>1.7 Research Question</w:t>
      </w:r>
      <w:bookmarkEnd w:id="14"/>
    </w:p>
    <w:p w14:paraId="2A76C075" w14:textId="77777777" w:rsidR="006209CE" w:rsidRPr="005C65A5" w:rsidRDefault="006209CE" w:rsidP="009373CB">
      <w:pPr>
        <w:jc w:val="left"/>
        <w:rPr>
          <w:rFonts w:cs="Arial"/>
          <w:lang w:val="en-US"/>
        </w:rPr>
      </w:pPr>
      <w:r w:rsidRPr="005C65A5">
        <w:rPr>
          <w:rFonts w:cs="Arial"/>
          <w:lang w:val="en-US"/>
        </w:rPr>
        <w:t>What are the primary barriers and facilitators influencing the effectiveness of digital health tools (such as remote monitoring and mobile apps) for elderly patients managing chronic conditions in the UK?</w:t>
      </w:r>
    </w:p>
    <w:p w14:paraId="28C21F0C" w14:textId="77777777" w:rsidR="006209CE" w:rsidRPr="009373CB" w:rsidRDefault="006209CE" w:rsidP="00554D7F">
      <w:pPr>
        <w:pStyle w:val="Heading2"/>
        <w:rPr>
          <w:rFonts w:cs="Arial"/>
          <w:szCs w:val="22"/>
          <w:lang w:val="en-US"/>
        </w:rPr>
      </w:pPr>
      <w:bookmarkStart w:id="15" w:name="_Toc241175688"/>
      <w:r w:rsidRPr="009373CB">
        <w:rPr>
          <w:rFonts w:cs="Arial"/>
          <w:szCs w:val="22"/>
          <w:lang w:val="en-US"/>
        </w:rPr>
        <w:t>1.8 Scope and Methodological Overview</w:t>
      </w:r>
      <w:bookmarkEnd w:id="15"/>
    </w:p>
    <w:p w14:paraId="3A2DE155" w14:textId="0B491AD2" w:rsidR="006209CE" w:rsidRPr="005C65A5" w:rsidRDefault="00554D7F" w:rsidP="00554D7F">
      <w:pPr>
        <w:rPr>
          <w:rFonts w:cs="Arial"/>
          <w:lang w:val="en-US"/>
        </w:rPr>
      </w:pPr>
      <w:r w:rsidRPr="005C65A5">
        <w:rPr>
          <w:rFonts w:cs="Arial"/>
          <w:lang w:val="en-US"/>
        </w:rPr>
        <w:t>The study will examine digitally connected adults (over the age of 60) who currently use, are offered or impacted by digital health technologies (DHTs) in the UK who also experience chronic conditions or multimorbidity (Kunonga et al., 2021; Newbould et al., 2024). Since the perspectives of patient experience, acceptability, usability, and support needs are central to barriers and facilitators, the review will include qualitative and mixed-methods evidence. Qualitative and mixed methods evidence will be included as patient experience, acceptability, usability, and support needs are key for understanding barriers and facilitators (Ahmed et al., 2024; Money et al., 2024). Technologies of interest are telehealth, video consultations and online consultation platforms, mobile health applications, and remote patient monitoring, wearables and patient portals (Atherton et al., 2024; Moschogianis et al., 2024). The review will employ systematic searching and thematic synthesis informed by the PRISMA process to enable the weighing of patterns across studies and not just the mere description of them (Hamilton et al., 2025; Wale et al., 2025).</w:t>
      </w:r>
    </w:p>
    <w:p w14:paraId="0D2A48C8" w14:textId="77777777" w:rsidR="006209CE" w:rsidRPr="00706725" w:rsidRDefault="006209CE" w:rsidP="00554D7F">
      <w:pPr>
        <w:pStyle w:val="Heading2"/>
        <w:rPr>
          <w:rFonts w:cs="Arial"/>
          <w:szCs w:val="22"/>
          <w:lang w:val="en-US"/>
        </w:rPr>
      </w:pPr>
      <w:bookmarkStart w:id="16" w:name="_Toc241175689"/>
      <w:r w:rsidRPr="00706725">
        <w:rPr>
          <w:rFonts w:cs="Arial"/>
          <w:szCs w:val="22"/>
          <w:lang w:val="en-US"/>
        </w:rPr>
        <w:t>1.9 Significance of the Study</w:t>
      </w:r>
      <w:bookmarkEnd w:id="16"/>
    </w:p>
    <w:p w14:paraId="2A36DE66" w14:textId="6BB6CF81" w:rsidR="006209CE" w:rsidRPr="005C65A5" w:rsidRDefault="00554D7F" w:rsidP="00554D7F">
      <w:pPr>
        <w:rPr>
          <w:rFonts w:cs="Arial"/>
          <w:lang w:val="en-US"/>
        </w:rPr>
      </w:pPr>
      <w:r w:rsidRPr="005C65A5">
        <w:rPr>
          <w:rFonts w:cs="Arial"/>
          <w:lang w:val="en-US"/>
        </w:rPr>
        <w:t xml:space="preserve">This study has importance for the UK healthcare providers as it could inform on the impact that digital support, facilitation and inclusive design can have on whether older adults can benefit from digital pathways (Winder et al., 2024; Poduval et al., 2025). It's important to policymakers because when it comes to digital exclusion, if access to </w:t>
      </w:r>
      <w:r w:rsidRPr="005C65A5">
        <w:rPr>
          <w:rFonts w:cs="Arial"/>
          <w:lang w:val="en-US"/>
        </w:rPr>
        <w:lastRenderedPageBreak/>
        <w:t>something changes from offline to online, and the alternatives aren't accessible online, then there's a health inequality on the cards (Kunonga et al., 2021; Hamilton et al., 2025). It is important for older adults, as good digital interventions should enhance the self-management of older people, as well as their confidence and quality of life, without requiring the patients to enter into unsafe or inappropriate services. (Moody et al., 2024; Wale et al., 2025).</w:t>
      </w:r>
    </w:p>
    <w:p w14:paraId="36165B86" w14:textId="77777777" w:rsidR="003B26AE" w:rsidRPr="0073032C" w:rsidRDefault="003B26AE" w:rsidP="003B26AE">
      <w:pPr>
        <w:pStyle w:val="Heading2"/>
        <w:rPr>
          <w:rFonts w:cs="Arial"/>
          <w:szCs w:val="22"/>
          <w:lang w:val="en-US"/>
        </w:rPr>
      </w:pPr>
      <w:bookmarkStart w:id="17" w:name="_Toc241175690"/>
      <w:r w:rsidRPr="0073032C">
        <w:rPr>
          <w:rFonts w:cs="Arial"/>
          <w:szCs w:val="22"/>
          <w:lang w:val="en-US"/>
        </w:rPr>
        <w:t>1.10 Dissertation Structure</w:t>
      </w:r>
      <w:bookmarkEnd w:id="17"/>
    </w:p>
    <w:p w14:paraId="788BCC2A" w14:textId="25DF5DDA" w:rsidR="003B26AE" w:rsidRPr="005C65A5" w:rsidRDefault="003B26AE" w:rsidP="003B26AE">
      <w:pPr>
        <w:rPr>
          <w:rFonts w:cs="Arial"/>
          <w:lang w:val="en-US"/>
        </w:rPr>
      </w:pPr>
      <w:r w:rsidRPr="005C65A5">
        <w:rPr>
          <w:rFonts w:cs="Arial"/>
          <w:lang w:val="en-US"/>
        </w:rPr>
        <w:t>This dissertation is organised into six chapters. The background, problem, research question and significance, along with the aim and object</w:t>
      </w:r>
      <w:r w:rsidR="00ED37DF">
        <w:rPr>
          <w:rFonts w:cs="Arial"/>
          <w:lang w:val="en-US"/>
        </w:rPr>
        <w:t>ives, is introduced in chapter one. Chapter two</w:t>
      </w:r>
      <w:r w:rsidRPr="005C65A5">
        <w:rPr>
          <w:rFonts w:cs="Arial"/>
          <w:lang w:val="en-US"/>
        </w:rPr>
        <w:t xml:space="preserve"> critically reviews literature on digital health, chronic disease management, barriers, facilitators, inequality and relevant frameworks. The systematic reviewing methodology is described in Chapter 3, which consists of SPIDER, searching, eligibility criteria and CASP appraisal and thematic synthesis. A detailed analysis of the studies selected, their characteristics, their quality appraisal and thematic results is presented in Chapter 4. Chapter 5 critically discusses and interprets the findings. Chapter 6 includes the conclusions, practice implications, recommendations, strengths and limitations, future research priorities and final conclusion.</w:t>
      </w:r>
    </w:p>
    <w:p w14:paraId="0F9B4A51" w14:textId="77777777" w:rsidR="00EF6618" w:rsidRPr="005C65A5" w:rsidRDefault="00EF6618" w:rsidP="00EF6618">
      <w:pPr>
        <w:spacing w:line="259" w:lineRule="auto"/>
        <w:jc w:val="center"/>
        <w:rPr>
          <w:rFonts w:cs="Arial"/>
          <w:lang w:val="en-US"/>
        </w:rPr>
      </w:pPr>
      <w:r w:rsidRPr="005C65A5">
        <w:rPr>
          <w:rFonts w:cs="Arial"/>
          <w:noProof/>
          <w:lang w:val="en-US"/>
        </w:rPr>
        <w:drawing>
          <wp:inline distT="0" distB="0" distL="0" distR="0" wp14:anchorId="3DDEDABB" wp14:editId="5720E69D">
            <wp:extent cx="3079750" cy="3920744"/>
            <wp:effectExtent l="0" t="0" r="635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a:stretch/>
                  </pic:blipFill>
                  <pic:spPr bwMode="auto">
                    <a:xfrm>
                      <a:off x="0" y="0"/>
                      <a:ext cx="3123793" cy="3976814"/>
                    </a:xfrm>
                    <a:prstGeom prst="rect">
                      <a:avLst/>
                    </a:prstGeom>
                    <a:noFill/>
                    <a:ln>
                      <a:noFill/>
                    </a:ln>
                    <a:extLst>
                      <a:ext uri="{53640926-AAD7-44D8-BBD7-CCE9431645EC}">
                        <a14:shadowObscured xmlns:a14="http://schemas.microsoft.com/office/drawing/2010/main"/>
                      </a:ext>
                    </a:extLst>
                  </pic:spPr>
                </pic:pic>
              </a:graphicData>
            </a:graphic>
          </wp:inline>
        </w:drawing>
      </w:r>
    </w:p>
    <w:p w14:paraId="5673A7E7" w14:textId="08AC183B" w:rsidR="00E1638B" w:rsidRPr="005C65A5" w:rsidRDefault="00EF6618" w:rsidP="00DC1565">
      <w:pPr>
        <w:jc w:val="center"/>
        <w:rPr>
          <w:rFonts w:cs="Arial"/>
          <w:lang w:val="en-US"/>
        </w:rPr>
      </w:pPr>
      <w:r w:rsidRPr="005C65A5">
        <w:rPr>
          <w:rFonts w:cs="Arial"/>
          <w:lang w:val="en-US"/>
        </w:rPr>
        <w:t>Figure 1: Dissertation chapter flow</w:t>
      </w:r>
    </w:p>
    <w:p w14:paraId="3F9B0908" w14:textId="5746E3C7" w:rsidR="006209CE" w:rsidRPr="00DC1565" w:rsidRDefault="006209CE" w:rsidP="00554D7F">
      <w:pPr>
        <w:pStyle w:val="Heading2"/>
        <w:rPr>
          <w:rFonts w:cs="Arial"/>
          <w:szCs w:val="22"/>
        </w:rPr>
      </w:pPr>
      <w:bookmarkStart w:id="18" w:name="_Toc241175691"/>
      <w:r w:rsidRPr="00DC1565">
        <w:rPr>
          <w:rFonts w:cs="Arial"/>
          <w:szCs w:val="22"/>
          <w:lang w:val="en-US"/>
        </w:rPr>
        <w:lastRenderedPageBreak/>
        <w:t>1.1</w:t>
      </w:r>
      <w:r w:rsidR="003B26AE" w:rsidRPr="00DC1565">
        <w:rPr>
          <w:rFonts w:cs="Arial"/>
          <w:szCs w:val="22"/>
          <w:lang w:val="en-US"/>
        </w:rPr>
        <w:t>1</w:t>
      </w:r>
      <w:r w:rsidRPr="00DC1565">
        <w:rPr>
          <w:rFonts w:cs="Arial"/>
          <w:szCs w:val="22"/>
          <w:lang w:val="en-US"/>
        </w:rPr>
        <w:t xml:space="preserve"> Chapter Summary</w:t>
      </w:r>
      <w:bookmarkEnd w:id="18"/>
    </w:p>
    <w:p w14:paraId="39B65FC2" w14:textId="02E7C859" w:rsidR="006E69F5" w:rsidRPr="005C65A5" w:rsidRDefault="00554D7F" w:rsidP="00554D7F">
      <w:pPr>
        <w:rPr>
          <w:rFonts w:cs="Arial"/>
          <w:lang w:val="en-US"/>
        </w:rPr>
      </w:pPr>
      <w:r w:rsidRPr="005C65A5">
        <w:rPr>
          <w:rFonts w:cs="Arial"/>
          <w:lang w:val="en-US"/>
        </w:rPr>
        <w:t>As detailed in this chapter, digital health in UK chronic disease management is promising but not equal, with older people experiencing multimorbidity and deprivation, language barriers and low digital competence all cited as barriers to using digital health services. It has demonstrated a need for a systematic review beyond the effectiveness of the technology, to include barriers, facilitators, usability, adherence and inclusion of the technology. The literature review in the next chapter examines digital health interventions from design to delivery, delivering safe digital health interventions across the NHS, chronic disease management and digital exclusion of older adults within the UK.</w:t>
      </w:r>
    </w:p>
    <w:p w14:paraId="43740C3C" w14:textId="77777777" w:rsidR="006E69F5" w:rsidRPr="005C65A5" w:rsidRDefault="006E69F5">
      <w:pPr>
        <w:spacing w:line="259" w:lineRule="auto"/>
        <w:jc w:val="left"/>
        <w:rPr>
          <w:rFonts w:cs="Arial"/>
          <w:lang w:val="en-US"/>
        </w:rPr>
      </w:pPr>
      <w:r w:rsidRPr="005C65A5">
        <w:rPr>
          <w:rFonts w:cs="Arial"/>
          <w:lang w:val="en-US"/>
        </w:rPr>
        <w:br w:type="page"/>
      </w:r>
    </w:p>
    <w:p w14:paraId="1C32BC6C" w14:textId="0A123E0E" w:rsidR="009C19FC" w:rsidRPr="0096186E" w:rsidRDefault="0096186E" w:rsidP="0096186E">
      <w:pPr>
        <w:pStyle w:val="Heading1"/>
        <w:jc w:val="center"/>
        <w:rPr>
          <w:rFonts w:cs="Arial"/>
          <w:szCs w:val="22"/>
        </w:rPr>
      </w:pPr>
      <w:bookmarkStart w:id="19" w:name="_Toc233660493"/>
      <w:bookmarkStart w:id="20" w:name="_Toc241175692"/>
      <w:r w:rsidRPr="0096186E">
        <w:rPr>
          <w:rFonts w:cs="Arial"/>
          <w:szCs w:val="22"/>
        </w:rPr>
        <w:lastRenderedPageBreak/>
        <w:t>Chapter Two</w:t>
      </w:r>
      <w:r w:rsidR="009C19FC" w:rsidRPr="0096186E">
        <w:rPr>
          <w:rFonts w:cs="Arial"/>
          <w:szCs w:val="22"/>
        </w:rPr>
        <w:t>: Literature Review</w:t>
      </w:r>
      <w:bookmarkEnd w:id="19"/>
      <w:bookmarkEnd w:id="20"/>
      <w:r w:rsidRPr="0096186E">
        <w:rPr>
          <w:rFonts w:cs="Arial"/>
          <w:szCs w:val="22"/>
        </w:rPr>
        <w:t xml:space="preserve"> </w:t>
      </w:r>
    </w:p>
    <w:p w14:paraId="61733AFF" w14:textId="77777777" w:rsidR="009C19FC" w:rsidRPr="008E36FF" w:rsidRDefault="009C19FC" w:rsidP="009C19FC">
      <w:pPr>
        <w:pStyle w:val="Heading2"/>
        <w:rPr>
          <w:rFonts w:cs="Arial"/>
          <w:szCs w:val="22"/>
        </w:rPr>
      </w:pPr>
      <w:bookmarkStart w:id="21" w:name="_Toc233660494"/>
      <w:bookmarkStart w:id="22" w:name="_Toc241175693"/>
      <w:r w:rsidRPr="008E36FF">
        <w:rPr>
          <w:rFonts w:cs="Arial"/>
          <w:szCs w:val="22"/>
        </w:rPr>
        <w:t>2.1 Introduction</w:t>
      </w:r>
      <w:bookmarkEnd w:id="21"/>
      <w:bookmarkEnd w:id="22"/>
    </w:p>
    <w:p w14:paraId="1CAB3895" w14:textId="77777777" w:rsidR="009C19FC" w:rsidRPr="005C65A5" w:rsidRDefault="009C19FC" w:rsidP="009C19FC">
      <w:pPr>
        <w:rPr>
          <w:rFonts w:cs="Arial"/>
        </w:rPr>
      </w:pPr>
      <w:r w:rsidRPr="005C65A5">
        <w:rPr>
          <w:rFonts w:cs="Arial"/>
        </w:rPr>
        <w:t>The evidence presented in this chapter is reviewed critically and offers insights into barriers and facilitators, adoption, usability, adherence, digital exclusion and QOL of the use of digital health interventions in chronic disease management in older adults in the UK (Kunonga et al., 2021; Newbould et al., 2024). It establishes the groundwork for the systematic review by identifying that digital health does not necessarily reflect inclusion or effectiveness, as the benefits of digital health will depend on the patient capability, design of services, marginalisation and social inequalities (Hamilton et al., 2025; Wale et al., 2025). This chapter first introduces the concept of digital health and chronic disease management, before providing a review of effectiveness, barriers and facilitators, before applying theoretical and conceptual frameworks to explain the effect digital tools have on engagement and outcomes of older people (Greenhalgh et al., 2021; Taylor et al., 2022).</w:t>
      </w:r>
    </w:p>
    <w:p w14:paraId="6FA66DD7" w14:textId="77777777" w:rsidR="009C19FC" w:rsidRPr="008E36FF" w:rsidRDefault="009C19FC" w:rsidP="009C19FC">
      <w:pPr>
        <w:pStyle w:val="Heading2"/>
        <w:rPr>
          <w:rFonts w:cs="Arial"/>
          <w:szCs w:val="22"/>
        </w:rPr>
      </w:pPr>
      <w:bookmarkStart w:id="23" w:name="_Toc233660495"/>
      <w:bookmarkStart w:id="24" w:name="_Toc241175694"/>
      <w:r w:rsidRPr="008E36FF">
        <w:rPr>
          <w:rFonts w:cs="Arial"/>
          <w:szCs w:val="22"/>
        </w:rPr>
        <w:t>2.2 Conceptualising Digital Health Interventions</w:t>
      </w:r>
      <w:bookmarkEnd w:id="23"/>
      <w:bookmarkEnd w:id="24"/>
    </w:p>
    <w:p w14:paraId="5ED0B668" w14:textId="32A6BE34" w:rsidR="009C19FC" w:rsidRPr="005C65A5" w:rsidRDefault="009C19FC" w:rsidP="009C19FC">
      <w:pPr>
        <w:rPr>
          <w:rFonts w:cs="Arial"/>
        </w:rPr>
      </w:pPr>
      <w:r w:rsidRPr="005C65A5">
        <w:rPr>
          <w:rFonts w:cs="Arial"/>
        </w:rPr>
        <w:t>Digital health interventions are technology-based methods that deliver, support or coordinate health care, such as telehealth, internet-based appointment booking services, online consultation services, video consultations, mobile applications, patient portals and remote monitoring and wearable technology (Murphy &amp; Emmons, 2021; Atherton et al., 2024). The uptake of digitalisation was seen to have been growing quickly prior to the COVID-19 pandemic, and has increased even further in UK primary care since that time; however, evidence suggests that digital access points can introduce convenience and complexity for patients and practitioners (</w:t>
      </w:r>
      <w:r w:rsidR="00FD14D1" w:rsidRPr="005C65A5">
        <w:rPr>
          <w:rFonts w:cs="Arial"/>
        </w:rPr>
        <w:t>Murphy et al., 2021; Turner et al., 2021; de Visser et al., 2024</w:t>
      </w:r>
      <w:r w:rsidRPr="005C65A5">
        <w:rPr>
          <w:rFonts w:cs="Arial"/>
        </w:rPr>
        <w:t>). Confident users of online services might experience greater flexibility via online booking; however, there is mixed evidence about uptake and experience depending on digital confidence and communication preferences and service expectations (Atherton et al., 2024; Winder et al., 2024</w:t>
      </w:r>
      <w:r w:rsidR="00E07CD3" w:rsidRPr="005C65A5">
        <w:rPr>
          <w:rFonts w:cs="Arial"/>
        </w:rPr>
        <w:t>; Chappell et al., 2023</w:t>
      </w:r>
      <w:r w:rsidRPr="005C65A5">
        <w:rPr>
          <w:rFonts w:cs="Arial"/>
        </w:rPr>
        <w:t>). Online consultation systems also provide a standardised pathway to GP care, but there are reports of factors such as complexity of symptoms, urgency, and the complexity of translating symptoms to forms that may make them feel impersonal or problematic for the patient. (Moschogianis et al., 202</w:t>
      </w:r>
      <w:r w:rsidR="004808BF" w:rsidRPr="005C65A5">
        <w:rPr>
          <w:rFonts w:cs="Arial"/>
        </w:rPr>
        <w:t>4</w:t>
      </w:r>
      <w:r w:rsidRPr="005C65A5">
        <w:rPr>
          <w:rFonts w:cs="Arial"/>
        </w:rPr>
        <w:t>; Archer et al., 2026</w:t>
      </w:r>
      <w:r w:rsidR="00E07CD3" w:rsidRPr="005C65A5">
        <w:rPr>
          <w:rFonts w:cs="Arial"/>
        </w:rPr>
        <w:t>; Chaloner et al., 2025</w:t>
      </w:r>
      <w:r w:rsidRPr="005C65A5">
        <w:rPr>
          <w:rFonts w:cs="Arial"/>
        </w:rPr>
        <w:t>). The introduction of patient portals and the NHS App are increasingly becoming a key focus for accessing records, prescribing and navigating services, with evidence of national rollout showing that levels of adoption vary across social groups (Reidy et al., 2025; Greaves et al., 2026</w:t>
      </w:r>
      <w:r w:rsidR="00E07CD3" w:rsidRPr="005C65A5">
        <w:rPr>
          <w:rFonts w:cs="Arial"/>
        </w:rPr>
        <w:t xml:space="preserve">; </w:t>
      </w:r>
      <w:r w:rsidR="005003EB" w:rsidRPr="005C65A5">
        <w:rPr>
          <w:rFonts w:cs="Arial"/>
        </w:rPr>
        <w:t xml:space="preserve">Blease </w:t>
      </w:r>
      <w:r w:rsidR="005003EB" w:rsidRPr="005C65A5">
        <w:rPr>
          <w:rFonts w:cs="Arial"/>
        </w:rPr>
        <w:lastRenderedPageBreak/>
        <w:t>et al., 2023</w:t>
      </w:r>
      <w:r w:rsidRPr="005C65A5">
        <w:rPr>
          <w:rFonts w:cs="Arial"/>
        </w:rPr>
        <w:t>). Digital health should therefore be considered as a multiplicity of tools that would be valued for 'usability', 'support' and 'suitability', not just for its technology (Greenhalgh et al., 2025; Barker et al., 2026).</w:t>
      </w:r>
    </w:p>
    <w:p w14:paraId="07F2A3CE" w14:textId="77777777" w:rsidR="009C19FC" w:rsidRPr="008E36FF" w:rsidRDefault="009C19FC" w:rsidP="009C19FC">
      <w:pPr>
        <w:pStyle w:val="Heading2"/>
        <w:rPr>
          <w:rFonts w:cs="Arial"/>
          <w:szCs w:val="22"/>
        </w:rPr>
      </w:pPr>
      <w:bookmarkStart w:id="25" w:name="_Toc233660496"/>
      <w:bookmarkStart w:id="26" w:name="_Toc241175695"/>
      <w:r w:rsidRPr="008E36FF">
        <w:rPr>
          <w:rFonts w:cs="Arial"/>
          <w:szCs w:val="22"/>
        </w:rPr>
        <w:t>2.3 Chronic Disease Management and Older Adults in the UK</w:t>
      </w:r>
      <w:bookmarkEnd w:id="25"/>
      <w:bookmarkEnd w:id="26"/>
    </w:p>
    <w:p w14:paraId="0282B828" w14:textId="0E240F85" w:rsidR="009C19FC" w:rsidRPr="005C65A5" w:rsidRDefault="009C19FC" w:rsidP="009C19FC">
      <w:pPr>
        <w:rPr>
          <w:rFonts w:cs="Arial"/>
        </w:rPr>
      </w:pPr>
      <w:r w:rsidRPr="005C65A5">
        <w:rPr>
          <w:rFonts w:cs="Arial"/>
        </w:rPr>
        <w:t>Chronic disease management is a key priority for the UK health system, as this is a type of contact that is required frequently, over a long period of time, and across primary, community and specialist services for people with long-term conditions (LTCS) (Department of Health and Social Care, 2023; NHS Digital, 2026). More is required with regard to the support needed for individuals at an older age, as this is linked to the development of multimorbidity, frailty and greater reliance on health and social care services; therefore, continuity, accessibility and patient-centred support are critical at an older age (Newbould et al., 2024; Sait et al., 2024). Digital health can play a role in chronic respiratory disease in the form of online pulmonary rehabilitation (PR) and chronic care follow-up care, as long as the digital habits of service users, combined with the motivation and confidence they need to use digital tools, are accessible and embraced (Lewis et al., 2021; Polgar et al., 2022). There are other users of technology, such as older adults with chronic kidney disease and diabetes or dementia who may also benefit from self-management technologies, but technology experts note that technology should be designed to meet the sensory, cognitive and practical needs of the user, rather than taking it for granted that these are the same needs of people who are typically of adult age (Moody et al., 2024; Li et al., 2025</w:t>
      </w:r>
      <w:r w:rsidR="005003EB" w:rsidRPr="005C65A5">
        <w:rPr>
          <w:rFonts w:cs="Arial"/>
        </w:rPr>
        <w:t>; Shields et al., 2023</w:t>
      </w:r>
      <w:r w:rsidRPr="005C65A5">
        <w:rPr>
          <w:rFonts w:cs="Arial"/>
        </w:rPr>
        <w:t>). Cochrane protocol work emphasises the importance of thoroughly evaluating the safety and effectiveness as well as implementation of digital monitoring before using it as a routine approach, particularly for conditions that demand remote monitoring (Taloyan et al., 2023; Ma et al., 2022). The issue is then not whether older people should seek the support of digital pathways, but whether they can provide the support that enhances older people's management of chronic disease while not compromising access for those with the highest need (Kunonga et al., 2021; Hamilton et al., 2025).</w:t>
      </w:r>
    </w:p>
    <w:p w14:paraId="6BDF9159" w14:textId="77777777" w:rsidR="009C19FC" w:rsidRPr="008E36FF" w:rsidRDefault="009C19FC" w:rsidP="009C19FC">
      <w:pPr>
        <w:pStyle w:val="Heading2"/>
        <w:rPr>
          <w:rFonts w:cs="Arial"/>
          <w:szCs w:val="22"/>
        </w:rPr>
      </w:pPr>
      <w:bookmarkStart w:id="27" w:name="_Toc233660497"/>
      <w:bookmarkStart w:id="28" w:name="_Toc241175696"/>
      <w:r w:rsidRPr="008E36FF">
        <w:rPr>
          <w:rFonts w:cs="Arial"/>
          <w:szCs w:val="22"/>
        </w:rPr>
        <w:t>2.4 Digital Health Effectiveness: Clinical and Psychosocial Outcomes</w:t>
      </w:r>
      <w:bookmarkEnd w:id="27"/>
      <w:bookmarkEnd w:id="28"/>
    </w:p>
    <w:p w14:paraId="7AD7F3B9" w14:textId="77777777" w:rsidR="009C19FC" w:rsidRPr="005C65A5" w:rsidRDefault="009C19FC" w:rsidP="009C19FC">
      <w:pPr>
        <w:rPr>
          <w:rFonts w:cs="Arial"/>
        </w:rPr>
      </w:pPr>
      <w:r w:rsidRPr="005C65A5">
        <w:rPr>
          <w:rFonts w:cs="Arial"/>
        </w:rPr>
        <w:t xml:space="preserve">Evidence on effectiveness is mixed due to a low level of engagement and/or inadequate support, which leads to weak outcomes despite good access, monitoring, and self-management effects from DHIs (Taylor et al., 2022; Fernandes et al., 2025). The findings from systematic review evidence indicate that telemedicine can </w:t>
      </w:r>
      <w:r w:rsidRPr="005C65A5">
        <w:rPr>
          <w:rFonts w:cs="Arial"/>
        </w:rPr>
        <w:lastRenderedPageBreak/>
        <w:t>positively impact a few chronic conditions; however, outcomes appear to be dependent upon the type of condition and the type and level of patient-professional contact. Evidence from systematic reviews shows that telemedicine has shown positive results for some chronic disease outcomes, but not all, and depends on the type of condition and the type and level of patient-professional interaction. Digital interventions can assist older adults who manage to live alone and/or often suffer from chronic conditions, and can help to maintain their self-management and may help to reduce feelings of isolation; psychosocial benefits of digital interventions are linked to confidence in using the interventions, perceived usefulness, and continued engagement in the intervention (Park et al., 2025; Hu et al., 2026). Trust, relational care and perceived burden are important contributors to the experience of using digital health; it can feel like a support or a distance depending on how trustworthy, caring and/or burdensome the interaction is (Taylor et al., 2022; Greenhalgh et al., 2025). In the field of respiratory diseases, it can be shown that online rehabilitation is feasible, but digitally excluded patients might be under-represented in feasibility studies, and not accepted by everyone (Lewis et al., 2021; Polgar et al., 2022). In summary, we suggest that digital health effectiveness should be measured using clinical, social and equity outcomes with the possibility of the former occurring alongside the latter (Kunonga et al., 2021; Hepburn et al., 2025).</w:t>
      </w:r>
    </w:p>
    <w:p w14:paraId="49AE02CF" w14:textId="4047A8A5" w:rsidR="009C19FC" w:rsidRPr="005C65A5" w:rsidRDefault="009C19FC" w:rsidP="009C19FC">
      <w:pPr>
        <w:rPr>
          <w:rFonts w:cs="Arial"/>
        </w:rPr>
      </w:pPr>
      <w:r w:rsidRPr="005C65A5">
        <w:rPr>
          <w:rFonts w:cs="Arial"/>
        </w:rPr>
        <w:t>Effectiveness should also be understood in terms of implementation depth as well as outcomes reported, however. While remote monitoring, apps and portals might seem clinically valuable in trials or service evaluations, older adults' lived experience of the benefit of these systems relies on embedding them into routine follow-ups and medication reviews and pathways of communication between healthcare professionals (Taloyan et al., 2023; Ma et al., 2022). This is important as chronic disease management is ongoing, meaning that digital interventions should encourage ongoing engagement over time, rather than just participation in the short term (Fernandes et al., 2025; Park et al., 2025). If there is no clinical response, digital data can be more of a burden than an asset (Taylor et al., 2022</w:t>
      </w:r>
      <w:r w:rsidR="007A1724" w:rsidRPr="005C65A5">
        <w:rPr>
          <w:rFonts w:cs="Arial"/>
        </w:rPr>
        <w:t>; Greenhalgh et al., 2025; Clohessy et al., 2024</w:t>
      </w:r>
      <w:r w:rsidRPr="005C65A5">
        <w:rPr>
          <w:rFonts w:cs="Arial"/>
        </w:rPr>
        <w:t>).</w:t>
      </w:r>
    </w:p>
    <w:p w14:paraId="33AE89C1" w14:textId="77777777" w:rsidR="009C19FC" w:rsidRPr="008E36FF" w:rsidRDefault="009C19FC" w:rsidP="009C19FC">
      <w:pPr>
        <w:pStyle w:val="Heading2"/>
        <w:rPr>
          <w:rFonts w:cs="Arial"/>
          <w:szCs w:val="22"/>
        </w:rPr>
      </w:pPr>
      <w:bookmarkStart w:id="29" w:name="_Toc233660498"/>
      <w:bookmarkStart w:id="30" w:name="_Toc241175697"/>
      <w:r w:rsidRPr="008E36FF">
        <w:rPr>
          <w:rFonts w:cs="Arial"/>
          <w:szCs w:val="22"/>
        </w:rPr>
        <w:t>2.5 Barriers to Digital Health Use Among Older Adults</w:t>
      </w:r>
      <w:bookmarkEnd w:id="29"/>
      <w:bookmarkEnd w:id="30"/>
    </w:p>
    <w:p w14:paraId="49E780B0" w14:textId="77777777" w:rsidR="009C19FC" w:rsidRPr="008E36FF" w:rsidRDefault="009C19FC" w:rsidP="009C19FC">
      <w:pPr>
        <w:pStyle w:val="Heading3"/>
        <w:rPr>
          <w:rFonts w:cs="Arial"/>
          <w:sz w:val="24"/>
          <w:szCs w:val="22"/>
        </w:rPr>
      </w:pPr>
      <w:bookmarkStart w:id="31" w:name="_Toc233660499"/>
      <w:bookmarkStart w:id="32" w:name="_Toc241175698"/>
      <w:r w:rsidRPr="008E36FF">
        <w:rPr>
          <w:rFonts w:cs="Arial"/>
          <w:sz w:val="24"/>
          <w:szCs w:val="22"/>
        </w:rPr>
        <w:t>2.5.1 Individual-Level Barriers: Skills, Confidence, Health Status and Usability</w:t>
      </w:r>
      <w:bookmarkEnd w:id="31"/>
      <w:bookmarkEnd w:id="32"/>
    </w:p>
    <w:p w14:paraId="5F86A696" w14:textId="7CB6760C" w:rsidR="009C19FC" w:rsidRPr="005C65A5" w:rsidRDefault="009C19FC" w:rsidP="009C19FC">
      <w:pPr>
        <w:rPr>
          <w:rFonts w:cs="Arial"/>
        </w:rPr>
      </w:pPr>
      <w:r w:rsidRPr="005C65A5">
        <w:rPr>
          <w:rFonts w:cs="Arial"/>
        </w:rPr>
        <w:t xml:space="preserve">At an individual level, digital literacy is limited, people lack confidence, fear mistakes, do not have a good memory, have sensory impairments, have poor dexterity and are </w:t>
      </w:r>
      <w:r w:rsidRPr="005C65A5">
        <w:rPr>
          <w:rFonts w:cs="Arial"/>
        </w:rPr>
        <w:lastRenderedPageBreak/>
        <w:t>not tolerant of complex interfaces (Money et al., 202</w:t>
      </w:r>
      <w:r w:rsidR="004808BF" w:rsidRPr="005C65A5">
        <w:rPr>
          <w:rFonts w:cs="Arial"/>
        </w:rPr>
        <w:t>4</w:t>
      </w:r>
      <w:r w:rsidRPr="005C65A5">
        <w:rPr>
          <w:rFonts w:cs="Arial"/>
        </w:rPr>
        <w:t>; Moody et al., 2022</w:t>
      </w:r>
      <w:r w:rsidR="00A059CF" w:rsidRPr="005C65A5">
        <w:rPr>
          <w:rFonts w:cs="Arial"/>
        </w:rPr>
        <w:t>; Shorthose et al., 2024</w:t>
      </w:r>
      <w:r w:rsidRPr="005C65A5">
        <w:rPr>
          <w:rFonts w:cs="Arial"/>
        </w:rPr>
        <w:t>). Adults 75 years and older might be interested in using an online service if it is beneficial, but engaging with these services can be dependent on practical support, step-by-step learning and acknowledging that any errors will not impact care (Money et al., 202</w:t>
      </w:r>
      <w:r w:rsidR="004808BF" w:rsidRPr="005C65A5">
        <w:rPr>
          <w:rFonts w:cs="Arial"/>
        </w:rPr>
        <w:t>4</w:t>
      </w:r>
      <w:r w:rsidRPr="005C65A5">
        <w:rPr>
          <w:rFonts w:cs="Arial"/>
        </w:rPr>
        <w:t>; Wale et al., 2025). Digital self-management may create extra challenges for older people with chronic conditions, as this is more cognitively demanding than usual internet use and may be associated with fatigue, pain, and breathlessness, or require multiple visits as the individual may need to attend several appointments to complete the tasks (Moody et al., 2024; Sheng et al., 2022). New review evidence indicates that adoption factors include usability, perceived usefulness, privacy concerns and whether the tool is usable at a normal pace of everyday working, rather than just technical limitations (Hepburn, Williams and McCann, 2025; Li et al., 2025). Important to note, however, is that the lack of design, user-unfriendly interfaces and lack of training in use is responsible for what appears to be resistance on the part of older people (Heaslip and Holley, 2023; Moody et al., 2024).</w:t>
      </w:r>
    </w:p>
    <w:p w14:paraId="4BB1AA59" w14:textId="77777777" w:rsidR="009C19FC" w:rsidRPr="008E36FF" w:rsidRDefault="009C19FC" w:rsidP="00E87133">
      <w:pPr>
        <w:pStyle w:val="Heading3"/>
        <w:rPr>
          <w:rFonts w:cs="Arial"/>
          <w:sz w:val="24"/>
          <w:szCs w:val="22"/>
        </w:rPr>
      </w:pPr>
      <w:bookmarkStart w:id="33" w:name="_Toc233660500"/>
      <w:bookmarkStart w:id="34" w:name="_Toc241175699"/>
      <w:r w:rsidRPr="008E36FF">
        <w:rPr>
          <w:rFonts w:cs="Arial"/>
          <w:sz w:val="24"/>
          <w:szCs w:val="22"/>
        </w:rPr>
        <w:t>2.5.2 Structural and Service-Level Barriers: Access, Inequality, Language and Digital-First Systems</w:t>
      </w:r>
      <w:bookmarkEnd w:id="33"/>
      <w:bookmarkEnd w:id="34"/>
    </w:p>
    <w:p w14:paraId="79E0FAB6" w14:textId="7B701540" w:rsidR="009C19FC" w:rsidRPr="005C65A5" w:rsidRDefault="009C19FC" w:rsidP="009C19FC">
      <w:pPr>
        <w:rPr>
          <w:rFonts w:cs="Arial"/>
        </w:rPr>
      </w:pPr>
      <w:r w:rsidRPr="005C65A5">
        <w:rPr>
          <w:rFonts w:cs="Arial"/>
        </w:rPr>
        <w:t>Structural barriers are a lack of devices, affordability of connectivity, internet access may be unstable, websites may be hard to access, a language barrier and the provision of digital-first services that limit the viability of alternatives (Age UK, 2026; Ofcom, 2024). Evidence on the use of NHS Apps from observation demonstrates that there are sociodemographic differences in the uptake of patients using the NHS App, as well as the fact that patient use of the app is linked to wider inequalities (Kc et al., 2024; Barker et al., 2026</w:t>
      </w:r>
      <w:r w:rsidR="00A059CF" w:rsidRPr="005C65A5">
        <w:rPr>
          <w:rFonts w:cs="Arial"/>
        </w:rPr>
        <w:t>; Rodrigues et al., 2025</w:t>
      </w:r>
      <w:r w:rsidRPr="005C65A5">
        <w:rPr>
          <w:rFonts w:cs="Arial"/>
        </w:rPr>
        <w:t xml:space="preserve">). Whilst digital primary care has been described as difficult by older adults from South Asian, Black African and Caribbean communities, it has not been addressed when language, trust, confidence needs, and cultural communication needs are not identified in service design (Ahmed et al., 2024; Husain </w:t>
      </w:r>
      <w:r w:rsidR="00264FDE" w:rsidRPr="005C65A5">
        <w:rPr>
          <w:rFonts w:cs="Arial"/>
        </w:rPr>
        <w:t>and</w:t>
      </w:r>
      <w:r w:rsidRPr="005C65A5">
        <w:rPr>
          <w:rFonts w:cs="Arial"/>
        </w:rPr>
        <w:t xml:space="preserve"> Greenhalgh, 2025</w:t>
      </w:r>
      <w:r w:rsidR="00264FDE" w:rsidRPr="005C65A5">
        <w:rPr>
          <w:rFonts w:cs="Arial"/>
        </w:rPr>
        <w:t>; Guo et al., 2026</w:t>
      </w:r>
      <w:r w:rsidRPr="005C65A5">
        <w:rPr>
          <w:rFonts w:cs="Arial"/>
        </w:rPr>
        <w:t>). When digital tools are shared, the support provided is minimal, or the systems need to be negotiated across platforms; socially deprived older adults may have another obstacle to healthcare, namely digital health (Chadwick et al., 2024; Poduval et al., 2025</w:t>
      </w:r>
      <w:r w:rsidR="00264FDE" w:rsidRPr="005C65A5">
        <w:rPr>
          <w:rFonts w:cs="Arial"/>
        </w:rPr>
        <w:t xml:space="preserve">; </w:t>
      </w:r>
      <w:r w:rsidR="003D2E4E" w:rsidRPr="005C65A5">
        <w:rPr>
          <w:rFonts w:cs="Arial"/>
        </w:rPr>
        <w:t>Wilson-Menzfeld et al., 2025</w:t>
      </w:r>
      <w:r w:rsidRPr="005C65A5">
        <w:rPr>
          <w:rFonts w:cs="Arial"/>
        </w:rPr>
        <w:t>). The results counter digital-first thinking as the focus was on efficiency, not on ensuring access, continuity and patient choice are maintained when using remote access (Turner et al., 2021; Newbould et al., 2024).</w:t>
      </w:r>
    </w:p>
    <w:p w14:paraId="46FF04EA" w14:textId="77777777" w:rsidR="009C19FC" w:rsidRPr="008E36FF" w:rsidRDefault="009C19FC" w:rsidP="009C19FC">
      <w:pPr>
        <w:pStyle w:val="Heading2"/>
        <w:rPr>
          <w:rFonts w:cs="Arial"/>
          <w:szCs w:val="22"/>
        </w:rPr>
      </w:pPr>
      <w:bookmarkStart w:id="35" w:name="_Toc233660501"/>
      <w:bookmarkStart w:id="36" w:name="_Toc241175700"/>
      <w:r w:rsidRPr="008E36FF">
        <w:rPr>
          <w:rFonts w:cs="Arial"/>
          <w:szCs w:val="22"/>
        </w:rPr>
        <w:lastRenderedPageBreak/>
        <w:t>2.6 Facilitators of Digital Health Engagement</w:t>
      </w:r>
      <w:bookmarkEnd w:id="35"/>
      <w:bookmarkEnd w:id="36"/>
    </w:p>
    <w:p w14:paraId="406C54F5" w14:textId="72509879" w:rsidR="009C19FC" w:rsidRPr="005C65A5" w:rsidRDefault="009C19FC" w:rsidP="009C19FC">
      <w:pPr>
        <w:rPr>
          <w:rFonts w:cs="Arial"/>
        </w:rPr>
      </w:pPr>
      <w:r w:rsidRPr="005C65A5">
        <w:rPr>
          <w:rFonts w:cs="Arial"/>
        </w:rPr>
        <w:t>Digital facilitation, professional encouragement, family support, community training, access-friendly design, and blended access routes (digital and in-person) are facilitators for older adults' access, understanding, and ability to sustain digital health use (Winder et al., 2024; Sussex et al., 2024</w:t>
      </w:r>
      <w:r w:rsidR="003D2E4E" w:rsidRPr="005C65A5">
        <w:rPr>
          <w:rFonts w:cs="Arial"/>
        </w:rPr>
        <w:t>; Leach et al., 2022</w:t>
      </w:r>
      <w:r w:rsidRPr="005C65A5">
        <w:rPr>
          <w:rFonts w:cs="Arial"/>
        </w:rPr>
        <w:t>). Digital facilitation for primary care in English is significant, as digital access is not meaningful for patients until practical assistance is provided with login processes, appointment bookings, and completing online forms, as well as strategies to build patient confidence (Winder et al., 2024; Treadgold et al., 2025</w:t>
      </w:r>
      <w:r w:rsidR="00B37F52" w:rsidRPr="005C65A5">
        <w:rPr>
          <w:rFonts w:cs="Arial"/>
        </w:rPr>
        <w:t>; Khan et al., 2024</w:t>
      </w:r>
      <w:r w:rsidRPr="005C65A5">
        <w:rPr>
          <w:rFonts w:cs="Arial"/>
        </w:rPr>
        <w:t>). Community-based digital inclusion programmes can help decrease health inequalities when they are trusted locally, personalised and connected to wider social support networks as opposed to engaging in short technical training sessions alone (Poduval et al., 2025; GOV.UK, 2025). Video consultations in care homes indicate that these consultations can be feasible with older people who have complex needs, but also indicate issues regarding privacy and dependency (Ochieng et al., 2022; Greenhalgh et al., 2021). Another facilitator is patient-centred design, where features of a digital tool that seniors use to manage their health become simple, relevant, reliable and linked to actual clinical relationships (Moody et al., 2024; Hepburn, Williams and McCann, 2025</w:t>
      </w:r>
      <w:r w:rsidR="00B37F52" w:rsidRPr="005C65A5">
        <w:rPr>
          <w:rFonts w:cs="Arial"/>
        </w:rPr>
        <w:t>; Ferraz et al., 2025</w:t>
      </w:r>
      <w:r w:rsidRPr="005C65A5">
        <w:rPr>
          <w:rFonts w:cs="Arial"/>
        </w:rPr>
        <w:t>). Thus, engagement is viewed as a service process and not a personal characteristic, as confidence builds with the usable systems and services present (Money et al., 202</w:t>
      </w:r>
      <w:r w:rsidR="004808BF" w:rsidRPr="005C65A5">
        <w:rPr>
          <w:rFonts w:cs="Arial"/>
        </w:rPr>
        <w:t>4</w:t>
      </w:r>
      <w:r w:rsidRPr="005C65A5">
        <w:rPr>
          <w:rFonts w:cs="Arial"/>
        </w:rPr>
        <w:t>; Wale et al., 2025).</w:t>
      </w:r>
    </w:p>
    <w:p w14:paraId="17040D94" w14:textId="77777777" w:rsidR="009C19FC" w:rsidRPr="00934FD8" w:rsidRDefault="009C19FC" w:rsidP="009C19FC">
      <w:pPr>
        <w:pStyle w:val="Heading2"/>
        <w:rPr>
          <w:rFonts w:cs="Arial"/>
          <w:szCs w:val="22"/>
        </w:rPr>
      </w:pPr>
      <w:bookmarkStart w:id="37" w:name="_Toc233660502"/>
      <w:bookmarkStart w:id="38" w:name="_Toc241175701"/>
      <w:r w:rsidRPr="00934FD8">
        <w:rPr>
          <w:rFonts w:cs="Arial"/>
          <w:szCs w:val="22"/>
        </w:rPr>
        <w:t>2.7 Digital Inclusion, Inequality and the Risk of Widening Health Gaps</w:t>
      </w:r>
      <w:bookmarkEnd w:id="37"/>
      <w:bookmarkEnd w:id="38"/>
    </w:p>
    <w:p w14:paraId="1189A0B0" w14:textId="77777777" w:rsidR="009C19FC" w:rsidRPr="00934FD8" w:rsidRDefault="009C19FC" w:rsidP="009C19FC">
      <w:pPr>
        <w:pStyle w:val="Heading3"/>
        <w:rPr>
          <w:rFonts w:cs="Arial"/>
          <w:sz w:val="24"/>
          <w:szCs w:val="22"/>
        </w:rPr>
      </w:pPr>
      <w:bookmarkStart w:id="39" w:name="_Toc233660503"/>
      <w:bookmarkStart w:id="40" w:name="_Toc241175702"/>
      <w:r w:rsidRPr="00934FD8">
        <w:rPr>
          <w:rFonts w:cs="Arial"/>
          <w:sz w:val="24"/>
          <w:szCs w:val="22"/>
        </w:rPr>
        <w:t>2.7.1 Ageing, Digital Exclusion and Access Inequality</w:t>
      </w:r>
      <w:bookmarkEnd w:id="39"/>
      <w:bookmarkEnd w:id="40"/>
    </w:p>
    <w:p w14:paraId="67E64312" w14:textId="77777777" w:rsidR="009C19FC" w:rsidRPr="005C65A5" w:rsidRDefault="009C19FC" w:rsidP="009C19FC">
      <w:pPr>
        <w:rPr>
          <w:rFonts w:cs="Arial"/>
        </w:rPr>
      </w:pPr>
      <w:r w:rsidRPr="005C65A5">
        <w:rPr>
          <w:rFonts w:cs="Arial"/>
        </w:rPr>
        <w:t>The term digital inclusion and inequality is used to highlight the importance of uncovering the inequalities associated with digital access and the threat that digital gaps pose in terms of health.</w:t>
      </w:r>
    </w:p>
    <w:p w14:paraId="07A80028" w14:textId="77777777" w:rsidR="009C19FC" w:rsidRPr="005C65A5" w:rsidRDefault="009C19FC" w:rsidP="009C19FC">
      <w:pPr>
        <w:rPr>
          <w:rFonts w:cs="Arial"/>
          <w:color w:val="0E101A"/>
        </w:rPr>
      </w:pPr>
      <w:r w:rsidRPr="005C65A5">
        <w:rPr>
          <w:rFonts w:cs="Arial"/>
          <w:color w:val="0E101A"/>
        </w:rPr>
        <w:t>In response to the questions, the report includes the following suggestions:</w:t>
      </w:r>
    </w:p>
    <w:p w14:paraId="531AA040" w14:textId="1AC9423F" w:rsidR="009C19FC" w:rsidRPr="005C65A5" w:rsidRDefault="009C19FC" w:rsidP="009C19FC">
      <w:pPr>
        <w:rPr>
          <w:rFonts w:cs="Arial"/>
        </w:rPr>
      </w:pPr>
      <w:r w:rsidRPr="005C65A5">
        <w:rPr>
          <w:rFonts w:cs="Arial"/>
        </w:rPr>
        <w:t xml:space="preserve">Lower levels of access to the Internet in older age groups and the proportion of people owning a smartphone or having Internet in their home is a key topic for older people (ONS, 2021; Age UK, 2026). Poor home internet connection is still disproportionately found among older people - of the people who don't have access to the Internet at home, a significant proportion are aged over 55 (Ofcom, 2024; NHS England, 2023), something which is important as digital health is often dependent on </w:t>
      </w:r>
      <w:r w:rsidRPr="005C65A5">
        <w:rPr>
          <w:rFonts w:cs="Arial"/>
        </w:rPr>
        <w:lastRenderedPageBreak/>
        <w:t>using the Internet and accessing online services privately, reliably, and regularly. Increased digital use amongst older adults in England following the onset of COVID-19 suggests that there is growing digital engagement but that digital engagement does not eliminate inequalities in the areas of skill, confidence, and meaningful benefit (Kung and Steptoe, 2023; Kunonga et al., 2021</w:t>
      </w:r>
      <w:r w:rsidR="00D851C9" w:rsidRPr="005C65A5">
        <w:rPr>
          <w:rFonts w:cs="Arial"/>
        </w:rPr>
        <w:t>; Zhang et al., 2023</w:t>
      </w:r>
      <w:r w:rsidRPr="005C65A5">
        <w:rPr>
          <w:rFonts w:cs="Arial"/>
        </w:rPr>
        <w:t>). Thus, one should not assess age-related digital inclusion based on binary (yes/no) responses to whether or not the older person has ever used the Internet but evaluate it based on their ability and outcomes (Heaslip and Holley, 2023; Hamilton et al., 2025).</w:t>
      </w:r>
    </w:p>
    <w:p w14:paraId="3F82870D" w14:textId="77777777" w:rsidR="009C19FC" w:rsidRPr="00934FD8" w:rsidRDefault="009C19FC" w:rsidP="009C19FC">
      <w:pPr>
        <w:pStyle w:val="Heading3"/>
        <w:rPr>
          <w:rFonts w:cs="Arial"/>
          <w:sz w:val="24"/>
          <w:szCs w:val="22"/>
        </w:rPr>
      </w:pPr>
      <w:bookmarkStart w:id="41" w:name="_Toc233660504"/>
      <w:bookmarkStart w:id="42" w:name="_Toc241175703"/>
      <w:r w:rsidRPr="00934FD8">
        <w:rPr>
          <w:rFonts w:cs="Arial"/>
          <w:sz w:val="24"/>
          <w:szCs w:val="22"/>
        </w:rPr>
        <w:t>2.7.2 Deprivation, Ethnicity, Language and Intersectionality</w:t>
      </w:r>
      <w:bookmarkEnd w:id="41"/>
      <w:bookmarkEnd w:id="42"/>
    </w:p>
    <w:p w14:paraId="0D83C25C" w14:textId="06FD5496" w:rsidR="009C19FC" w:rsidRPr="005C65A5" w:rsidRDefault="009C19FC" w:rsidP="009C19FC">
      <w:pPr>
        <w:rPr>
          <w:rFonts w:cs="Arial"/>
        </w:rPr>
      </w:pPr>
      <w:r w:rsidRPr="005C65A5">
        <w:rPr>
          <w:rFonts w:cs="Arial"/>
        </w:rPr>
        <w:t xml:space="preserve">Digital health inequality is also intersectional, as poverty could co-occur with, and compound, older age, ethnicity, disability, language, and low literacy, as well as poor previous healthcare experiences (Husain et al., 2024; Husain and Greenhalgh, 2025). The application of digitalised primary care with people from minority ethnic groups has also been demonstrated to be opaque using English-only forms, unfamiliar terminology and through family interpretation (Ahmed et al., 2024; Husain and Greenhalgh, 2025). Evidence from socially deprived communities also highlights how important affordability is, as well as a lack of trust, and the nature of social networks and the extent to which health services personnel actively support the patient in helping them to navigate the platforms (Chadwick et al., 2024; Poduval et al., 2025). Using the user-persona approach is helpful, as it addresses intersections of disadvantages, which are frequently overlooked by user categorisation in terms of "older users" (Husain et al., 2024; Heaslip and Holley, 2023). In particular, intersectionality reveals that universal digital systems can exacerbate inequalities if they are built on the concept of the confident, English-speaking, connected and relatively healthy user (Hamilton et </w:t>
      </w:r>
      <w:r w:rsidR="00F400CF">
        <w:rPr>
          <w:rFonts w:cs="Arial"/>
        </w:rPr>
        <w:t>al., 2025; Laverty et al., 2026</w:t>
      </w:r>
      <w:r w:rsidRPr="005C65A5">
        <w:rPr>
          <w:rFonts w:cs="Arial"/>
        </w:rPr>
        <w:t>).</w:t>
      </w:r>
    </w:p>
    <w:p w14:paraId="12C40596" w14:textId="77777777" w:rsidR="009C19FC" w:rsidRPr="00934FD8" w:rsidRDefault="009C19FC" w:rsidP="009C19FC">
      <w:pPr>
        <w:pStyle w:val="Heading3"/>
        <w:rPr>
          <w:rFonts w:cs="Arial"/>
          <w:sz w:val="24"/>
          <w:szCs w:val="22"/>
        </w:rPr>
      </w:pPr>
      <w:bookmarkStart w:id="43" w:name="_Toc233660505"/>
      <w:bookmarkStart w:id="44" w:name="_Toc241175704"/>
      <w:r w:rsidRPr="00934FD8">
        <w:rPr>
          <w:rFonts w:cs="Arial"/>
          <w:sz w:val="24"/>
          <w:szCs w:val="22"/>
        </w:rPr>
        <w:t>2.7.3 Policy Responses and Inclusive Digital Healthcare</w:t>
      </w:r>
      <w:bookmarkEnd w:id="43"/>
      <w:bookmarkEnd w:id="44"/>
    </w:p>
    <w:p w14:paraId="05170DE2" w14:textId="555CD4B7" w:rsidR="009C19FC" w:rsidRPr="005C65A5" w:rsidRDefault="009C19FC" w:rsidP="009C19FC">
      <w:pPr>
        <w:rPr>
          <w:rFonts w:cs="Arial"/>
        </w:rPr>
      </w:pPr>
      <w:r w:rsidRPr="005C65A5">
        <w:rPr>
          <w:rFonts w:cs="Arial"/>
        </w:rPr>
        <w:t xml:space="preserve">Digital exclusion is increasingly recognised as a health inequality issue by policy, with NHS England's digital health and care framework featuring inclusive access to digital health and care, skills, motivation, trust, and appropriate support (NHS England, 2023; GOV.UK, 2025). Equitable access to prevention, monitoring and management is also a key aspect of public health planning highlighted by the burden of long-term conditions within the Major Conditions Strategy (Department of Health and Social Care, 2023; NHS Digital, 2026). Putting policy statements into practice, however, is only useful if these are translated into implementation digital inclusion needs staff time, accessible procurement, community partnerships and clear non-digital </w:t>
      </w:r>
      <w:r w:rsidRPr="005C65A5">
        <w:rPr>
          <w:rFonts w:cs="Arial"/>
        </w:rPr>
        <w:lastRenderedPageBreak/>
        <w:t>alternatives (Hamilton et al., 2025; Treadgold et al., 2025</w:t>
      </w:r>
      <w:r w:rsidR="00D851C9" w:rsidRPr="005C65A5">
        <w:rPr>
          <w:rFonts w:cs="Arial"/>
        </w:rPr>
        <w:t>; Boxall et al., 2025</w:t>
      </w:r>
      <w:r w:rsidRPr="005C65A5">
        <w:rPr>
          <w:rFonts w:cs="Arial"/>
        </w:rPr>
        <w:t>). National digital tools have the potential to rapidly scale to large numbers, but if they are to benefit the health of the population, they need to track inequalities in both uptake and use (Reidy et al., 2025; Laverty et al., 2026). The hybrid approach is thus needed, where digital choices are added to widen the choice of healthcare, but are not the only realistic way into care (Newbould et al., 2024; Greenhalgh et al., 2025).</w:t>
      </w:r>
    </w:p>
    <w:p w14:paraId="607C4807" w14:textId="77777777" w:rsidR="009C19FC" w:rsidRPr="005C65A5" w:rsidRDefault="009C19FC" w:rsidP="009C19FC">
      <w:pPr>
        <w:rPr>
          <w:rFonts w:cs="Arial"/>
        </w:rPr>
      </w:pPr>
      <w:r w:rsidRPr="005C65A5">
        <w:rPr>
          <w:rFonts w:cs="Arial"/>
        </w:rPr>
        <w:t>Another policy challenge is that digital inclusion must not be considered as a technical issue that is distinct from chronic disease strategy. Both the Major Conditions Strategy and NHS digital inclusion guidance highlight prevention, early intervention and coordinated support and access, skills, motivation and trust, respectively (Department of Health and Social Care, 2023; NHS England, 2023). Thus, local NHS services need to integrate LTC pathways with accessible and user-friendly digital health assistance, preventing the push for older citizens to self-manage on platforms that they are unable to access or comprehend (GOV.UK, 2025; Treadgold et al., 2025). Incorporating this means that inclusion is central to patient safety issues.</w:t>
      </w:r>
    </w:p>
    <w:p w14:paraId="1AE425D6" w14:textId="77777777" w:rsidR="009C19FC" w:rsidRPr="00934FD8" w:rsidRDefault="009C19FC" w:rsidP="009C19FC">
      <w:pPr>
        <w:pStyle w:val="Heading2"/>
        <w:rPr>
          <w:rFonts w:cs="Arial"/>
          <w:szCs w:val="22"/>
        </w:rPr>
      </w:pPr>
      <w:bookmarkStart w:id="45" w:name="_Toc233660506"/>
      <w:bookmarkStart w:id="46" w:name="_Toc241175705"/>
      <w:r w:rsidRPr="00934FD8">
        <w:rPr>
          <w:rFonts w:cs="Arial"/>
          <w:szCs w:val="22"/>
        </w:rPr>
        <w:t>2.8 Theoretical Framework</w:t>
      </w:r>
      <w:bookmarkEnd w:id="45"/>
      <w:bookmarkEnd w:id="46"/>
    </w:p>
    <w:p w14:paraId="3D8C4ECB" w14:textId="77777777" w:rsidR="009C19FC" w:rsidRPr="00934FD8" w:rsidRDefault="009C19FC" w:rsidP="009C19FC">
      <w:pPr>
        <w:pStyle w:val="Heading3"/>
        <w:rPr>
          <w:rFonts w:cs="Arial"/>
          <w:sz w:val="24"/>
          <w:szCs w:val="22"/>
        </w:rPr>
      </w:pPr>
      <w:bookmarkStart w:id="47" w:name="_Toc233660507"/>
      <w:bookmarkStart w:id="48" w:name="_Toc241175706"/>
      <w:r w:rsidRPr="00934FD8">
        <w:rPr>
          <w:rFonts w:cs="Arial"/>
          <w:sz w:val="24"/>
          <w:szCs w:val="22"/>
        </w:rPr>
        <w:t>2.8.1 Digital Divide Theory</w:t>
      </w:r>
      <w:bookmarkEnd w:id="47"/>
      <w:bookmarkEnd w:id="48"/>
    </w:p>
    <w:p w14:paraId="02F222FC" w14:textId="78892FDC" w:rsidR="009C19FC" w:rsidRPr="005C65A5" w:rsidRDefault="009C19FC" w:rsidP="009C19FC">
      <w:pPr>
        <w:rPr>
          <w:rFonts w:cs="Arial"/>
          <w:color w:val="0E101A"/>
        </w:rPr>
      </w:pPr>
      <w:r w:rsidRPr="005C65A5">
        <w:rPr>
          <w:rFonts w:cs="Arial"/>
        </w:rPr>
        <w:t>The theory of the Digital Divide can be helpful as it indicates inequality at several connected levels: in the possession or access to devices and the Internet, in skill and confidence in using technologies and in accessing and benefiting from the advantages they offer with respect to social and health outcomes (Heaslip and Holley, 2023; Kunonga et al., 2021). Applying this to older adults, the first level split relates to level of connectivity and availability of the device, with evidence from the UK for older people showing that there is evidence of internet non-use and an unmet need for access at home (Age UK, 2026; Ofcom, 2024). The second-level set of concerns is digital literacy, confidence and support, so that while some patients might have access to health services online, they might not have the confidence or support to use them (Money et al., 202</w:t>
      </w:r>
      <w:r w:rsidR="004808BF" w:rsidRPr="005C65A5">
        <w:rPr>
          <w:rFonts w:cs="Arial"/>
        </w:rPr>
        <w:t>4</w:t>
      </w:r>
      <w:r w:rsidRPr="005C65A5">
        <w:rPr>
          <w:rFonts w:cs="Arial"/>
        </w:rPr>
        <w:t>; Winder et al., 2024). The third-level division is about outcomes, as digital healthcare is an equitable technology only if it enables older adults to translate access and skills into improved health outcomes, such as for self-management, communication and quality of life (Wale et al., 2025; Hamilton et al., 2025</w:t>
      </w:r>
      <w:r w:rsidRPr="005C65A5">
        <w:rPr>
          <w:rFonts w:cs="Arial"/>
          <w:color w:val="0E101A"/>
        </w:rPr>
        <w:t>).</w:t>
      </w:r>
    </w:p>
    <w:p w14:paraId="1E34CD34" w14:textId="77777777" w:rsidR="009C19FC" w:rsidRPr="005C65A5" w:rsidRDefault="009C19FC" w:rsidP="009C19FC">
      <w:pPr>
        <w:jc w:val="center"/>
        <w:rPr>
          <w:rFonts w:cs="Arial"/>
        </w:rPr>
      </w:pPr>
      <w:r w:rsidRPr="005C65A5">
        <w:rPr>
          <w:rFonts w:cs="Arial"/>
          <w:noProof/>
          <w:lang w:val="en-US"/>
        </w:rPr>
        <w:lastRenderedPageBreak/>
        <w:drawing>
          <wp:inline distT="0" distB="0" distL="0" distR="0" wp14:anchorId="2CFDCD30" wp14:editId="361EF441">
            <wp:extent cx="4171950" cy="4138566"/>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a:stretch/>
                  </pic:blipFill>
                  <pic:spPr bwMode="auto">
                    <a:xfrm>
                      <a:off x="0" y="0"/>
                      <a:ext cx="4178822" cy="4145383"/>
                    </a:xfrm>
                    <a:prstGeom prst="rect">
                      <a:avLst/>
                    </a:prstGeom>
                    <a:noFill/>
                    <a:ln>
                      <a:noFill/>
                    </a:ln>
                    <a:extLst>
                      <a:ext uri="{53640926-AAD7-44D8-BBD7-CCE9431645EC}">
                        <a14:shadowObscured xmlns:a14="http://schemas.microsoft.com/office/drawing/2010/main"/>
                      </a:ext>
                    </a:extLst>
                  </pic:spPr>
                </pic:pic>
              </a:graphicData>
            </a:graphic>
          </wp:inline>
        </w:drawing>
      </w:r>
    </w:p>
    <w:p w14:paraId="6AB10B72" w14:textId="57A326ED" w:rsidR="009C19FC" w:rsidRPr="005C65A5" w:rsidRDefault="009C19FC" w:rsidP="00E87133">
      <w:pPr>
        <w:jc w:val="center"/>
        <w:rPr>
          <w:rFonts w:cs="Arial"/>
          <w:i/>
          <w:iCs/>
        </w:rPr>
      </w:pPr>
      <w:r w:rsidRPr="005C65A5">
        <w:rPr>
          <w:rFonts w:cs="Arial"/>
          <w:i/>
          <w:iCs/>
        </w:rPr>
        <w:t>Figure 2.1: Digital Divide Theory Framework</w:t>
      </w:r>
      <w:r w:rsidR="004D54CE">
        <w:rPr>
          <w:rFonts w:cs="Arial"/>
          <w:i/>
          <w:iCs/>
        </w:rPr>
        <w:t xml:space="preserve"> </w:t>
      </w:r>
    </w:p>
    <w:p w14:paraId="1BB27EAD" w14:textId="77777777" w:rsidR="009C19FC" w:rsidRPr="005C65A5" w:rsidRDefault="009C19FC" w:rsidP="009C19FC">
      <w:pPr>
        <w:rPr>
          <w:rFonts w:cs="Arial"/>
          <w:b/>
          <w:bCs/>
        </w:rPr>
      </w:pPr>
      <w:r w:rsidRPr="005C65A5">
        <w:rPr>
          <w:rFonts w:cs="Arial"/>
        </w:rPr>
        <w:t>This intersection of access, skills and outcomes shows the level of contribution of digital inequality to the uptake of digital health services by older adults. It suggests that without older users being confident in using it, provided with support, or digitally literate, it cannot be said that it is enough if it is accompanied by a computer and a connection to the Internet. This framework also acknowledges that we will not achieve digital health without digitally enabling older adults to access their health needs via the digital world through improved communication, self-management, and health outcomes.</w:t>
      </w:r>
    </w:p>
    <w:p w14:paraId="29B27336" w14:textId="77777777" w:rsidR="009C19FC" w:rsidRPr="00934FD8" w:rsidRDefault="009C19FC" w:rsidP="009C19FC">
      <w:pPr>
        <w:pStyle w:val="Heading3"/>
        <w:rPr>
          <w:rFonts w:cs="Arial"/>
          <w:sz w:val="24"/>
          <w:szCs w:val="22"/>
        </w:rPr>
      </w:pPr>
      <w:bookmarkStart w:id="49" w:name="_Toc233660508"/>
      <w:bookmarkStart w:id="50" w:name="_Toc241175707"/>
      <w:r w:rsidRPr="00934FD8">
        <w:rPr>
          <w:rFonts w:cs="Arial"/>
          <w:sz w:val="24"/>
          <w:szCs w:val="22"/>
        </w:rPr>
        <w:t>2.8.2 Technology Acceptance Model</w:t>
      </w:r>
      <w:bookmarkEnd w:id="49"/>
      <w:bookmarkEnd w:id="50"/>
    </w:p>
    <w:p w14:paraId="3DFAB995" w14:textId="77777777" w:rsidR="009C19FC" w:rsidRPr="005C65A5" w:rsidRDefault="009C19FC" w:rsidP="009C19FC">
      <w:pPr>
        <w:rPr>
          <w:rFonts w:cs="Arial"/>
        </w:rPr>
      </w:pPr>
      <w:r w:rsidRPr="005C65A5">
        <w:rPr>
          <w:rFonts w:cs="Arial"/>
        </w:rPr>
        <w:t xml:space="preserve">The model was relevant as it included both perceived ease of use and perceived usefulness, as this dissertation uses the existing body of digital health evidence, rather than focusing exclusively on the more basic models of the past (Moody et al., 2022; Hepburn, Williams and McCann, 2025). Perceived usefulness is when older adults believe they have access to digital tools that are perceived as useful, or using the digital tool reduces travel, allows them to monitor or improves their ability to communicate with professionals (Fernandes et al., 2025; Taylor et al., 2022). The perceived ease of the platform is measured by ease of use (Moody et al., 2024; Li et </w:t>
      </w:r>
      <w:r w:rsidRPr="005C65A5">
        <w:rPr>
          <w:rFonts w:cs="Arial"/>
        </w:rPr>
        <w:lastRenderedPageBreak/>
        <w:t>al., 2025), reliability, readability, confidence and differences in platform support of confidence and health/literacy (Moody et al., 2024; Li et al., 2025). The model has plausibility but lacks strength, being just one component of the absence of theories on inequality and service context (Heaslip and Holley, 2023; Greenhalgh et al., 2021).</w:t>
      </w:r>
    </w:p>
    <w:p w14:paraId="56AE503C" w14:textId="77777777" w:rsidR="009C19FC" w:rsidRPr="005C65A5" w:rsidRDefault="009C19FC" w:rsidP="009C19FC">
      <w:pPr>
        <w:rPr>
          <w:rFonts w:cs="Arial"/>
        </w:rPr>
      </w:pPr>
      <w:r w:rsidRPr="005C65A5">
        <w:rPr>
          <w:rFonts w:cs="Arial"/>
          <w:noProof/>
          <w:lang w:val="en-US"/>
        </w:rPr>
        <w:drawing>
          <wp:inline distT="0" distB="0" distL="0" distR="0" wp14:anchorId="123302DF" wp14:editId="4A01EC0B">
            <wp:extent cx="5313805" cy="4010025"/>
            <wp:effectExtent l="0" t="0" r="127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a:stretch/>
                  </pic:blipFill>
                  <pic:spPr bwMode="auto">
                    <a:xfrm>
                      <a:off x="0" y="0"/>
                      <a:ext cx="5320326" cy="4014946"/>
                    </a:xfrm>
                    <a:prstGeom prst="rect">
                      <a:avLst/>
                    </a:prstGeom>
                    <a:noFill/>
                    <a:ln>
                      <a:noFill/>
                    </a:ln>
                    <a:extLst>
                      <a:ext uri="{53640926-AAD7-44D8-BBD7-CCE9431645EC}">
                        <a14:shadowObscured xmlns:a14="http://schemas.microsoft.com/office/drawing/2010/main"/>
                      </a:ext>
                    </a:extLst>
                  </pic:spPr>
                </pic:pic>
              </a:graphicData>
            </a:graphic>
          </wp:inline>
        </w:drawing>
      </w:r>
    </w:p>
    <w:p w14:paraId="3EC897D4" w14:textId="50A96ECA" w:rsidR="009C19FC" w:rsidRPr="005C65A5" w:rsidRDefault="009C19FC" w:rsidP="00E87133">
      <w:pPr>
        <w:jc w:val="center"/>
        <w:rPr>
          <w:rFonts w:cs="Arial"/>
          <w:i/>
          <w:iCs/>
        </w:rPr>
      </w:pPr>
      <w:r w:rsidRPr="005C65A5">
        <w:rPr>
          <w:rFonts w:cs="Arial"/>
          <w:i/>
          <w:iCs/>
        </w:rPr>
        <w:t>Figure 2.2: Technology Acceptance Model Framework</w:t>
      </w:r>
      <w:r w:rsidR="004D54CE">
        <w:rPr>
          <w:rFonts w:cs="Arial"/>
          <w:i/>
          <w:iCs/>
        </w:rPr>
        <w:t xml:space="preserve"> </w:t>
      </w:r>
    </w:p>
    <w:p w14:paraId="307570CA" w14:textId="77777777" w:rsidR="009C19FC" w:rsidRPr="005C65A5" w:rsidRDefault="009C19FC" w:rsidP="009C19FC">
      <w:pPr>
        <w:rPr>
          <w:rFonts w:cs="Arial"/>
        </w:rPr>
      </w:pPr>
      <w:r w:rsidRPr="005C65A5">
        <w:rPr>
          <w:rFonts w:cs="Arial"/>
        </w:rPr>
        <w:t>This shows that remote consultation is not a 'digital substitute' for in-person consultations but is a complex service decision. It demonstrates that the nature of consultation mode should be tailored to the clinical complexity of the patient, their factors, professional judgement, organisation, technology infrastructure and ethical factors. It is relevant to this dissertation because with chronic disease there may be a need for consultation options that are flexible, safe and inclusive for older adults.</w:t>
      </w:r>
    </w:p>
    <w:p w14:paraId="2474C7E2" w14:textId="77777777" w:rsidR="009C19FC" w:rsidRPr="005C65A5" w:rsidRDefault="009C19FC" w:rsidP="009C19FC">
      <w:pPr>
        <w:rPr>
          <w:rFonts w:cs="Arial"/>
        </w:rPr>
      </w:pPr>
    </w:p>
    <w:p w14:paraId="2F24DC0E" w14:textId="77777777" w:rsidR="009C19FC" w:rsidRPr="005C65A5" w:rsidRDefault="009C19FC" w:rsidP="009C19FC">
      <w:pPr>
        <w:jc w:val="center"/>
        <w:rPr>
          <w:rFonts w:cs="Arial"/>
        </w:rPr>
      </w:pPr>
      <w:r w:rsidRPr="005C65A5">
        <w:rPr>
          <w:rFonts w:cs="Arial"/>
          <w:noProof/>
          <w:lang w:val="en-US"/>
        </w:rPr>
        <w:lastRenderedPageBreak/>
        <w:drawing>
          <wp:inline distT="0" distB="0" distL="0" distR="0" wp14:anchorId="46C94354" wp14:editId="3228C57C">
            <wp:extent cx="4799469" cy="4029075"/>
            <wp:effectExtent l="0" t="0" r="127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a:stretch/>
                  </pic:blipFill>
                  <pic:spPr bwMode="auto">
                    <a:xfrm>
                      <a:off x="0" y="0"/>
                      <a:ext cx="4806696" cy="4035142"/>
                    </a:xfrm>
                    <a:prstGeom prst="rect">
                      <a:avLst/>
                    </a:prstGeom>
                    <a:noFill/>
                    <a:ln>
                      <a:noFill/>
                    </a:ln>
                    <a:extLst>
                      <a:ext uri="{53640926-AAD7-44D8-BBD7-CCE9431645EC}">
                        <a14:shadowObscured xmlns:a14="http://schemas.microsoft.com/office/drawing/2010/main"/>
                      </a:ext>
                    </a:extLst>
                  </pic:spPr>
                </pic:pic>
              </a:graphicData>
            </a:graphic>
          </wp:inline>
        </w:drawing>
      </w:r>
    </w:p>
    <w:p w14:paraId="341ACC58" w14:textId="2C766B4F" w:rsidR="009C19FC" w:rsidRPr="005C65A5" w:rsidRDefault="009C19FC" w:rsidP="00E87133">
      <w:pPr>
        <w:jc w:val="center"/>
        <w:rPr>
          <w:rFonts w:cs="Arial"/>
          <w:i/>
          <w:iCs/>
        </w:rPr>
      </w:pPr>
      <w:r w:rsidRPr="005C65A5">
        <w:rPr>
          <w:rFonts w:cs="Arial"/>
          <w:i/>
          <w:iCs/>
        </w:rPr>
        <w:t>Figure 2.3: Remote Consultation Complexity and Practical Ethics Framework</w:t>
      </w:r>
      <w:r w:rsidR="004D54CE">
        <w:rPr>
          <w:rFonts w:cs="Arial"/>
          <w:i/>
          <w:iCs/>
        </w:rPr>
        <w:t xml:space="preserve"> </w:t>
      </w:r>
    </w:p>
    <w:p w14:paraId="351EF913" w14:textId="77777777" w:rsidR="009C19FC" w:rsidRPr="005C65A5" w:rsidRDefault="009C19FC" w:rsidP="009C19FC">
      <w:pPr>
        <w:rPr>
          <w:rFonts w:cs="Arial"/>
        </w:rPr>
      </w:pPr>
      <w:r w:rsidRPr="005C65A5">
        <w:rPr>
          <w:rFonts w:cs="Arial"/>
        </w:rPr>
        <w:t>That number does not simply mean "electronic" replacement for in-person care; it is a reflection of the complexity of service decisions related to care beyond the four walls of the clinic. It demonstrates how the process of consultation should be influenced by factors including the complexity of the clinical situation, the patient's level of involvement, professional judgement, the organisation involved, technology requirements and ethical concerns. The framework is significant for this dissertation because consultation for older people living with chronic disease might be required to be flexible, safe and inclusive.</w:t>
      </w:r>
    </w:p>
    <w:p w14:paraId="00460BF3" w14:textId="77777777" w:rsidR="009C19FC" w:rsidRPr="00934FD8" w:rsidRDefault="009C19FC" w:rsidP="009C19FC">
      <w:pPr>
        <w:pStyle w:val="Heading2"/>
        <w:rPr>
          <w:rFonts w:cs="Arial"/>
          <w:szCs w:val="22"/>
        </w:rPr>
      </w:pPr>
      <w:bookmarkStart w:id="51" w:name="_Toc233660509"/>
      <w:bookmarkStart w:id="52" w:name="_Toc241175708"/>
      <w:r w:rsidRPr="00934FD8">
        <w:rPr>
          <w:rFonts w:cs="Arial"/>
          <w:szCs w:val="22"/>
        </w:rPr>
        <w:t>2.9 Conceptual Framework</w:t>
      </w:r>
      <w:bookmarkEnd w:id="51"/>
      <w:bookmarkEnd w:id="52"/>
    </w:p>
    <w:p w14:paraId="1A451CAE" w14:textId="77777777" w:rsidR="009C19FC" w:rsidRPr="00934FD8" w:rsidRDefault="009C19FC" w:rsidP="009C19FC">
      <w:pPr>
        <w:pStyle w:val="Heading3"/>
        <w:rPr>
          <w:rFonts w:cs="Arial"/>
          <w:sz w:val="24"/>
          <w:szCs w:val="22"/>
        </w:rPr>
      </w:pPr>
      <w:bookmarkStart w:id="53" w:name="_Toc233660510"/>
      <w:bookmarkStart w:id="54" w:name="_Toc241175709"/>
      <w:r w:rsidRPr="00934FD8">
        <w:rPr>
          <w:rFonts w:cs="Arial"/>
          <w:sz w:val="24"/>
          <w:szCs w:val="22"/>
        </w:rPr>
        <w:t>2.9.1 Proposed Conceptual Framework</w:t>
      </w:r>
      <w:bookmarkEnd w:id="53"/>
      <w:bookmarkEnd w:id="54"/>
    </w:p>
    <w:p w14:paraId="686A09EA" w14:textId="1536FD39" w:rsidR="009C19FC" w:rsidRPr="005C65A5" w:rsidRDefault="009C19FC" w:rsidP="009C19FC">
      <w:pPr>
        <w:rPr>
          <w:rFonts w:cs="Arial"/>
        </w:rPr>
      </w:pPr>
      <w:r w:rsidRPr="005C65A5">
        <w:rPr>
          <w:rFonts w:cs="Arial"/>
        </w:rPr>
        <w:t>The conceptual framework proposed here relates digital health technologies to chronic disease outcomes via barriers, facilitators, adoption and engagement (Newbould et al., 2024; Taylor et al., 2022). It starts with technologies like telehealth, the NHS App, patient portals, wearable devices, and remote monitoring and mobile applications, the ones that are used for the actual delivery or access of care (Reidy et al, 2025; Greaves et al, 2026</w:t>
      </w:r>
      <w:r w:rsidR="00410C90" w:rsidRPr="005C65A5">
        <w:rPr>
          <w:rFonts w:cs="Arial"/>
        </w:rPr>
        <w:t>; Davidge et al., 2023</w:t>
      </w:r>
      <w:r w:rsidRPr="005C65A5">
        <w:rPr>
          <w:rFonts w:cs="Arial"/>
        </w:rPr>
        <w:t xml:space="preserve">). The framework, however, takes the stance that more outcomes do not directly result from technologies if older adults </w:t>
      </w:r>
      <w:r w:rsidRPr="005C65A5">
        <w:rPr>
          <w:rFonts w:cs="Arial"/>
        </w:rPr>
        <w:lastRenderedPageBreak/>
        <w:t>are not able to access, understand, trust and use them in ways that can match their life and circumstances (Chadwick et al., 2024; Money et al., 202</w:t>
      </w:r>
      <w:r w:rsidR="004808BF" w:rsidRPr="005C65A5">
        <w:rPr>
          <w:rFonts w:cs="Arial"/>
        </w:rPr>
        <w:t>4</w:t>
      </w:r>
      <w:r w:rsidRPr="005C65A5">
        <w:rPr>
          <w:rFonts w:cs="Arial"/>
        </w:rPr>
        <w:t>).</w:t>
      </w:r>
    </w:p>
    <w:p w14:paraId="470B41E3" w14:textId="77777777" w:rsidR="009C19FC" w:rsidRPr="005C65A5" w:rsidRDefault="009C19FC" w:rsidP="009C19FC">
      <w:pPr>
        <w:jc w:val="center"/>
        <w:rPr>
          <w:rFonts w:cs="Arial"/>
        </w:rPr>
      </w:pPr>
      <w:r w:rsidRPr="005C65A5">
        <w:rPr>
          <w:rFonts w:cs="Arial"/>
          <w:noProof/>
          <w:lang w:val="en-US"/>
        </w:rPr>
        <w:drawing>
          <wp:inline distT="0" distB="0" distL="0" distR="0" wp14:anchorId="612CE2F6" wp14:editId="1CC113BD">
            <wp:extent cx="3581400" cy="3522980"/>
            <wp:effectExtent l="0" t="0" r="0" b="127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a:stretch/>
                  </pic:blipFill>
                  <pic:spPr bwMode="auto">
                    <a:xfrm>
                      <a:off x="0" y="0"/>
                      <a:ext cx="3589456" cy="3530905"/>
                    </a:xfrm>
                    <a:prstGeom prst="rect">
                      <a:avLst/>
                    </a:prstGeom>
                    <a:noFill/>
                    <a:ln>
                      <a:noFill/>
                    </a:ln>
                    <a:extLst>
                      <a:ext uri="{53640926-AAD7-44D8-BBD7-CCE9431645EC}">
                        <a14:shadowObscured xmlns:a14="http://schemas.microsoft.com/office/drawing/2010/main"/>
                      </a:ext>
                    </a:extLst>
                  </pic:spPr>
                </pic:pic>
              </a:graphicData>
            </a:graphic>
          </wp:inline>
        </w:drawing>
      </w:r>
    </w:p>
    <w:p w14:paraId="15EB7264" w14:textId="00EE0612" w:rsidR="009C19FC" w:rsidRPr="005C65A5" w:rsidRDefault="009C19FC" w:rsidP="009C19FC">
      <w:pPr>
        <w:spacing w:before="60"/>
        <w:jc w:val="center"/>
        <w:rPr>
          <w:rFonts w:cs="Arial"/>
        </w:rPr>
      </w:pPr>
      <w:r w:rsidRPr="005C65A5">
        <w:rPr>
          <w:rFonts w:cs="Arial"/>
          <w:i/>
        </w:rPr>
        <w:t>Figure 2.</w:t>
      </w:r>
      <w:r w:rsidR="00ED7AF0" w:rsidRPr="005C65A5">
        <w:rPr>
          <w:rFonts w:cs="Arial"/>
          <w:i/>
        </w:rPr>
        <w:t>4</w:t>
      </w:r>
      <w:r w:rsidRPr="005C65A5">
        <w:rPr>
          <w:rFonts w:cs="Arial"/>
          <w:i/>
        </w:rPr>
        <w:t>: Conceptual Framework for Digital Health Interventions and Chronic Disease Management in Older UK Adults</w:t>
      </w:r>
      <w:r w:rsidR="004D54CE">
        <w:rPr>
          <w:rFonts w:cs="Arial"/>
          <w:i/>
        </w:rPr>
        <w:t xml:space="preserve"> </w:t>
      </w:r>
    </w:p>
    <w:p w14:paraId="2837BA21" w14:textId="77777777" w:rsidR="009C19FC" w:rsidRPr="00934FD8" w:rsidRDefault="009C19FC" w:rsidP="009C19FC">
      <w:pPr>
        <w:pStyle w:val="Heading3"/>
        <w:rPr>
          <w:rFonts w:cs="Arial"/>
          <w:sz w:val="24"/>
          <w:szCs w:val="22"/>
        </w:rPr>
      </w:pPr>
      <w:bookmarkStart w:id="55" w:name="_Toc233660511"/>
      <w:bookmarkStart w:id="56" w:name="_Toc241175710"/>
      <w:r w:rsidRPr="00934FD8">
        <w:rPr>
          <w:rFonts w:cs="Arial"/>
          <w:sz w:val="24"/>
          <w:szCs w:val="22"/>
        </w:rPr>
        <w:t>2.9.2 Explanation of Framework Relationships</w:t>
      </w:r>
      <w:bookmarkEnd w:id="55"/>
      <w:bookmarkEnd w:id="56"/>
    </w:p>
    <w:p w14:paraId="7CEC4BFE" w14:textId="77777777" w:rsidR="009C19FC" w:rsidRPr="005C65A5" w:rsidRDefault="009C19FC" w:rsidP="009C19FC">
      <w:pPr>
        <w:rPr>
          <w:rFonts w:cs="Arial"/>
        </w:rPr>
      </w:pPr>
      <w:r w:rsidRPr="005C65A5">
        <w:rPr>
          <w:rFonts w:cs="Arial"/>
        </w:rPr>
        <w:t>The framework suggests that issues of access, digital skills, language difficulties and deprivation, and complexity of design are barriers which inhibit adoption and ongoing engagement (Ahmed et al., 2024; Barker et al., 2026). It also recommends that being supported with digital tools, being designed for accessibility and having a professional guide to help, along with community inclusion programmes, serves to boost confidence, adherence and continuity of care (Sussex et al., 2024; Poduval et al., 2025). Better self-management, quality of life, communication, and safer access as a result of an inclusive digital pathway that is clinically appropriate (Fernandes et al., 2025; Hu et al., 2026). The framework is thus aligned with the research question, directing the literature review towards the primary barriers and facilitators that impact upon effectiveness for older UK adults who live with a chronic condition (Kunonga et al., 2021; Wale et al., 2025).</w:t>
      </w:r>
    </w:p>
    <w:p w14:paraId="102C3E78" w14:textId="77777777" w:rsidR="009C19FC" w:rsidRPr="00934FD8" w:rsidRDefault="009C19FC" w:rsidP="009C19FC">
      <w:pPr>
        <w:pStyle w:val="Heading2"/>
        <w:rPr>
          <w:rFonts w:cs="Arial"/>
          <w:szCs w:val="22"/>
        </w:rPr>
      </w:pPr>
      <w:bookmarkStart w:id="57" w:name="_Toc233660512"/>
      <w:bookmarkStart w:id="58" w:name="_Toc241175711"/>
      <w:r w:rsidRPr="00934FD8">
        <w:rPr>
          <w:rFonts w:cs="Arial"/>
          <w:szCs w:val="22"/>
        </w:rPr>
        <w:t>2.10 Literature Gap</w:t>
      </w:r>
      <w:bookmarkEnd w:id="57"/>
      <w:bookmarkEnd w:id="58"/>
    </w:p>
    <w:p w14:paraId="0C654A5A" w14:textId="77777777" w:rsidR="009C19FC" w:rsidRPr="005C65A5" w:rsidRDefault="009C19FC" w:rsidP="009C19FC">
      <w:pPr>
        <w:rPr>
          <w:rFonts w:cs="Arial"/>
        </w:rPr>
      </w:pPr>
      <w:r w:rsidRPr="005C65A5">
        <w:rPr>
          <w:rFonts w:cs="Arial"/>
        </w:rPr>
        <w:t xml:space="preserve">There are significant amounts of literature about remote consulting, patient portals, use of the NHS App, online rehabilitation and online exclusion, but there is a lack of </w:t>
      </w:r>
      <w:r w:rsidRPr="005C65A5">
        <w:rPr>
          <w:rFonts w:cs="Arial"/>
        </w:rPr>
        <w:lastRenderedPageBreak/>
        <w:t xml:space="preserve">cohesion in terms of conditions, technologies and service settings (Murphy et al., 2021; Greaves et al., 2026). There have been existing reviews to provide valuable evidence for digital health in the context of chronic disease in older adults; however, these reviews are foundational, and most are either broad or are international or do not include older adults (Hepburn, Williams and McCann, 2025). The UK studies provide detailed information on primary care, deprivation, ethnicity/ethnolinguistic, digital facilitation and LTC, and there remains a gap in synthesising these findings and linking them back to a single review question on barriers and facilitators (Ahmed et al., 2024; Newbould et al., 2024). </w:t>
      </w:r>
    </w:p>
    <w:p w14:paraId="24E2207C" w14:textId="77777777" w:rsidR="009C19FC" w:rsidRPr="005C65A5" w:rsidRDefault="009C19FC" w:rsidP="009C19FC">
      <w:pPr>
        <w:rPr>
          <w:rFonts w:cs="Arial"/>
        </w:rPr>
      </w:pPr>
      <w:r w:rsidRPr="005C65A5">
        <w:rPr>
          <w:rFonts w:cs="Arial"/>
        </w:rPr>
        <w:t>The gap under consideration is also methodological, as most studies only focus on the issue of digital access and/or the effectiveness of intervention, without synthesising these elements together. There are, for instance, issues with the adoption of the NHS App, complexity of services in remote consultation studies and social and practical barriers in older-adult digital inclusion studies (Kc et al., 2024; Greenhalgh et al., 2025). The need for integration comes from the research question, which not only asks if there are tools available to support older adults with chronic disease but also what makes them effective or ineffective for older adults with chronic disease (Newbould et al., 2024; Wale et al., 2025). This dissertation will systematically review the qualitative and mixed-methods literature in a systematic way to understand how digital health tools can be designed and implemented to improve both the management of chronic diseases and the reduction of digital exclusion (Hamilton et al., 2025; Winder et al., 2024).</w:t>
      </w:r>
    </w:p>
    <w:p w14:paraId="1204FAF5" w14:textId="77777777" w:rsidR="009C19FC" w:rsidRPr="00934FD8" w:rsidRDefault="009C19FC" w:rsidP="009C19FC">
      <w:pPr>
        <w:pStyle w:val="Heading2"/>
        <w:rPr>
          <w:rFonts w:cs="Arial"/>
          <w:szCs w:val="22"/>
        </w:rPr>
      </w:pPr>
      <w:bookmarkStart w:id="59" w:name="_Toc233660513"/>
      <w:bookmarkStart w:id="60" w:name="_Toc241175712"/>
      <w:r w:rsidRPr="00934FD8">
        <w:rPr>
          <w:rFonts w:cs="Arial"/>
          <w:szCs w:val="22"/>
        </w:rPr>
        <w:t>2.11 Chapter Summary</w:t>
      </w:r>
      <w:bookmarkEnd w:id="59"/>
      <w:bookmarkEnd w:id="60"/>
    </w:p>
    <w:p w14:paraId="56311FC2" w14:textId="2BE10394" w:rsidR="007B3C57" w:rsidRPr="005C65A5" w:rsidRDefault="009C19FC" w:rsidP="009C19FC">
      <w:pPr>
        <w:rPr>
          <w:rFonts w:cs="Arial"/>
        </w:rPr>
      </w:pPr>
      <w:r w:rsidRPr="005C65A5">
        <w:rPr>
          <w:rFonts w:cs="Arial"/>
        </w:rPr>
        <w:t>This chapter has discussed how digital health can be used to support chronic disease management among older adults, but only if access, usability, confidence, support and clinical suitability are all considered. Barriers are known to exist at the individual level, service level and structural level; and facilitators rely on digital facilitation, inclusive design and hybrid access routes. The theoretical and conceptual frameworks are used as a foundation to analyse the barriers, facilitators and outcomes of the systematic review, which is develop</w:t>
      </w:r>
      <w:r w:rsidR="00230DB9">
        <w:rPr>
          <w:rFonts w:cs="Arial"/>
        </w:rPr>
        <w:t>ed methodologically in Chapter Three</w:t>
      </w:r>
      <w:r w:rsidRPr="005C65A5">
        <w:rPr>
          <w:rFonts w:cs="Arial"/>
        </w:rPr>
        <w:t>.</w:t>
      </w:r>
    </w:p>
    <w:p w14:paraId="7008A477" w14:textId="77777777" w:rsidR="007B3C57" w:rsidRPr="005C65A5" w:rsidRDefault="007B3C57">
      <w:pPr>
        <w:spacing w:line="259" w:lineRule="auto"/>
        <w:jc w:val="left"/>
        <w:rPr>
          <w:rFonts w:cs="Arial"/>
        </w:rPr>
      </w:pPr>
      <w:r w:rsidRPr="005C65A5">
        <w:rPr>
          <w:rFonts w:cs="Arial"/>
        </w:rPr>
        <w:br w:type="page"/>
      </w:r>
    </w:p>
    <w:p w14:paraId="1BEE178C" w14:textId="1D7A00FC" w:rsidR="00017BB4" w:rsidRPr="00DE3123" w:rsidRDefault="00DE3123" w:rsidP="00DE3123">
      <w:pPr>
        <w:pStyle w:val="Heading1"/>
        <w:jc w:val="center"/>
        <w:rPr>
          <w:rFonts w:cs="Arial"/>
          <w:szCs w:val="22"/>
        </w:rPr>
      </w:pPr>
      <w:bookmarkStart w:id="61" w:name="_Toc237366143"/>
      <w:bookmarkStart w:id="62" w:name="_Toc241175713"/>
      <w:r>
        <w:rPr>
          <w:rFonts w:cs="Arial"/>
          <w:szCs w:val="22"/>
        </w:rPr>
        <w:lastRenderedPageBreak/>
        <w:t>Chapter Three</w:t>
      </w:r>
      <w:r w:rsidR="00017BB4" w:rsidRPr="00DE3123">
        <w:rPr>
          <w:rFonts w:cs="Arial"/>
          <w:szCs w:val="22"/>
        </w:rPr>
        <w:t>: Methodology</w:t>
      </w:r>
      <w:bookmarkEnd w:id="61"/>
      <w:bookmarkEnd w:id="62"/>
    </w:p>
    <w:p w14:paraId="180A28A8" w14:textId="77777777" w:rsidR="00017BB4" w:rsidRPr="008D32D6" w:rsidRDefault="00017BB4" w:rsidP="00017BB4">
      <w:pPr>
        <w:pStyle w:val="Heading2"/>
        <w:rPr>
          <w:rFonts w:cs="Arial"/>
          <w:szCs w:val="22"/>
        </w:rPr>
      </w:pPr>
      <w:bookmarkStart w:id="63" w:name="_Toc237366144"/>
      <w:bookmarkStart w:id="64" w:name="_Toc241175714"/>
      <w:r w:rsidRPr="008D32D6">
        <w:rPr>
          <w:rFonts w:cs="Arial"/>
          <w:szCs w:val="22"/>
        </w:rPr>
        <w:t>3.1 Introduction</w:t>
      </w:r>
      <w:bookmarkEnd w:id="63"/>
      <w:bookmarkEnd w:id="64"/>
    </w:p>
    <w:p w14:paraId="58C683DB" w14:textId="77777777" w:rsidR="00017BB4" w:rsidRPr="005C65A5" w:rsidRDefault="00017BB4" w:rsidP="00017BB4">
      <w:pPr>
        <w:rPr>
          <w:rFonts w:cs="Arial"/>
        </w:rPr>
      </w:pPr>
      <w:r w:rsidRPr="008D32D6">
        <w:rPr>
          <w:rFonts w:cs="Arial"/>
        </w:rPr>
        <w:t>The methods employed to provide an answer to the review question “What are the main challenges and opportunities for the effectiveness of digital health technologies such as remote monitoring and mobile apps for older adults with chronic conditions in the United Kingdom?” are explained in this chapter. Presents the philosophical position, the design of the review, its sources of information, search strategy, inclusion criteria, screening, the procedure for critical appraisal, and the extraction and synthesis process. It is intended to be the goal to make the way from question to findings transparent and replicable. Reporting was organised by PRISMA</w:t>
      </w:r>
      <w:r w:rsidRPr="005C65A5">
        <w:rPr>
          <w:rFonts w:cs="Arial"/>
        </w:rPr>
        <w:t xml:space="preserve"> 2020, and the explanation and elaboration paper provided extra information to support decisions which would require greater explanation (Page et al., 2021a; Page et al., 2021b). Additionally, search reporting was compared to PRISMA-S (Rethlefsen et al., 2021). Four hundred records were identified during the consolidated search, and 14 studies were selected for analysis upon completion of the selection process.</w:t>
      </w:r>
    </w:p>
    <w:p w14:paraId="52BD45B2" w14:textId="00CA8B3D" w:rsidR="00017BB4" w:rsidRPr="008D32D6" w:rsidRDefault="00017BB4" w:rsidP="00017BB4">
      <w:pPr>
        <w:pStyle w:val="Heading2"/>
        <w:rPr>
          <w:rFonts w:cs="Arial"/>
          <w:szCs w:val="22"/>
        </w:rPr>
      </w:pPr>
      <w:bookmarkStart w:id="65" w:name="_Toc237366145"/>
      <w:bookmarkStart w:id="66" w:name="_Toc241175715"/>
      <w:r w:rsidRPr="008D32D6">
        <w:rPr>
          <w:rFonts w:cs="Arial"/>
          <w:szCs w:val="22"/>
        </w:rPr>
        <w:t xml:space="preserve">3.2 Research </w:t>
      </w:r>
      <w:r w:rsidR="004D54CE" w:rsidRPr="008D32D6">
        <w:rPr>
          <w:rFonts w:cs="Arial"/>
          <w:szCs w:val="22"/>
        </w:rPr>
        <w:t>Philosophy</w:t>
      </w:r>
      <w:r w:rsidRPr="008D32D6">
        <w:rPr>
          <w:rFonts w:cs="Arial"/>
          <w:szCs w:val="22"/>
        </w:rPr>
        <w:t xml:space="preserve"> and </w:t>
      </w:r>
      <w:r w:rsidR="004D54CE" w:rsidRPr="008D32D6">
        <w:rPr>
          <w:rFonts w:cs="Arial"/>
          <w:szCs w:val="22"/>
        </w:rPr>
        <w:t>Paradigm</w:t>
      </w:r>
      <w:bookmarkEnd w:id="65"/>
      <w:bookmarkEnd w:id="66"/>
    </w:p>
    <w:p w14:paraId="42278F09" w14:textId="77777777" w:rsidR="00017BB4" w:rsidRPr="005C65A5" w:rsidRDefault="00017BB4" w:rsidP="00017BB4">
      <w:pPr>
        <w:rPr>
          <w:rFonts w:cs="Arial"/>
        </w:rPr>
      </w:pPr>
      <w:r w:rsidRPr="005C65A5">
        <w:rPr>
          <w:rFonts w:cs="Arial"/>
        </w:rPr>
        <w:t>This review was conducted from an interpretativist (contextualist) perspective. Two philosophies are distinguished: positivism is based on an a priori assumption of objective reality that can be measured separately from its user, while interpretivism assumes that technologies are given meaning by people in their social context, their previous experience, and their relationship to services (Ryan, 2018). The review question is not limited to the magnitude of a clinical effect, but considers potential barriers and facilitators. Instead, the notion of confidence, trust, usability, family support, and professional contact and digital exclusion were considered as localised connotations, rather than as variables whose definitions could be assumed to be universal.</w:t>
      </w:r>
    </w:p>
    <w:p w14:paraId="02A73027" w14:textId="77777777" w:rsidR="00017BB4" w:rsidRPr="005C65A5" w:rsidRDefault="00017BB4" w:rsidP="00017BB4">
      <w:pPr>
        <w:rPr>
          <w:rFonts w:cs="Arial"/>
        </w:rPr>
      </w:pPr>
      <w:r w:rsidRPr="005C65A5">
        <w:rPr>
          <w:rFonts w:cs="Arial"/>
        </w:rPr>
        <w:t>An epistemology of contextualism was suitable because digital health experiences are influenced by a variety of factors within the UK healthcare system, including locality, socioeconomic resources, disability and chronic-disease burden. This position did not mean that all explanations were on an equal footing. Study methods, quotations of the participants and consistency across contexts were evaluated. The method, in turn, synthesised a systematic procedural discipline with an interpretative analysis. It additionally had a crucial awareness of unequal access and power: apparent ‘non-adoption’ may be because it is an inaccessible design or service organisation and not due to lack of willingness.</w:t>
      </w:r>
    </w:p>
    <w:p w14:paraId="62EF0083" w14:textId="607A8CA0" w:rsidR="00017BB4" w:rsidRPr="008D32D6" w:rsidRDefault="00017BB4" w:rsidP="00017BB4">
      <w:pPr>
        <w:pStyle w:val="Heading2"/>
        <w:rPr>
          <w:rFonts w:cs="Arial"/>
          <w:szCs w:val="22"/>
        </w:rPr>
      </w:pPr>
      <w:bookmarkStart w:id="67" w:name="_Toc237366146"/>
      <w:bookmarkStart w:id="68" w:name="_Toc241175716"/>
      <w:r w:rsidRPr="008D32D6">
        <w:rPr>
          <w:rFonts w:cs="Arial"/>
          <w:szCs w:val="22"/>
        </w:rPr>
        <w:lastRenderedPageBreak/>
        <w:t xml:space="preserve">3.3 Research </w:t>
      </w:r>
      <w:r w:rsidR="004D54CE">
        <w:rPr>
          <w:rFonts w:cs="Arial"/>
          <w:szCs w:val="22"/>
        </w:rPr>
        <w:t>Approach a</w:t>
      </w:r>
      <w:r w:rsidR="004D54CE" w:rsidRPr="008D32D6">
        <w:rPr>
          <w:rFonts w:cs="Arial"/>
          <w:szCs w:val="22"/>
        </w:rPr>
        <w:t>nd Strategy</w:t>
      </w:r>
      <w:bookmarkEnd w:id="67"/>
      <w:bookmarkEnd w:id="68"/>
    </w:p>
    <w:p w14:paraId="05F39237" w14:textId="77777777" w:rsidR="00017BB4" w:rsidRPr="005C65A5" w:rsidRDefault="00017BB4" w:rsidP="00017BB4">
      <w:pPr>
        <w:rPr>
          <w:rFonts w:cs="Arial"/>
        </w:rPr>
      </w:pPr>
      <w:r w:rsidRPr="005C65A5">
        <w:rPr>
          <w:rFonts w:cs="Arial"/>
        </w:rPr>
        <w:t>The following approach, the inductive qualitative evidence-synthesis strategy, was used. The analysis did not test a given causal structure, but instead ranged from what the primary studies reported, to a descriptive categorisation and then to higher-level causal explanations. This enabled the emergence of unexpected influences to be considered whilst maintaining a link to the data. Braun and Clarke (2021) argue that qualitative themes are not only found but also created by means of analysis and engagement, and therefore coding choices and theme development were recorded in a reflexive audit trail.</w:t>
      </w:r>
    </w:p>
    <w:p w14:paraId="6C3CEC51" w14:textId="77777777" w:rsidR="00017BB4" w:rsidRPr="005C65A5" w:rsidRDefault="00017BB4" w:rsidP="00017BB4">
      <w:pPr>
        <w:rPr>
          <w:rFonts w:cs="Arial"/>
        </w:rPr>
      </w:pPr>
      <w:r w:rsidRPr="005C65A5">
        <w:rPr>
          <w:rFonts w:cs="Arial"/>
        </w:rPr>
        <w:t>Since a focused question was asked, pre-specified eligibility criteria were applied, and a methodological quality appraisal and interpretive synthesis were conducted, a systematic review was presumed to be most appropriate. However, if the focus is not appraisal or a focused synthesis, but rather scoping to map out the breadth of an emerging field, then scoping reviews are more appropriate (Munn et al., 2018). The approach used was based on the methodology recommended by the Cochrane Handbook (Higgins et al., 2024), the JBI Manual (Aromataris et al., 2024) and best-practice literature on methodological approaches to evidence synthesis (Siddaway et al., 2019).</w:t>
      </w:r>
    </w:p>
    <w:p w14:paraId="7842E34C" w14:textId="6FE42942" w:rsidR="00017BB4" w:rsidRPr="008D32D6" w:rsidRDefault="00017BB4" w:rsidP="00017BB4">
      <w:pPr>
        <w:pStyle w:val="Heading2"/>
        <w:rPr>
          <w:rFonts w:cs="Arial"/>
          <w:szCs w:val="22"/>
        </w:rPr>
      </w:pPr>
      <w:bookmarkStart w:id="69" w:name="_Toc237366147"/>
      <w:bookmarkStart w:id="70" w:name="_Toc241175717"/>
      <w:r w:rsidRPr="008D32D6">
        <w:rPr>
          <w:rFonts w:cs="Arial"/>
          <w:szCs w:val="22"/>
        </w:rPr>
        <w:t xml:space="preserve">3.4 Systematic </w:t>
      </w:r>
      <w:r w:rsidR="004D54CE" w:rsidRPr="008D32D6">
        <w:rPr>
          <w:rFonts w:cs="Arial"/>
          <w:szCs w:val="22"/>
        </w:rPr>
        <w:t>Review Design</w:t>
      </w:r>
      <w:bookmarkEnd w:id="69"/>
      <w:bookmarkEnd w:id="70"/>
    </w:p>
    <w:p w14:paraId="3916CED3" w14:textId="77777777" w:rsidR="00017BB4" w:rsidRPr="005C65A5" w:rsidRDefault="00017BB4" w:rsidP="00017BB4">
      <w:pPr>
        <w:rPr>
          <w:rFonts w:cs="Arial"/>
        </w:rPr>
      </w:pPr>
      <w:r w:rsidRPr="005C65A5">
        <w:rPr>
          <w:rFonts w:cs="Arial"/>
        </w:rPr>
        <w:t>The design was a systematic review of qualitative and mixed methods studies that included extractable qualitative findings. It was appropriate since barriers and facilitators are spread throughout disease, technology and setting. A structured synthesis can uncover common mechanisms without taking a single platform or disease as a proxy. This review did not involve a meta-analysis. Interview, focus-group and observational accounts would not be suitable for statistical pooling, and a key result was an understanding of why and how engagement is different.</w:t>
      </w:r>
    </w:p>
    <w:p w14:paraId="3B094401" w14:textId="4862E864" w:rsidR="00017BB4" w:rsidRPr="005C65A5" w:rsidRDefault="00017BB4" w:rsidP="00017BB4">
      <w:pPr>
        <w:rPr>
          <w:rFonts w:cs="Arial"/>
        </w:rPr>
      </w:pPr>
      <w:r w:rsidRPr="005C65A5">
        <w:rPr>
          <w:rFonts w:cs="Arial"/>
        </w:rPr>
        <w:t xml:space="preserve">Prior to final screening, the protocol included the question, the databases, dates included, </w:t>
      </w:r>
      <w:r w:rsidR="00803EDC" w:rsidRPr="005C65A5">
        <w:rPr>
          <w:rFonts w:cs="Arial"/>
        </w:rPr>
        <w:t>and restrictions</w:t>
      </w:r>
      <w:r w:rsidRPr="005C65A5">
        <w:rPr>
          <w:rFonts w:cs="Arial"/>
        </w:rPr>
        <w:t xml:space="preserve"> for the English language, the eligibility criteria, CASP appraisal and thematic synthesis. Wherever an improvement to the design was made, like adding a synonym or making a boundary more explicit, a rationale for the change was written down. This distinction between planned methods and documented amendments minimises selective decision-making. PRISMA was not used to ensure methodological quality; the quality of the methodology was dependent on faithfulness in its application and an audit trail (Page et al., 2021b).</w:t>
      </w:r>
    </w:p>
    <w:p w14:paraId="6D829B8C" w14:textId="60DB1B04" w:rsidR="00017BB4" w:rsidRPr="008D32D6" w:rsidRDefault="004D54CE" w:rsidP="00017BB4">
      <w:pPr>
        <w:pStyle w:val="Heading2"/>
        <w:rPr>
          <w:rFonts w:cs="Arial"/>
          <w:szCs w:val="22"/>
        </w:rPr>
      </w:pPr>
      <w:bookmarkStart w:id="71" w:name="_Toc237366148"/>
      <w:bookmarkStart w:id="72" w:name="_Toc241175718"/>
      <w:r>
        <w:rPr>
          <w:rFonts w:cs="Arial"/>
          <w:szCs w:val="22"/>
        </w:rPr>
        <w:lastRenderedPageBreak/>
        <w:t>3.5 Ethical C</w:t>
      </w:r>
      <w:r w:rsidR="00017BB4" w:rsidRPr="008D32D6">
        <w:rPr>
          <w:rFonts w:cs="Arial"/>
          <w:szCs w:val="22"/>
        </w:rPr>
        <w:t>onsiderations</w:t>
      </w:r>
      <w:bookmarkEnd w:id="71"/>
      <w:bookmarkEnd w:id="72"/>
    </w:p>
    <w:p w14:paraId="46964B1C" w14:textId="77777777" w:rsidR="00017BB4" w:rsidRPr="005C65A5" w:rsidRDefault="00017BB4" w:rsidP="00017BB4">
      <w:pPr>
        <w:rPr>
          <w:rFonts w:cs="Arial"/>
        </w:rPr>
      </w:pPr>
      <w:r w:rsidRPr="005C65A5">
        <w:rPr>
          <w:rFonts w:cs="Arial"/>
        </w:rPr>
        <w:t>This review was conducted and included no recruitment, intervention, consent process, or access to identifiable patient data. Primary data collection/collection risks were therefore avoided. However, there are ethical considerations when using secondary research: sources must be fairly representative; the limitations of the secondary research must be reported; and conclusions made about older adults should not be deficit-based. An institutional ethics form was completed to record the secondary research status and to verify if formal approval/exemption was needed prior to submission.</w:t>
      </w:r>
    </w:p>
    <w:p w14:paraId="0ECC57C1" w14:textId="77777777" w:rsidR="00017BB4" w:rsidRPr="005C65A5" w:rsidRDefault="00017BB4" w:rsidP="00017BB4">
      <w:pPr>
        <w:rPr>
          <w:rFonts w:cs="Arial"/>
        </w:rPr>
      </w:pPr>
      <w:r w:rsidRPr="005C65A5">
        <w:rPr>
          <w:rFonts w:cs="Arial"/>
        </w:rPr>
        <w:t>The work was undertaken on the principles of reliability, honesty, respect and accountability in the European Code of Conduct for Research Integrity (ALLEA, 2023) and the UK Research Integrity Office's current Code of Practice for Research (UKRIO, 2025). The method involved accurate citation of the material and proper storage of the extraction workbook, publicly announced eligibility determinations and the retention of findings with conflicting interpretations. Avoid re-identification and merging of participants' quotes with other information. In other respects, publications have been paraphrased with only a short quotation for analytical purposes if one was required, and each has been tied to the original study it has been paraphrased from.</w:t>
      </w:r>
    </w:p>
    <w:p w14:paraId="504F2DC7" w14:textId="63067208" w:rsidR="00017BB4" w:rsidRPr="008D32D6" w:rsidRDefault="004D54CE" w:rsidP="00017BB4">
      <w:pPr>
        <w:pStyle w:val="Heading2"/>
        <w:rPr>
          <w:rFonts w:cs="Arial"/>
          <w:szCs w:val="22"/>
        </w:rPr>
      </w:pPr>
      <w:bookmarkStart w:id="73" w:name="_Toc237366149"/>
      <w:bookmarkStart w:id="74" w:name="_Toc241175719"/>
      <w:r>
        <w:rPr>
          <w:rFonts w:cs="Arial"/>
          <w:szCs w:val="22"/>
        </w:rPr>
        <w:t>3.6 Data C</w:t>
      </w:r>
      <w:r w:rsidR="00017BB4" w:rsidRPr="008D32D6">
        <w:rPr>
          <w:rFonts w:cs="Arial"/>
          <w:szCs w:val="22"/>
        </w:rPr>
        <w:t>ollection</w:t>
      </w:r>
      <w:bookmarkEnd w:id="73"/>
      <w:bookmarkEnd w:id="74"/>
    </w:p>
    <w:p w14:paraId="089BFAA5" w14:textId="77777777" w:rsidR="00017BB4" w:rsidRPr="005C65A5" w:rsidRDefault="00017BB4" w:rsidP="00017BB4">
      <w:pPr>
        <w:rPr>
          <w:rFonts w:cs="Arial"/>
        </w:rPr>
      </w:pPr>
      <w:r w:rsidRPr="005C65A5">
        <w:rPr>
          <w:rFonts w:cs="Arial"/>
        </w:rPr>
        <w:t>Data collection was systematic literature searching and extracting from eligible full texts. The process was based on a pre-specified conceptual framework, reproducible database queries, additional searching and a structured extraction form.</w:t>
      </w:r>
    </w:p>
    <w:p w14:paraId="62EB4D21" w14:textId="186B4629" w:rsidR="00017BB4" w:rsidRPr="004C6509" w:rsidRDefault="008D32D6" w:rsidP="00017BB4">
      <w:pPr>
        <w:pStyle w:val="Heading3"/>
        <w:rPr>
          <w:rFonts w:cs="Arial"/>
          <w:sz w:val="24"/>
          <w:szCs w:val="22"/>
        </w:rPr>
      </w:pPr>
      <w:bookmarkStart w:id="75" w:name="_Toc237366150"/>
      <w:bookmarkStart w:id="76" w:name="_Toc241175720"/>
      <w:r w:rsidRPr="004C6509">
        <w:rPr>
          <w:rFonts w:cs="Arial"/>
          <w:sz w:val="24"/>
          <w:szCs w:val="22"/>
        </w:rPr>
        <w:t>3.6.1 Question F</w:t>
      </w:r>
      <w:r w:rsidR="00017BB4" w:rsidRPr="004C6509">
        <w:rPr>
          <w:rFonts w:cs="Arial"/>
          <w:sz w:val="24"/>
          <w:szCs w:val="22"/>
        </w:rPr>
        <w:t>ramework: SPIDER</w:t>
      </w:r>
      <w:bookmarkEnd w:id="75"/>
      <w:bookmarkEnd w:id="76"/>
    </w:p>
    <w:p w14:paraId="77FAC5E0" w14:textId="4468AF75" w:rsidR="00017BB4" w:rsidRDefault="00017BB4" w:rsidP="00017BB4">
      <w:pPr>
        <w:rPr>
          <w:rFonts w:cs="Arial"/>
        </w:rPr>
      </w:pPr>
      <w:r w:rsidRPr="005C65A5">
        <w:rPr>
          <w:rFonts w:cs="Arial"/>
        </w:rPr>
        <w:t>The SPIDER framework Sample, Phenomenon of Interest, Design, Evaluation and Research type was chosen because it is applicable to qualitative and mixed-method evidence (Cooke et al., 2012). SPIDER is more specific than PICO for qualitative questions and can also be more sensitive than PICO if used flexibly, meaning that every SPS is used.</w:t>
      </w:r>
      <w:r w:rsidR="00E87133" w:rsidRPr="005C65A5">
        <w:rPr>
          <w:rFonts w:cs="Arial"/>
        </w:rPr>
        <w:t xml:space="preserve"> </w:t>
      </w:r>
      <w:r w:rsidRPr="005C65A5">
        <w:rPr>
          <w:rFonts w:cs="Arial"/>
        </w:rPr>
        <w:t>SPIDER may be more specific than PICO for qualitative questions, but may also be more sensitive than PICO if all of the elements of the SPS are used (Methley et al., 2014). It, therefore, influenced both search concepts and eligibility decisions, and broad synonyms were included and age eligibility was ascertained in the screening process instead of ascribing to indexing. Table 3.1 translates the question.</w:t>
      </w:r>
      <w:r w:rsidR="004C6509">
        <w:rPr>
          <w:rFonts w:cs="Arial"/>
        </w:rPr>
        <w:t xml:space="preserve"> </w:t>
      </w:r>
    </w:p>
    <w:p w14:paraId="7F1FFEC8" w14:textId="77777777" w:rsidR="004C6509" w:rsidRPr="005C65A5" w:rsidRDefault="004C6509" w:rsidP="00017BB4">
      <w:pPr>
        <w:rPr>
          <w:rFonts w:cs="Arial"/>
        </w:rPr>
      </w:pPr>
    </w:p>
    <w:p w14:paraId="6A8608E0" w14:textId="357C5D37" w:rsidR="00017BB4" w:rsidRPr="005C65A5" w:rsidRDefault="00017BB4" w:rsidP="00017BB4">
      <w:pPr>
        <w:rPr>
          <w:rFonts w:cs="Arial"/>
        </w:rPr>
      </w:pPr>
      <w:r w:rsidRPr="005C65A5">
        <w:rPr>
          <w:rFonts w:cs="Arial"/>
        </w:rPr>
        <w:lastRenderedPageBreak/>
        <w:t>Table 3.1. SPIDER framework and operational definitions</w:t>
      </w:r>
      <w:r w:rsidR="004D54CE">
        <w:rPr>
          <w:rFonts w:cs="Arial"/>
        </w:rPr>
        <w:t xml:space="preserve"> </w:t>
      </w:r>
    </w:p>
    <w:tbl>
      <w:tblPr>
        <w:tblStyle w:val="TableGrid"/>
        <w:tblW w:w="0" w:type="auto"/>
        <w:tblLayout w:type="fixed"/>
        <w:tblLook w:val="04A0" w:firstRow="1" w:lastRow="0" w:firstColumn="1" w:lastColumn="0" w:noHBand="0" w:noVBand="1"/>
      </w:tblPr>
      <w:tblGrid>
        <w:gridCol w:w="1531"/>
        <w:gridCol w:w="3402"/>
        <w:gridCol w:w="3969"/>
      </w:tblGrid>
      <w:tr w:rsidR="00017BB4" w:rsidRPr="004C6509" w14:paraId="2ABF8609" w14:textId="77777777" w:rsidTr="00E87133">
        <w:tc>
          <w:tcPr>
            <w:tcW w:w="1531" w:type="dxa"/>
          </w:tcPr>
          <w:p w14:paraId="330F65CC" w14:textId="77777777" w:rsidR="00017BB4" w:rsidRPr="004C6509" w:rsidRDefault="00017BB4" w:rsidP="00627683">
            <w:pPr>
              <w:rPr>
                <w:rFonts w:cs="Arial"/>
                <w:color w:val="000000" w:themeColor="text1"/>
                <w:sz w:val="20"/>
              </w:rPr>
            </w:pPr>
            <w:r w:rsidRPr="004C6509">
              <w:rPr>
                <w:rFonts w:cs="Arial"/>
                <w:b/>
                <w:color w:val="000000" w:themeColor="text1"/>
                <w:sz w:val="20"/>
              </w:rPr>
              <w:t>SPIDER element</w:t>
            </w:r>
          </w:p>
        </w:tc>
        <w:tc>
          <w:tcPr>
            <w:tcW w:w="3402" w:type="dxa"/>
          </w:tcPr>
          <w:p w14:paraId="70C11694" w14:textId="77777777" w:rsidR="00017BB4" w:rsidRPr="004C6509" w:rsidRDefault="00017BB4" w:rsidP="00627683">
            <w:pPr>
              <w:rPr>
                <w:rFonts w:cs="Arial"/>
                <w:color w:val="000000" w:themeColor="text1"/>
                <w:sz w:val="20"/>
              </w:rPr>
            </w:pPr>
            <w:r w:rsidRPr="004C6509">
              <w:rPr>
                <w:rFonts w:cs="Arial"/>
                <w:b/>
                <w:color w:val="000000" w:themeColor="text1"/>
                <w:sz w:val="20"/>
              </w:rPr>
              <w:t>Review specification</w:t>
            </w:r>
          </w:p>
        </w:tc>
        <w:tc>
          <w:tcPr>
            <w:tcW w:w="3969" w:type="dxa"/>
          </w:tcPr>
          <w:p w14:paraId="3A8C12F1" w14:textId="77777777" w:rsidR="00017BB4" w:rsidRPr="004C6509" w:rsidRDefault="00017BB4" w:rsidP="00627683">
            <w:pPr>
              <w:rPr>
                <w:rFonts w:cs="Arial"/>
                <w:color w:val="000000" w:themeColor="text1"/>
                <w:sz w:val="20"/>
              </w:rPr>
            </w:pPr>
            <w:r w:rsidRPr="004C6509">
              <w:rPr>
                <w:rFonts w:cs="Arial"/>
                <w:b/>
                <w:color w:val="000000" w:themeColor="text1"/>
                <w:sz w:val="20"/>
              </w:rPr>
              <w:t>Operational application</w:t>
            </w:r>
          </w:p>
        </w:tc>
      </w:tr>
      <w:tr w:rsidR="00017BB4" w:rsidRPr="004C6509" w14:paraId="6D30565D" w14:textId="77777777" w:rsidTr="00E87133">
        <w:tc>
          <w:tcPr>
            <w:tcW w:w="1531" w:type="dxa"/>
          </w:tcPr>
          <w:p w14:paraId="1085E2FC" w14:textId="77777777" w:rsidR="00017BB4" w:rsidRPr="004C6509" w:rsidRDefault="00017BB4" w:rsidP="00627683">
            <w:pPr>
              <w:rPr>
                <w:rFonts w:cs="Arial"/>
                <w:sz w:val="20"/>
              </w:rPr>
            </w:pPr>
            <w:r w:rsidRPr="004C6509">
              <w:rPr>
                <w:rFonts w:cs="Arial"/>
                <w:sz w:val="20"/>
              </w:rPr>
              <w:t>Sample</w:t>
            </w:r>
          </w:p>
        </w:tc>
        <w:tc>
          <w:tcPr>
            <w:tcW w:w="3402" w:type="dxa"/>
          </w:tcPr>
          <w:p w14:paraId="7B619D9B" w14:textId="77777777" w:rsidR="00017BB4" w:rsidRPr="004C6509" w:rsidRDefault="00017BB4" w:rsidP="00627683">
            <w:pPr>
              <w:rPr>
                <w:rFonts w:cs="Arial"/>
                <w:sz w:val="20"/>
              </w:rPr>
            </w:pPr>
            <w:r w:rsidRPr="004C6509">
              <w:rPr>
                <w:rFonts w:cs="Arial"/>
                <w:sz w:val="20"/>
              </w:rPr>
              <w:t>Adults aged 60 years or older in the UK with one or more chronic conditions or multimorbidity.</w:t>
            </w:r>
          </w:p>
        </w:tc>
        <w:tc>
          <w:tcPr>
            <w:tcW w:w="3969" w:type="dxa"/>
          </w:tcPr>
          <w:p w14:paraId="6AE84F1F" w14:textId="77777777" w:rsidR="00017BB4" w:rsidRPr="004C6509" w:rsidRDefault="00017BB4" w:rsidP="00627683">
            <w:pPr>
              <w:rPr>
                <w:rFonts w:cs="Arial"/>
                <w:sz w:val="20"/>
              </w:rPr>
            </w:pPr>
            <w:r w:rsidRPr="004C6509">
              <w:rPr>
                <w:rFonts w:cs="Arial"/>
                <w:sz w:val="20"/>
              </w:rPr>
              <w:t>Age and UK relevance confirmed at screening; mixed-age studies required extractable older-adult findings.</w:t>
            </w:r>
          </w:p>
        </w:tc>
      </w:tr>
      <w:tr w:rsidR="00017BB4" w:rsidRPr="004C6509" w14:paraId="62C2747B" w14:textId="77777777" w:rsidTr="00E87133">
        <w:tc>
          <w:tcPr>
            <w:tcW w:w="1531" w:type="dxa"/>
          </w:tcPr>
          <w:p w14:paraId="726E2298" w14:textId="77777777" w:rsidR="00017BB4" w:rsidRPr="004C6509" w:rsidRDefault="00017BB4" w:rsidP="00627683">
            <w:pPr>
              <w:rPr>
                <w:rFonts w:cs="Arial"/>
                <w:sz w:val="20"/>
              </w:rPr>
            </w:pPr>
            <w:r w:rsidRPr="004C6509">
              <w:rPr>
                <w:rFonts w:cs="Arial"/>
                <w:sz w:val="20"/>
              </w:rPr>
              <w:t>Phenomenon of interest</w:t>
            </w:r>
          </w:p>
        </w:tc>
        <w:tc>
          <w:tcPr>
            <w:tcW w:w="3402" w:type="dxa"/>
          </w:tcPr>
          <w:p w14:paraId="06322851" w14:textId="77777777" w:rsidR="00017BB4" w:rsidRPr="004C6509" w:rsidRDefault="00017BB4" w:rsidP="00627683">
            <w:pPr>
              <w:rPr>
                <w:rFonts w:cs="Arial"/>
                <w:sz w:val="20"/>
              </w:rPr>
            </w:pPr>
            <w:r w:rsidRPr="004C6509">
              <w:rPr>
                <w:rFonts w:cs="Arial"/>
                <w:sz w:val="20"/>
              </w:rPr>
              <w:t>Use, non-use or experience of digital health for chronic-disease management or access.</w:t>
            </w:r>
          </w:p>
        </w:tc>
        <w:tc>
          <w:tcPr>
            <w:tcW w:w="3969" w:type="dxa"/>
          </w:tcPr>
          <w:p w14:paraId="4D417215" w14:textId="77777777" w:rsidR="00017BB4" w:rsidRPr="004C6509" w:rsidRDefault="00017BB4" w:rsidP="00627683">
            <w:pPr>
              <w:rPr>
                <w:rFonts w:cs="Arial"/>
                <w:sz w:val="20"/>
              </w:rPr>
            </w:pPr>
            <w:r w:rsidRPr="004C6509">
              <w:rPr>
                <w:rFonts w:cs="Arial"/>
                <w:sz w:val="20"/>
              </w:rPr>
              <w:t>Telehealth, telemedicine, remote monitoring, mHealth/apps, portals, wearables and online/video consultations.</w:t>
            </w:r>
          </w:p>
        </w:tc>
      </w:tr>
      <w:tr w:rsidR="00017BB4" w:rsidRPr="004C6509" w14:paraId="72D75CE8" w14:textId="77777777" w:rsidTr="00E87133">
        <w:tc>
          <w:tcPr>
            <w:tcW w:w="1531" w:type="dxa"/>
          </w:tcPr>
          <w:p w14:paraId="58FB7F41" w14:textId="77777777" w:rsidR="00017BB4" w:rsidRPr="004C6509" w:rsidRDefault="00017BB4" w:rsidP="00627683">
            <w:pPr>
              <w:rPr>
                <w:rFonts w:cs="Arial"/>
                <w:sz w:val="20"/>
              </w:rPr>
            </w:pPr>
            <w:r w:rsidRPr="004C6509">
              <w:rPr>
                <w:rFonts w:cs="Arial"/>
                <w:sz w:val="20"/>
              </w:rPr>
              <w:t>Design</w:t>
            </w:r>
          </w:p>
        </w:tc>
        <w:tc>
          <w:tcPr>
            <w:tcW w:w="3402" w:type="dxa"/>
          </w:tcPr>
          <w:p w14:paraId="434DC205" w14:textId="77777777" w:rsidR="00017BB4" w:rsidRPr="004C6509" w:rsidRDefault="00017BB4" w:rsidP="00627683">
            <w:pPr>
              <w:rPr>
                <w:rFonts w:cs="Arial"/>
                <w:sz w:val="20"/>
              </w:rPr>
            </w:pPr>
            <w:r w:rsidRPr="004C6509">
              <w:rPr>
                <w:rFonts w:cs="Arial"/>
                <w:sz w:val="20"/>
              </w:rPr>
              <w:t>Qualitative designs and qualitative components of mixed-methods studies.</w:t>
            </w:r>
          </w:p>
        </w:tc>
        <w:tc>
          <w:tcPr>
            <w:tcW w:w="3969" w:type="dxa"/>
          </w:tcPr>
          <w:p w14:paraId="191918C1" w14:textId="77777777" w:rsidR="00017BB4" w:rsidRPr="004C6509" w:rsidRDefault="00017BB4" w:rsidP="00627683">
            <w:pPr>
              <w:rPr>
                <w:rFonts w:cs="Arial"/>
                <w:sz w:val="20"/>
              </w:rPr>
            </w:pPr>
            <w:r w:rsidRPr="004C6509">
              <w:rPr>
                <w:rFonts w:cs="Arial"/>
                <w:sz w:val="20"/>
              </w:rPr>
              <w:t>Interviews, focus groups, observations, diaries, open-text data or other analysable qualitative evidence.</w:t>
            </w:r>
          </w:p>
        </w:tc>
      </w:tr>
      <w:tr w:rsidR="00017BB4" w:rsidRPr="004C6509" w14:paraId="31A2B711" w14:textId="77777777" w:rsidTr="00E87133">
        <w:tc>
          <w:tcPr>
            <w:tcW w:w="1531" w:type="dxa"/>
          </w:tcPr>
          <w:p w14:paraId="4B142458" w14:textId="77777777" w:rsidR="00017BB4" w:rsidRPr="004C6509" w:rsidRDefault="00017BB4" w:rsidP="00627683">
            <w:pPr>
              <w:rPr>
                <w:rFonts w:cs="Arial"/>
                <w:sz w:val="20"/>
              </w:rPr>
            </w:pPr>
            <w:r w:rsidRPr="004C6509">
              <w:rPr>
                <w:rFonts w:cs="Arial"/>
                <w:sz w:val="20"/>
              </w:rPr>
              <w:t>Evaluation</w:t>
            </w:r>
          </w:p>
        </w:tc>
        <w:tc>
          <w:tcPr>
            <w:tcW w:w="3402" w:type="dxa"/>
          </w:tcPr>
          <w:p w14:paraId="5EC32BBE" w14:textId="77777777" w:rsidR="00017BB4" w:rsidRPr="004C6509" w:rsidRDefault="00017BB4" w:rsidP="00627683">
            <w:pPr>
              <w:rPr>
                <w:rFonts w:cs="Arial"/>
                <w:sz w:val="20"/>
              </w:rPr>
            </w:pPr>
            <w:r w:rsidRPr="004C6509">
              <w:rPr>
                <w:rFonts w:cs="Arial"/>
                <w:sz w:val="20"/>
              </w:rPr>
              <w:t>Barriers, facilitators, usability, acceptability, engagement, adherence, trust, support and perceived outcomes.</w:t>
            </w:r>
          </w:p>
        </w:tc>
        <w:tc>
          <w:tcPr>
            <w:tcW w:w="3969" w:type="dxa"/>
          </w:tcPr>
          <w:p w14:paraId="007207D2" w14:textId="77777777" w:rsidR="00017BB4" w:rsidRPr="004C6509" w:rsidRDefault="00017BB4" w:rsidP="00627683">
            <w:pPr>
              <w:rPr>
                <w:rFonts w:cs="Arial"/>
                <w:sz w:val="20"/>
              </w:rPr>
            </w:pPr>
            <w:r w:rsidRPr="004C6509">
              <w:rPr>
                <w:rFonts w:cs="Arial"/>
                <w:sz w:val="20"/>
              </w:rPr>
              <w:t>Both positive and negative experiences; no minimum effect-size requirement.</w:t>
            </w:r>
          </w:p>
        </w:tc>
      </w:tr>
      <w:tr w:rsidR="00017BB4" w:rsidRPr="004C6509" w14:paraId="71F1AC57" w14:textId="77777777" w:rsidTr="00E87133">
        <w:tc>
          <w:tcPr>
            <w:tcW w:w="1531" w:type="dxa"/>
          </w:tcPr>
          <w:p w14:paraId="4A55CE5C" w14:textId="77777777" w:rsidR="00017BB4" w:rsidRPr="004C6509" w:rsidRDefault="00017BB4" w:rsidP="00627683">
            <w:pPr>
              <w:rPr>
                <w:rFonts w:cs="Arial"/>
                <w:sz w:val="20"/>
              </w:rPr>
            </w:pPr>
            <w:r w:rsidRPr="004C6509">
              <w:rPr>
                <w:rFonts w:cs="Arial"/>
                <w:sz w:val="20"/>
              </w:rPr>
              <w:t>Research type</w:t>
            </w:r>
          </w:p>
        </w:tc>
        <w:tc>
          <w:tcPr>
            <w:tcW w:w="3402" w:type="dxa"/>
          </w:tcPr>
          <w:p w14:paraId="58DA73D4" w14:textId="77777777" w:rsidR="00017BB4" w:rsidRPr="004C6509" w:rsidRDefault="00017BB4" w:rsidP="00627683">
            <w:pPr>
              <w:rPr>
                <w:rFonts w:cs="Arial"/>
                <w:sz w:val="20"/>
              </w:rPr>
            </w:pPr>
            <w:r w:rsidRPr="004C6509">
              <w:rPr>
                <w:rFonts w:cs="Arial"/>
                <w:sz w:val="20"/>
              </w:rPr>
              <w:t>Peer-reviewed qualitative or mixed-methods primary research.</w:t>
            </w:r>
          </w:p>
        </w:tc>
        <w:tc>
          <w:tcPr>
            <w:tcW w:w="3969" w:type="dxa"/>
          </w:tcPr>
          <w:p w14:paraId="4F9A6A6D" w14:textId="77777777" w:rsidR="00017BB4" w:rsidRPr="004C6509" w:rsidRDefault="00017BB4" w:rsidP="00627683">
            <w:pPr>
              <w:rPr>
                <w:rFonts w:cs="Arial"/>
                <w:sz w:val="20"/>
              </w:rPr>
            </w:pPr>
            <w:r w:rsidRPr="004C6509">
              <w:rPr>
                <w:rFonts w:cs="Arial"/>
                <w:sz w:val="20"/>
              </w:rPr>
              <w:t>English language; published 2015–2025; UK data.</w:t>
            </w:r>
          </w:p>
        </w:tc>
      </w:tr>
    </w:tbl>
    <w:p w14:paraId="5F6D7027" w14:textId="77777777" w:rsidR="00017BB4" w:rsidRPr="005C65A5" w:rsidRDefault="00017BB4" w:rsidP="00017BB4">
      <w:pPr>
        <w:spacing w:after="0"/>
        <w:rPr>
          <w:rFonts w:cs="Arial"/>
        </w:rPr>
      </w:pPr>
    </w:p>
    <w:p w14:paraId="04746D66" w14:textId="5E2268D6" w:rsidR="00017BB4" w:rsidRPr="00A83C18" w:rsidRDefault="00017BB4" w:rsidP="00017BB4">
      <w:pPr>
        <w:pStyle w:val="Heading3"/>
        <w:rPr>
          <w:rFonts w:cs="Arial"/>
          <w:sz w:val="24"/>
          <w:szCs w:val="22"/>
        </w:rPr>
      </w:pPr>
      <w:bookmarkStart w:id="77" w:name="_Toc237366151"/>
      <w:bookmarkStart w:id="78" w:name="_Toc241175721"/>
      <w:r w:rsidRPr="00A83C18">
        <w:rPr>
          <w:rFonts w:cs="Arial"/>
          <w:sz w:val="24"/>
          <w:szCs w:val="22"/>
        </w:rPr>
        <w:t xml:space="preserve">3.6.2 Information </w:t>
      </w:r>
      <w:r w:rsidR="00F05ADD" w:rsidRPr="00A83C18">
        <w:rPr>
          <w:rFonts w:cs="Arial"/>
          <w:sz w:val="24"/>
          <w:szCs w:val="22"/>
        </w:rPr>
        <w:t>Sources</w:t>
      </w:r>
      <w:r w:rsidRPr="00A83C18">
        <w:rPr>
          <w:rFonts w:cs="Arial"/>
          <w:sz w:val="24"/>
          <w:szCs w:val="22"/>
        </w:rPr>
        <w:t xml:space="preserve"> and </w:t>
      </w:r>
      <w:r w:rsidR="00F05ADD" w:rsidRPr="00A83C18">
        <w:rPr>
          <w:rFonts w:cs="Arial"/>
          <w:sz w:val="24"/>
          <w:szCs w:val="22"/>
        </w:rPr>
        <w:t>Search Strategy</w:t>
      </w:r>
      <w:bookmarkEnd w:id="77"/>
      <w:bookmarkEnd w:id="78"/>
    </w:p>
    <w:p w14:paraId="0195A4BF" w14:textId="77777777" w:rsidR="00017BB4" w:rsidRPr="005C65A5" w:rsidRDefault="00017BB4" w:rsidP="00017BB4">
      <w:pPr>
        <w:rPr>
          <w:rFonts w:cs="Arial"/>
        </w:rPr>
      </w:pPr>
      <w:r w:rsidRPr="005C65A5">
        <w:rPr>
          <w:rFonts w:cs="Arial"/>
        </w:rPr>
        <w:t>Five databases - MEDLINE, PubMed, CINAHL, PsycINFO and Web of Science - were accessed. They address in their discussion clinical medicine; nursing and allied health; psychology; and social experience and multidisciplinary research. MEDLINE and PubMed overlap, but both were kept, as the coverage and indexing of platforms differ and were handled after export. Database selection was based on evidence that search systems differ significantly in how many and how well they cover and retrieve information (Gusenbauer and Haddaway, 2020).</w:t>
      </w:r>
    </w:p>
    <w:p w14:paraId="64DDD9D3" w14:textId="77777777" w:rsidR="00017BB4" w:rsidRPr="005C65A5" w:rsidRDefault="00017BB4" w:rsidP="00017BB4">
      <w:pPr>
        <w:rPr>
          <w:rFonts w:cs="Arial"/>
        </w:rPr>
      </w:pPr>
      <w:r w:rsidRPr="005C65A5">
        <w:rPr>
          <w:rFonts w:cs="Arial"/>
        </w:rPr>
        <w:t xml:space="preserve">Search terms were organised into five concepts: older adults; digital health; chronic conditions; barriers or facilitators; and UK setting. Title and abstract keywords were added to the controlled vocabulary, such as MeSH and database-specific subject headings. Word variants were included in the truncation; concepts were included in the phrase search with terms like "remote patient monitoring". A PubMed structure that was used was: (aged OR older adult* OR elderly OR senior*) AND (digital health OR telehealth OR telemedicine OR mHealth OR remote patient monitoring OR wearable* OR patient portal*) AND (chronic disease* OR long-term condition* OR multimorbid*) AND (barrier* OR facilitator* OR experience* OR perception* OR usability OR adherence OR engagement) AND (United Kingdom OR UK OR England </w:t>
      </w:r>
      <w:r w:rsidRPr="005C65A5">
        <w:rPr>
          <w:rFonts w:cs="Arial"/>
        </w:rPr>
        <w:lastRenderedPageBreak/>
        <w:t>OR Scotland OR Wales OR Northern Ireland). All the terms were translated for each database but not copied directly.</w:t>
      </w:r>
    </w:p>
    <w:p w14:paraId="2DFA5476" w14:textId="77777777" w:rsidR="00017BB4" w:rsidRPr="005C65A5" w:rsidRDefault="00017BB4" w:rsidP="00017BB4">
      <w:pPr>
        <w:rPr>
          <w:rFonts w:cs="Arial"/>
        </w:rPr>
      </w:pPr>
      <w:r w:rsidRPr="005C65A5">
        <w:rPr>
          <w:rFonts w:cs="Arial"/>
        </w:rPr>
        <w:t>The strategy was built up in an iterative fashion, with testing to see whether retrieved papers were known to be relevant, and from the papers that were retrieved, by reading index terms and noting each relevant line a second time. Bramer et al. (2018) suggest a multi-database, structured process; and the PRESS guideline suggests a process of checking Boolean logic, subject headings, spelling, limits and syntax (McGowan et al., 2016). The completed strategies were, therefore, assessed for PRESS elements and reported by applying PRISMA-S, with limits being English language, peer-reviewed publication, UK data and publication years 2015–2025. An artificial or random date was not used as a search cut-off, but the common date was used, which was 10 August 2026.</w:t>
      </w:r>
    </w:p>
    <w:p w14:paraId="77870BE1" w14:textId="4297F9ED" w:rsidR="00017BB4" w:rsidRPr="005C65A5" w:rsidRDefault="00017BB4" w:rsidP="00017BB4">
      <w:pPr>
        <w:rPr>
          <w:rFonts w:cs="Arial"/>
          <w:b/>
          <w:bCs/>
        </w:rPr>
      </w:pPr>
      <w:r w:rsidRPr="005C65A5">
        <w:rPr>
          <w:rFonts w:cs="Arial"/>
        </w:rPr>
        <w:t>Table 3.2. Core search concepts and indicative keywords</w:t>
      </w:r>
      <w:r w:rsidR="00F05ADD">
        <w:rPr>
          <w:rFonts w:cs="Arial"/>
        </w:rPr>
        <w:t xml:space="preserve"> </w:t>
      </w:r>
    </w:p>
    <w:tbl>
      <w:tblPr>
        <w:tblStyle w:val="TableGrid"/>
        <w:tblW w:w="0" w:type="auto"/>
        <w:tblLayout w:type="fixed"/>
        <w:tblLook w:val="04A0" w:firstRow="1" w:lastRow="0" w:firstColumn="1" w:lastColumn="0" w:noHBand="0" w:noVBand="1"/>
      </w:tblPr>
      <w:tblGrid>
        <w:gridCol w:w="1928"/>
        <w:gridCol w:w="6973"/>
      </w:tblGrid>
      <w:tr w:rsidR="00017BB4" w:rsidRPr="00A83C18" w14:paraId="7EA850C6" w14:textId="77777777" w:rsidTr="00E87133">
        <w:tc>
          <w:tcPr>
            <w:tcW w:w="1928" w:type="dxa"/>
          </w:tcPr>
          <w:p w14:paraId="12DFAEDA" w14:textId="77777777" w:rsidR="00017BB4" w:rsidRPr="00A83C18" w:rsidRDefault="00017BB4" w:rsidP="00627683">
            <w:pPr>
              <w:rPr>
                <w:rFonts w:cs="Arial"/>
                <w:color w:val="000000" w:themeColor="text1"/>
                <w:sz w:val="20"/>
              </w:rPr>
            </w:pPr>
            <w:r w:rsidRPr="00A83C18">
              <w:rPr>
                <w:rFonts w:cs="Arial"/>
                <w:b/>
                <w:color w:val="000000" w:themeColor="text1"/>
                <w:sz w:val="20"/>
              </w:rPr>
              <w:t>Concept</w:t>
            </w:r>
          </w:p>
        </w:tc>
        <w:tc>
          <w:tcPr>
            <w:tcW w:w="6973" w:type="dxa"/>
          </w:tcPr>
          <w:p w14:paraId="2A439B44" w14:textId="2561C6C4" w:rsidR="00017BB4" w:rsidRPr="00A83C18" w:rsidRDefault="00017BB4" w:rsidP="00627683">
            <w:pPr>
              <w:rPr>
                <w:rFonts w:cs="Arial"/>
                <w:color w:val="000000" w:themeColor="text1"/>
                <w:sz w:val="20"/>
              </w:rPr>
            </w:pPr>
            <w:r w:rsidRPr="00A83C18">
              <w:rPr>
                <w:rFonts w:cs="Arial"/>
                <w:b/>
                <w:color w:val="000000" w:themeColor="text1"/>
                <w:sz w:val="20"/>
              </w:rPr>
              <w:t xml:space="preserve">Indicative </w:t>
            </w:r>
            <w:r w:rsidR="00803EDC" w:rsidRPr="00803EDC">
              <w:rPr>
                <w:rFonts w:cs="Arial"/>
                <w:b/>
                <w:color w:val="000000" w:themeColor="text1"/>
                <w:sz w:val="20"/>
              </w:rPr>
              <w:t>Free-Text Terms</w:t>
            </w:r>
          </w:p>
        </w:tc>
      </w:tr>
      <w:tr w:rsidR="00017BB4" w:rsidRPr="00A83C18" w14:paraId="251ECB77" w14:textId="77777777" w:rsidTr="00E87133">
        <w:tc>
          <w:tcPr>
            <w:tcW w:w="1928" w:type="dxa"/>
          </w:tcPr>
          <w:p w14:paraId="1A2FAA4D" w14:textId="77777777" w:rsidR="00017BB4" w:rsidRPr="00A83C18" w:rsidRDefault="00017BB4" w:rsidP="00627683">
            <w:pPr>
              <w:rPr>
                <w:rFonts w:cs="Arial"/>
                <w:color w:val="000000" w:themeColor="text1"/>
                <w:sz w:val="20"/>
              </w:rPr>
            </w:pPr>
            <w:r w:rsidRPr="00A83C18">
              <w:rPr>
                <w:rFonts w:cs="Arial"/>
                <w:color w:val="000000" w:themeColor="text1"/>
                <w:sz w:val="20"/>
              </w:rPr>
              <w:t>Older adults</w:t>
            </w:r>
          </w:p>
        </w:tc>
        <w:tc>
          <w:tcPr>
            <w:tcW w:w="6973" w:type="dxa"/>
          </w:tcPr>
          <w:p w14:paraId="31A514E1" w14:textId="77777777" w:rsidR="00017BB4" w:rsidRPr="00A83C18" w:rsidRDefault="00017BB4" w:rsidP="00627683">
            <w:pPr>
              <w:rPr>
                <w:rFonts w:cs="Arial"/>
                <w:color w:val="000000" w:themeColor="text1"/>
                <w:sz w:val="20"/>
              </w:rPr>
            </w:pPr>
            <w:r w:rsidRPr="00A83C18">
              <w:rPr>
                <w:rFonts w:cs="Arial"/>
                <w:color w:val="000000" w:themeColor="text1"/>
                <w:sz w:val="20"/>
              </w:rPr>
              <w:t>"older adult*" OR elderly OR aged OR senior* OR geriatric*</w:t>
            </w:r>
          </w:p>
        </w:tc>
      </w:tr>
      <w:tr w:rsidR="00017BB4" w:rsidRPr="00A83C18" w14:paraId="6260BC1E" w14:textId="77777777" w:rsidTr="00E87133">
        <w:tc>
          <w:tcPr>
            <w:tcW w:w="1928" w:type="dxa"/>
          </w:tcPr>
          <w:p w14:paraId="297051E6" w14:textId="77777777" w:rsidR="00017BB4" w:rsidRPr="00A83C18" w:rsidRDefault="00017BB4" w:rsidP="00627683">
            <w:pPr>
              <w:rPr>
                <w:rFonts w:cs="Arial"/>
                <w:color w:val="000000" w:themeColor="text1"/>
                <w:sz w:val="20"/>
              </w:rPr>
            </w:pPr>
            <w:r w:rsidRPr="00A83C18">
              <w:rPr>
                <w:rFonts w:cs="Arial"/>
                <w:color w:val="000000" w:themeColor="text1"/>
                <w:sz w:val="20"/>
              </w:rPr>
              <w:t>Digital health</w:t>
            </w:r>
          </w:p>
        </w:tc>
        <w:tc>
          <w:tcPr>
            <w:tcW w:w="6973" w:type="dxa"/>
          </w:tcPr>
          <w:p w14:paraId="5502AAD6" w14:textId="77777777" w:rsidR="00017BB4" w:rsidRPr="00A83C18" w:rsidRDefault="00017BB4" w:rsidP="00627683">
            <w:pPr>
              <w:rPr>
                <w:rFonts w:cs="Arial"/>
                <w:color w:val="000000" w:themeColor="text1"/>
                <w:sz w:val="20"/>
              </w:rPr>
            </w:pPr>
            <w:r w:rsidRPr="00A83C18">
              <w:rPr>
                <w:rFonts w:cs="Arial"/>
                <w:color w:val="000000" w:themeColor="text1"/>
                <w:sz w:val="20"/>
              </w:rPr>
              <w:t>"digital health" OR telehealth OR telemedicine OR mHealth OR "mobile app*" OR "remote patient monitoring" OR wearable* OR "patient portal*" OR "online consultation*"</w:t>
            </w:r>
          </w:p>
        </w:tc>
      </w:tr>
      <w:tr w:rsidR="00017BB4" w:rsidRPr="00A83C18" w14:paraId="5750CED9" w14:textId="77777777" w:rsidTr="00E87133">
        <w:tc>
          <w:tcPr>
            <w:tcW w:w="1928" w:type="dxa"/>
          </w:tcPr>
          <w:p w14:paraId="341DA5B6" w14:textId="77777777" w:rsidR="00017BB4" w:rsidRPr="00A83C18" w:rsidRDefault="00017BB4" w:rsidP="00627683">
            <w:pPr>
              <w:rPr>
                <w:rFonts w:cs="Arial"/>
                <w:color w:val="000000" w:themeColor="text1"/>
                <w:sz w:val="20"/>
              </w:rPr>
            </w:pPr>
            <w:r w:rsidRPr="00A83C18">
              <w:rPr>
                <w:rFonts w:cs="Arial"/>
                <w:color w:val="000000" w:themeColor="text1"/>
                <w:sz w:val="20"/>
              </w:rPr>
              <w:t>Chronic conditions</w:t>
            </w:r>
          </w:p>
        </w:tc>
        <w:tc>
          <w:tcPr>
            <w:tcW w:w="6973" w:type="dxa"/>
          </w:tcPr>
          <w:p w14:paraId="706B16A6" w14:textId="77777777" w:rsidR="00017BB4" w:rsidRPr="00A83C18" w:rsidRDefault="00017BB4" w:rsidP="00627683">
            <w:pPr>
              <w:rPr>
                <w:rFonts w:cs="Arial"/>
                <w:color w:val="000000" w:themeColor="text1"/>
                <w:sz w:val="20"/>
              </w:rPr>
            </w:pPr>
            <w:r w:rsidRPr="00A83C18">
              <w:rPr>
                <w:rFonts w:cs="Arial"/>
                <w:color w:val="000000" w:themeColor="text1"/>
                <w:sz w:val="20"/>
              </w:rPr>
              <w:t>"chronic disease*" OR "chronic condition*" OR "long-term condition*" OR multimorbid*</w:t>
            </w:r>
          </w:p>
        </w:tc>
      </w:tr>
      <w:tr w:rsidR="00017BB4" w:rsidRPr="00A83C18" w14:paraId="60FC7D8A" w14:textId="77777777" w:rsidTr="00E87133">
        <w:tc>
          <w:tcPr>
            <w:tcW w:w="1928" w:type="dxa"/>
          </w:tcPr>
          <w:p w14:paraId="521C2E14" w14:textId="77777777" w:rsidR="00017BB4" w:rsidRPr="00A83C18" w:rsidRDefault="00017BB4" w:rsidP="00627683">
            <w:pPr>
              <w:rPr>
                <w:rFonts w:cs="Arial"/>
                <w:color w:val="000000" w:themeColor="text1"/>
                <w:sz w:val="20"/>
              </w:rPr>
            </w:pPr>
            <w:r w:rsidRPr="00A83C18">
              <w:rPr>
                <w:rFonts w:cs="Arial"/>
                <w:color w:val="000000" w:themeColor="text1"/>
                <w:sz w:val="20"/>
              </w:rPr>
              <w:t>Experience</w:t>
            </w:r>
          </w:p>
        </w:tc>
        <w:tc>
          <w:tcPr>
            <w:tcW w:w="6973" w:type="dxa"/>
          </w:tcPr>
          <w:p w14:paraId="1E20878A" w14:textId="77777777" w:rsidR="00017BB4" w:rsidRPr="00A83C18" w:rsidRDefault="00017BB4" w:rsidP="00627683">
            <w:pPr>
              <w:rPr>
                <w:rFonts w:cs="Arial"/>
                <w:color w:val="000000" w:themeColor="text1"/>
                <w:sz w:val="20"/>
              </w:rPr>
            </w:pPr>
            <w:r w:rsidRPr="00A83C18">
              <w:rPr>
                <w:rFonts w:cs="Arial"/>
                <w:color w:val="000000" w:themeColor="text1"/>
                <w:sz w:val="20"/>
              </w:rPr>
              <w:t>barrier* OR facilitator* OR experienc* OR perception* OR usability OR acceptab* OR adherence OR engagement OR trust OR support</w:t>
            </w:r>
          </w:p>
        </w:tc>
      </w:tr>
      <w:tr w:rsidR="00017BB4" w:rsidRPr="00A83C18" w14:paraId="2DE80879" w14:textId="77777777" w:rsidTr="00E87133">
        <w:tc>
          <w:tcPr>
            <w:tcW w:w="1928" w:type="dxa"/>
          </w:tcPr>
          <w:p w14:paraId="5169111E" w14:textId="77777777" w:rsidR="00017BB4" w:rsidRPr="00A83C18" w:rsidRDefault="00017BB4" w:rsidP="00627683">
            <w:pPr>
              <w:rPr>
                <w:rFonts w:cs="Arial"/>
                <w:color w:val="000000" w:themeColor="text1"/>
                <w:sz w:val="20"/>
              </w:rPr>
            </w:pPr>
            <w:r w:rsidRPr="00A83C18">
              <w:rPr>
                <w:rFonts w:cs="Arial"/>
                <w:color w:val="000000" w:themeColor="text1"/>
                <w:sz w:val="20"/>
              </w:rPr>
              <w:t>UK context</w:t>
            </w:r>
          </w:p>
        </w:tc>
        <w:tc>
          <w:tcPr>
            <w:tcW w:w="6973" w:type="dxa"/>
          </w:tcPr>
          <w:p w14:paraId="46C27AA6" w14:textId="77777777" w:rsidR="00017BB4" w:rsidRPr="00A83C18" w:rsidRDefault="00017BB4" w:rsidP="00627683">
            <w:pPr>
              <w:rPr>
                <w:rFonts w:cs="Arial"/>
                <w:color w:val="000000" w:themeColor="text1"/>
                <w:sz w:val="20"/>
              </w:rPr>
            </w:pPr>
            <w:r w:rsidRPr="00A83C18">
              <w:rPr>
                <w:rFonts w:cs="Arial"/>
                <w:color w:val="000000" w:themeColor="text1"/>
                <w:sz w:val="20"/>
              </w:rPr>
              <w:t>"United Kingdom" OR UK OR England OR Scotland OR Wales OR "Northern Ireland"</w:t>
            </w:r>
          </w:p>
        </w:tc>
      </w:tr>
    </w:tbl>
    <w:p w14:paraId="3999DF73" w14:textId="77777777" w:rsidR="00017BB4" w:rsidRPr="005C65A5" w:rsidRDefault="00017BB4" w:rsidP="00017BB4">
      <w:pPr>
        <w:spacing w:after="0"/>
        <w:rPr>
          <w:rFonts w:cs="Arial"/>
        </w:rPr>
      </w:pPr>
    </w:p>
    <w:p w14:paraId="5F1E2248" w14:textId="7D7290DE" w:rsidR="00017BB4" w:rsidRPr="00B76CC0" w:rsidRDefault="00017BB4" w:rsidP="00017BB4">
      <w:pPr>
        <w:pStyle w:val="Heading3"/>
        <w:rPr>
          <w:rFonts w:cs="Arial"/>
          <w:sz w:val="24"/>
          <w:szCs w:val="22"/>
        </w:rPr>
      </w:pPr>
      <w:bookmarkStart w:id="79" w:name="_Toc237366152"/>
      <w:bookmarkStart w:id="80" w:name="_Toc241175722"/>
      <w:r w:rsidRPr="00B76CC0">
        <w:rPr>
          <w:rFonts w:cs="Arial"/>
          <w:sz w:val="24"/>
          <w:szCs w:val="22"/>
        </w:rPr>
        <w:t xml:space="preserve">3.6.3 Search </w:t>
      </w:r>
      <w:r w:rsidR="00F05ADD" w:rsidRPr="00B76CC0">
        <w:rPr>
          <w:rFonts w:cs="Arial"/>
          <w:sz w:val="24"/>
          <w:szCs w:val="22"/>
        </w:rPr>
        <w:t>Management</w:t>
      </w:r>
      <w:r w:rsidRPr="00B76CC0">
        <w:rPr>
          <w:rFonts w:cs="Arial"/>
          <w:sz w:val="24"/>
          <w:szCs w:val="22"/>
        </w:rPr>
        <w:t xml:space="preserve"> and </w:t>
      </w:r>
      <w:r w:rsidR="00F05ADD" w:rsidRPr="00B76CC0">
        <w:rPr>
          <w:rFonts w:cs="Arial"/>
          <w:sz w:val="24"/>
          <w:szCs w:val="22"/>
        </w:rPr>
        <w:t>Supplementary Searching</w:t>
      </w:r>
      <w:bookmarkEnd w:id="79"/>
      <w:bookmarkEnd w:id="80"/>
    </w:p>
    <w:p w14:paraId="22160664" w14:textId="77777777" w:rsidR="00017BB4" w:rsidRPr="005C65A5" w:rsidRDefault="00017BB4" w:rsidP="00017BB4">
      <w:pPr>
        <w:rPr>
          <w:rFonts w:cs="Arial"/>
        </w:rPr>
      </w:pPr>
      <w:r w:rsidRPr="005C65A5">
        <w:rPr>
          <w:rFonts w:cs="Arial"/>
        </w:rPr>
        <w:t>Every recovered citation was added to a master reference library marked with source labels, and the citations were deduplicated. Since formatting can lead to false duplicates (Kwon et al., 2015), the automated matching was followed by manual matching of author, year, title, DOI and journal. Rayyan was used to support the decision recording in the blinded format, tagging and duplicate management, but final eligibility was still a subjective decision of the reviewer (Ouzzani et al., 2016). The original exports and de-duplication log were preserved.</w:t>
      </w:r>
    </w:p>
    <w:p w14:paraId="41FFE2D3" w14:textId="77777777" w:rsidR="00017BB4" w:rsidRPr="005C65A5" w:rsidRDefault="00017BB4" w:rsidP="00017BB4">
      <w:pPr>
        <w:rPr>
          <w:rFonts w:cs="Arial"/>
        </w:rPr>
      </w:pPr>
      <w:r w:rsidRPr="005C65A5">
        <w:rPr>
          <w:rFonts w:cs="Arial"/>
        </w:rPr>
        <w:t xml:space="preserve">Studies included, and relevant reviews were backwards-reference checked and forward-cited. Google Scholar was only used to supplement the discovery process, as it has a wide coverage but its lack of transparency and reproducibility is </w:t>
      </w:r>
      <w:r w:rsidRPr="005C65A5">
        <w:rPr>
          <w:rFonts w:cs="Arial"/>
        </w:rPr>
        <w:lastRenderedPageBreak/>
        <w:t>problematic, and it cannot be used as the sole database (Haddaway et al., 2015). Context and terminology were provided by both the NHS material and the government and charity material, but the grey literature was not usable for the synthesis of the 14 studies as the protocol had stipulated that peer-reviewed research should be used. The principles of technical searching described in the Cochrane supplement were used for documentation of platform, date and/or limits, as well as supplementary methods (Lefebvre et al., 2024).</w:t>
      </w:r>
    </w:p>
    <w:p w14:paraId="10AD90D9" w14:textId="0F577B01" w:rsidR="00017BB4" w:rsidRPr="005C65A5" w:rsidRDefault="00017BB4" w:rsidP="00017BB4">
      <w:pPr>
        <w:rPr>
          <w:rFonts w:cs="Arial"/>
        </w:rPr>
      </w:pPr>
      <w:r w:rsidRPr="005C65A5">
        <w:rPr>
          <w:rFonts w:cs="Arial"/>
        </w:rPr>
        <w:t>Table 3.3. Information sources and documented search parameters</w:t>
      </w:r>
      <w:r w:rsidR="00F05ADD">
        <w:rPr>
          <w:rFonts w:cs="Arial"/>
        </w:rPr>
        <w:t xml:space="preserve"> </w:t>
      </w:r>
    </w:p>
    <w:tbl>
      <w:tblPr>
        <w:tblStyle w:val="TableGrid"/>
        <w:tblW w:w="0" w:type="auto"/>
        <w:tblLayout w:type="fixed"/>
        <w:tblLook w:val="04A0" w:firstRow="1" w:lastRow="0" w:firstColumn="1" w:lastColumn="0" w:noHBand="0" w:noVBand="1"/>
      </w:tblPr>
      <w:tblGrid>
        <w:gridCol w:w="1474"/>
        <w:gridCol w:w="2835"/>
        <w:gridCol w:w="3118"/>
        <w:gridCol w:w="1474"/>
      </w:tblGrid>
      <w:tr w:rsidR="00017BB4" w:rsidRPr="00B76CC0" w14:paraId="0AC1C59B" w14:textId="77777777" w:rsidTr="00E87133">
        <w:tc>
          <w:tcPr>
            <w:tcW w:w="1474" w:type="dxa"/>
          </w:tcPr>
          <w:p w14:paraId="6D9A804A" w14:textId="77777777" w:rsidR="00017BB4" w:rsidRPr="00B76CC0" w:rsidRDefault="00017BB4" w:rsidP="00627683">
            <w:pPr>
              <w:rPr>
                <w:rFonts w:cs="Arial"/>
                <w:color w:val="000000" w:themeColor="text1"/>
                <w:sz w:val="20"/>
              </w:rPr>
            </w:pPr>
            <w:r w:rsidRPr="00B76CC0">
              <w:rPr>
                <w:rFonts w:cs="Arial"/>
                <w:b/>
                <w:color w:val="000000" w:themeColor="text1"/>
                <w:sz w:val="20"/>
              </w:rPr>
              <w:t>Source</w:t>
            </w:r>
          </w:p>
        </w:tc>
        <w:tc>
          <w:tcPr>
            <w:tcW w:w="2835" w:type="dxa"/>
          </w:tcPr>
          <w:p w14:paraId="5B387E35" w14:textId="77777777" w:rsidR="00017BB4" w:rsidRPr="00B76CC0" w:rsidRDefault="00017BB4" w:rsidP="00627683">
            <w:pPr>
              <w:rPr>
                <w:rFonts w:cs="Arial"/>
                <w:color w:val="000000" w:themeColor="text1"/>
                <w:sz w:val="20"/>
              </w:rPr>
            </w:pPr>
            <w:r w:rsidRPr="00B76CC0">
              <w:rPr>
                <w:rFonts w:cs="Arial"/>
                <w:b/>
                <w:color w:val="000000" w:themeColor="text1"/>
                <w:sz w:val="20"/>
              </w:rPr>
              <w:t>Coverage/role</w:t>
            </w:r>
          </w:p>
        </w:tc>
        <w:tc>
          <w:tcPr>
            <w:tcW w:w="3118" w:type="dxa"/>
          </w:tcPr>
          <w:p w14:paraId="214EA3AD" w14:textId="77777777" w:rsidR="00017BB4" w:rsidRPr="00B76CC0" w:rsidRDefault="00017BB4" w:rsidP="00627683">
            <w:pPr>
              <w:rPr>
                <w:rFonts w:cs="Arial"/>
                <w:color w:val="000000" w:themeColor="text1"/>
                <w:sz w:val="20"/>
              </w:rPr>
            </w:pPr>
            <w:r w:rsidRPr="00B76CC0">
              <w:rPr>
                <w:rFonts w:cs="Arial"/>
                <w:b/>
                <w:color w:val="000000" w:themeColor="text1"/>
                <w:sz w:val="20"/>
              </w:rPr>
              <w:t>Limits</w:t>
            </w:r>
          </w:p>
        </w:tc>
        <w:tc>
          <w:tcPr>
            <w:tcW w:w="1474" w:type="dxa"/>
          </w:tcPr>
          <w:p w14:paraId="60E9F751" w14:textId="77777777" w:rsidR="00017BB4" w:rsidRPr="00B76CC0" w:rsidRDefault="00017BB4" w:rsidP="00627683">
            <w:pPr>
              <w:rPr>
                <w:rFonts w:cs="Arial"/>
                <w:color w:val="000000" w:themeColor="text1"/>
                <w:sz w:val="20"/>
              </w:rPr>
            </w:pPr>
            <w:r w:rsidRPr="00B76CC0">
              <w:rPr>
                <w:rFonts w:cs="Arial"/>
                <w:b/>
                <w:color w:val="000000" w:themeColor="text1"/>
                <w:sz w:val="20"/>
              </w:rPr>
              <w:t>Cut-off</w:t>
            </w:r>
          </w:p>
        </w:tc>
      </w:tr>
      <w:tr w:rsidR="00017BB4" w:rsidRPr="00B76CC0" w14:paraId="6F58014D" w14:textId="77777777" w:rsidTr="00E87133">
        <w:tc>
          <w:tcPr>
            <w:tcW w:w="1474" w:type="dxa"/>
          </w:tcPr>
          <w:p w14:paraId="46C6835B" w14:textId="77777777" w:rsidR="00017BB4" w:rsidRPr="00B76CC0" w:rsidRDefault="00017BB4" w:rsidP="00627683">
            <w:pPr>
              <w:rPr>
                <w:rFonts w:cs="Arial"/>
                <w:color w:val="000000" w:themeColor="text1"/>
                <w:sz w:val="20"/>
              </w:rPr>
            </w:pPr>
            <w:r w:rsidRPr="00B76CC0">
              <w:rPr>
                <w:rFonts w:cs="Arial"/>
                <w:color w:val="000000" w:themeColor="text1"/>
                <w:sz w:val="20"/>
              </w:rPr>
              <w:t>MEDLINE</w:t>
            </w:r>
          </w:p>
        </w:tc>
        <w:tc>
          <w:tcPr>
            <w:tcW w:w="2835" w:type="dxa"/>
          </w:tcPr>
          <w:p w14:paraId="48AA0ECD" w14:textId="77777777" w:rsidR="00017BB4" w:rsidRPr="00B76CC0" w:rsidRDefault="00017BB4" w:rsidP="00627683">
            <w:pPr>
              <w:rPr>
                <w:rFonts w:cs="Arial"/>
                <w:color w:val="000000" w:themeColor="text1"/>
                <w:sz w:val="20"/>
              </w:rPr>
            </w:pPr>
            <w:r w:rsidRPr="00B76CC0">
              <w:rPr>
                <w:rFonts w:cs="Arial"/>
                <w:color w:val="000000" w:themeColor="text1"/>
                <w:sz w:val="20"/>
              </w:rPr>
              <w:t>Biomedical and clinical literature</w:t>
            </w:r>
          </w:p>
        </w:tc>
        <w:tc>
          <w:tcPr>
            <w:tcW w:w="3118" w:type="dxa"/>
          </w:tcPr>
          <w:p w14:paraId="3F06B905" w14:textId="77777777" w:rsidR="00017BB4" w:rsidRPr="00B76CC0" w:rsidRDefault="00017BB4" w:rsidP="00627683">
            <w:pPr>
              <w:rPr>
                <w:rFonts w:cs="Arial"/>
                <w:color w:val="000000" w:themeColor="text1"/>
                <w:sz w:val="20"/>
              </w:rPr>
            </w:pPr>
            <w:r w:rsidRPr="00B76CC0">
              <w:rPr>
                <w:rFonts w:cs="Arial"/>
                <w:color w:val="000000" w:themeColor="text1"/>
                <w:sz w:val="20"/>
              </w:rPr>
              <w:t>English; peer-reviewed; 2015–2025</w:t>
            </w:r>
          </w:p>
        </w:tc>
        <w:tc>
          <w:tcPr>
            <w:tcW w:w="1474" w:type="dxa"/>
          </w:tcPr>
          <w:p w14:paraId="7FF4D9E4" w14:textId="18AC7743" w:rsidR="00017BB4" w:rsidRPr="00B76CC0" w:rsidRDefault="00E87133" w:rsidP="00627683">
            <w:pPr>
              <w:rPr>
                <w:rFonts w:cs="Arial"/>
                <w:color w:val="000000" w:themeColor="text1"/>
                <w:sz w:val="20"/>
              </w:rPr>
            </w:pPr>
            <w:r w:rsidRPr="00B76CC0">
              <w:rPr>
                <w:rFonts w:cs="Arial"/>
                <w:color w:val="000000" w:themeColor="text1"/>
                <w:sz w:val="20"/>
              </w:rPr>
              <w:t>2</w:t>
            </w:r>
            <w:r w:rsidR="00017BB4" w:rsidRPr="00B76CC0">
              <w:rPr>
                <w:rFonts w:cs="Arial"/>
                <w:color w:val="000000" w:themeColor="text1"/>
                <w:sz w:val="20"/>
              </w:rPr>
              <w:t xml:space="preserve"> Aug 2026</w:t>
            </w:r>
          </w:p>
        </w:tc>
      </w:tr>
      <w:tr w:rsidR="00017BB4" w:rsidRPr="00B76CC0" w14:paraId="71609E05" w14:textId="77777777" w:rsidTr="00E87133">
        <w:tc>
          <w:tcPr>
            <w:tcW w:w="1474" w:type="dxa"/>
          </w:tcPr>
          <w:p w14:paraId="1E36E262" w14:textId="77777777" w:rsidR="00017BB4" w:rsidRPr="00B76CC0" w:rsidRDefault="00017BB4" w:rsidP="00627683">
            <w:pPr>
              <w:rPr>
                <w:rFonts w:cs="Arial"/>
                <w:color w:val="000000" w:themeColor="text1"/>
                <w:sz w:val="20"/>
              </w:rPr>
            </w:pPr>
            <w:r w:rsidRPr="00B76CC0">
              <w:rPr>
                <w:rFonts w:cs="Arial"/>
                <w:color w:val="000000" w:themeColor="text1"/>
                <w:sz w:val="20"/>
              </w:rPr>
              <w:t>PubMed</w:t>
            </w:r>
          </w:p>
        </w:tc>
        <w:tc>
          <w:tcPr>
            <w:tcW w:w="2835" w:type="dxa"/>
          </w:tcPr>
          <w:p w14:paraId="3A97835F" w14:textId="77777777" w:rsidR="00017BB4" w:rsidRPr="00B76CC0" w:rsidRDefault="00017BB4" w:rsidP="00627683">
            <w:pPr>
              <w:rPr>
                <w:rFonts w:cs="Arial"/>
                <w:color w:val="000000" w:themeColor="text1"/>
                <w:sz w:val="20"/>
              </w:rPr>
            </w:pPr>
            <w:r w:rsidRPr="00B76CC0">
              <w:rPr>
                <w:rFonts w:cs="Arial"/>
                <w:color w:val="000000" w:themeColor="text1"/>
                <w:sz w:val="20"/>
              </w:rPr>
              <w:t>Biomedical records and supplementary PubMed coverage</w:t>
            </w:r>
          </w:p>
        </w:tc>
        <w:tc>
          <w:tcPr>
            <w:tcW w:w="3118" w:type="dxa"/>
          </w:tcPr>
          <w:p w14:paraId="6197AF13" w14:textId="77777777" w:rsidR="00017BB4" w:rsidRPr="00B76CC0" w:rsidRDefault="00017BB4" w:rsidP="00627683">
            <w:pPr>
              <w:rPr>
                <w:rFonts w:cs="Arial"/>
                <w:color w:val="000000" w:themeColor="text1"/>
                <w:sz w:val="20"/>
              </w:rPr>
            </w:pPr>
            <w:r w:rsidRPr="00B76CC0">
              <w:rPr>
                <w:rFonts w:cs="Arial"/>
                <w:color w:val="000000" w:themeColor="text1"/>
                <w:sz w:val="20"/>
              </w:rPr>
              <w:t>English; peer-reviewed; 2015–2025</w:t>
            </w:r>
          </w:p>
        </w:tc>
        <w:tc>
          <w:tcPr>
            <w:tcW w:w="1474" w:type="dxa"/>
          </w:tcPr>
          <w:p w14:paraId="13244465" w14:textId="4EEF3987" w:rsidR="00017BB4" w:rsidRPr="00B76CC0" w:rsidRDefault="00E87133" w:rsidP="00627683">
            <w:pPr>
              <w:rPr>
                <w:rFonts w:cs="Arial"/>
                <w:color w:val="000000" w:themeColor="text1"/>
                <w:sz w:val="20"/>
              </w:rPr>
            </w:pPr>
            <w:r w:rsidRPr="00B76CC0">
              <w:rPr>
                <w:rFonts w:cs="Arial"/>
                <w:color w:val="000000" w:themeColor="text1"/>
                <w:sz w:val="20"/>
              </w:rPr>
              <w:t>3</w:t>
            </w:r>
            <w:r w:rsidR="00017BB4" w:rsidRPr="00B76CC0">
              <w:rPr>
                <w:rFonts w:cs="Arial"/>
                <w:color w:val="000000" w:themeColor="text1"/>
                <w:sz w:val="20"/>
              </w:rPr>
              <w:t xml:space="preserve"> Aug 2026</w:t>
            </w:r>
          </w:p>
        </w:tc>
      </w:tr>
      <w:tr w:rsidR="00017BB4" w:rsidRPr="00B76CC0" w14:paraId="0295053A" w14:textId="77777777" w:rsidTr="00E87133">
        <w:tc>
          <w:tcPr>
            <w:tcW w:w="1474" w:type="dxa"/>
          </w:tcPr>
          <w:p w14:paraId="229B2306" w14:textId="77777777" w:rsidR="00017BB4" w:rsidRPr="00B76CC0" w:rsidRDefault="00017BB4" w:rsidP="00627683">
            <w:pPr>
              <w:rPr>
                <w:rFonts w:cs="Arial"/>
                <w:color w:val="000000" w:themeColor="text1"/>
                <w:sz w:val="20"/>
              </w:rPr>
            </w:pPr>
            <w:r w:rsidRPr="00B76CC0">
              <w:rPr>
                <w:rFonts w:cs="Arial"/>
                <w:color w:val="000000" w:themeColor="text1"/>
                <w:sz w:val="20"/>
              </w:rPr>
              <w:t>CINAHL</w:t>
            </w:r>
          </w:p>
        </w:tc>
        <w:tc>
          <w:tcPr>
            <w:tcW w:w="2835" w:type="dxa"/>
          </w:tcPr>
          <w:p w14:paraId="349B64BD" w14:textId="77777777" w:rsidR="00017BB4" w:rsidRPr="00B76CC0" w:rsidRDefault="00017BB4" w:rsidP="00627683">
            <w:pPr>
              <w:rPr>
                <w:rFonts w:cs="Arial"/>
                <w:color w:val="000000" w:themeColor="text1"/>
                <w:sz w:val="20"/>
              </w:rPr>
            </w:pPr>
            <w:r w:rsidRPr="00B76CC0">
              <w:rPr>
                <w:rFonts w:cs="Arial"/>
                <w:color w:val="000000" w:themeColor="text1"/>
                <w:sz w:val="20"/>
              </w:rPr>
              <w:t>Nursing, allied health and care experience</w:t>
            </w:r>
          </w:p>
        </w:tc>
        <w:tc>
          <w:tcPr>
            <w:tcW w:w="3118" w:type="dxa"/>
          </w:tcPr>
          <w:p w14:paraId="48746C0B" w14:textId="77777777" w:rsidR="00017BB4" w:rsidRPr="00B76CC0" w:rsidRDefault="00017BB4" w:rsidP="00627683">
            <w:pPr>
              <w:rPr>
                <w:rFonts w:cs="Arial"/>
                <w:color w:val="000000" w:themeColor="text1"/>
                <w:sz w:val="20"/>
              </w:rPr>
            </w:pPr>
            <w:r w:rsidRPr="00B76CC0">
              <w:rPr>
                <w:rFonts w:cs="Arial"/>
                <w:color w:val="000000" w:themeColor="text1"/>
                <w:sz w:val="20"/>
              </w:rPr>
              <w:t>English; peer-reviewed; 2015–2025</w:t>
            </w:r>
          </w:p>
        </w:tc>
        <w:tc>
          <w:tcPr>
            <w:tcW w:w="1474" w:type="dxa"/>
          </w:tcPr>
          <w:p w14:paraId="3561C37B" w14:textId="7EA062EC" w:rsidR="00017BB4" w:rsidRPr="00B76CC0" w:rsidRDefault="00E87133" w:rsidP="00627683">
            <w:pPr>
              <w:rPr>
                <w:rFonts w:cs="Arial"/>
                <w:color w:val="000000" w:themeColor="text1"/>
                <w:sz w:val="20"/>
              </w:rPr>
            </w:pPr>
            <w:r w:rsidRPr="00B76CC0">
              <w:rPr>
                <w:rFonts w:cs="Arial"/>
                <w:color w:val="000000" w:themeColor="text1"/>
                <w:sz w:val="20"/>
              </w:rPr>
              <w:t>6</w:t>
            </w:r>
            <w:r w:rsidR="00017BB4" w:rsidRPr="00B76CC0">
              <w:rPr>
                <w:rFonts w:cs="Arial"/>
                <w:color w:val="000000" w:themeColor="text1"/>
                <w:sz w:val="20"/>
              </w:rPr>
              <w:t xml:space="preserve"> Aug 2026</w:t>
            </w:r>
          </w:p>
        </w:tc>
      </w:tr>
      <w:tr w:rsidR="00017BB4" w:rsidRPr="00B76CC0" w14:paraId="31DFCC55" w14:textId="77777777" w:rsidTr="00E87133">
        <w:tc>
          <w:tcPr>
            <w:tcW w:w="1474" w:type="dxa"/>
          </w:tcPr>
          <w:p w14:paraId="29F636BF" w14:textId="77777777" w:rsidR="00017BB4" w:rsidRPr="00B76CC0" w:rsidRDefault="00017BB4" w:rsidP="00627683">
            <w:pPr>
              <w:rPr>
                <w:rFonts w:cs="Arial"/>
                <w:color w:val="000000" w:themeColor="text1"/>
                <w:sz w:val="20"/>
              </w:rPr>
            </w:pPr>
            <w:r w:rsidRPr="00B76CC0">
              <w:rPr>
                <w:rFonts w:cs="Arial"/>
                <w:color w:val="000000" w:themeColor="text1"/>
                <w:sz w:val="20"/>
              </w:rPr>
              <w:t>PsycINFO</w:t>
            </w:r>
          </w:p>
        </w:tc>
        <w:tc>
          <w:tcPr>
            <w:tcW w:w="2835" w:type="dxa"/>
          </w:tcPr>
          <w:p w14:paraId="659F0B76" w14:textId="77777777" w:rsidR="00017BB4" w:rsidRPr="00B76CC0" w:rsidRDefault="00017BB4" w:rsidP="00627683">
            <w:pPr>
              <w:rPr>
                <w:rFonts w:cs="Arial"/>
                <w:color w:val="000000" w:themeColor="text1"/>
                <w:sz w:val="20"/>
              </w:rPr>
            </w:pPr>
            <w:r w:rsidRPr="00B76CC0">
              <w:rPr>
                <w:rFonts w:cs="Arial"/>
                <w:color w:val="000000" w:themeColor="text1"/>
                <w:sz w:val="20"/>
              </w:rPr>
              <w:t>Psychological, behavioural and experiential evidence</w:t>
            </w:r>
          </w:p>
        </w:tc>
        <w:tc>
          <w:tcPr>
            <w:tcW w:w="3118" w:type="dxa"/>
          </w:tcPr>
          <w:p w14:paraId="2187A90D" w14:textId="77777777" w:rsidR="00017BB4" w:rsidRPr="00B76CC0" w:rsidRDefault="00017BB4" w:rsidP="00627683">
            <w:pPr>
              <w:rPr>
                <w:rFonts w:cs="Arial"/>
                <w:color w:val="000000" w:themeColor="text1"/>
                <w:sz w:val="20"/>
              </w:rPr>
            </w:pPr>
            <w:r w:rsidRPr="00B76CC0">
              <w:rPr>
                <w:rFonts w:cs="Arial"/>
                <w:color w:val="000000" w:themeColor="text1"/>
                <w:sz w:val="20"/>
              </w:rPr>
              <w:t>English; peer-reviewed; 2015–2025</w:t>
            </w:r>
          </w:p>
        </w:tc>
        <w:tc>
          <w:tcPr>
            <w:tcW w:w="1474" w:type="dxa"/>
          </w:tcPr>
          <w:p w14:paraId="6C6D22E0" w14:textId="1CC8F913" w:rsidR="00017BB4" w:rsidRPr="00B76CC0" w:rsidRDefault="00E87133" w:rsidP="00627683">
            <w:pPr>
              <w:rPr>
                <w:rFonts w:cs="Arial"/>
                <w:color w:val="000000" w:themeColor="text1"/>
                <w:sz w:val="20"/>
              </w:rPr>
            </w:pPr>
            <w:r w:rsidRPr="00B76CC0">
              <w:rPr>
                <w:rFonts w:cs="Arial"/>
                <w:color w:val="000000" w:themeColor="text1"/>
                <w:sz w:val="20"/>
              </w:rPr>
              <w:t>2</w:t>
            </w:r>
            <w:r w:rsidR="00017BB4" w:rsidRPr="00B76CC0">
              <w:rPr>
                <w:rFonts w:cs="Arial"/>
                <w:color w:val="000000" w:themeColor="text1"/>
                <w:sz w:val="20"/>
              </w:rPr>
              <w:t xml:space="preserve"> Aug 2026</w:t>
            </w:r>
          </w:p>
        </w:tc>
      </w:tr>
      <w:tr w:rsidR="00017BB4" w:rsidRPr="00B76CC0" w14:paraId="287D438E" w14:textId="77777777" w:rsidTr="00E87133">
        <w:tc>
          <w:tcPr>
            <w:tcW w:w="1474" w:type="dxa"/>
          </w:tcPr>
          <w:p w14:paraId="71AEB483" w14:textId="77777777" w:rsidR="00017BB4" w:rsidRPr="00B76CC0" w:rsidRDefault="00017BB4" w:rsidP="00627683">
            <w:pPr>
              <w:rPr>
                <w:rFonts w:cs="Arial"/>
                <w:color w:val="000000" w:themeColor="text1"/>
                <w:sz w:val="20"/>
              </w:rPr>
            </w:pPr>
            <w:r w:rsidRPr="00B76CC0">
              <w:rPr>
                <w:rFonts w:cs="Arial"/>
                <w:color w:val="000000" w:themeColor="text1"/>
                <w:sz w:val="20"/>
              </w:rPr>
              <w:t>Web of Science</w:t>
            </w:r>
          </w:p>
        </w:tc>
        <w:tc>
          <w:tcPr>
            <w:tcW w:w="2835" w:type="dxa"/>
          </w:tcPr>
          <w:p w14:paraId="56500B69" w14:textId="77777777" w:rsidR="00017BB4" w:rsidRPr="00B76CC0" w:rsidRDefault="00017BB4" w:rsidP="00627683">
            <w:pPr>
              <w:rPr>
                <w:rFonts w:cs="Arial"/>
                <w:color w:val="000000" w:themeColor="text1"/>
                <w:sz w:val="20"/>
              </w:rPr>
            </w:pPr>
            <w:r w:rsidRPr="00B76CC0">
              <w:rPr>
                <w:rFonts w:cs="Arial"/>
                <w:color w:val="000000" w:themeColor="text1"/>
                <w:sz w:val="20"/>
              </w:rPr>
              <w:t>Multidisciplinary coverage and citation searching</w:t>
            </w:r>
          </w:p>
        </w:tc>
        <w:tc>
          <w:tcPr>
            <w:tcW w:w="3118" w:type="dxa"/>
          </w:tcPr>
          <w:p w14:paraId="57D2A4DE" w14:textId="77777777" w:rsidR="00017BB4" w:rsidRPr="00B76CC0" w:rsidRDefault="00017BB4" w:rsidP="00627683">
            <w:pPr>
              <w:rPr>
                <w:rFonts w:cs="Arial"/>
                <w:color w:val="000000" w:themeColor="text1"/>
                <w:sz w:val="20"/>
              </w:rPr>
            </w:pPr>
            <w:r w:rsidRPr="00B76CC0">
              <w:rPr>
                <w:rFonts w:cs="Arial"/>
                <w:color w:val="000000" w:themeColor="text1"/>
                <w:sz w:val="20"/>
              </w:rPr>
              <w:t>English; article; 2015–2025</w:t>
            </w:r>
          </w:p>
        </w:tc>
        <w:tc>
          <w:tcPr>
            <w:tcW w:w="1474" w:type="dxa"/>
          </w:tcPr>
          <w:p w14:paraId="470BBDCD" w14:textId="00014E37" w:rsidR="00017BB4" w:rsidRPr="00B76CC0" w:rsidRDefault="00E87133" w:rsidP="00627683">
            <w:pPr>
              <w:rPr>
                <w:rFonts w:cs="Arial"/>
                <w:color w:val="000000" w:themeColor="text1"/>
                <w:sz w:val="20"/>
              </w:rPr>
            </w:pPr>
            <w:r w:rsidRPr="00B76CC0">
              <w:rPr>
                <w:rFonts w:cs="Arial"/>
                <w:color w:val="000000" w:themeColor="text1"/>
                <w:sz w:val="20"/>
              </w:rPr>
              <w:t>5</w:t>
            </w:r>
            <w:r w:rsidR="00017BB4" w:rsidRPr="00B76CC0">
              <w:rPr>
                <w:rFonts w:cs="Arial"/>
                <w:color w:val="000000" w:themeColor="text1"/>
                <w:sz w:val="20"/>
              </w:rPr>
              <w:t xml:space="preserve"> Aug 2026</w:t>
            </w:r>
          </w:p>
        </w:tc>
      </w:tr>
      <w:tr w:rsidR="00017BB4" w:rsidRPr="00B76CC0" w14:paraId="0D2B5DC7" w14:textId="77777777" w:rsidTr="00E87133">
        <w:tc>
          <w:tcPr>
            <w:tcW w:w="1474" w:type="dxa"/>
          </w:tcPr>
          <w:p w14:paraId="68956F82" w14:textId="77777777" w:rsidR="00017BB4" w:rsidRPr="00B76CC0" w:rsidRDefault="00017BB4" w:rsidP="00627683">
            <w:pPr>
              <w:rPr>
                <w:rFonts w:cs="Arial"/>
                <w:color w:val="000000" w:themeColor="text1"/>
                <w:sz w:val="20"/>
              </w:rPr>
            </w:pPr>
            <w:r w:rsidRPr="00B76CC0">
              <w:rPr>
                <w:rFonts w:cs="Arial"/>
                <w:color w:val="000000" w:themeColor="text1"/>
                <w:sz w:val="20"/>
              </w:rPr>
              <w:t>Supplementary</w:t>
            </w:r>
          </w:p>
        </w:tc>
        <w:tc>
          <w:tcPr>
            <w:tcW w:w="2835" w:type="dxa"/>
          </w:tcPr>
          <w:p w14:paraId="47E3AEA9" w14:textId="77777777" w:rsidR="00017BB4" w:rsidRPr="00B76CC0" w:rsidRDefault="00017BB4" w:rsidP="00627683">
            <w:pPr>
              <w:rPr>
                <w:rFonts w:cs="Arial"/>
                <w:color w:val="000000" w:themeColor="text1"/>
                <w:sz w:val="20"/>
              </w:rPr>
            </w:pPr>
            <w:r w:rsidRPr="00B76CC0">
              <w:rPr>
                <w:rFonts w:cs="Arial"/>
                <w:color w:val="000000" w:themeColor="text1"/>
                <w:sz w:val="20"/>
              </w:rPr>
              <w:t>Backward/forward citations and Google Scholar discovery</w:t>
            </w:r>
          </w:p>
        </w:tc>
        <w:tc>
          <w:tcPr>
            <w:tcW w:w="3118" w:type="dxa"/>
          </w:tcPr>
          <w:p w14:paraId="04B05A79" w14:textId="77777777" w:rsidR="00017BB4" w:rsidRPr="00B76CC0" w:rsidRDefault="00017BB4" w:rsidP="00627683">
            <w:pPr>
              <w:rPr>
                <w:rFonts w:cs="Arial"/>
                <w:color w:val="000000" w:themeColor="text1"/>
                <w:sz w:val="20"/>
              </w:rPr>
            </w:pPr>
            <w:r w:rsidRPr="00B76CC0">
              <w:rPr>
                <w:rFonts w:cs="Arial"/>
                <w:color w:val="000000" w:themeColor="text1"/>
                <w:sz w:val="20"/>
              </w:rPr>
              <w:t>Same substantive eligibility criteria</w:t>
            </w:r>
          </w:p>
        </w:tc>
        <w:tc>
          <w:tcPr>
            <w:tcW w:w="1474" w:type="dxa"/>
          </w:tcPr>
          <w:p w14:paraId="7C8B7599" w14:textId="77777777" w:rsidR="00017BB4" w:rsidRPr="00B76CC0" w:rsidRDefault="00017BB4" w:rsidP="00627683">
            <w:pPr>
              <w:rPr>
                <w:rFonts w:cs="Arial"/>
                <w:color w:val="000000" w:themeColor="text1"/>
                <w:sz w:val="20"/>
              </w:rPr>
            </w:pPr>
            <w:r w:rsidRPr="00B76CC0">
              <w:rPr>
                <w:rFonts w:cs="Arial"/>
                <w:color w:val="000000" w:themeColor="text1"/>
                <w:sz w:val="20"/>
              </w:rPr>
              <w:t>10 Aug 2026</w:t>
            </w:r>
          </w:p>
        </w:tc>
      </w:tr>
    </w:tbl>
    <w:p w14:paraId="53B9640C" w14:textId="77777777" w:rsidR="00017BB4" w:rsidRPr="005C65A5" w:rsidRDefault="00017BB4" w:rsidP="00017BB4">
      <w:pPr>
        <w:spacing w:after="0"/>
        <w:rPr>
          <w:rFonts w:cs="Arial"/>
        </w:rPr>
      </w:pPr>
    </w:p>
    <w:p w14:paraId="0A400883" w14:textId="41B51F55" w:rsidR="00017BB4" w:rsidRPr="005C65A5" w:rsidRDefault="00017BB4" w:rsidP="00017BB4">
      <w:pPr>
        <w:rPr>
          <w:rFonts w:cs="Arial"/>
        </w:rPr>
      </w:pPr>
      <w:r w:rsidRPr="005C65A5">
        <w:rPr>
          <w:rFonts w:cs="Arial"/>
        </w:rPr>
        <w:t>Table 3.4. Confirmed review-flow totals</w:t>
      </w:r>
      <w:r w:rsidR="00F05ADD">
        <w:rPr>
          <w:rFonts w:cs="Arial"/>
        </w:rPr>
        <w:t xml:space="preserve"> </w:t>
      </w:r>
    </w:p>
    <w:tbl>
      <w:tblPr>
        <w:tblStyle w:val="TableGrid"/>
        <w:tblW w:w="8901" w:type="dxa"/>
        <w:tblLayout w:type="fixed"/>
        <w:tblLook w:val="04A0" w:firstRow="1" w:lastRow="0" w:firstColumn="1" w:lastColumn="0" w:noHBand="0" w:noVBand="1"/>
      </w:tblPr>
      <w:tblGrid>
        <w:gridCol w:w="3005"/>
        <w:gridCol w:w="2053"/>
        <w:gridCol w:w="3843"/>
      </w:tblGrid>
      <w:tr w:rsidR="00017BB4" w:rsidRPr="00940F0C" w14:paraId="561AC6D0" w14:textId="77777777" w:rsidTr="00FC392C">
        <w:tc>
          <w:tcPr>
            <w:tcW w:w="3005" w:type="dxa"/>
          </w:tcPr>
          <w:p w14:paraId="55934F7F" w14:textId="77777777" w:rsidR="00017BB4" w:rsidRPr="00940F0C" w:rsidRDefault="00017BB4" w:rsidP="00627683">
            <w:pPr>
              <w:rPr>
                <w:rFonts w:cs="Arial"/>
                <w:color w:val="000000" w:themeColor="text1"/>
                <w:sz w:val="20"/>
              </w:rPr>
            </w:pPr>
            <w:r w:rsidRPr="00940F0C">
              <w:rPr>
                <w:rFonts w:cs="Arial"/>
                <w:b/>
                <w:color w:val="000000" w:themeColor="text1"/>
                <w:sz w:val="20"/>
              </w:rPr>
              <w:t>Review point</w:t>
            </w:r>
          </w:p>
        </w:tc>
        <w:tc>
          <w:tcPr>
            <w:tcW w:w="2053" w:type="dxa"/>
          </w:tcPr>
          <w:p w14:paraId="0F5DA709" w14:textId="77777777" w:rsidR="00017BB4" w:rsidRPr="00940F0C" w:rsidRDefault="00017BB4" w:rsidP="00627683">
            <w:pPr>
              <w:rPr>
                <w:rFonts w:cs="Arial"/>
                <w:color w:val="000000" w:themeColor="text1"/>
                <w:sz w:val="20"/>
              </w:rPr>
            </w:pPr>
            <w:r w:rsidRPr="00940F0C">
              <w:rPr>
                <w:rFonts w:cs="Arial"/>
                <w:b/>
                <w:color w:val="000000" w:themeColor="text1"/>
                <w:sz w:val="20"/>
              </w:rPr>
              <w:t>Confirmed count</w:t>
            </w:r>
          </w:p>
        </w:tc>
        <w:tc>
          <w:tcPr>
            <w:tcW w:w="3843" w:type="dxa"/>
          </w:tcPr>
          <w:p w14:paraId="16DDCD54" w14:textId="77777777" w:rsidR="00017BB4" w:rsidRPr="00940F0C" w:rsidRDefault="00017BB4" w:rsidP="00627683">
            <w:pPr>
              <w:rPr>
                <w:rFonts w:cs="Arial"/>
                <w:color w:val="000000" w:themeColor="text1"/>
                <w:sz w:val="20"/>
              </w:rPr>
            </w:pPr>
            <w:r w:rsidRPr="00940F0C">
              <w:rPr>
                <w:rFonts w:cs="Arial"/>
                <w:b/>
                <w:color w:val="000000" w:themeColor="text1"/>
                <w:sz w:val="20"/>
              </w:rPr>
              <w:t>Reporting location</w:t>
            </w:r>
          </w:p>
        </w:tc>
      </w:tr>
      <w:tr w:rsidR="00017BB4" w:rsidRPr="00940F0C" w14:paraId="316C99E3" w14:textId="77777777" w:rsidTr="00FC392C">
        <w:tc>
          <w:tcPr>
            <w:tcW w:w="3005" w:type="dxa"/>
          </w:tcPr>
          <w:p w14:paraId="5C49F559" w14:textId="77777777" w:rsidR="00017BB4" w:rsidRPr="00940F0C" w:rsidRDefault="00017BB4" w:rsidP="00627683">
            <w:pPr>
              <w:rPr>
                <w:rFonts w:cs="Arial"/>
                <w:color w:val="000000" w:themeColor="text1"/>
                <w:sz w:val="20"/>
              </w:rPr>
            </w:pPr>
            <w:r w:rsidRPr="00940F0C">
              <w:rPr>
                <w:rFonts w:cs="Arial"/>
                <w:color w:val="000000" w:themeColor="text1"/>
                <w:sz w:val="20"/>
              </w:rPr>
              <w:t>Records identified</w:t>
            </w:r>
          </w:p>
        </w:tc>
        <w:tc>
          <w:tcPr>
            <w:tcW w:w="2053" w:type="dxa"/>
          </w:tcPr>
          <w:p w14:paraId="1C5644BB" w14:textId="77777777" w:rsidR="00017BB4" w:rsidRPr="00940F0C" w:rsidRDefault="00017BB4" w:rsidP="00627683">
            <w:pPr>
              <w:rPr>
                <w:rFonts w:cs="Arial"/>
                <w:color w:val="000000" w:themeColor="text1"/>
                <w:sz w:val="20"/>
              </w:rPr>
            </w:pPr>
            <w:r w:rsidRPr="00940F0C">
              <w:rPr>
                <w:rFonts w:cs="Arial"/>
                <w:color w:val="000000" w:themeColor="text1"/>
                <w:sz w:val="20"/>
              </w:rPr>
              <w:t>400</w:t>
            </w:r>
          </w:p>
        </w:tc>
        <w:tc>
          <w:tcPr>
            <w:tcW w:w="3843" w:type="dxa"/>
          </w:tcPr>
          <w:p w14:paraId="349774E7" w14:textId="77777777" w:rsidR="00017BB4" w:rsidRPr="00940F0C" w:rsidRDefault="00017BB4" w:rsidP="00627683">
            <w:pPr>
              <w:rPr>
                <w:rFonts w:cs="Arial"/>
                <w:color w:val="000000" w:themeColor="text1"/>
                <w:sz w:val="20"/>
              </w:rPr>
            </w:pPr>
            <w:r w:rsidRPr="00940F0C">
              <w:rPr>
                <w:rFonts w:cs="Arial"/>
                <w:color w:val="000000" w:themeColor="text1"/>
                <w:sz w:val="20"/>
              </w:rPr>
              <w:t>Consolidated identification total</w:t>
            </w:r>
          </w:p>
        </w:tc>
      </w:tr>
      <w:tr w:rsidR="00017BB4" w:rsidRPr="00940F0C" w14:paraId="10357DDC" w14:textId="77777777" w:rsidTr="00FC392C">
        <w:tc>
          <w:tcPr>
            <w:tcW w:w="3005" w:type="dxa"/>
          </w:tcPr>
          <w:p w14:paraId="2E585662" w14:textId="77777777" w:rsidR="00017BB4" w:rsidRPr="00940F0C" w:rsidRDefault="00017BB4" w:rsidP="00627683">
            <w:pPr>
              <w:rPr>
                <w:rFonts w:cs="Arial"/>
                <w:color w:val="000000" w:themeColor="text1"/>
                <w:sz w:val="20"/>
              </w:rPr>
            </w:pPr>
            <w:r w:rsidRPr="00940F0C">
              <w:rPr>
                <w:rFonts w:cs="Arial"/>
                <w:color w:val="000000" w:themeColor="text1"/>
                <w:sz w:val="20"/>
              </w:rPr>
              <w:t>Intermediate screening stages</w:t>
            </w:r>
          </w:p>
        </w:tc>
        <w:tc>
          <w:tcPr>
            <w:tcW w:w="2053" w:type="dxa"/>
          </w:tcPr>
          <w:p w14:paraId="0DF6BAEE" w14:textId="77777777" w:rsidR="00017BB4" w:rsidRPr="00940F0C" w:rsidRDefault="00017BB4" w:rsidP="00627683">
            <w:pPr>
              <w:rPr>
                <w:rFonts w:cs="Arial"/>
                <w:color w:val="000000" w:themeColor="text1"/>
                <w:sz w:val="20"/>
              </w:rPr>
            </w:pPr>
            <w:r w:rsidRPr="00940F0C">
              <w:rPr>
                <w:rFonts w:cs="Arial"/>
                <w:color w:val="000000" w:themeColor="text1"/>
                <w:sz w:val="20"/>
              </w:rPr>
              <w:t>Audit-log counts</w:t>
            </w:r>
          </w:p>
        </w:tc>
        <w:tc>
          <w:tcPr>
            <w:tcW w:w="3843" w:type="dxa"/>
          </w:tcPr>
          <w:p w14:paraId="4D6E0152" w14:textId="77777777" w:rsidR="00017BB4" w:rsidRPr="00940F0C" w:rsidRDefault="00017BB4" w:rsidP="00627683">
            <w:pPr>
              <w:rPr>
                <w:rFonts w:cs="Arial"/>
                <w:color w:val="000000" w:themeColor="text1"/>
                <w:sz w:val="20"/>
              </w:rPr>
            </w:pPr>
            <w:r w:rsidRPr="00940F0C">
              <w:rPr>
                <w:rFonts w:cs="Arial"/>
                <w:color w:val="000000" w:themeColor="text1"/>
                <w:sz w:val="20"/>
              </w:rPr>
              <w:t>Chapter 4 PRISMA flow diagram</w:t>
            </w:r>
          </w:p>
        </w:tc>
      </w:tr>
      <w:tr w:rsidR="00017BB4" w:rsidRPr="00940F0C" w14:paraId="6A23F87C" w14:textId="77777777" w:rsidTr="00FC392C">
        <w:tc>
          <w:tcPr>
            <w:tcW w:w="3005" w:type="dxa"/>
          </w:tcPr>
          <w:p w14:paraId="6F2A16F1" w14:textId="77777777" w:rsidR="00017BB4" w:rsidRPr="00940F0C" w:rsidRDefault="00017BB4" w:rsidP="00627683">
            <w:pPr>
              <w:rPr>
                <w:rFonts w:cs="Arial"/>
                <w:color w:val="000000" w:themeColor="text1"/>
                <w:sz w:val="20"/>
              </w:rPr>
            </w:pPr>
            <w:r w:rsidRPr="00940F0C">
              <w:rPr>
                <w:rFonts w:cs="Arial"/>
                <w:color w:val="000000" w:themeColor="text1"/>
                <w:sz w:val="20"/>
              </w:rPr>
              <w:t>Studies included in synthesis</w:t>
            </w:r>
          </w:p>
        </w:tc>
        <w:tc>
          <w:tcPr>
            <w:tcW w:w="2053" w:type="dxa"/>
          </w:tcPr>
          <w:p w14:paraId="3CBF1A54" w14:textId="77777777" w:rsidR="00017BB4" w:rsidRPr="00940F0C" w:rsidRDefault="00017BB4" w:rsidP="00627683">
            <w:pPr>
              <w:rPr>
                <w:rFonts w:cs="Arial"/>
                <w:color w:val="000000" w:themeColor="text1"/>
                <w:sz w:val="20"/>
              </w:rPr>
            </w:pPr>
            <w:r w:rsidRPr="00940F0C">
              <w:rPr>
                <w:rFonts w:cs="Arial"/>
                <w:color w:val="000000" w:themeColor="text1"/>
                <w:sz w:val="20"/>
              </w:rPr>
              <w:t>14</w:t>
            </w:r>
          </w:p>
        </w:tc>
        <w:tc>
          <w:tcPr>
            <w:tcW w:w="3843" w:type="dxa"/>
          </w:tcPr>
          <w:p w14:paraId="0A61EF3F" w14:textId="77777777" w:rsidR="00017BB4" w:rsidRPr="00940F0C" w:rsidRDefault="00017BB4" w:rsidP="00627683">
            <w:pPr>
              <w:rPr>
                <w:rFonts w:cs="Arial"/>
                <w:color w:val="000000" w:themeColor="text1"/>
                <w:sz w:val="20"/>
              </w:rPr>
            </w:pPr>
            <w:r w:rsidRPr="00940F0C">
              <w:rPr>
                <w:rFonts w:cs="Arial"/>
                <w:color w:val="000000" w:themeColor="text1"/>
                <w:sz w:val="20"/>
              </w:rPr>
              <w:t>Final analytic sample</w:t>
            </w:r>
          </w:p>
        </w:tc>
      </w:tr>
    </w:tbl>
    <w:p w14:paraId="01009A85" w14:textId="77777777" w:rsidR="00017BB4" w:rsidRPr="005C65A5" w:rsidRDefault="00017BB4" w:rsidP="00017BB4">
      <w:pPr>
        <w:spacing w:after="0"/>
        <w:rPr>
          <w:rFonts w:cs="Arial"/>
        </w:rPr>
      </w:pPr>
    </w:p>
    <w:p w14:paraId="0F34A242" w14:textId="0E3498A1" w:rsidR="00017BB4" w:rsidRPr="00FC392C" w:rsidRDefault="00F05ADD" w:rsidP="00017BB4">
      <w:pPr>
        <w:pStyle w:val="Heading2"/>
        <w:rPr>
          <w:rFonts w:cs="Arial"/>
          <w:szCs w:val="22"/>
        </w:rPr>
      </w:pPr>
      <w:bookmarkStart w:id="81" w:name="_Toc237366153"/>
      <w:bookmarkStart w:id="82" w:name="_Toc241175723"/>
      <w:r>
        <w:rPr>
          <w:rFonts w:cs="Arial"/>
          <w:szCs w:val="22"/>
        </w:rPr>
        <w:t>3.7 Eligibility C</w:t>
      </w:r>
      <w:r w:rsidR="00017BB4" w:rsidRPr="00FC392C">
        <w:rPr>
          <w:rFonts w:cs="Arial"/>
          <w:szCs w:val="22"/>
        </w:rPr>
        <w:t>riteria</w:t>
      </w:r>
      <w:bookmarkEnd w:id="81"/>
      <w:bookmarkEnd w:id="82"/>
    </w:p>
    <w:p w14:paraId="71416B75" w14:textId="77777777" w:rsidR="00017BB4" w:rsidRPr="005C65A5" w:rsidRDefault="00017BB4" w:rsidP="00017BB4">
      <w:pPr>
        <w:rPr>
          <w:rFonts w:cs="Arial"/>
        </w:rPr>
      </w:pPr>
      <w:r w:rsidRPr="005C65A5">
        <w:rPr>
          <w:rFonts w:cs="Arial"/>
        </w:rPr>
        <w:t xml:space="preserve">The eligibility criteria were applied to the title and abstract and were reapplied to the full text. Research articles needed to include data for adults aged 60 years and older with at least one chronic condition or multimorbidity and who were using, considering or rejecting a digital health intervention for their care or services. Acceptable technologies were: Telehealth, remote monitoring, mobile application or web </w:t>
      </w:r>
      <w:r w:rsidRPr="005C65A5">
        <w:rPr>
          <w:rFonts w:cs="Arial"/>
        </w:rPr>
        <w:lastRenderedPageBreak/>
        <w:t>application, patient portal, wearables, video consultation or online consultation. The studies were included only if results for the older-age group were distinguishable or the older adults were the study population.</w:t>
      </w:r>
    </w:p>
    <w:p w14:paraId="75C456A8" w14:textId="77777777" w:rsidR="00017BB4" w:rsidRPr="005C65A5" w:rsidRDefault="00017BB4" w:rsidP="00017BB4">
      <w:pPr>
        <w:rPr>
          <w:rFonts w:cs="Arial"/>
        </w:rPr>
      </w:pPr>
      <w:r w:rsidRPr="005C65A5">
        <w:rPr>
          <w:rFonts w:cs="Arial"/>
        </w:rPr>
        <w:t>Qualitative studies and mixed methods studies that provided separate qualitative findings were eligible. Effectiveness studies (purely quantitative), editorials, protocols, conference abstracts and reviews were excluded. The date window covered modern systems and not old systems. The UK data requirement increased contextual relevance, but at the same time, it made the data harder to transfer internationally. Table 3.3 lists the operating conditions that were applied in all the screenings.</w:t>
      </w:r>
    </w:p>
    <w:p w14:paraId="083D69E3" w14:textId="70FFB562" w:rsidR="00017BB4" w:rsidRPr="005C65A5" w:rsidRDefault="00017BB4" w:rsidP="00017BB4">
      <w:pPr>
        <w:rPr>
          <w:rFonts w:cs="Arial"/>
        </w:rPr>
      </w:pPr>
      <w:r w:rsidRPr="005C65A5">
        <w:rPr>
          <w:rFonts w:cs="Arial"/>
        </w:rPr>
        <w:t>Table 3.5. Inclusion and exclusion criteria</w:t>
      </w:r>
      <w:r w:rsidR="004E31E2">
        <w:rPr>
          <w:rFonts w:cs="Arial"/>
        </w:rPr>
        <w:t xml:space="preserve"> </w:t>
      </w:r>
    </w:p>
    <w:tbl>
      <w:tblPr>
        <w:tblStyle w:val="TableGrid"/>
        <w:tblW w:w="0" w:type="auto"/>
        <w:tblLayout w:type="fixed"/>
        <w:tblLook w:val="04A0" w:firstRow="1" w:lastRow="0" w:firstColumn="1" w:lastColumn="0" w:noHBand="0" w:noVBand="1"/>
      </w:tblPr>
      <w:tblGrid>
        <w:gridCol w:w="1531"/>
        <w:gridCol w:w="3685"/>
        <w:gridCol w:w="3685"/>
      </w:tblGrid>
      <w:tr w:rsidR="00017BB4" w:rsidRPr="000A7F80" w14:paraId="421B2A3E" w14:textId="77777777" w:rsidTr="00E87133">
        <w:tc>
          <w:tcPr>
            <w:tcW w:w="1531" w:type="dxa"/>
          </w:tcPr>
          <w:p w14:paraId="3713F0DF" w14:textId="77777777" w:rsidR="00017BB4" w:rsidRPr="000A7F80" w:rsidRDefault="00017BB4" w:rsidP="00627683">
            <w:pPr>
              <w:rPr>
                <w:rFonts w:cs="Arial"/>
                <w:color w:val="000000" w:themeColor="text1"/>
                <w:sz w:val="20"/>
              </w:rPr>
            </w:pPr>
            <w:r w:rsidRPr="000A7F80">
              <w:rPr>
                <w:rFonts w:cs="Arial"/>
                <w:b/>
                <w:color w:val="000000" w:themeColor="text1"/>
                <w:sz w:val="20"/>
              </w:rPr>
              <w:t>Domain</w:t>
            </w:r>
          </w:p>
        </w:tc>
        <w:tc>
          <w:tcPr>
            <w:tcW w:w="3685" w:type="dxa"/>
          </w:tcPr>
          <w:p w14:paraId="130C78D3" w14:textId="77777777" w:rsidR="00017BB4" w:rsidRPr="000A7F80" w:rsidRDefault="00017BB4" w:rsidP="00627683">
            <w:pPr>
              <w:rPr>
                <w:rFonts w:cs="Arial"/>
                <w:color w:val="000000" w:themeColor="text1"/>
                <w:sz w:val="20"/>
              </w:rPr>
            </w:pPr>
            <w:r w:rsidRPr="000A7F80">
              <w:rPr>
                <w:rFonts w:cs="Arial"/>
                <w:b/>
                <w:color w:val="000000" w:themeColor="text1"/>
                <w:sz w:val="20"/>
              </w:rPr>
              <w:t>Include</w:t>
            </w:r>
          </w:p>
        </w:tc>
        <w:tc>
          <w:tcPr>
            <w:tcW w:w="3685" w:type="dxa"/>
          </w:tcPr>
          <w:p w14:paraId="6083FA03" w14:textId="77777777" w:rsidR="00017BB4" w:rsidRPr="000A7F80" w:rsidRDefault="00017BB4" w:rsidP="00627683">
            <w:pPr>
              <w:rPr>
                <w:rFonts w:cs="Arial"/>
                <w:color w:val="000000" w:themeColor="text1"/>
                <w:sz w:val="20"/>
              </w:rPr>
            </w:pPr>
            <w:r w:rsidRPr="000A7F80">
              <w:rPr>
                <w:rFonts w:cs="Arial"/>
                <w:b/>
                <w:color w:val="000000" w:themeColor="text1"/>
                <w:sz w:val="20"/>
              </w:rPr>
              <w:t>Exclude</w:t>
            </w:r>
          </w:p>
        </w:tc>
      </w:tr>
      <w:tr w:rsidR="00017BB4" w:rsidRPr="000A7F80" w14:paraId="0F8959B9" w14:textId="77777777" w:rsidTr="00E87133">
        <w:tc>
          <w:tcPr>
            <w:tcW w:w="1531" w:type="dxa"/>
          </w:tcPr>
          <w:p w14:paraId="27306E9B" w14:textId="77777777" w:rsidR="00017BB4" w:rsidRPr="000A7F80" w:rsidRDefault="00017BB4" w:rsidP="00627683">
            <w:pPr>
              <w:rPr>
                <w:rFonts w:cs="Arial"/>
                <w:color w:val="000000" w:themeColor="text1"/>
                <w:sz w:val="20"/>
              </w:rPr>
            </w:pPr>
            <w:r w:rsidRPr="000A7F80">
              <w:rPr>
                <w:rFonts w:cs="Arial"/>
                <w:color w:val="000000" w:themeColor="text1"/>
                <w:sz w:val="20"/>
              </w:rPr>
              <w:t>Population</w:t>
            </w:r>
          </w:p>
        </w:tc>
        <w:tc>
          <w:tcPr>
            <w:tcW w:w="3685" w:type="dxa"/>
          </w:tcPr>
          <w:p w14:paraId="0810013C" w14:textId="77777777" w:rsidR="00017BB4" w:rsidRPr="000A7F80" w:rsidRDefault="00017BB4" w:rsidP="00627683">
            <w:pPr>
              <w:rPr>
                <w:rFonts w:cs="Arial"/>
                <w:color w:val="000000" w:themeColor="text1"/>
                <w:sz w:val="20"/>
              </w:rPr>
            </w:pPr>
            <w:r w:rsidRPr="000A7F80">
              <w:rPr>
                <w:rFonts w:cs="Arial"/>
                <w:color w:val="000000" w:themeColor="text1"/>
                <w:sz w:val="20"/>
              </w:rPr>
              <w:t>Adults aged ≥60 with chronic conditions or multimorbidity; UK-based.</w:t>
            </w:r>
          </w:p>
        </w:tc>
        <w:tc>
          <w:tcPr>
            <w:tcW w:w="3685" w:type="dxa"/>
          </w:tcPr>
          <w:p w14:paraId="690C14DD" w14:textId="77777777" w:rsidR="00017BB4" w:rsidRPr="000A7F80" w:rsidRDefault="00017BB4" w:rsidP="00627683">
            <w:pPr>
              <w:rPr>
                <w:rFonts w:cs="Arial"/>
                <w:color w:val="000000" w:themeColor="text1"/>
                <w:sz w:val="20"/>
              </w:rPr>
            </w:pPr>
            <w:r w:rsidRPr="000A7F80">
              <w:rPr>
                <w:rFonts w:cs="Arial"/>
                <w:color w:val="000000" w:themeColor="text1"/>
                <w:sz w:val="20"/>
              </w:rPr>
              <w:t>Participants under 60 without separable older-adult findings; no chronic condition; non-UK data.</w:t>
            </w:r>
          </w:p>
        </w:tc>
      </w:tr>
      <w:tr w:rsidR="00017BB4" w:rsidRPr="000A7F80" w14:paraId="54BB93A6" w14:textId="77777777" w:rsidTr="00E87133">
        <w:tc>
          <w:tcPr>
            <w:tcW w:w="1531" w:type="dxa"/>
          </w:tcPr>
          <w:p w14:paraId="2343D637" w14:textId="77777777" w:rsidR="00017BB4" w:rsidRPr="000A7F80" w:rsidRDefault="00017BB4" w:rsidP="00627683">
            <w:pPr>
              <w:rPr>
                <w:rFonts w:cs="Arial"/>
                <w:color w:val="000000" w:themeColor="text1"/>
                <w:sz w:val="20"/>
              </w:rPr>
            </w:pPr>
            <w:r w:rsidRPr="000A7F80">
              <w:rPr>
                <w:rFonts w:cs="Arial"/>
                <w:color w:val="000000" w:themeColor="text1"/>
                <w:sz w:val="20"/>
              </w:rPr>
              <w:t>Intervention/phenomenon</w:t>
            </w:r>
          </w:p>
        </w:tc>
        <w:tc>
          <w:tcPr>
            <w:tcW w:w="3685" w:type="dxa"/>
          </w:tcPr>
          <w:p w14:paraId="7C7DC4CF" w14:textId="77777777" w:rsidR="00017BB4" w:rsidRPr="000A7F80" w:rsidRDefault="00017BB4" w:rsidP="00627683">
            <w:pPr>
              <w:rPr>
                <w:rFonts w:cs="Arial"/>
                <w:color w:val="000000" w:themeColor="text1"/>
                <w:sz w:val="20"/>
              </w:rPr>
            </w:pPr>
            <w:r w:rsidRPr="000A7F80">
              <w:rPr>
                <w:rFonts w:cs="Arial"/>
                <w:color w:val="000000" w:themeColor="text1"/>
                <w:sz w:val="20"/>
              </w:rPr>
              <w:t>Digital tools used, offered or considered for management or service access.</w:t>
            </w:r>
          </w:p>
        </w:tc>
        <w:tc>
          <w:tcPr>
            <w:tcW w:w="3685" w:type="dxa"/>
          </w:tcPr>
          <w:p w14:paraId="7FF42850" w14:textId="77777777" w:rsidR="00017BB4" w:rsidRPr="000A7F80" w:rsidRDefault="00017BB4" w:rsidP="00627683">
            <w:pPr>
              <w:rPr>
                <w:rFonts w:cs="Arial"/>
                <w:color w:val="000000" w:themeColor="text1"/>
                <w:sz w:val="20"/>
              </w:rPr>
            </w:pPr>
            <w:r w:rsidRPr="000A7F80">
              <w:rPr>
                <w:rFonts w:cs="Arial"/>
                <w:color w:val="000000" w:themeColor="text1"/>
                <w:sz w:val="20"/>
              </w:rPr>
              <w:t>Non-digital interventions; purely administrative systems with no patient-facing component.</w:t>
            </w:r>
          </w:p>
        </w:tc>
      </w:tr>
      <w:tr w:rsidR="00017BB4" w:rsidRPr="000A7F80" w14:paraId="66784E43" w14:textId="77777777" w:rsidTr="00E87133">
        <w:tc>
          <w:tcPr>
            <w:tcW w:w="1531" w:type="dxa"/>
          </w:tcPr>
          <w:p w14:paraId="3B1C3A9F" w14:textId="77777777" w:rsidR="00017BB4" w:rsidRPr="000A7F80" w:rsidRDefault="00017BB4" w:rsidP="00627683">
            <w:pPr>
              <w:rPr>
                <w:rFonts w:cs="Arial"/>
                <w:color w:val="000000" w:themeColor="text1"/>
                <w:sz w:val="20"/>
              </w:rPr>
            </w:pPr>
            <w:r w:rsidRPr="000A7F80">
              <w:rPr>
                <w:rFonts w:cs="Arial"/>
                <w:color w:val="000000" w:themeColor="text1"/>
                <w:sz w:val="20"/>
              </w:rPr>
              <w:t>Evidence</w:t>
            </w:r>
          </w:p>
        </w:tc>
        <w:tc>
          <w:tcPr>
            <w:tcW w:w="3685" w:type="dxa"/>
          </w:tcPr>
          <w:p w14:paraId="4501AE24" w14:textId="77777777" w:rsidR="00017BB4" w:rsidRPr="000A7F80" w:rsidRDefault="00017BB4" w:rsidP="00627683">
            <w:pPr>
              <w:rPr>
                <w:rFonts w:cs="Arial"/>
                <w:color w:val="000000" w:themeColor="text1"/>
                <w:sz w:val="20"/>
              </w:rPr>
            </w:pPr>
            <w:r w:rsidRPr="000A7F80">
              <w:rPr>
                <w:rFonts w:cs="Arial"/>
                <w:color w:val="000000" w:themeColor="text1"/>
                <w:sz w:val="20"/>
              </w:rPr>
              <w:t>Qualitative primary studies; mixed methods with extractable qualitative findings.</w:t>
            </w:r>
          </w:p>
        </w:tc>
        <w:tc>
          <w:tcPr>
            <w:tcW w:w="3685" w:type="dxa"/>
          </w:tcPr>
          <w:p w14:paraId="6C8286BF" w14:textId="77777777" w:rsidR="00017BB4" w:rsidRPr="000A7F80" w:rsidRDefault="00017BB4" w:rsidP="00627683">
            <w:pPr>
              <w:rPr>
                <w:rFonts w:cs="Arial"/>
                <w:color w:val="000000" w:themeColor="text1"/>
                <w:sz w:val="20"/>
              </w:rPr>
            </w:pPr>
            <w:r w:rsidRPr="000A7F80">
              <w:rPr>
                <w:rFonts w:cs="Arial"/>
                <w:color w:val="000000" w:themeColor="text1"/>
                <w:sz w:val="20"/>
              </w:rPr>
              <w:t>Quantitative-only studies, reviews, protocols, editorials, commentaries and conference abstracts.</w:t>
            </w:r>
          </w:p>
        </w:tc>
      </w:tr>
      <w:tr w:rsidR="00017BB4" w:rsidRPr="000A7F80" w14:paraId="11CAFA4D" w14:textId="77777777" w:rsidTr="00E87133">
        <w:tc>
          <w:tcPr>
            <w:tcW w:w="1531" w:type="dxa"/>
          </w:tcPr>
          <w:p w14:paraId="305F4A5D" w14:textId="77777777" w:rsidR="00017BB4" w:rsidRPr="000A7F80" w:rsidRDefault="00017BB4" w:rsidP="00627683">
            <w:pPr>
              <w:rPr>
                <w:rFonts w:cs="Arial"/>
                <w:color w:val="000000" w:themeColor="text1"/>
                <w:sz w:val="20"/>
              </w:rPr>
            </w:pPr>
            <w:r w:rsidRPr="000A7F80">
              <w:rPr>
                <w:rFonts w:cs="Arial"/>
                <w:color w:val="000000" w:themeColor="text1"/>
                <w:sz w:val="20"/>
              </w:rPr>
              <w:t>Outcomes</w:t>
            </w:r>
          </w:p>
        </w:tc>
        <w:tc>
          <w:tcPr>
            <w:tcW w:w="3685" w:type="dxa"/>
          </w:tcPr>
          <w:p w14:paraId="52B4AC73" w14:textId="77777777" w:rsidR="00017BB4" w:rsidRPr="000A7F80" w:rsidRDefault="00017BB4" w:rsidP="00627683">
            <w:pPr>
              <w:rPr>
                <w:rFonts w:cs="Arial"/>
                <w:color w:val="000000" w:themeColor="text1"/>
                <w:sz w:val="20"/>
              </w:rPr>
            </w:pPr>
            <w:r w:rsidRPr="000A7F80">
              <w:rPr>
                <w:rFonts w:cs="Arial"/>
                <w:color w:val="000000" w:themeColor="text1"/>
                <w:sz w:val="20"/>
              </w:rPr>
              <w:t>Barriers, facilitators, acceptability, usability, engagement, adherence, trust, support or perceived outcomes.</w:t>
            </w:r>
          </w:p>
        </w:tc>
        <w:tc>
          <w:tcPr>
            <w:tcW w:w="3685" w:type="dxa"/>
          </w:tcPr>
          <w:p w14:paraId="7848895F" w14:textId="77777777" w:rsidR="00017BB4" w:rsidRPr="000A7F80" w:rsidRDefault="00017BB4" w:rsidP="00627683">
            <w:pPr>
              <w:rPr>
                <w:rFonts w:cs="Arial"/>
                <w:color w:val="000000" w:themeColor="text1"/>
                <w:sz w:val="20"/>
              </w:rPr>
            </w:pPr>
            <w:r w:rsidRPr="000A7F80">
              <w:rPr>
                <w:rFonts w:cs="Arial"/>
                <w:color w:val="000000" w:themeColor="text1"/>
                <w:sz w:val="20"/>
              </w:rPr>
              <w:t>No relevant experiential or implementation finding.</w:t>
            </w:r>
          </w:p>
        </w:tc>
      </w:tr>
      <w:tr w:rsidR="00017BB4" w:rsidRPr="000A7F80" w14:paraId="7EEE0C91" w14:textId="77777777" w:rsidTr="00E87133">
        <w:tc>
          <w:tcPr>
            <w:tcW w:w="1531" w:type="dxa"/>
          </w:tcPr>
          <w:p w14:paraId="32F107F5" w14:textId="77777777" w:rsidR="00017BB4" w:rsidRPr="000A7F80" w:rsidRDefault="00017BB4" w:rsidP="00627683">
            <w:pPr>
              <w:rPr>
                <w:rFonts w:cs="Arial"/>
                <w:color w:val="000000" w:themeColor="text1"/>
                <w:sz w:val="20"/>
              </w:rPr>
            </w:pPr>
            <w:r w:rsidRPr="000A7F80">
              <w:rPr>
                <w:rFonts w:cs="Arial"/>
                <w:color w:val="000000" w:themeColor="text1"/>
                <w:sz w:val="20"/>
              </w:rPr>
              <w:t>Publication</w:t>
            </w:r>
          </w:p>
        </w:tc>
        <w:tc>
          <w:tcPr>
            <w:tcW w:w="3685" w:type="dxa"/>
          </w:tcPr>
          <w:p w14:paraId="63CB0D61" w14:textId="77777777" w:rsidR="00017BB4" w:rsidRPr="000A7F80" w:rsidRDefault="00017BB4" w:rsidP="00627683">
            <w:pPr>
              <w:rPr>
                <w:rFonts w:cs="Arial"/>
                <w:color w:val="000000" w:themeColor="text1"/>
                <w:sz w:val="20"/>
              </w:rPr>
            </w:pPr>
            <w:r w:rsidRPr="000A7F80">
              <w:rPr>
                <w:rFonts w:cs="Arial"/>
                <w:color w:val="000000" w:themeColor="text1"/>
                <w:sz w:val="20"/>
              </w:rPr>
              <w:t>Peer-reviewed, English-language full text, 2015–2025.</w:t>
            </w:r>
          </w:p>
        </w:tc>
        <w:tc>
          <w:tcPr>
            <w:tcW w:w="3685" w:type="dxa"/>
          </w:tcPr>
          <w:p w14:paraId="7FCD3819" w14:textId="77777777" w:rsidR="00017BB4" w:rsidRPr="000A7F80" w:rsidRDefault="00017BB4" w:rsidP="00627683">
            <w:pPr>
              <w:rPr>
                <w:rFonts w:cs="Arial"/>
                <w:color w:val="000000" w:themeColor="text1"/>
                <w:sz w:val="20"/>
              </w:rPr>
            </w:pPr>
            <w:r w:rsidRPr="000A7F80">
              <w:rPr>
                <w:rFonts w:cs="Arial"/>
                <w:color w:val="000000" w:themeColor="text1"/>
                <w:sz w:val="20"/>
              </w:rPr>
              <w:t>Grey literature; non-English; outside date range; unavailable full text.</w:t>
            </w:r>
          </w:p>
        </w:tc>
      </w:tr>
    </w:tbl>
    <w:p w14:paraId="0D650FB0" w14:textId="77777777" w:rsidR="00017BB4" w:rsidRPr="005C65A5" w:rsidRDefault="00017BB4" w:rsidP="00017BB4">
      <w:pPr>
        <w:spacing w:after="0"/>
        <w:rPr>
          <w:rFonts w:cs="Arial"/>
        </w:rPr>
      </w:pPr>
    </w:p>
    <w:p w14:paraId="791793E6" w14:textId="5136CE2A" w:rsidR="00017BB4" w:rsidRPr="00BB1843" w:rsidRDefault="004E31E2" w:rsidP="00017BB4">
      <w:pPr>
        <w:pStyle w:val="Heading2"/>
        <w:rPr>
          <w:rFonts w:cs="Arial"/>
          <w:szCs w:val="22"/>
        </w:rPr>
      </w:pPr>
      <w:bookmarkStart w:id="83" w:name="_Toc237366154"/>
      <w:bookmarkStart w:id="84" w:name="_Toc241175724"/>
      <w:r>
        <w:rPr>
          <w:rFonts w:cs="Arial"/>
          <w:szCs w:val="22"/>
        </w:rPr>
        <w:t>3.8 Study S</w:t>
      </w:r>
      <w:r w:rsidR="00017BB4" w:rsidRPr="00BB1843">
        <w:rPr>
          <w:rFonts w:cs="Arial"/>
          <w:szCs w:val="22"/>
        </w:rPr>
        <w:t>election</w:t>
      </w:r>
      <w:bookmarkEnd w:id="83"/>
      <w:bookmarkEnd w:id="84"/>
    </w:p>
    <w:p w14:paraId="1891CAE7" w14:textId="77777777" w:rsidR="00017BB4" w:rsidRPr="005C65A5" w:rsidRDefault="00017BB4" w:rsidP="00017BB4">
      <w:pPr>
        <w:rPr>
          <w:rFonts w:cs="Arial"/>
        </w:rPr>
      </w:pPr>
      <w:r w:rsidRPr="005C65A5">
        <w:rPr>
          <w:rFonts w:cs="Arial"/>
        </w:rPr>
        <w:t>De-duplication, screening of titles and abstracts, assessment of full-text articles, and quality appraisal were conducted as four steps in the selection process. The reasons for "full-text exclusion" were given from a controlled list: "wrong population", "non-UK setting", "ineligible technology", "no extractable qualitative evidence" and "ineligible publication type. Records that were not clear were progressed to full text to avoid exclusion due to limited abstracts. A total of 400 records were included in the consolidated identification set and 14 studies included in the final analytic set.</w:t>
      </w:r>
    </w:p>
    <w:p w14:paraId="2C21CC92" w14:textId="77777777" w:rsidR="00017BB4" w:rsidRPr="005C65A5" w:rsidRDefault="00017BB4" w:rsidP="00017BB4">
      <w:pPr>
        <w:rPr>
          <w:rFonts w:cs="Arial"/>
        </w:rPr>
      </w:pPr>
      <w:r w:rsidRPr="005C65A5">
        <w:rPr>
          <w:rFonts w:cs="Arial"/>
        </w:rPr>
        <w:t xml:space="preserve">The exact number extracted at each intermediate stage, and the distribution of reasons for the full-texts, should be shown in the PRISMA flow diagram in Chapter 4, </w:t>
      </w:r>
      <w:r w:rsidRPr="005C65A5">
        <w:rPr>
          <w:rFonts w:cs="Arial"/>
        </w:rPr>
        <w:lastRenderedPageBreak/>
        <w:t>and must be based on the audit log and not created by subtracting the two endpoint figures. This separation helps preserve the integrity of the review record. The number of exclusions and how they are reported were guided by PRISMA 2020 (Page et al., 2021a). The single-reviewer MSc was subject to the judgement of the reviewer; explicit criteria, notes on decision making and re-checking of very unclear cases and retaining all exclusion reasons mitigated this.</w:t>
      </w:r>
    </w:p>
    <w:p w14:paraId="27B1CFE9" w14:textId="2550865B" w:rsidR="00017BB4" w:rsidRPr="00012319" w:rsidRDefault="00012319" w:rsidP="00017BB4">
      <w:pPr>
        <w:pStyle w:val="Heading2"/>
        <w:rPr>
          <w:rFonts w:cs="Arial"/>
          <w:szCs w:val="22"/>
        </w:rPr>
      </w:pPr>
      <w:bookmarkStart w:id="85" w:name="_Toc237366155"/>
      <w:bookmarkStart w:id="86" w:name="_Toc241175725"/>
      <w:r w:rsidRPr="00012319">
        <w:rPr>
          <w:rFonts w:cs="Arial"/>
          <w:szCs w:val="22"/>
        </w:rPr>
        <w:t>3.9 Critical A</w:t>
      </w:r>
      <w:r w:rsidR="00017BB4" w:rsidRPr="00012319">
        <w:rPr>
          <w:rFonts w:cs="Arial"/>
          <w:szCs w:val="22"/>
        </w:rPr>
        <w:t>ppraisal</w:t>
      </w:r>
      <w:bookmarkEnd w:id="85"/>
      <w:bookmarkEnd w:id="86"/>
    </w:p>
    <w:p w14:paraId="6B81F36F" w14:textId="2E9DCC13" w:rsidR="00017BB4" w:rsidRPr="005C65A5" w:rsidRDefault="00017BB4" w:rsidP="00017BB4">
      <w:pPr>
        <w:rPr>
          <w:rFonts w:cs="Arial"/>
        </w:rPr>
      </w:pPr>
      <w:r w:rsidRPr="005C65A5">
        <w:rPr>
          <w:rFonts w:cs="Arial"/>
        </w:rPr>
        <w:t>Using the Critical Appraisal Skills Programme (2024) checklist for qualitative research, methodological quality was appraised. It has ten domains that focus on a clear aim, methodological appropriateness, design, recruitment, data collection, researcher-participant relationship, ethics, analytic rigour, findings and value. Mixed-methods papers were assessed on the qualitative part of the paper that l</w:t>
      </w:r>
      <w:r w:rsidR="00AB04B8">
        <w:rPr>
          <w:rFonts w:cs="Arial"/>
        </w:rPr>
        <w:t>ed to synthesis. Yes, No or Can no</w:t>
      </w:r>
      <w:r w:rsidRPr="005C65A5">
        <w:rPr>
          <w:rFonts w:cs="Arial"/>
        </w:rPr>
        <w:t>t tell was recorded for each item (with page reference and narrative comment).</w:t>
      </w:r>
    </w:p>
    <w:p w14:paraId="7364E8B3" w14:textId="487A3A41" w:rsidR="00017BB4" w:rsidRDefault="00017BB4" w:rsidP="00017BB4">
      <w:pPr>
        <w:rPr>
          <w:rFonts w:cs="Arial"/>
        </w:rPr>
      </w:pPr>
      <w:r w:rsidRPr="005C65A5">
        <w:rPr>
          <w:rFonts w:cs="Arial"/>
        </w:rPr>
        <w:t>The requirement to complete a checklist was not viewed as mechanical grading. However, appraisal tools can yield inconsistent judgements if they are not linked to design and context (Majid and Vanstone, 2018), and CASP can be most helpful when it results in reasoned evaluation as opposed to a superficial total (Long et al., 2020). An operational exclusion criterion was fewer than five “Yes” responses, which was required to meet the programme protocol; but limitations in an otherwise eligible study influenced confidence and interpretation. The threshold was met by all 14 studies that were retained for synthesis. Weaknesses were not deleted: low reflexivity and narrow recruitment/limited analytic description carried over to the evidence table and addressed during theme development.</w:t>
      </w:r>
    </w:p>
    <w:p w14:paraId="14199FF0" w14:textId="5FEF22FF" w:rsidR="00B81993" w:rsidRDefault="00B81993" w:rsidP="00017BB4">
      <w:pPr>
        <w:rPr>
          <w:rFonts w:cs="Arial"/>
        </w:rPr>
      </w:pPr>
    </w:p>
    <w:p w14:paraId="741E867F" w14:textId="5207DEF5" w:rsidR="00B81993" w:rsidRDefault="00B81993" w:rsidP="00017BB4">
      <w:pPr>
        <w:rPr>
          <w:rFonts w:cs="Arial"/>
        </w:rPr>
      </w:pPr>
    </w:p>
    <w:p w14:paraId="130147EE" w14:textId="73A5FD41" w:rsidR="00B81993" w:rsidRDefault="00B81993" w:rsidP="00017BB4">
      <w:pPr>
        <w:rPr>
          <w:rFonts w:cs="Arial"/>
        </w:rPr>
      </w:pPr>
    </w:p>
    <w:p w14:paraId="41F19283" w14:textId="0BEEE0A2" w:rsidR="00B81993" w:rsidRDefault="00B81993" w:rsidP="00017BB4">
      <w:pPr>
        <w:rPr>
          <w:rFonts w:cs="Arial"/>
        </w:rPr>
      </w:pPr>
    </w:p>
    <w:p w14:paraId="662C5934" w14:textId="01DB592E" w:rsidR="00B81993" w:rsidRDefault="00B81993" w:rsidP="00017BB4">
      <w:pPr>
        <w:rPr>
          <w:rFonts w:cs="Arial"/>
        </w:rPr>
      </w:pPr>
    </w:p>
    <w:p w14:paraId="56F8D821" w14:textId="12E387FC" w:rsidR="00B81993" w:rsidRDefault="00B81993" w:rsidP="00017BB4">
      <w:pPr>
        <w:rPr>
          <w:rFonts w:cs="Arial"/>
        </w:rPr>
      </w:pPr>
    </w:p>
    <w:p w14:paraId="3DE48CD0" w14:textId="19A09F20" w:rsidR="00B81993" w:rsidRDefault="00B81993" w:rsidP="00017BB4">
      <w:pPr>
        <w:rPr>
          <w:rFonts w:cs="Arial"/>
        </w:rPr>
      </w:pPr>
    </w:p>
    <w:p w14:paraId="4205574E" w14:textId="77777777" w:rsidR="00AB04B8" w:rsidRPr="005C65A5" w:rsidRDefault="00AB04B8" w:rsidP="00017BB4">
      <w:pPr>
        <w:rPr>
          <w:rFonts w:cs="Arial"/>
        </w:rPr>
      </w:pPr>
    </w:p>
    <w:p w14:paraId="01401324" w14:textId="14AFB365" w:rsidR="00017BB4" w:rsidRPr="005C65A5" w:rsidRDefault="00017BB4" w:rsidP="00017BB4">
      <w:pPr>
        <w:rPr>
          <w:rFonts w:cs="Arial"/>
        </w:rPr>
      </w:pPr>
      <w:r w:rsidRPr="00347931">
        <w:rPr>
          <w:rFonts w:cs="Arial"/>
        </w:rPr>
        <w:lastRenderedPageBreak/>
        <w:t>Table 3.6. CASP qualitative appraisal domains</w:t>
      </w:r>
      <w:r w:rsidR="00AB04B8" w:rsidRPr="00347931">
        <w:rPr>
          <w:rFonts w:cs="Arial"/>
        </w:rPr>
        <w:t xml:space="preserve"> </w:t>
      </w:r>
    </w:p>
    <w:tbl>
      <w:tblPr>
        <w:tblStyle w:val="TableGrid"/>
        <w:tblW w:w="9447" w:type="dxa"/>
        <w:tblLook w:val="04A0" w:firstRow="1" w:lastRow="0" w:firstColumn="1" w:lastColumn="0" w:noHBand="0" w:noVBand="1"/>
      </w:tblPr>
      <w:tblGrid>
        <w:gridCol w:w="1278"/>
        <w:gridCol w:w="8169"/>
      </w:tblGrid>
      <w:tr w:rsidR="00347931" w:rsidRPr="00032317" w14:paraId="4CB8353E" w14:textId="77777777" w:rsidTr="00347931">
        <w:trPr>
          <w:trHeight w:val="376"/>
        </w:trPr>
        <w:tc>
          <w:tcPr>
            <w:tcW w:w="1278" w:type="dxa"/>
            <w:hideMark/>
          </w:tcPr>
          <w:p w14:paraId="38CE103A" w14:textId="77777777" w:rsidR="00347931" w:rsidRPr="00032317" w:rsidRDefault="00347931" w:rsidP="00347931">
            <w:pPr>
              <w:jc w:val="center"/>
              <w:rPr>
                <w:lang w:val="en-US"/>
              </w:rPr>
            </w:pPr>
            <w:r w:rsidRPr="00032317">
              <w:rPr>
                <w:b/>
                <w:bCs/>
                <w:lang w:val="en-US"/>
              </w:rPr>
              <w:t>Item</w:t>
            </w:r>
          </w:p>
        </w:tc>
        <w:tc>
          <w:tcPr>
            <w:tcW w:w="8169" w:type="dxa"/>
            <w:hideMark/>
          </w:tcPr>
          <w:p w14:paraId="5451445B" w14:textId="1B10ABC1" w:rsidR="00347931" w:rsidRPr="00032317" w:rsidRDefault="00347931" w:rsidP="00347931">
            <w:pPr>
              <w:jc w:val="center"/>
              <w:rPr>
                <w:lang w:val="en-US"/>
              </w:rPr>
            </w:pPr>
            <w:r w:rsidRPr="00032317">
              <w:rPr>
                <w:b/>
                <w:bCs/>
                <w:lang w:val="en-US"/>
              </w:rPr>
              <w:t>Core Appraisal Question</w:t>
            </w:r>
          </w:p>
        </w:tc>
      </w:tr>
      <w:tr w:rsidR="00347931" w:rsidRPr="00032317" w14:paraId="10D60BDB" w14:textId="77777777" w:rsidTr="00347931">
        <w:trPr>
          <w:trHeight w:val="376"/>
        </w:trPr>
        <w:tc>
          <w:tcPr>
            <w:tcW w:w="1278" w:type="dxa"/>
            <w:hideMark/>
          </w:tcPr>
          <w:p w14:paraId="51DF71BA" w14:textId="77777777" w:rsidR="00347931" w:rsidRPr="00032317" w:rsidRDefault="00347931" w:rsidP="00347931">
            <w:pPr>
              <w:jc w:val="center"/>
              <w:rPr>
                <w:lang w:val="en-US"/>
              </w:rPr>
            </w:pPr>
            <w:r w:rsidRPr="00032317">
              <w:rPr>
                <w:lang w:val="en-US"/>
              </w:rPr>
              <w:t>1</w:t>
            </w:r>
          </w:p>
        </w:tc>
        <w:tc>
          <w:tcPr>
            <w:tcW w:w="8169" w:type="dxa"/>
            <w:hideMark/>
          </w:tcPr>
          <w:p w14:paraId="041ABD1F" w14:textId="77777777" w:rsidR="00347931" w:rsidRPr="00032317" w:rsidRDefault="00347931" w:rsidP="00347931">
            <w:pPr>
              <w:rPr>
                <w:lang w:val="en-US"/>
              </w:rPr>
            </w:pPr>
            <w:r w:rsidRPr="00032317">
              <w:rPr>
                <w:lang w:val="en-US"/>
              </w:rPr>
              <w:t>Was there a clear statement of the research aims?</w:t>
            </w:r>
          </w:p>
        </w:tc>
      </w:tr>
      <w:tr w:rsidR="00347931" w:rsidRPr="00032317" w14:paraId="63BC37AA" w14:textId="77777777" w:rsidTr="00347931">
        <w:trPr>
          <w:trHeight w:val="376"/>
        </w:trPr>
        <w:tc>
          <w:tcPr>
            <w:tcW w:w="1278" w:type="dxa"/>
            <w:hideMark/>
          </w:tcPr>
          <w:p w14:paraId="7E918FDF" w14:textId="77777777" w:rsidR="00347931" w:rsidRPr="00032317" w:rsidRDefault="00347931" w:rsidP="00347931">
            <w:pPr>
              <w:jc w:val="center"/>
              <w:rPr>
                <w:lang w:val="en-US"/>
              </w:rPr>
            </w:pPr>
            <w:r w:rsidRPr="00032317">
              <w:rPr>
                <w:lang w:val="en-US"/>
              </w:rPr>
              <w:t>2</w:t>
            </w:r>
          </w:p>
        </w:tc>
        <w:tc>
          <w:tcPr>
            <w:tcW w:w="8169" w:type="dxa"/>
            <w:hideMark/>
          </w:tcPr>
          <w:p w14:paraId="31494A82" w14:textId="77777777" w:rsidR="00347931" w:rsidRPr="00032317" w:rsidRDefault="00347931" w:rsidP="00347931">
            <w:pPr>
              <w:rPr>
                <w:lang w:val="en-US"/>
              </w:rPr>
            </w:pPr>
            <w:r w:rsidRPr="00032317">
              <w:rPr>
                <w:lang w:val="en-US"/>
              </w:rPr>
              <w:t>Was qualitative methodology appropriate?</w:t>
            </w:r>
          </w:p>
        </w:tc>
      </w:tr>
      <w:tr w:rsidR="00347931" w:rsidRPr="00032317" w14:paraId="1D45188F" w14:textId="77777777" w:rsidTr="00347931">
        <w:trPr>
          <w:trHeight w:val="376"/>
        </w:trPr>
        <w:tc>
          <w:tcPr>
            <w:tcW w:w="1278" w:type="dxa"/>
            <w:hideMark/>
          </w:tcPr>
          <w:p w14:paraId="46B057D0" w14:textId="77777777" w:rsidR="00347931" w:rsidRPr="00032317" w:rsidRDefault="00347931" w:rsidP="00347931">
            <w:pPr>
              <w:jc w:val="center"/>
              <w:rPr>
                <w:lang w:val="en-US"/>
              </w:rPr>
            </w:pPr>
            <w:r w:rsidRPr="00032317">
              <w:rPr>
                <w:lang w:val="en-US"/>
              </w:rPr>
              <w:t>3</w:t>
            </w:r>
          </w:p>
        </w:tc>
        <w:tc>
          <w:tcPr>
            <w:tcW w:w="8169" w:type="dxa"/>
            <w:hideMark/>
          </w:tcPr>
          <w:p w14:paraId="7625A558" w14:textId="77777777" w:rsidR="00347931" w:rsidRPr="00032317" w:rsidRDefault="00347931" w:rsidP="00347931">
            <w:pPr>
              <w:rPr>
                <w:lang w:val="en-US"/>
              </w:rPr>
            </w:pPr>
            <w:r w:rsidRPr="00032317">
              <w:rPr>
                <w:lang w:val="en-US"/>
              </w:rPr>
              <w:t>Was the research design appropriate to the aims?</w:t>
            </w:r>
          </w:p>
        </w:tc>
      </w:tr>
      <w:tr w:rsidR="00347931" w:rsidRPr="00032317" w14:paraId="566D3A4A" w14:textId="77777777" w:rsidTr="00347931">
        <w:trPr>
          <w:trHeight w:val="376"/>
        </w:trPr>
        <w:tc>
          <w:tcPr>
            <w:tcW w:w="1278" w:type="dxa"/>
            <w:hideMark/>
          </w:tcPr>
          <w:p w14:paraId="7ECBD586" w14:textId="77777777" w:rsidR="00347931" w:rsidRPr="00032317" w:rsidRDefault="00347931" w:rsidP="00347931">
            <w:pPr>
              <w:jc w:val="center"/>
              <w:rPr>
                <w:lang w:val="en-US"/>
              </w:rPr>
            </w:pPr>
            <w:r w:rsidRPr="00032317">
              <w:rPr>
                <w:lang w:val="en-US"/>
              </w:rPr>
              <w:t>4</w:t>
            </w:r>
          </w:p>
        </w:tc>
        <w:tc>
          <w:tcPr>
            <w:tcW w:w="8169" w:type="dxa"/>
            <w:hideMark/>
          </w:tcPr>
          <w:p w14:paraId="6CCB82FE" w14:textId="77777777" w:rsidR="00347931" w:rsidRPr="00032317" w:rsidRDefault="00347931" w:rsidP="00347931">
            <w:pPr>
              <w:rPr>
                <w:lang w:val="en-US"/>
              </w:rPr>
            </w:pPr>
            <w:r w:rsidRPr="00032317">
              <w:rPr>
                <w:lang w:val="en-US"/>
              </w:rPr>
              <w:t>Was the recruitment strategy appropriate?</w:t>
            </w:r>
          </w:p>
        </w:tc>
      </w:tr>
      <w:tr w:rsidR="00347931" w:rsidRPr="00032317" w14:paraId="28EFBE14" w14:textId="77777777" w:rsidTr="00347931">
        <w:trPr>
          <w:trHeight w:val="376"/>
        </w:trPr>
        <w:tc>
          <w:tcPr>
            <w:tcW w:w="1278" w:type="dxa"/>
            <w:hideMark/>
          </w:tcPr>
          <w:p w14:paraId="37621801" w14:textId="77777777" w:rsidR="00347931" w:rsidRPr="00032317" w:rsidRDefault="00347931" w:rsidP="00347931">
            <w:pPr>
              <w:jc w:val="center"/>
              <w:rPr>
                <w:lang w:val="en-US"/>
              </w:rPr>
            </w:pPr>
            <w:r w:rsidRPr="00032317">
              <w:rPr>
                <w:lang w:val="en-US"/>
              </w:rPr>
              <w:t>5</w:t>
            </w:r>
          </w:p>
        </w:tc>
        <w:tc>
          <w:tcPr>
            <w:tcW w:w="8169" w:type="dxa"/>
            <w:hideMark/>
          </w:tcPr>
          <w:p w14:paraId="493FA026" w14:textId="77777777" w:rsidR="00347931" w:rsidRPr="00032317" w:rsidRDefault="00347931" w:rsidP="00347931">
            <w:pPr>
              <w:rPr>
                <w:lang w:val="en-US"/>
              </w:rPr>
            </w:pPr>
            <w:r w:rsidRPr="00032317">
              <w:rPr>
                <w:lang w:val="en-US"/>
              </w:rPr>
              <w:t>Were data collected in a way that addressed the issue?</w:t>
            </w:r>
          </w:p>
        </w:tc>
      </w:tr>
      <w:tr w:rsidR="00347931" w:rsidRPr="00032317" w14:paraId="41488FB4" w14:textId="77777777" w:rsidTr="00347931">
        <w:trPr>
          <w:trHeight w:val="376"/>
        </w:trPr>
        <w:tc>
          <w:tcPr>
            <w:tcW w:w="1278" w:type="dxa"/>
            <w:hideMark/>
          </w:tcPr>
          <w:p w14:paraId="105BCACD" w14:textId="77777777" w:rsidR="00347931" w:rsidRPr="00032317" w:rsidRDefault="00347931" w:rsidP="00347931">
            <w:pPr>
              <w:jc w:val="center"/>
              <w:rPr>
                <w:lang w:val="en-US"/>
              </w:rPr>
            </w:pPr>
            <w:r w:rsidRPr="00032317">
              <w:rPr>
                <w:lang w:val="en-US"/>
              </w:rPr>
              <w:t>6</w:t>
            </w:r>
          </w:p>
        </w:tc>
        <w:tc>
          <w:tcPr>
            <w:tcW w:w="8169" w:type="dxa"/>
            <w:hideMark/>
          </w:tcPr>
          <w:p w14:paraId="2C7FE387" w14:textId="77777777" w:rsidR="00347931" w:rsidRPr="00032317" w:rsidRDefault="00347931" w:rsidP="00347931">
            <w:pPr>
              <w:rPr>
                <w:lang w:val="en-US"/>
              </w:rPr>
            </w:pPr>
            <w:r w:rsidRPr="00032317">
              <w:rPr>
                <w:lang w:val="en-US"/>
              </w:rPr>
              <w:t>Was the researcher–participant relationship considered?</w:t>
            </w:r>
          </w:p>
        </w:tc>
      </w:tr>
      <w:tr w:rsidR="00347931" w:rsidRPr="00032317" w14:paraId="555A815B" w14:textId="77777777" w:rsidTr="00347931">
        <w:trPr>
          <w:trHeight w:val="376"/>
        </w:trPr>
        <w:tc>
          <w:tcPr>
            <w:tcW w:w="1278" w:type="dxa"/>
            <w:hideMark/>
          </w:tcPr>
          <w:p w14:paraId="17BDC82E" w14:textId="77777777" w:rsidR="00347931" w:rsidRPr="00032317" w:rsidRDefault="00347931" w:rsidP="00347931">
            <w:pPr>
              <w:jc w:val="center"/>
              <w:rPr>
                <w:lang w:val="en-US"/>
              </w:rPr>
            </w:pPr>
            <w:r w:rsidRPr="00032317">
              <w:rPr>
                <w:lang w:val="en-US"/>
              </w:rPr>
              <w:t>7</w:t>
            </w:r>
          </w:p>
        </w:tc>
        <w:tc>
          <w:tcPr>
            <w:tcW w:w="8169" w:type="dxa"/>
            <w:hideMark/>
          </w:tcPr>
          <w:p w14:paraId="66B553BE" w14:textId="77777777" w:rsidR="00347931" w:rsidRPr="00032317" w:rsidRDefault="00347931" w:rsidP="00347931">
            <w:pPr>
              <w:rPr>
                <w:lang w:val="en-US"/>
              </w:rPr>
            </w:pPr>
            <w:r w:rsidRPr="00032317">
              <w:rPr>
                <w:lang w:val="en-US"/>
              </w:rPr>
              <w:t>Were ethical issues considered?</w:t>
            </w:r>
          </w:p>
        </w:tc>
      </w:tr>
      <w:tr w:rsidR="00347931" w:rsidRPr="00032317" w14:paraId="471C9931" w14:textId="77777777" w:rsidTr="00347931">
        <w:trPr>
          <w:trHeight w:val="376"/>
        </w:trPr>
        <w:tc>
          <w:tcPr>
            <w:tcW w:w="1278" w:type="dxa"/>
            <w:hideMark/>
          </w:tcPr>
          <w:p w14:paraId="0C215807" w14:textId="77777777" w:rsidR="00347931" w:rsidRPr="00032317" w:rsidRDefault="00347931" w:rsidP="00347931">
            <w:pPr>
              <w:jc w:val="center"/>
              <w:rPr>
                <w:lang w:val="en-US"/>
              </w:rPr>
            </w:pPr>
            <w:r w:rsidRPr="00032317">
              <w:rPr>
                <w:lang w:val="en-US"/>
              </w:rPr>
              <w:t>8</w:t>
            </w:r>
          </w:p>
        </w:tc>
        <w:tc>
          <w:tcPr>
            <w:tcW w:w="8169" w:type="dxa"/>
            <w:hideMark/>
          </w:tcPr>
          <w:p w14:paraId="763AC175" w14:textId="77777777" w:rsidR="00347931" w:rsidRPr="00032317" w:rsidRDefault="00347931" w:rsidP="00347931">
            <w:pPr>
              <w:rPr>
                <w:lang w:val="en-US"/>
              </w:rPr>
            </w:pPr>
            <w:r w:rsidRPr="00032317">
              <w:rPr>
                <w:lang w:val="en-US"/>
              </w:rPr>
              <w:t>Was the analysis sufficiently rigorous?</w:t>
            </w:r>
          </w:p>
        </w:tc>
      </w:tr>
      <w:tr w:rsidR="00347931" w:rsidRPr="00032317" w14:paraId="04988E47" w14:textId="77777777" w:rsidTr="00347931">
        <w:trPr>
          <w:trHeight w:val="376"/>
        </w:trPr>
        <w:tc>
          <w:tcPr>
            <w:tcW w:w="1278" w:type="dxa"/>
            <w:hideMark/>
          </w:tcPr>
          <w:p w14:paraId="2F2DD806" w14:textId="77777777" w:rsidR="00347931" w:rsidRPr="00032317" w:rsidRDefault="00347931" w:rsidP="00347931">
            <w:pPr>
              <w:jc w:val="center"/>
              <w:rPr>
                <w:lang w:val="en-US"/>
              </w:rPr>
            </w:pPr>
            <w:r w:rsidRPr="00032317">
              <w:rPr>
                <w:lang w:val="en-US"/>
              </w:rPr>
              <w:t>9</w:t>
            </w:r>
          </w:p>
        </w:tc>
        <w:tc>
          <w:tcPr>
            <w:tcW w:w="8169" w:type="dxa"/>
            <w:hideMark/>
          </w:tcPr>
          <w:p w14:paraId="0CC53540" w14:textId="77777777" w:rsidR="00347931" w:rsidRPr="00032317" w:rsidRDefault="00347931" w:rsidP="00347931">
            <w:pPr>
              <w:rPr>
                <w:lang w:val="en-US"/>
              </w:rPr>
            </w:pPr>
            <w:r w:rsidRPr="00032317">
              <w:rPr>
                <w:lang w:val="en-US"/>
              </w:rPr>
              <w:t>Was there a clear statement of findings?</w:t>
            </w:r>
          </w:p>
        </w:tc>
      </w:tr>
      <w:tr w:rsidR="00347931" w:rsidRPr="00032317" w14:paraId="6CC1ED33" w14:textId="77777777" w:rsidTr="00347931">
        <w:trPr>
          <w:trHeight w:val="361"/>
        </w:trPr>
        <w:tc>
          <w:tcPr>
            <w:tcW w:w="1278" w:type="dxa"/>
            <w:hideMark/>
          </w:tcPr>
          <w:p w14:paraId="6B96EBD8" w14:textId="77777777" w:rsidR="00347931" w:rsidRPr="00032317" w:rsidRDefault="00347931" w:rsidP="00347931">
            <w:pPr>
              <w:jc w:val="center"/>
              <w:rPr>
                <w:lang w:val="en-US"/>
              </w:rPr>
            </w:pPr>
            <w:r w:rsidRPr="00032317">
              <w:rPr>
                <w:lang w:val="en-US"/>
              </w:rPr>
              <w:t>10</w:t>
            </w:r>
          </w:p>
        </w:tc>
        <w:tc>
          <w:tcPr>
            <w:tcW w:w="8169" w:type="dxa"/>
            <w:hideMark/>
          </w:tcPr>
          <w:p w14:paraId="17E2A433" w14:textId="77777777" w:rsidR="00347931" w:rsidRPr="00032317" w:rsidRDefault="00347931" w:rsidP="00347931">
            <w:pPr>
              <w:rPr>
                <w:lang w:val="en-US"/>
              </w:rPr>
            </w:pPr>
            <w:r w:rsidRPr="00032317">
              <w:rPr>
                <w:lang w:val="en-US"/>
              </w:rPr>
              <w:t>How valuable was the research?</w:t>
            </w:r>
          </w:p>
        </w:tc>
      </w:tr>
    </w:tbl>
    <w:p w14:paraId="2794D0BE" w14:textId="4D871E4E" w:rsidR="00347931" w:rsidRPr="005C65A5" w:rsidRDefault="00347931" w:rsidP="00B81993">
      <w:pPr>
        <w:rPr>
          <w:rFonts w:cs="Arial"/>
        </w:rPr>
      </w:pPr>
    </w:p>
    <w:p w14:paraId="25E7402C" w14:textId="25269AFD" w:rsidR="00017BB4" w:rsidRPr="00482B3B" w:rsidRDefault="001862F2" w:rsidP="00017BB4">
      <w:pPr>
        <w:pStyle w:val="Heading2"/>
        <w:rPr>
          <w:rFonts w:cs="Arial"/>
          <w:szCs w:val="22"/>
        </w:rPr>
      </w:pPr>
      <w:bookmarkStart w:id="87" w:name="_Toc237366156"/>
      <w:bookmarkStart w:id="88" w:name="_Toc241175726"/>
      <w:r w:rsidRPr="00482B3B">
        <w:rPr>
          <w:rFonts w:cs="Arial"/>
          <w:szCs w:val="22"/>
        </w:rPr>
        <w:t>3.10 Data E</w:t>
      </w:r>
      <w:r w:rsidR="00017BB4" w:rsidRPr="00482B3B">
        <w:rPr>
          <w:rFonts w:cs="Arial"/>
          <w:szCs w:val="22"/>
        </w:rPr>
        <w:t>xtraction</w:t>
      </w:r>
      <w:bookmarkEnd w:id="87"/>
      <w:bookmarkEnd w:id="88"/>
    </w:p>
    <w:p w14:paraId="33959DD2" w14:textId="77777777" w:rsidR="00017BB4" w:rsidRPr="005C65A5" w:rsidRDefault="00017BB4" w:rsidP="00017BB4">
      <w:pPr>
        <w:rPr>
          <w:rFonts w:cs="Arial"/>
        </w:rPr>
      </w:pPr>
      <w:r w:rsidRPr="005C65A5">
        <w:rPr>
          <w:rFonts w:cs="Arial"/>
        </w:rPr>
        <w:t>A standardised Microsoft Excel form was tested and applied to all the studies included. It recorded and captured: aim, UK nation and setting, participant characteristics and age, chronic condition, digital intervention, study design, recruitment, data-collection and analysis methods, barriers, facilitators, outcomes, participant quotations, author interpretations and CASP judgements, reviewer notes. Evidence from primary participants was differentiated from the interpretation of the study author in separate columns, minimising the possibility of interpreting commentary as evidence. Each study was summarised in one row, and then detailed coded extracts were provided. The form was simplified only to clarify, but common fields have been left in place for the purpose of comparison. If there was missing information, it was noted as 'not reported'.</w:t>
      </w:r>
    </w:p>
    <w:p w14:paraId="0DD43FDC" w14:textId="62CEBBF0" w:rsidR="00017BB4" w:rsidRPr="005C6B6A" w:rsidRDefault="00017BB4" w:rsidP="00017BB4">
      <w:pPr>
        <w:pStyle w:val="Heading2"/>
        <w:rPr>
          <w:rFonts w:cs="Arial"/>
          <w:szCs w:val="22"/>
        </w:rPr>
      </w:pPr>
      <w:bookmarkStart w:id="89" w:name="_Toc237366157"/>
      <w:bookmarkStart w:id="90" w:name="_Toc241175727"/>
      <w:r w:rsidRPr="005C6B6A">
        <w:rPr>
          <w:rFonts w:cs="Arial"/>
          <w:szCs w:val="22"/>
        </w:rPr>
        <w:t xml:space="preserve">3.11 Data </w:t>
      </w:r>
      <w:r w:rsidR="00347931" w:rsidRPr="005C6B6A">
        <w:rPr>
          <w:rFonts w:cs="Arial"/>
          <w:szCs w:val="22"/>
        </w:rPr>
        <w:t xml:space="preserve">Synthesis </w:t>
      </w:r>
      <w:r w:rsidRPr="005C6B6A">
        <w:rPr>
          <w:rFonts w:cs="Arial"/>
          <w:szCs w:val="22"/>
        </w:rPr>
        <w:t xml:space="preserve">and </w:t>
      </w:r>
      <w:r w:rsidR="00347931" w:rsidRPr="005C6B6A">
        <w:rPr>
          <w:rFonts w:cs="Arial"/>
          <w:szCs w:val="22"/>
        </w:rPr>
        <w:t>Analysis</w:t>
      </w:r>
      <w:bookmarkEnd w:id="89"/>
      <w:bookmarkEnd w:id="90"/>
    </w:p>
    <w:p w14:paraId="22A281BD" w14:textId="77777777" w:rsidR="00017BB4" w:rsidRPr="005C65A5" w:rsidRDefault="00017BB4" w:rsidP="00017BB4">
      <w:pPr>
        <w:rPr>
          <w:rFonts w:cs="Arial"/>
        </w:rPr>
      </w:pPr>
      <w:r w:rsidRPr="005C65A5">
        <w:rPr>
          <w:rFonts w:cs="Arial"/>
        </w:rPr>
        <w:t>Thomas and Harden's (2008) 3-stage thematic synthesis was adopted. Initially, sections which identified findings and supporting quotations were coded in Excel using simple labels which remained close to meaning (e.g., difficulty logging in, reassurance from monitoring, family mediation or loss of personal contact). Secondly, codes that were related were clustered into categories of descriptive themes. Third, analytical themes were formed to provide a framework for understanding how individual capability, the design of the technology and interpersonal support and organisation of services were mutually enabling or disabling for effective use.</w:t>
      </w:r>
    </w:p>
    <w:p w14:paraId="4F57E695" w14:textId="77777777" w:rsidR="00017BB4" w:rsidRPr="005C65A5" w:rsidRDefault="00017BB4" w:rsidP="00017BB4">
      <w:pPr>
        <w:rPr>
          <w:rFonts w:cs="Arial"/>
        </w:rPr>
      </w:pPr>
      <w:r w:rsidRPr="005C65A5">
        <w:rPr>
          <w:rFonts w:cs="Arial"/>
        </w:rPr>
        <w:lastRenderedPageBreak/>
        <w:t>The coding process was almost entirely inductive, while the question from the review was raised about barriers, facilitators, and consequences. Both positive and negative evidence was saved for, and there was no distinction between importance and frequency. One theme had to have more than one study in it, or the concept had to be reasonably demonstrated as being important. Such conflicting cases were analysed condition-wise, technology-wise, age-wise, situation-wise, and with regard to the quality of the study, not in the sense of adopting a consensus, but analysing. Several textual quotations from any 1 paper took up a lot of material in the synthesis, which was prevented by using the study as the unit for cross-case comparison.</w:t>
      </w:r>
    </w:p>
    <w:p w14:paraId="7A35C16F" w14:textId="77777777" w:rsidR="00017BB4" w:rsidRPr="005C65A5" w:rsidRDefault="00017BB4" w:rsidP="00017BB4">
      <w:pPr>
        <w:rPr>
          <w:rFonts w:cs="Arial"/>
        </w:rPr>
      </w:pPr>
      <w:r w:rsidRPr="005C65A5">
        <w:rPr>
          <w:rFonts w:cs="Arial"/>
        </w:rPr>
        <w:t>Original extract, initial code, descriptive category and revision notes were included in the analytic trail. ENTREQ reported in a transparent fashion the choices made in search, appraisal and synthesis (Tong et al., 2012). Notes included reflexive notes in terms of how the researcher's thoughts on digital exclusion/inclusion and benefit could bias coding. Theme names and boundaries were continually reviewed against the source extracts and research question. The resulting interpretation synthesis was appropriate for Chapter 4 and traceable back to each of the 14 studies.</w:t>
      </w:r>
    </w:p>
    <w:p w14:paraId="7B4AC152" w14:textId="1F6F51A9" w:rsidR="00017BB4" w:rsidRPr="005C6B6A" w:rsidRDefault="005C6B6A" w:rsidP="00017BB4">
      <w:pPr>
        <w:pStyle w:val="Heading2"/>
        <w:rPr>
          <w:rFonts w:cs="Arial"/>
          <w:szCs w:val="22"/>
        </w:rPr>
      </w:pPr>
      <w:bookmarkStart w:id="91" w:name="_Toc237366158"/>
      <w:bookmarkStart w:id="92" w:name="_Toc241175728"/>
      <w:r>
        <w:rPr>
          <w:rFonts w:cs="Arial"/>
          <w:szCs w:val="22"/>
        </w:rPr>
        <w:t>3.12 Rigour, Bias and L</w:t>
      </w:r>
      <w:r w:rsidR="00017BB4" w:rsidRPr="005C6B6A">
        <w:rPr>
          <w:rFonts w:cs="Arial"/>
          <w:szCs w:val="22"/>
        </w:rPr>
        <w:t>imitations</w:t>
      </w:r>
      <w:bookmarkEnd w:id="91"/>
      <w:bookmarkEnd w:id="92"/>
    </w:p>
    <w:p w14:paraId="7DE76CAF" w14:textId="77777777" w:rsidR="00017BB4" w:rsidRPr="005C65A5" w:rsidRDefault="00017BB4" w:rsidP="00017BB4">
      <w:pPr>
        <w:rPr>
          <w:rFonts w:cs="Arial"/>
        </w:rPr>
      </w:pPr>
      <w:r w:rsidRPr="005C65A5">
        <w:rPr>
          <w:rFonts w:cs="Arial"/>
        </w:rPr>
        <w:t>Rigour was assisted by the use of protocol-led decisions, exact search records, duplicate control, a controlled exclusion list, structured appraisal, a standard extraction and a code-to-theme audit trail. Combining the use of several disciplinary databases eliminated coverage bias; coverage was also improved through citation checking. In cases of inconvenience, as well as when cases were found negative, the weaker studies were counted explicitly.</w:t>
      </w:r>
    </w:p>
    <w:p w14:paraId="32416631" w14:textId="34F76932" w:rsidR="00017BB4" w:rsidRPr="005C65A5" w:rsidRDefault="00017BB4" w:rsidP="00017BB4">
      <w:pPr>
        <w:rPr>
          <w:rFonts w:cs="Arial"/>
        </w:rPr>
      </w:pPr>
      <w:r w:rsidRPr="005C65A5">
        <w:rPr>
          <w:rFonts w:cs="Arial"/>
        </w:rPr>
        <w:t xml:space="preserve">Changes to search terms, boundary cases, </w:t>
      </w:r>
      <w:r w:rsidR="00347931" w:rsidRPr="005C65A5">
        <w:rPr>
          <w:rFonts w:cs="Arial"/>
        </w:rPr>
        <w:t>and judgements</w:t>
      </w:r>
      <w:r w:rsidRPr="005C65A5">
        <w:rPr>
          <w:rFonts w:cs="Arial"/>
        </w:rPr>
        <w:t xml:space="preserve"> of appraisal and revisions of themes were recorded in a decision log to enhance dependability. Before reporting analytical claims, they were compared to the extraction sheet and the original article. Cross-study matrices were used to compare the technologies, the conditions and UK settings to help differentiate a recurring barrier from an issue local to one service. Several questions about the sensitivity of the results were asked about the removal of studies with the majority of CASP concerns. Not based on prestige, journal, or sample size for inclusion. Rather, the conceptual contribution was taken into account, along with methodological constraints. These procedures contributed to the credibility, dependability, confirmability and contextual transferability, and recognised that qualitative synthesis is an interpretive act and not an aggregation of facts.</w:t>
      </w:r>
    </w:p>
    <w:p w14:paraId="11FA3FF1" w14:textId="77777777" w:rsidR="00017BB4" w:rsidRPr="005C65A5" w:rsidRDefault="00017BB4" w:rsidP="00017BB4">
      <w:pPr>
        <w:rPr>
          <w:rFonts w:cs="Arial"/>
        </w:rPr>
      </w:pPr>
      <w:r w:rsidRPr="005C65A5">
        <w:rPr>
          <w:rFonts w:cs="Arial"/>
        </w:rPr>
        <w:lastRenderedPageBreak/>
        <w:t>Important limitations remained. English-only, peer-reviewed and UK-only criteria can lead to language and publication (and geographical) bias. Some of the earlier evidence of telecare is not included in the window 2015–2025, and over time there have been significant developments in equipment and services which could reduce the applicability of older work. Digital-health terms are not standardised, and so some studies may have used unexpected terms. It was noticed that the exclusion of evidence is only quantitative; it does not allow for estimating the pooled clinical effectiveness. It explains experience and implementation. Finally, selection and interpretive bias may be introduced by the single-reviewer screening, appraisal and coding process. This is achieved by transparent documentation, making them visible but not removed.</w:t>
      </w:r>
    </w:p>
    <w:p w14:paraId="4873C7BC" w14:textId="20CB48D0" w:rsidR="00017BB4" w:rsidRPr="0078030F" w:rsidRDefault="00017BB4" w:rsidP="00017BB4">
      <w:pPr>
        <w:pStyle w:val="Heading2"/>
        <w:rPr>
          <w:rFonts w:cs="Arial"/>
          <w:szCs w:val="22"/>
        </w:rPr>
      </w:pPr>
      <w:bookmarkStart w:id="93" w:name="_Toc237366159"/>
      <w:bookmarkStart w:id="94" w:name="_Toc241175729"/>
      <w:r w:rsidRPr="0078030F">
        <w:rPr>
          <w:rFonts w:cs="Arial"/>
          <w:szCs w:val="22"/>
        </w:rPr>
        <w:t xml:space="preserve">3.13 Chapter </w:t>
      </w:r>
      <w:r w:rsidR="00347931" w:rsidRPr="0078030F">
        <w:rPr>
          <w:rFonts w:cs="Arial"/>
          <w:szCs w:val="22"/>
        </w:rPr>
        <w:t>Summary</w:t>
      </w:r>
      <w:bookmarkEnd w:id="93"/>
      <w:bookmarkEnd w:id="94"/>
    </w:p>
    <w:p w14:paraId="4A6BFDD0" w14:textId="426D66BA" w:rsidR="00017BB4" w:rsidRPr="005C65A5" w:rsidRDefault="009E1457" w:rsidP="00017BB4">
      <w:pPr>
        <w:rPr>
          <w:rFonts w:cs="Arial"/>
        </w:rPr>
      </w:pPr>
      <w:r w:rsidRPr="005C65A5">
        <w:rPr>
          <w:rFonts w:cs="Arial"/>
        </w:rPr>
        <w:t xml:space="preserve">This chapter discussed the methodology employed in the systematic review which aimed to examine the barriers and facilitators for effective implementation of digital health technologies for older adults with chronic conditions in the UK. The SPIDER methodology was applied for searching five databases and supplementary sources. Forty hundred records were identified, and fifteen reports (from 14 unique studies) were synthesized for the final report. The evidence provided was critically appraised using CASP qualitative checklist and three stages of thematic synthesis were conducted with structured data extraction. The conclusions reported in Chapter 4 were made on the basis of a transparent methodology, eligibility criteria, </w:t>
      </w:r>
      <w:r w:rsidR="00803EDC" w:rsidRPr="005C65A5">
        <w:rPr>
          <w:rFonts w:cs="Arial"/>
        </w:rPr>
        <w:t>and appraisal</w:t>
      </w:r>
      <w:r w:rsidRPr="005C65A5">
        <w:rPr>
          <w:rFonts w:cs="Arial"/>
        </w:rPr>
        <w:t xml:space="preserve"> process and synthesis approach.</w:t>
      </w:r>
    </w:p>
    <w:p w14:paraId="73A3C2D7" w14:textId="77777777" w:rsidR="00017BB4" w:rsidRPr="005C65A5" w:rsidRDefault="00017BB4">
      <w:pPr>
        <w:spacing w:line="259" w:lineRule="auto"/>
        <w:jc w:val="left"/>
        <w:rPr>
          <w:rFonts w:cs="Arial"/>
        </w:rPr>
      </w:pPr>
      <w:r w:rsidRPr="005C65A5">
        <w:rPr>
          <w:rFonts w:cs="Arial"/>
        </w:rPr>
        <w:br w:type="page"/>
      </w:r>
    </w:p>
    <w:p w14:paraId="0D9B15E8" w14:textId="77777777" w:rsidR="00017BB4" w:rsidRPr="006001C8" w:rsidRDefault="00017BB4" w:rsidP="006001C8">
      <w:pPr>
        <w:pStyle w:val="Heading1"/>
        <w:jc w:val="center"/>
        <w:rPr>
          <w:rFonts w:cs="Arial"/>
          <w:szCs w:val="22"/>
        </w:rPr>
      </w:pPr>
      <w:bookmarkStart w:id="95" w:name="_Toc237364342"/>
      <w:bookmarkStart w:id="96" w:name="_Toc241175730"/>
      <w:r w:rsidRPr="006001C8">
        <w:rPr>
          <w:rFonts w:cs="Arial"/>
          <w:szCs w:val="22"/>
        </w:rPr>
        <w:lastRenderedPageBreak/>
        <w:t>Chapter 4: Results and Discussion</w:t>
      </w:r>
      <w:bookmarkEnd w:id="95"/>
      <w:bookmarkEnd w:id="96"/>
    </w:p>
    <w:p w14:paraId="11A417A3" w14:textId="77777777" w:rsidR="00017BB4" w:rsidRPr="005E55D0" w:rsidRDefault="00017BB4" w:rsidP="00017BB4">
      <w:pPr>
        <w:pStyle w:val="Heading2"/>
        <w:rPr>
          <w:rFonts w:cs="Arial"/>
          <w:szCs w:val="22"/>
        </w:rPr>
      </w:pPr>
      <w:bookmarkStart w:id="97" w:name="_Toc237364343"/>
      <w:bookmarkStart w:id="98" w:name="_Toc241175731"/>
      <w:r w:rsidRPr="005E55D0">
        <w:rPr>
          <w:rFonts w:cs="Arial"/>
          <w:szCs w:val="22"/>
        </w:rPr>
        <w:t>4.1 Introduction</w:t>
      </w:r>
      <w:bookmarkEnd w:id="97"/>
      <w:bookmarkEnd w:id="98"/>
    </w:p>
    <w:p w14:paraId="5F2B7E16" w14:textId="5E1122D7" w:rsidR="00017BB4" w:rsidRPr="005C65A5" w:rsidRDefault="00017BB4" w:rsidP="00017BB4">
      <w:pPr>
        <w:rPr>
          <w:rFonts w:cs="Arial"/>
        </w:rPr>
      </w:pPr>
      <w:r w:rsidRPr="005C65A5">
        <w:rPr>
          <w:rFonts w:cs="Arial"/>
        </w:rPr>
        <w:t xml:space="preserve">The chapter displays the output of the systematic review and explains it with references to the question: what are the key barriers and facilitators affecting the effectiveness of digital health tools in the management of chronic conditions in the United Kingdom by older people? The report presents results in four phases, namely, study selection, characteristics and quality, thematic findings and an integrated discussion. </w:t>
      </w:r>
      <w:r w:rsidR="008A5FF2" w:rsidRPr="005C65A5">
        <w:rPr>
          <w:rFonts w:cs="Arial"/>
        </w:rPr>
        <w:t>A total of 15 articles representing 14 unique studies were included in the final synthesis</w:t>
      </w:r>
      <w:r w:rsidRPr="005C65A5">
        <w:rPr>
          <w:rFonts w:cs="Arial"/>
        </w:rPr>
        <w:t>. In a bid to avoid this double-counting, that dataset was considered as a single study in determining the breadth of supporting a theme. Citations to findings are only presented by the 15 papers used. In all the evidence, the idea of effectiveness was more extensive than clinical change: it covered meaningful access, ongoing use, self-management, reassurance, relational quality and prevention of new inequalities.</w:t>
      </w:r>
    </w:p>
    <w:p w14:paraId="229102D6" w14:textId="77777777" w:rsidR="00017BB4" w:rsidRPr="00476E82" w:rsidRDefault="00017BB4" w:rsidP="00017BB4">
      <w:pPr>
        <w:pStyle w:val="Heading2"/>
        <w:rPr>
          <w:rFonts w:cs="Arial"/>
          <w:szCs w:val="22"/>
        </w:rPr>
      </w:pPr>
      <w:bookmarkStart w:id="99" w:name="_Toc237364344"/>
      <w:bookmarkStart w:id="100" w:name="_Toc241175732"/>
      <w:r w:rsidRPr="00476E82">
        <w:rPr>
          <w:rFonts w:cs="Arial"/>
          <w:szCs w:val="22"/>
        </w:rPr>
        <w:t>4.2 Systematic Search Results</w:t>
      </w:r>
      <w:bookmarkEnd w:id="99"/>
      <w:bookmarkEnd w:id="100"/>
    </w:p>
    <w:p w14:paraId="30269459" w14:textId="1529A025" w:rsidR="00017BB4" w:rsidRPr="005C65A5" w:rsidRDefault="00911EF4" w:rsidP="00017BB4">
      <w:pPr>
        <w:rPr>
          <w:rFonts w:cs="Arial"/>
        </w:rPr>
      </w:pPr>
      <w:r w:rsidRPr="005C65A5">
        <w:rPr>
          <w:rFonts w:cs="Arial"/>
        </w:rPr>
        <w:t>Total number of records retrieved in the systematic search was 400 in the selected databases and supplementary search. After screening and eligibility criteria, the final synthesis included 15 reports based on 14 different studies. The reports included here cover the period from 2015 to 2025. All of this work on study selection is summarized on Figure 4.1 (screening, retrieval, reasons for excluding and assessment of eligibility). In the synthesis all 15 reports were included; however, in some studies, wider population groups were analysed and findings were only used that were relevant to older people or related to digital health access or long-term conditions.</w:t>
      </w:r>
    </w:p>
    <w:p w14:paraId="2C01AA0C" w14:textId="2DFA0FE7" w:rsidR="00347931" w:rsidRPr="0060384E" w:rsidRDefault="00017BB4" w:rsidP="00347931">
      <w:r w:rsidRPr="005C65A5">
        <w:rPr>
          <w:rFonts w:cs="Arial"/>
        </w:rPr>
        <w:br w:type="page"/>
      </w:r>
      <w:r w:rsidR="00347931" w:rsidRPr="0060384E">
        <w:lastRenderedPageBreak/>
        <w:t xml:space="preserve">Figure 4.1. PRISMA </w:t>
      </w:r>
      <w:r w:rsidR="00D02E92" w:rsidRPr="0060384E">
        <w:t xml:space="preserve">Flow </w:t>
      </w:r>
      <w:r w:rsidR="00347931" w:rsidRPr="0060384E">
        <w:t xml:space="preserve">of </w:t>
      </w:r>
      <w:r w:rsidR="00D02E92" w:rsidRPr="0060384E">
        <w:t>Study Selection</w:t>
      </w:r>
    </w:p>
    <w:p w14:paraId="56E54907" w14:textId="77777777" w:rsidR="00347931" w:rsidRPr="0060384E" w:rsidRDefault="00347931" w:rsidP="00347931">
      <w:pPr>
        <w:spacing w:after="0" w:line="240" w:lineRule="auto"/>
      </w:pPr>
      <w:r w:rsidRPr="0060384E">
        <w:rPr>
          <w:noProof/>
          <w:lang w:val="en-US"/>
        </w:rPr>
        <mc:AlternateContent>
          <mc:Choice Requires="wps">
            <w:drawing>
              <wp:anchor distT="0" distB="0" distL="114300" distR="114300" simplePos="0" relativeHeight="251668480" behindDoc="0" locked="0" layoutInCell="1" allowOverlap="1" wp14:anchorId="36DB19D2" wp14:editId="0E7A4E7B">
                <wp:simplePos x="0" y="0"/>
                <wp:positionH relativeFrom="column">
                  <wp:posOffset>566928</wp:posOffset>
                </wp:positionH>
                <wp:positionV relativeFrom="paragraph">
                  <wp:posOffset>74245</wp:posOffset>
                </wp:positionV>
                <wp:extent cx="4345229" cy="262966"/>
                <wp:effectExtent l="0" t="0" r="17780" b="22860"/>
                <wp:wrapNone/>
                <wp:docPr id="29" name="Flowchart: Alternate Process 29"/>
                <wp:cNvGraphicFramePr/>
                <a:graphic xmlns:a="http://schemas.openxmlformats.org/drawingml/2006/main">
                  <a:graphicData uri="http://schemas.microsoft.com/office/word/2010/wordprocessingShape">
                    <wps:wsp>
                      <wps:cNvSpPr/>
                      <wps:spPr>
                        <a:xfrm>
                          <a:off x="0" y="0"/>
                          <a:ext cx="4345229" cy="262966"/>
                        </a:xfrm>
                        <a:prstGeom prst="flowChartAlternateProcess">
                          <a:avLst/>
                        </a:prstGeom>
                        <a:solidFill>
                          <a:srgbClr val="FFC000"/>
                        </a:solidFill>
                        <a:ln w="12700" cap="flat" cmpd="sng" algn="ctr">
                          <a:solidFill>
                            <a:srgbClr val="FFC000">
                              <a:shade val="50000"/>
                            </a:srgbClr>
                          </a:solidFill>
                          <a:prstDash val="solid"/>
                          <a:miter lim="800000"/>
                        </a:ln>
                        <a:effectLst/>
                      </wps:spPr>
                      <wps:txbx>
                        <w:txbxContent>
                          <w:p w14:paraId="5F49EA94" w14:textId="77777777" w:rsidR="002B4D9F" w:rsidRPr="001502CF" w:rsidRDefault="002B4D9F" w:rsidP="00347931">
                            <w:pPr>
                              <w:spacing w:after="0" w:line="240" w:lineRule="auto"/>
                              <w:jc w:val="center"/>
                              <w:rPr>
                                <w:rFonts w:cs="Arial"/>
                                <w:b/>
                                <w:color w:val="000000" w:themeColor="text1"/>
                                <w:sz w:val="18"/>
                                <w:szCs w:val="18"/>
                              </w:rPr>
                            </w:pPr>
                            <w:r w:rsidRPr="001502CF">
                              <w:rPr>
                                <w:rFonts w:cs="Arial"/>
                                <w:b/>
                                <w:color w:val="000000" w:themeColor="text1"/>
                                <w:sz w:val="18"/>
                                <w:szCs w:val="18"/>
                              </w:rPr>
                              <w:t>Identification of studies</w:t>
                            </w:r>
                            <w:r>
                              <w:rPr>
                                <w:rFonts w:cs="Arial"/>
                                <w:b/>
                                <w:color w:val="000000" w:themeColor="text1"/>
                                <w:sz w:val="18"/>
                                <w:szCs w:val="18"/>
                              </w:rPr>
                              <w:t xml:space="preserve"> via databases and registers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6DB19D2"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Flowchart: Alternate Process 29" o:spid="_x0000_s1026" type="#_x0000_t176" style="position:absolute;left:0;text-align:left;margin-left:44.65pt;margin-top:5.85pt;width:342.15pt;height:20.7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" fillcolor="#ffc000" strokecolor="#bc8c00" strokeweight="1pt">
                <v:textbox>
                  <w:txbxContent>
                    <w:p w14:paraId="5F49EA94" w14:textId="77777777" w:rsidR="002B4D9F" w:rsidRPr="001502CF" w:rsidRDefault="002B4D9F" w:rsidP="00347931">
                      <w:pPr>
                        <w:spacing w:after="0" w:line="240" w:lineRule="auto"/>
                        <w:jc w:val="center"/>
                        <w:rPr>
                          <w:rFonts w:cs="Arial"/>
                          <w:b/>
                          <w:color w:val="000000" w:themeColor="text1"/>
                          <w:sz w:val="18"/>
                          <w:szCs w:val="18"/>
                        </w:rPr>
                      </w:pPr>
                      <w:r w:rsidRPr="001502CF">
                        <w:rPr>
                          <w:rFonts w:cs="Arial"/>
                          <w:b/>
                          <w:color w:val="000000" w:themeColor="text1"/>
                          <w:sz w:val="18"/>
                          <w:szCs w:val="18"/>
                        </w:rPr>
                        <w:t>Identification of studies</w:t>
                      </w:r>
                      <w:r>
                        <w:rPr>
                          <w:rFonts w:cs="Arial"/>
                          <w:b/>
                          <w:color w:val="000000" w:themeColor="text1"/>
                          <w:sz w:val="18"/>
                          <w:szCs w:val="18"/>
                        </w:rPr>
                        <w:t xml:space="preserve"> via databases and registers</w:t>
                      </w:r>
                    </w:p>
                  </w:txbxContent>
                </v:textbox>
              </v:shape>
            </w:pict>
          </mc:Fallback>
        </mc:AlternateContent>
      </w:r>
    </w:p>
    <w:p w14:paraId="352F7400" w14:textId="77777777" w:rsidR="00347931" w:rsidRPr="0060384E" w:rsidRDefault="00347931" w:rsidP="00347931">
      <w:pPr>
        <w:spacing w:after="0" w:line="240" w:lineRule="auto"/>
      </w:pPr>
    </w:p>
    <w:p w14:paraId="7881F166" w14:textId="77777777" w:rsidR="00347931" w:rsidRPr="0060384E" w:rsidRDefault="00347931" w:rsidP="00347931">
      <w:pPr>
        <w:spacing w:after="0" w:line="240" w:lineRule="auto"/>
      </w:pPr>
      <w:r w:rsidRPr="0060384E">
        <w:rPr>
          <w:noProof/>
          <w:lang w:val="en-US"/>
        </w:rPr>
        <mc:AlternateContent>
          <mc:Choice Requires="wps">
            <w:drawing>
              <wp:anchor distT="0" distB="0" distL="114300" distR="114300" simplePos="0" relativeHeight="251635712" behindDoc="0" locked="0" layoutInCell="1" allowOverlap="1" wp14:anchorId="05217936" wp14:editId="7033CCC1">
                <wp:simplePos x="0" y="0"/>
                <wp:positionH relativeFrom="column">
                  <wp:posOffset>3039466</wp:posOffset>
                </wp:positionH>
                <wp:positionV relativeFrom="paragraph">
                  <wp:posOffset>77064</wp:posOffset>
                </wp:positionV>
                <wp:extent cx="1887220" cy="1242999"/>
                <wp:effectExtent l="0" t="0" r="17780" b="14605"/>
                <wp:wrapNone/>
                <wp:docPr id="5" name="Rectangle 5"/>
                <wp:cNvGraphicFramePr/>
                <a:graphic xmlns:a="http://schemas.openxmlformats.org/drawingml/2006/main">
                  <a:graphicData uri="http://schemas.microsoft.com/office/word/2010/wordprocessingShape">
                    <wps:wsp>
                      <wps:cNvSpPr/>
                      <wps:spPr>
                        <a:xfrm>
                          <a:off x="0" y="0"/>
                          <a:ext cx="1887220" cy="1242999"/>
                        </a:xfrm>
                        <a:prstGeom prst="rect">
                          <a:avLst/>
                        </a:prstGeom>
                        <a:noFill/>
                        <a:ln w="12700" cap="flat" cmpd="sng" algn="ctr">
                          <a:solidFill>
                            <a:sysClr val="windowText" lastClr="000000"/>
                          </a:solidFill>
                          <a:prstDash val="solid"/>
                          <a:miter lim="800000"/>
                        </a:ln>
                        <a:effectLst/>
                      </wps:spPr>
                      <wps:txbx>
                        <w:txbxContent>
                          <w:p w14:paraId="23226BF0" w14:textId="77777777" w:rsidR="002B4D9F" w:rsidRPr="00042032" w:rsidRDefault="002B4D9F" w:rsidP="00347931">
                            <w:pPr>
                              <w:spacing w:after="0" w:line="240" w:lineRule="auto"/>
                              <w:rPr>
                                <w:rFonts w:cs="Arial"/>
                                <w:color w:val="000000" w:themeColor="text1"/>
                                <w:szCs w:val="24"/>
                              </w:rPr>
                            </w:pPr>
                            <w:r w:rsidRPr="00042032">
                              <w:rPr>
                                <w:rFonts w:cs="Arial"/>
                                <w:color w:val="000000" w:themeColor="text1"/>
                                <w:sz w:val="18"/>
                                <w:szCs w:val="18"/>
                              </w:rPr>
                              <w:t>Records removed before screening:</w:t>
                            </w:r>
                          </w:p>
                          <w:p w14:paraId="7A93A84E" w14:textId="77777777" w:rsidR="002B4D9F" w:rsidRPr="00042032" w:rsidRDefault="002B4D9F" w:rsidP="00347931">
                            <w:pPr>
                              <w:spacing w:after="0" w:line="240" w:lineRule="auto"/>
                              <w:rPr>
                                <w:rFonts w:cs="Arial"/>
                                <w:color w:val="000000" w:themeColor="text1"/>
                                <w:szCs w:val="24"/>
                              </w:rPr>
                            </w:pPr>
                            <w:r w:rsidRPr="00042032">
                              <w:rPr>
                                <w:rFonts w:cs="Arial"/>
                                <w:color w:val="000000" w:themeColor="text1"/>
                                <w:sz w:val="18"/>
                                <w:szCs w:val="18"/>
                              </w:rPr>
                              <w:t xml:space="preserve">Duplicate records removed (n = </w:t>
                            </w:r>
                            <w:r>
                              <w:rPr>
                                <w:rFonts w:cs="Arial"/>
                                <w:color w:val="000000" w:themeColor="text1"/>
                                <w:sz w:val="18"/>
                                <w:szCs w:val="18"/>
                              </w:rPr>
                              <w:t>30</w:t>
                            </w:r>
                            <w:r w:rsidRPr="00042032">
                              <w:rPr>
                                <w:rFonts w:cs="Arial"/>
                                <w:color w:val="000000" w:themeColor="text1"/>
                                <w:sz w:val="18"/>
                                <w:szCs w:val="18"/>
                              </w:rPr>
                              <w:t>)</w:t>
                            </w:r>
                          </w:p>
                          <w:p w14:paraId="0DACBB8A" w14:textId="77777777" w:rsidR="002B4D9F" w:rsidRPr="00042032" w:rsidRDefault="002B4D9F" w:rsidP="00347931">
                            <w:pPr>
                              <w:spacing w:after="0" w:line="240" w:lineRule="auto"/>
                              <w:rPr>
                                <w:rFonts w:cs="Arial"/>
                                <w:color w:val="000000" w:themeColor="text1"/>
                                <w:szCs w:val="24"/>
                              </w:rPr>
                            </w:pPr>
                            <w:r w:rsidRPr="00042032">
                              <w:rPr>
                                <w:rFonts w:cs="Arial"/>
                                <w:color w:val="000000" w:themeColor="text1"/>
                                <w:sz w:val="18"/>
                                <w:szCs w:val="18"/>
                              </w:rPr>
                              <w:t xml:space="preserve">Records marked as ineligible by automation tools (n = </w:t>
                            </w:r>
                            <w:r>
                              <w:rPr>
                                <w:rFonts w:cs="Arial"/>
                                <w:color w:val="000000" w:themeColor="text1"/>
                                <w:sz w:val="18"/>
                                <w:szCs w:val="18"/>
                              </w:rPr>
                              <w:t>20</w:t>
                            </w:r>
                            <w:r w:rsidRPr="00042032">
                              <w:rPr>
                                <w:rFonts w:cs="Arial"/>
                                <w:color w:val="000000" w:themeColor="text1"/>
                                <w:sz w:val="18"/>
                                <w:szCs w:val="18"/>
                              </w:rPr>
                              <w:t>)</w:t>
                            </w:r>
                          </w:p>
                          <w:p w14:paraId="36A352B5" w14:textId="77777777" w:rsidR="002B4D9F" w:rsidRPr="00042032" w:rsidRDefault="002B4D9F" w:rsidP="00347931">
                            <w:pPr>
                              <w:spacing w:after="0" w:line="240" w:lineRule="auto"/>
                              <w:rPr>
                                <w:rFonts w:cs="Arial"/>
                                <w:color w:val="000000" w:themeColor="text1"/>
                                <w:szCs w:val="24"/>
                              </w:rPr>
                            </w:pPr>
                            <w:r w:rsidRPr="00042032">
                              <w:rPr>
                                <w:rFonts w:cs="Arial"/>
                                <w:color w:val="000000" w:themeColor="text1"/>
                                <w:sz w:val="18"/>
                                <w:szCs w:val="18"/>
                              </w:rPr>
                              <w:t xml:space="preserve">Records removed for other reasons (n = </w:t>
                            </w:r>
                            <w:r>
                              <w:rPr>
                                <w:rFonts w:cs="Arial"/>
                                <w:color w:val="000000" w:themeColor="text1"/>
                                <w:sz w:val="18"/>
                                <w:szCs w:val="18"/>
                              </w:rPr>
                              <w:t>15</w:t>
                            </w:r>
                            <w:r w:rsidRPr="00042032">
                              <w:rPr>
                                <w:rFonts w:cs="Arial"/>
                                <w:color w:val="000000" w:themeColor="text1"/>
                                <w:sz w:val="18"/>
                                <w:szCs w:val="18"/>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5217936" id="Rectangle 5" o:spid="_x0000_s1027" style="position:absolute;left:0;text-align:left;margin-left:239.35pt;margin-top:6.05pt;width:148.6pt;height:97.85pt;z-index:251635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" filled="f" strokecolor="windowText" strokeweight="1pt">
                <v:textbox>
                  <w:txbxContent>
                    <w:p w14:paraId="23226BF0" w14:textId="77777777" w:rsidR="002B4D9F" w:rsidRPr="00042032" w:rsidRDefault="002B4D9F" w:rsidP="00347931">
                      <w:pPr>
                        <w:spacing w:after="0" w:line="240" w:lineRule="auto"/>
                        <w:rPr>
                          <w:rFonts w:cs="Arial"/>
                          <w:color w:val="000000" w:themeColor="text1"/>
                          <w:szCs w:val="24"/>
                        </w:rPr>
                      </w:pPr>
                      <w:r w:rsidRPr="00042032">
                        <w:rPr>
                          <w:rFonts w:cs="Arial"/>
                          <w:color w:val="000000" w:themeColor="text1"/>
                          <w:sz w:val="18"/>
                          <w:szCs w:val="18"/>
                        </w:rPr>
                        <w:t>Records removed before screening:</w:t>
                      </w:r>
                    </w:p>
                    <w:p w14:paraId="7A93A84E" w14:textId="77777777" w:rsidR="002B4D9F" w:rsidRPr="00042032" w:rsidRDefault="002B4D9F" w:rsidP="00347931">
                      <w:pPr>
                        <w:spacing w:after="0" w:line="240" w:lineRule="auto"/>
                        <w:rPr>
                          <w:rFonts w:cs="Arial"/>
                          <w:color w:val="000000" w:themeColor="text1"/>
                          <w:szCs w:val="24"/>
                        </w:rPr>
                      </w:pPr>
                      <w:r w:rsidRPr="00042032">
                        <w:rPr>
                          <w:rFonts w:cs="Arial"/>
                          <w:color w:val="000000" w:themeColor="text1"/>
                          <w:sz w:val="18"/>
                          <w:szCs w:val="18"/>
                        </w:rPr>
                        <w:t xml:space="preserve">Duplicate records removed (n = </w:t>
                      </w:r>
                      <w:r>
                        <w:rPr>
                          <w:rFonts w:cs="Arial"/>
                          <w:color w:val="000000" w:themeColor="text1"/>
                          <w:sz w:val="18"/>
                          <w:szCs w:val="18"/>
                        </w:rPr>
                        <w:t>30</w:t>
                      </w:r>
                      <w:r w:rsidRPr="00042032">
                        <w:rPr>
                          <w:rFonts w:cs="Arial"/>
                          <w:color w:val="000000" w:themeColor="text1"/>
                          <w:sz w:val="18"/>
                          <w:szCs w:val="18"/>
                        </w:rPr>
                        <w:t>)</w:t>
                      </w:r>
                    </w:p>
                    <w:p w14:paraId="0DACBB8A" w14:textId="77777777" w:rsidR="002B4D9F" w:rsidRPr="00042032" w:rsidRDefault="002B4D9F" w:rsidP="00347931">
                      <w:pPr>
                        <w:spacing w:after="0" w:line="240" w:lineRule="auto"/>
                        <w:rPr>
                          <w:rFonts w:cs="Arial"/>
                          <w:color w:val="000000" w:themeColor="text1"/>
                          <w:szCs w:val="24"/>
                        </w:rPr>
                      </w:pPr>
                      <w:r w:rsidRPr="00042032">
                        <w:rPr>
                          <w:rFonts w:cs="Arial"/>
                          <w:color w:val="000000" w:themeColor="text1"/>
                          <w:sz w:val="18"/>
                          <w:szCs w:val="18"/>
                        </w:rPr>
                        <w:t xml:space="preserve">Records marked as ineligible by automation tools (n = </w:t>
                      </w:r>
                      <w:r>
                        <w:rPr>
                          <w:rFonts w:cs="Arial"/>
                          <w:color w:val="000000" w:themeColor="text1"/>
                          <w:sz w:val="18"/>
                          <w:szCs w:val="18"/>
                        </w:rPr>
                        <w:t>20</w:t>
                      </w:r>
                      <w:r w:rsidRPr="00042032">
                        <w:rPr>
                          <w:rFonts w:cs="Arial"/>
                          <w:color w:val="000000" w:themeColor="text1"/>
                          <w:sz w:val="18"/>
                          <w:szCs w:val="18"/>
                        </w:rPr>
                        <w:t>)</w:t>
                      </w:r>
                    </w:p>
                    <w:p w14:paraId="36A352B5" w14:textId="77777777" w:rsidR="002B4D9F" w:rsidRPr="00042032" w:rsidRDefault="002B4D9F" w:rsidP="00347931">
                      <w:pPr>
                        <w:spacing w:after="0" w:line="240" w:lineRule="auto"/>
                        <w:rPr>
                          <w:rFonts w:cs="Arial"/>
                          <w:color w:val="000000" w:themeColor="text1"/>
                          <w:szCs w:val="24"/>
                        </w:rPr>
                      </w:pPr>
                      <w:r w:rsidRPr="00042032">
                        <w:rPr>
                          <w:rFonts w:cs="Arial"/>
                          <w:color w:val="000000" w:themeColor="text1"/>
                          <w:sz w:val="18"/>
                          <w:szCs w:val="18"/>
                        </w:rPr>
                        <w:t xml:space="preserve">Records removed for other reasons (n = </w:t>
                      </w:r>
                      <w:r>
                        <w:rPr>
                          <w:rFonts w:cs="Arial"/>
                          <w:color w:val="000000" w:themeColor="text1"/>
                          <w:sz w:val="18"/>
                          <w:szCs w:val="18"/>
                        </w:rPr>
                        <w:t>15</w:t>
                      </w:r>
                      <w:r w:rsidRPr="00042032">
                        <w:rPr>
                          <w:rFonts w:cs="Arial"/>
                          <w:color w:val="000000" w:themeColor="text1"/>
                          <w:sz w:val="18"/>
                          <w:szCs w:val="18"/>
                        </w:rPr>
                        <w:t>)</w:t>
                      </w:r>
                    </w:p>
                  </w:txbxContent>
                </v:textbox>
              </v:rect>
            </w:pict>
          </mc:Fallback>
        </mc:AlternateContent>
      </w:r>
      <w:r w:rsidRPr="0060384E">
        <w:rPr>
          <w:noProof/>
          <w:lang w:val="en-US"/>
        </w:rPr>
        <mc:AlternateContent>
          <mc:Choice Requires="wps">
            <w:drawing>
              <wp:anchor distT="0" distB="0" distL="114300" distR="114300" simplePos="0" relativeHeight="251633664" behindDoc="0" locked="0" layoutInCell="1" allowOverlap="1" wp14:anchorId="0E42F48A" wp14:editId="39ABFF51">
                <wp:simplePos x="0" y="0"/>
                <wp:positionH relativeFrom="column">
                  <wp:posOffset>559613</wp:posOffset>
                </wp:positionH>
                <wp:positionV relativeFrom="paragraph">
                  <wp:posOffset>77064</wp:posOffset>
                </wp:positionV>
                <wp:extent cx="1887220" cy="1243584"/>
                <wp:effectExtent l="0" t="0" r="17780" b="13970"/>
                <wp:wrapNone/>
                <wp:docPr id="9" name="Rectangle 9"/>
                <wp:cNvGraphicFramePr/>
                <a:graphic xmlns:a="http://schemas.openxmlformats.org/drawingml/2006/main">
                  <a:graphicData uri="http://schemas.microsoft.com/office/word/2010/wordprocessingShape">
                    <wps:wsp>
                      <wps:cNvSpPr/>
                      <wps:spPr>
                        <a:xfrm>
                          <a:off x="0" y="0"/>
                          <a:ext cx="1887220" cy="1243584"/>
                        </a:xfrm>
                        <a:prstGeom prst="rect">
                          <a:avLst/>
                        </a:prstGeom>
                        <a:noFill/>
                        <a:ln w="12700" cap="flat" cmpd="sng" algn="ctr">
                          <a:solidFill>
                            <a:sysClr val="windowText" lastClr="000000"/>
                          </a:solidFill>
                          <a:prstDash val="solid"/>
                          <a:miter lim="800000"/>
                        </a:ln>
                        <a:effectLst/>
                      </wps:spPr>
                      <wps:txbx>
                        <w:txbxContent>
                          <w:p w14:paraId="0EA9984D" w14:textId="77777777" w:rsidR="002B4D9F" w:rsidRPr="00042032" w:rsidRDefault="002B4D9F" w:rsidP="00347931">
                            <w:pPr>
                              <w:spacing w:after="0" w:line="240" w:lineRule="auto"/>
                              <w:rPr>
                                <w:rFonts w:cs="Arial"/>
                                <w:color w:val="000000" w:themeColor="text1"/>
                                <w:szCs w:val="24"/>
                              </w:rPr>
                            </w:pPr>
                            <w:r w:rsidRPr="00042032">
                              <w:rPr>
                                <w:rFonts w:cs="Arial"/>
                                <w:color w:val="000000" w:themeColor="text1"/>
                                <w:sz w:val="18"/>
                                <w:szCs w:val="18"/>
                              </w:rPr>
                              <w:t>Records identified from*:</w:t>
                            </w:r>
                          </w:p>
                          <w:p w14:paraId="1B447454" w14:textId="77777777" w:rsidR="002B4D9F" w:rsidRPr="00042032" w:rsidRDefault="002B4D9F" w:rsidP="00347931">
                            <w:pPr>
                              <w:spacing w:after="0" w:line="240" w:lineRule="auto"/>
                              <w:rPr>
                                <w:rFonts w:cs="Arial"/>
                                <w:color w:val="000000" w:themeColor="text1"/>
                                <w:szCs w:val="24"/>
                              </w:rPr>
                            </w:pPr>
                            <w:r w:rsidRPr="003933EF">
                              <w:rPr>
                                <w:rFonts w:cs="Arial"/>
                                <w:color w:val="000000" w:themeColor="text1"/>
                                <w:sz w:val="18"/>
                                <w:szCs w:val="18"/>
                              </w:rPr>
                              <w:t>Databases (n = 400)</w:t>
                            </w:r>
                          </w:p>
                          <w:p w14:paraId="2C2F7064" w14:textId="77777777" w:rsidR="002B4D9F" w:rsidRPr="00042032" w:rsidRDefault="002B4D9F" w:rsidP="00347931">
                            <w:pPr>
                              <w:spacing w:after="0" w:line="240" w:lineRule="auto"/>
                              <w:rPr>
                                <w:rFonts w:cs="Arial"/>
                                <w:color w:val="000000" w:themeColor="text1"/>
                                <w:szCs w:val="24"/>
                              </w:rPr>
                            </w:pPr>
                            <w:r w:rsidRPr="00042032">
                              <w:rPr>
                                <w:rFonts w:cs="Arial"/>
                                <w:color w:val="000000" w:themeColor="text1"/>
                                <w:sz w:val="18"/>
                                <w:szCs w:val="18"/>
                              </w:rPr>
                              <w:t>Registers (n = 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E42F48A" id="Rectangle 9" o:spid="_x0000_s1028" style="position:absolute;left:0;text-align:left;margin-left:44.05pt;margin-top:6.05pt;width:148.6pt;height:97.9pt;z-index:251633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" filled="f" strokecolor="windowText" strokeweight="1pt">
                <v:textbox>
                  <w:txbxContent>
                    <w:p w14:paraId="0EA9984D" w14:textId="77777777" w:rsidR="002B4D9F" w:rsidRPr="00042032" w:rsidRDefault="002B4D9F" w:rsidP="00347931">
                      <w:pPr>
                        <w:spacing w:after="0" w:line="240" w:lineRule="auto"/>
                        <w:rPr>
                          <w:rFonts w:cs="Arial"/>
                          <w:color w:val="000000" w:themeColor="text1"/>
                          <w:szCs w:val="24"/>
                        </w:rPr>
                      </w:pPr>
                      <w:r w:rsidRPr="00042032">
                        <w:rPr>
                          <w:rFonts w:cs="Arial"/>
                          <w:color w:val="000000" w:themeColor="text1"/>
                          <w:sz w:val="18"/>
                          <w:szCs w:val="18"/>
                        </w:rPr>
                        <w:t>Records identified from*:</w:t>
                      </w:r>
                    </w:p>
                    <w:p w14:paraId="1B447454" w14:textId="77777777" w:rsidR="002B4D9F" w:rsidRPr="00042032" w:rsidRDefault="002B4D9F" w:rsidP="00347931">
                      <w:pPr>
                        <w:spacing w:after="0" w:line="240" w:lineRule="auto"/>
                        <w:rPr>
                          <w:rFonts w:cs="Arial"/>
                          <w:color w:val="000000" w:themeColor="text1"/>
                          <w:szCs w:val="24"/>
                        </w:rPr>
                      </w:pPr>
                      <w:r w:rsidRPr="003933EF">
                        <w:rPr>
                          <w:rFonts w:cs="Arial"/>
                          <w:color w:val="000000" w:themeColor="text1"/>
                          <w:sz w:val="18"/>
                          <w:szCs w:val="18"/>
                        </w:rPr>
                        <w:t>Databases (n = 400)</w:t>
                      </w:r>
                    </w:p>
                    <w:p w14:paraId="2C2F7064" w14:textId="77777777" w:rsidR="002B4D9F" w:rsidRPr="00042032" w:rsidRDefault="002B4D9F" w:rsidP="00347931">
                      <w:pPr>
                        <w:spacing w:after="0" w:line="240" w:lineRule="auto"/>
                        <w:rPr>
                          <w:rFonts w:cs="Arial"/>
                          <w:color w:val="000000" w:themeColor="text1"/>
                          <w:szCs w:val="24"/>
                        </w:rPr>
                      </w:pPr>
                      <w:r w:rsidRPr="00042032">
                        <w:rPr>
                          <w:rFonts w:cs="Arial"/>
                          <w:color w:val="000000" w:themeColor="text1"/>
                          <w:sz w:val="18"/>
                          <w:szCs w:val="18"/>
                        </w:rPr>
                        <w:t>Registers (n = 0)</w:t>
                      </w:r>
                    </w:p>
                  </w:txbxContent>
                </v:textbox>
              </v:rect>
            </w:pict>
          </mc:Fallback>
        </mc:AlternateContent>
      </w:r>
    </w:p>
    <w:p w14:paraId="2C16C83F" w14:textId="77777777" w:rsidR="00347931" w:rsidRPr="0060384E" w:rsidRDefault="00347931" w:rsidP="00347931">
      <w:pPr>
        <w:spacing w:after="0" w:line="240" w:lineRule="auto"/>
      </w:pPr>
    </w:p>
    <w:p w14:paraId="010CEBD6" w14:textId="77777777" w:rsidR="00347931" w:rsidRPr="0060384E" w:rsidRDefault="00347931" w:rsidP="00347931">
      <w:pPr>
        <w:spacing w:after="0" w:line="240" w:lineRule="auto"/>
      </w:pPr>
      <w:r w:rsidRPr="0060384E">
        <w:rPr>
          <w:noProof/>
          <w:lang w:val="en-US"/>
        </w:rPr>
        <mc:AlternateContent>
          <mc:Choice Requires="wps">
            <w:drawing>
              <wp:anchor distT="0" distB="0" distL="114300" distR="114300" simplePos="0" relativeHeight="251670528" behindDoc="0" locked="0" layoutInCell="1" allowOverlap="1" wp14:anchorId="166E8E36" wp14:editId="2A52618B">
                <wp:simplePos x="0" y="0"/>
                <wp:positionH relativeFrom="column">
                  <wp:posOffset>-403543</wp:posOffset>
                </wp:positionH>
                <wp:positionV relativeFrom="paragraph">
                  <wp:posOffset>222567</wp:posOffset>
                </wp:positionV>
                <wp:extent cx="1276985" cy="262890"/>
                <wp:effectExtent l="0" t="7302" r="11112" b="11113"/>
                <wp:wrapNone/>
                <wp:docPr id="31" name="Flowchart: Alternate Process 31"/>
                <wp:cNvGraphicFramePr/>
                <a:graphic xmlns:a="http://schemas.openxmlformats.org/drawingml/2006/main">
                  <a:graphicData uri="http://schemas.microsoft.com/office/word/2010/wordprocessingShape">
                    <wps:wsp>
                      <wps:cNvSpPr/>
                      <wps:spPr>
                        <a:xfrm rot="16200000">
                          <a:off x="0" y="0"/>
                          <a:ext cx="1276985" cy="262890"/>
                        </a:xfrm>
                        <a:prstGeom prst="flowChartAlternateProcess">
                          <a:avLst/>
                        </a:prstGeom>
                        <a:solidFill>
                          <a:srgbClr val="4472C4">
                            <a:lumMod val="60000"/>
                            <a:lumOff val="40000"/>
                          </a:srgbClr>
                        </a:solidFill>
                        <a:ln w="12700" cap="flat" cmpd="sng" algn="ctr">
                          <a:solidFill>
                            <a:sysClr val="windowText" lastClr="000000"/>
                          </a:solidFill>
                          <a:prstDash val="solid"/>
                          <a:miter lim="800000"/>
                        </a:ln>
                        <a:effectLst/>
                      </wps:spPr>
                      <wps:txbx>
                        <w:txbxContent>
                          <w:p w14:paraId="5A95ABCE" w14:textId="77777777" w:rsidR="002B4D9F" w:rsidRPr="001502CF" w:rsidRDefault="002B4D9F" w:rsidP="00347931">
                            <w:pPr>
                              <w:spacing w:after="0" w:line="240" w:lineRule="auto"/>
                              <w:jc w:val="center"/>
                              <w:rPr>
                                <w:rFonts w:cs="Arial"/>
                                <w:b/>
                                <w:color w:val="000000" w:themeColor="text1"/>
                                <w:sz w:val="18"/>
                                <w:szCs w:val="18"/>
                              </w:rPr>
                            </w:pPr>
                            <w:r w:rsidRPr="001502CF">
                              <w:rPr>
                                <w:rFonts w:cs="Arial"/>
                                <w:b/>
                                <w:color w:val="000000" w:themeColor="text1"/>
                                <w:sz w:val="18"/>
                                <w:szCs w:val="18"/>
                              </w:rPr>
                              <w:t>Identification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66E8E36" id="Flowchart: Alternate Process 31" o:spid="_x0000_s1029" type="#_x0000_t176" style="position:absolute;left:0;text-align:left;margin-left:-31.8pt;margin-top:17.5pt;width:100.55pt;height:20.7pt;rotation:-90;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" fillcolor="#8faadc" strokecolor="windowText" strokeweight="1pt">
                <v:textbox>
                  <w:txbxContent>
                    <w:p w14:paraId="5A95ABCE" w14:textId="77777777" w:rsidR="002B4D9F" w:rsidRPr="001502CF" w:rsidRDefault="002B4D9F" w:rsidP="00347931">
                      <w:pPr>
                        <w:spacing w:after="0" w:line="240" w:lineRule="auto"/>
                        <w:jc w:val="center"/>
                        <w:rPr>
                          <w:rFonts w:cs="Arial"/>
                          <w:b/>
                          <w:color w:val="000000" w:themeColor="text1"/>
                          <w:sz w:val="18"/>
                          <w:szCs w:val="18"/>
                        </w:rPr>
                      </w:pPr>
                      <w:r w:rsidRPr="001502CF">
                        <w:rPr>
                          <w:rFonts w:cs="Arial"/>
                          <w:b/>
                          <w:color w:val="000000" w:themeColor="text1"/>
                          <w:sz w:val="18"/>
                          <w:szCs w:val="18"/>
                        </w:rPr>
                        <w:t>Identification</w:t>
                      </w:r>
                    </w:p>
                  </w:txbxContent>
                </v:textbox>
              </v:shape>
            </w:pict>
          </mc:Fallback>
        </mc:AlternateContent>
      </w:r>
    </w:p>
    <w:p w14:paraId="67C02723" w14:textId="77777777" w:rsidR="00347931" w:rsidRPr="0060384E" w:rsidRDefault="00347931" w:rsidP="00347931">
      <w:pPr>
        <w:spacing w:after="0" w:line="240" w:lineRule="auto"/>
      </w:pPr>
    </w:p>
    <w:p w14:paraId="51AA64F9" w14:textId="77777777" w:rsidR="00347931" w:rsidRPr="0060384E" w:rsidRDefault="00347931" w:rsidP="00347931">
      <w:pPr>
        <w:spacing w:after="0" w:line="240" w:lineRule="auto"/>
      </w:pPr>
      <w:r w:rsidRPr="0060384E">
        <w:rPr>
          <w:noProof/>
          <w:lang w:val="en-US"/>
        </w:rPr>
        <mc:AlternateContent>
          <mc:Choice Requires="wps">
            <w:drawing>
              <wp:anchor distT="0" distB="0" distL="114300" distR="114300" simplePos="0" relativeHeight="251654144" behindDoc="0" locked="0" layoutInCell="1" allowOverlap="1" wp14:anchorId="3574E69E" wp14:editId="60BFFC0F">
                <wp:simplePos x="0" y="0"/>
                <wp:positionH relativeFrom="column">
                  <wp:posOffset>2454250</wp:posOffset>
                </wp:positionH>
                <wp:positionV relativeFrom="paragraph">
                  <wp:posOffset>9550</wp:posOffset>
                </wp:positionV>
                <wp:extent cx="563270" cy="0"/>
                <wp:effectExtent l="0" t="76200" r="27305" b="95250"/>
                <wp:wrapNone/>
                <wp:docPr id="11" name="Straight Arrow Connector 11"/>
                <wp:cNvGraphicFramePr/>
                <a:graphic xmlns:a="http://schemas.openxmlformats.org/drawingml/2006/main">
                  <a:graphicData uri="http://schemas.microsoft.com/office/word/2010/wordprocessingShape">
                    <wps:wsp>
                      <wps:cNvCnPr/>
                      <wps:spPr>
                        <a:xfrm>
                          <a:off x="0" y="0"/>
                          <a:ext cx="563270" cy="0"/>
                        </a:xfrm>
                        <a:prstGeom prst="straightConnector1">
                          <a:avLst/>
                        </a:prstGeom>
                        <a:noFill/>
                        <a:ln w="6350" cap="flat" cmpd="sng" algn="ctr">
                          <a:solidFill>
                            <a:sysClr val="windowText" lastClr="000000"/>
                          </a:solidFill>
                          <a:prstDash val="solid"/>
                          <a:miter lim="800000"/>
                          <a:tailEnd type="triangle"/>
                        </a:ln>
                        <a:effectLst/>
                      </wps:spPr>
                      <wps:bodyPr/>
                    </wps:wsp>
                  </a:graphicData>
                </a:graphic>
              </wp:anchor>
            </w:drawing>
          </mc:Choice>
          <mc:Fallback>
            <w:pict>
              <v:shapetype w14:anchorId="5EE62397" id="_x0000_t32" coordsize="21600,21600" o:spt="32" o:oned="t" path="m,l21600,21600e" filled="f">
                <v:path arrowok="t" fillok="f" o:connecttype="none"/>
                <o:lock v:ext="edit" shapetype="t"/>
              </v:shapetype>
              <v:shape id="Straight Arrow Connector 11" o:spid="_x0000_s1026" type="#_x0000_t32" style="position:absolute;margin-left:193.25pt;margin-top:.75pt;width:44.35pt;height:0;z-index:2516541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" strokecolor="windowText" strokeweight=".5pt">
                <v:stroke endarrow="block" joinstyle="miter"/>
              </v:shape>
            </w:pict>
          </mc:Fallback>
        </mc:AlternateContent>
      </w:r>
    </w:p>
    <w:p w14:paraId="10F0820C" w14:textId="77777777" w:rsidR="00347931" w:rsidRPr="0060384E" w:rsidRDefault="00347931" w:rsidP="00347931">
      <w:pPr>
        <w:spacing w:after="0" w:line="240" w:lineRule="auto"/>
      </w:pPr>
    </w:p>
    <w:p w14:paraId="75B9B4D0" w14:textId="77777777" w:rsidR="00347931" w:rsidRPr="0060384E" w:rsidRDefault="00347931" w:rsidP="00347931">
      <w:pPr>
        <w:spacing w:after="0" w:line="240" w:lineRule="auto"/>
      </w:pPr>
    </w:p>
    <w:p w14:paraId="705A8114" w14:textId="77777777" w:rsidR="00347931" w:rsidRPr="0060384E" w:rsidRDefault="00347931" w:rsidP="00347931">
      <w:pPr>
        <w:spacing w:after="0" w:line="240" w:lineRule="auto"/>
      </w:pPr>
      <w:r w:rsidRPr="0060384E">
        <w:rPr>
          <w:noProof/>
          <w:lang w:val="en-US"/>
        </w:rPr>
        <mc:AlternateContent>
          <mc:Choice Requires="wps">
            <w:drawing>
              <wp:anchor distT="0" distB="0" distL="114300" distR="114300" simplePos="0" relativeHeight="251676672" behindDoc="0" locked="0" layoutInCell="1" allowOverlap="1" wp14:anchorId="4035C249" wp14:editId="696B4781">
                <wp:simplePos x="0" y="0"/>
                <wp:positionH relativeFrom="column">
                  <wp:posOffset>1400175</wp:posOffset>
                </wp:positionH>
                <wp:positionV relativeFrom="paragraph">
                  <wp:posOffset>128905</wp:posOffset>
                </wp:positionV>
                <wp:extent cx="0" cy="281305"/>
                <wp:effectExtent l="76200" t="0" r="57150" b="61595"/>
                <wp:wrapNone/>
                <wp:docPr id="27" name="Straight Arrow Connector 27"/>
                <wp:cNvGraphicFramePr/>
                <a:graphic xmlns:a="http://schemas.openxmlformats.org/drawingml/2006/main">
                  <a:graphicData uri="http://schemas.microsoft.com/office/word/2010/wordprocessingShape">
                    <wps:wsp>
                      <wps:cNvCnPr/>
                      <wps:spPr>
                        <a:xfrm>
                          <a:off x="0" y="0"/>
                          <a:ext cx="0" cy="281305"/>
                        </a:xfrm>
                        <a:prstGeom prst="straightConnector1">
                          <a:avLst/>
                        </a:prstGeom>
                        <a:noFill/>
                        <a:ln w="6350" cap="flat" cmpd="sng" algn="ctr">
                          <a:solidFill>
                            <a:sysClr val="windowText" lastClr="000000"/>
                          </a:solidFill>
                          <a:prstDash val="solid"/>
                          <a:miter lim="800000"/>
                          <a:tailEnd type="triangle"/>
                        </a:ln>
                        <a:effectLst/>
                      </wps:spPr>
                      <wps:bodyPr/>
                    </wps:wsp>
                  </a:graphicData>
                </a:graphic>
              </wp:anchor>
            </w:drawing>
          </mc:Choice>
          <mc:Fallback>
            <w:pict>
              <v:shape w14:anchorId="726864D2" id="Straight Arrow Connector 27" o:spid="_x0000_s1026" type="#_x0000_t32" style="position:absolute;margin-left:110.25pt;margin-top:10.15pt;width:0;height:22.15pt;z-index:2516766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" strokecolor="windowText" strokeweight=".5pt">
                <v:stroke endarrow="block" joinstyle="miter"/>
              </v:shape>
            </w:pict>
          </mc:Fallback>
        </mc:AlternateContent>
      </w:r>
    </w:p>
    <w:p w14:paraId="5B16BD4C" w14:textId="77777777" w:rsidR="00347931" w:rsidRPr="0060384E" w:rsidRDefault="00347931" w:rsidP="00347931">
      <w:pPr>
        <w:spacing w:after="0" w:line="240" w:lineRule="auto"/>
      </w:pPr>
    </w:p>
    <w:p w14:paraId="1268EF25" w14:textId="77777777" w:rsidR="00347931" w:rsidRPr="0060384E" w:rsidRDefault="00347931" w:rsidP="00347931">
      <w:pPr>
        <w:spacing w:after="0" w:line="240" w:lineRule="auto"/>
      </w:pPr>
      <w:r w:rsidRPr="0060384E">
        <w:rPr>
          <w:noProof/>
          <w:lang w:val="en-US"/>
        </w:rPr>
        <mc:AlternateContent>
          <mc:Choice Requires="wps">
            <w:drawing>
              <wp:anchor distT="0" distB="0" distL="114300" distR="114300" simplePos="0" relativeHeight="251660288" behindDoc="0" locked="0" layoutInCell="1" allowOverlap="1" wp14:anchorId="53A309A9" wp14:editId="30B68484">
                <wp:simplePos x="0" y="0"/>
                <wp:positionH relativeFrom="column">
                  <wp:posOffset>2453640</wp:posOffset>
                </wp:positionH>
                <wp:positionV relativeFrom="paragraph">
                  <wp:posOffset>328295</wp:posOffset>
                </wp:positionV>
                <wp:extent cx="563245" cy="0"/>
                <wp:effectExtent l="0" t="76200" r="27305" b="95250"/>
                <wp:wrapNone/>
                <wp:docPr id="12" name="Straight Arrow Connector 12"/>
                <wp:cNvGraphicFramePr/>
                <a:graphic xmlns:a="http://schemas.openxmlformats.org/drawingml/2006/main">
                  <a:graphicData uri="http://schemas.microsoft.com/office/word/2010/wordprocessingShape">
                    <wps:wsp>
                      <wps:cNvCnPr/>
                      <wps:spPr>
                        <a:xfrm>
                          <a:off x="0" y="0"/>
                          <a:ext cx="563245" cy="0"/>
                        </a:xfrm>
                        <a:prstGeom prst="straightConnector1">
                          <a:avLst/>
                        </a:prstGeom>
                        <a:noFill/>
                        <a:ln w="6350" cap="flat" cmpd="sng" algn="ctr">
                          <a:solidFill>
                            <a:sysClr val="windowText" lastClr="000000"/>
                          </a:solidFill>
                          <a:prstDash val="solid"/>
                          <a:miter lim="800000"/>
                          <a:tailEnd type="triangle"/>
                        </a:ln>
                        <a:effectLst/>
                      </wps:spPr>
                      <wps:bodyPr/>
                    </wps:wsp>
                  </a:graphicData>
                </a:graphic>
              </wp:anchor>
            </w:drawing>
          </mc:Choice>
          <mc:Fallback>
            <w:pict>
              <v:shape w14:anchorId="48E45377" id="Straight Arrow Connector 12" o:spid="_x0000_s1026" type="#_x0000_t32" style="position:absolute;margin-left:193.2pt;margin-top:25.85pt;width:44.35pt;height:0;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" strokecolor="windowText" strokeweight=".5pt">
                <v:stroke endarrow="block" joinstyle="miter"/>
              </v:shape>
            </w:pict>
          </mc:Fallback>
        </mc:AlternateContent>
      </w:r>
      <w:r w:rsidRPr="0060384E">
        <w:rPr>
          <w:noProof/>
          <w:lang w:val="en-US"/>
        </w:rPr>
        <mc:AlternateContent>
          <mc:Choice Requires="wps">
            <w:drawing>
              <wp:anchor distT="0" distB="0" distL="114300" distR="114300" simplePos="0" relativeHeight="251637760" behindDoc="0" locked="0" layoutInCell="1" allowOverlap="1" wp14:anchorId="650699E9" wp14:editId="494B774E">
                <wp:simplePos x="0" y="0"/>
                <wp:positionH relativeFrom="column">
                  <wp:posOffset>559435</wp:posOffset>
                </wp:positionH>
                <wp:positionV relativeFrom="paragraph">
                  <wp:posOffset>74930</wp:posOffset>
                </wp:positionV>
                <wp:extent cx="1887220" cy="526415"/>
                <wp:effectExtent l="0" t="0" r="17780" b="26035"/>
                <wp:wrapNone/>
                <wp:docPr id="17" name="Rectangle 17"/>
                <wp:cNvGraphicFramePr/>
                <a:graphic xmlns:a="http://schemas.openxmlformats.org/drawingml/2006/main">
                  <a:graphicData uri="http://schemas.microsoft.com/office/word/2010/wordprocessingShape">
                    <wps:wsp>
                      <wps:cNvSpPr/>
                      <wps:spPr>
                        <a:xfrm>
                          <a:off x="0" y="0"/>
                          <a:ext cx="1887220" cy="526415"/>
                        </a:xfrm>
                        <a:prstGeom prst="rect">
                          <a:avLst/>
                        </a:prstGeom>
                        <a:noFill/>
                        <a:ln w="12700" cap="flat" cmpd="sng" algn="ctr">
                          <a:solidFill>
                            <a:sysClr val="windowText" lastClr="000000"/>
                          </a:solidFill>
                          <a:prstDash val="solid"/>
                          <a:miter lim="800000"/>
                        </a:ln>
                        <a:effectLst/>
                      </wps:spPr>
                      <wps:txbx>
                        <w:txbxContent>
                          <w:p w14:paraId="2B2938E0" w14:textId="77777777" w:rsidR="002B4D9F" w:rsidRDefault="002B4D9F" w:rsidP="00347931">
                            <w:pPr>
                              <w:spacing w:after="0" w:line="240" w:lineRule="auto"/>
                              <w:rPr>
                                <w:rFonts w:cs="Arial"/>
                                <w:color w:val="000000" w:themeColor="text1"/>
                                <w:sz w:val="18"/>
                                <w:szCs w:val="20"/>
                              </w:rPr>
                            </w:pPr>
                            <w:r>
                              <w:rPr>
                                <w:rFonts w:cs="Arial"/>
                                <w:color w:val="000000" w:themeColor="text1"/>
                                <w:sz w:val="18"/>
                                <w:szCs w:val="18"/>
                              </w:rPr>
                              <w:t>Records screened</w:t>
                            </w:r>
                          </w:p>
                          <w:p w14:paraId="6777AE28" w14:textId="77777777" w:rsidR="002B4D9F" w:rsidRDefault="002B4D9F" w:rsidP="00347931">
                            <w:pPr>
                              <w:spacing w:after="0" w:line="240" w:lineRule="auto"/>
                              <w:rPr>
                                <w:rFonts w:cs="Arial"/>
                                <w:color w:val="000000" w:themeColor="text1"/>
                                <w:sz w:val="18"/>
                                <w:szCs w:val="20"/>
                              </w:rPr>
                            </w:pPr>
                            <w:r>
                              <w:rPr>
                                <w:rFonts w:cs="Arial"/>
                                <w:color w:val="000000" w:themeColor="text1"/>
                                <w:sz w:val="18"/>
                                <w:szCs w:val="18"/>
                              </w:rPr>
                              <w:t>(n = 335)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50699E9" id="Rectangle 17" o:spid="_x0000_s1030" style="position:absolute;left:0;text-align:left;margin-left:44.05pt;margin-top:5.9pt;width:148.6pt;height:41.45pt;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" filled="f" strokecolor="windowText" strokeweight="1pt">
                <v:textbox>
                  <w:txbxContent>
                    <w:p w14:paraId="2B2938E0" w14:textId="77777777" w:rsidR="002B4D9F" w:rsidRDefault="002B4D9F" w:rsidP="00347931">
                      <w:pPr>
                        <w:spacing w:after="0" w:line="240" w:lineRule="auto"/>
                        <w:rPr>
                          <w:rFonts w:cs="Arial"/>
                          <w:color w:val="000000" w:themeColor="text1"/>
                          <w:sz w:val="18"/>
                          <w:szCs w:val="20"/>
                        </w:rPr>
                      </w:pPr>
                      <w:r>
                        <w:rPr>
                          <w:rFonts w:cs="Arial"/>
                          <w:color w:val="000000" w:themeColor="text1"/>
                          <w:sz w:val="18"/>
                          <w:szCs w:val="18"/>
                        </w:rPr>
                        <w:t>Records screened</w:t>
                      </w:r>
                    </w:p>
                    <w:p w14:paraId="6777AE28" w14:textId="77777777" w:rsidR="002B4D9F" w:rsidRDefault="002B4D9F" w:rsidP="00347931">
                      <w:pPr>
                        <w:spacing w:after="0" w:line="240" w:lineRule="auto"/>
                        <w:rPr>
                          <w:rFonts w:cs="Arial"/>
                          <w:color w:val="000000" w:themeColor="text1"/>
                          <w:sz w:val="18"/>
                          <w:szCs w:val="20"/>
                        </w:rPr>
                      </w:pPr>
                      <w:r>
                        <w:rPr>
                          <w:rFonts w:cs="Arial"/>
                          <w:color w:val="000000" w:themeColor="text1"/>
                          <w:sz w:val="18"/>
                          <w:szCs w:val="18"/>
                        </w:rPr>
                        <w:t>(n = 335)</w:t>
                      </w:r>
                    </w:p>
                  </w:txbxContent>
                </v:textbox>
              </v:rect>
            </w:pict>
          </mc:Fallback>
        </mc:AlternateContent>
      </w:r>
      <w:r w:rsidRPr="0060384E">
        <w:rPr>
          <w:noProof/>
          <w:lang w:val="en-US"/>
        </w:rPr>
        <mc:AlternateContent>
          <mc:Choice Requires="wps">
            <w:drawing>
              <wp:anchor distT="0" distB="0" distL="114300" distR="114300" simplePos="0" relativeHeight="251639808" behindDoc="0" locked="0" layoutInCell="1" allowOverlap="1" wp14:anchorId="6F2CC83F" wp14:editId="240AFBB8">
                <wp:simplePos x="0" y="0"/>
                <wp:positionH relativeFrom="column">
                  <wp:posOffset>3048000</wp:posOffset>
                </wp:positionH>
                <wp:positionV relativeFrom="paragraph">
                  <wp:posOffset>74930</wp:posOffset>
                </wp:positionV>
                <wp:extent cx="1887220" cy="526415"/>
                <wp:effectExtent l="0" t="0" r="17780" b="26035"/>
                <wp:wrapNone/>
                <wp:docPr id="18" name="Rectangle 18"/>
                <wp:cNvGraphicFramePr/>
                <a:graphic xmlns:a="http://schemas.openxmlformats.org/drawingml/2006/main">
                  <a:graphicData uri="http://schemas.microsoft.com/office/word/2010/wordprocessingShape">
                    <wps:wsp>
                      <wps:cNvSpPr/>
                      <wps:spPr>
                        <a:xfrm>
                          <a:off x="0" y="0"/>
                          <a:ext cx="1887220" cy="526415"/>
                        </a:xfrm>
                        <a:prstGeom prst="rect">
                          <a:avLst/>
                        </a:prstGeom>
                        <a:noFill/>
                        <a:ln w="12700" cap="flat" cmpd="sng" algn="ctr">
                          <a:solidFill>
                            <a:sysClr val="windowText" lastClr="000000"/>
                          </a:solidFill>
                          <a:prstDash val="solid"/>
                          <a:miter lim="800000"/>
                        </a:ln>
                        <a:effectLst/>
                      </wps:spPr>
                      <wps:txbx>
                        <w:txbxContent>
                          <w:p w14:paraId="2BBB32C8" w14:textId="77777777" w:rsidR="002B4D9F" w:rsidRDefault="002B4D9F" w:rsidP="00347931">
                            <w:pPr>
                              <w:spacing w:after="0" w:line="240" w:lineRule="auto"/>
                              <w:rPr>
                                <w:rFonts w:cs="Arial"/>
                                <w:color w:val="000000" w:themeColor="text1"/>
                                <w:sz w:val="18"/>
                                <w:szCs w:val="20"/>
                              </w:rPr>
                            </w:pPr>
                            <w:r>
                              <w:rPr>
                                <w:rFonts w:cs="Arial"/>
                                <w:color w:val="000000" w:themeColor="text1"/>
                                <w:sz w:val="18"/>
                                <w:szCs w:val="18"/>
                              </w:rPr>
                              <w:t>Records excluded**</w:t>
                            </w:r>
                          </w:p>
                          <w:p w14:paraId="4797FAB2" w14:textId="77777777" w:rsidR="002B4D9F" w:rsidRDefault="002B4D9F" w:rsidP="00347931">
                            <w:pPr>
                              <w:spacing w:after="0" w:line="240" w:lineRule="auto"/>
                              <w:rPr>
                                <w:rFonts w:cs="Arial"/>
                                <w:color w:val="000000" w:themeColor="text1"/>
                                <w:sz w:val="18"/>
                                <w:szCs w:val="20"/>
                              </w:rPr>
                            </w:pPr>
                            <w:r>
                              <w:rPr>
                                <w:rFonts w:cs="Arial"/>
                                <w:color w:val="000000" w:themeColor="text1"/>
                                <w:sz w:val="18"/>
                                <w:szCs w:val="18"/>
                              </w:rPr>
                              <w:t>(n = 275)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F2CC83F" id="Rectangle 18" o:spid="_x0000_s1031" style="position:absolute;left:0;text-align:left;margin-left:240pt;margin-top:5.9pt;width:148.6pt;height:41.45pt;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" filled="f" strokecolor="windowText" strokeweight="1pt">
                <v:textbox>
                  <w:txbxContent>
                    <w:p w14:paraId="2BBB32C8" w14:textId="77777777" w:rsidR="002B4D9F" w:rsidRDefault="002B4D9F" w:rsidP="00347931">
                      <w:pPr>
                        <w:spacing w:after="0" w:line="240" w:lineRule="auto"/>
                        <w:rPr>
                          <w:rFonts w:cs="Arial"/>
                          <w:color w:val="000000" w:themeColor="text1"/>
                          <w:sz w:val="18"/>
                          <w:szCs w:val="20"/>
                        </w:rPr>
                      </w:pPr>
                      <w:r>
                        <w:rPr>
                          <w:rFonts w:cs="Arial"/>
                          <w:color w:val="000000" w:themeColor="text1"/>
                          <w:sz w:val="18"/>
                          <w:szCs w:val="18"/>
                        </w:rPr>
                        <w:t>Records excluded**</w:t>
                      </w:r>
                    </w:p>
                    <w:p w14:paraId="4797FAB2" w14:textId="77777777" w:rsidR="002B4D9F" w:rsidRDefault="002B4D9F" w:rsidP="00347931">
                      <w:pPr>
                        <w:spacing w:after="0" w:line="240" w:lineRule="auto"/>
                        <w:rPr>
                          <w:rFonts w:cs="Arial"/>
                          <w:color w:val="000000" w:themeColor="text1"/>
                          <w:sz w:val="18"/>
                          <w:szCs w:val="20"/>
                        </w:rPr>
                      </w:pPr>
                      <w:r>
                        <w:rPr>
                          <w:rFonts w:cs="Arial"/>
                          <w:color w:val="000000" w:themeColor="text1"/>
                          <w:sz w:val="18"/>
                          <w:szCs w:val="18"/>
                        </w:rPr>
                        <w:t>(n = 275)</w:t>
                      </w:r>
                    </w:p>
                  </w:txbxContent>
                </v:textbox>
              </v:rect>
            </w:pict>
          </mc:Fallback>
        </mc:AlternateContent>
      </w:r>
    </w:p>
    <w:p w14:paraId="5EAB0C72" w14:textId="77777777" w:rsidR="00347931" w:rsidRPr="0060384E" w:rsidRDefault="00347931" w:rsidP="00347931">
      <w:pPr>
        <w:spacing w:after="0" w:line="240" w:lineRule="auto"/>
      </w:pPr>
    </w:p>
    <w:p w14:paraId="63095F7B" w14:textId="77777777" w:rsidR="00347931" w:rsidRPr="0060384E" w:rsidRDefault="00347931" w:rsidP="00347931">
      <w:pPr>
        <w:spacing w:after="0" w:line="240" w:lineRule="auto"/>
      </w:pPr>
    </w:p>
    <w:p w14:paraId="79A0EB5D" w14:textId="77777777" w:rsidR="00347931" w:rsidRPr="0060384E" w:rsidRDefault="00347931" w:rsidP="00347931">
      <w:pPr>
        <w:spacing w:after="0" w:line="240" w:lineRule="auto"/>
      </w:pPr>
      <w:r w:rsidRPr="0060384E">
        <w:rPr>
          <w:noProof/>
          <w:lang w:val="en-US"/>
        </w:rPr>
        <mc:AlternateContent>
          <mc:Choice Requires="wps">
            <w:drawing>
              <wp:anchor distT="0" distB="0" distL="114300" distR="114300" simplePos="0" relativeHeight="251678720" behindDoc="0" locked="0" layoutInCell="1" allowOverlap="1" wp14:anchorId="54678BCC" wp14:editId="236AF5AA">
                <wp:simplePos x="0" y="0"/>
                <wp:positionH relativeFrom="column">
                  <wp:posOffset>1400175</wp:posOffset>
                </wp:positionH>
                <wp:positionV relativeFrom="paragraph">
                  <wp:posOffset>99695</wp:posOffset>
                </wp:positionV>
                <wp:extent cx="0" cy="281305"/>
                <wp:effectExtent l="76200" t="0" r="57150" b="61595"/>
                <wp:wrapNone/>
                <wp:docPr id="35" name="Straight Arrow Connector 35"/>
                <wp:cNvGraphicFramePr/>
                <a:graphic xmlns:a="http://schemas.openxmlformats.org/drawingml/2006/main">
                  <a:graphicData uri="http://schemas.microsoft.com/office/word/2010/wordprocessingShape">
                    <wps:wsp>
                      <wps:cNvCnPr/>
                      <wps:spPr>
                        <a:xfrm>
                          <a:off x="0" y="0"/>
                          <a:ext cx="0" cy="281305"/>
                        </a:xfrm>
                        <a:prstGeom prst="straightConnector1">
                          <a:avLst/>
                        </a:prstGeom>
                        <a:noFill/>
                        <a:ln w="6350" cap="flat" cmpd="sng" algn="ctr">
                          <a:solidFill>
                            <a:sysClr val="windowText" lastClr="000000"/>
                          </a:solidFill>
                          <a:prstDash val="solid"/>
                          <a:miter lim="800000"/>
                          <a:tailEnd type="triangle"/>
                        </a:ln>
                        <a:effectLst/>
                      </wps:spPr>
                      <wps:bodyPr/>
                    </wps:wsp>
                  </a:graphicData>
                </a:graphic>
              </wp:anchor>
            </w:drawing>
          </mc:Choice>
          <mc:Fallback>
            <w:pict>
              <v:shape w14:anchorId="0B69B073" id="Straight Arrow Connector 35" o:spid="_x0000_s1026" type="#_x0000_t32" style="position:absolute;margin-left:110.25pt;margin-top:7.85pt;width:0;height:22.15pt;z-index:2516787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" strokecolor="windowText" strokeweight=".5pt">
                <v:stroke endarrow="block" joinstyle="miter"/>
              </v:shape>
            </w:pict>
          </mc:Fallback>
        </mc:AlternateContent>
      </w:r>
    </w:p>
    <w:p w14:paraId="2D724E64" w14:textId="77777777" w:rsidR="00347931" w:rsidRPr="0060384E" w:rsidRDefault="00347931" w:rsidP="00347931">
      <w:pPr>
        <w:spacing w:after="0" w:line="240" w:lineRule="auto"/>
      </w:pPr>
    </w:p>
    <w:p w14:paraId="153612B2" w14:textId="77777777" w:rsidR="00347931" w:rsidRPr="0060384E" w:rsidRDefault="00347931" w:rsidP="00347931">
      <w:pPr>
        <w:spacing w:after="0" w:line="240" w:lineRule="auto"/>
      </w:pPr>
      <w:r w:rsidRPr="0060384E">
        <w:rPr>
          <w:noProof/>
          <w:lang w:val="en-US"/>
        </w:rPr>
        <mc:AlternateContent>
          <mc:Choice Requires="wps">
            <w:drawing>
              <wp:anchor distT="0" distB="0" distL="114300" distR="114300" simplePos="0" relativeHeight="251641856" behindDoc="0" locked="0" layoutInCell="1" allowOverlap="1" wp14:anchorId="595F4B74" wp14:editId="37DE9308">
                <wp:simplePos x="0" y="0"/>
                <wp:positionH relativeFrom="column">
                  <wp:posOffset>560705</wp:posOffset>
                </wp:positionH>
                <wp:positionV relativeFrom="paragraph">
                  <wp:posOffset>47625</wp:posOffset>
                </wp:positionV>
                <wp:extent cx="1887220" cy="526415"/>
                <wp:effectExtent l="0" t="0" r="17780" b="26035"/>
                <wp:wrapNone/>
                <wp:docPr id="19" name="Rectangle 19"/>
                <wp:cNvGraphicFramePr/>
                <a:graphic xmlns:a="http://schemas.openxmlformats.org/drawingml/2006/main">
                  <a:graphicData uri="http://schemas.microsoft.com/office/word/2010/wordprocessingShape">
                    <wps:wsp>
                      <wps:cNvSpPr/>
                      <wps:spPr>
                        <a:xfrm>
                          <a:off x="0" y="0"/>
                          <a:ext cx="1887220" cy="526415"/>
                        </a:xfrm>
                        <a:prstGeom prst="rect">
                          <a:avLst/>
                        </a:prstGeom>
                        <a:noFill/>
                        <a:ln w="12700" cap="flat" cmpd="sng" algn="ctr">
                          <a:solidFill>
                            <a:sysClr val="windowText" lastClr="000000"/>
                          </a:solidFill>
                          <a:prstDash val="solid"/>
                          <a:miter lim="800000"/>
                        </a:ln>
                        <a:effectLst/>
                      </wps:spPr>
                      <wps:txbx>
                        <w:txbxContent>
                          <w:p w14:paraId="48BAA236" w14:textId="77777777" w:rsidR="002B4D9F" w:rsidRDefault="002B4D9F" w:rsidP="00347931">
                            <w:pPr>
                              <w:spacing w:after="0" w:line="240" w:lineRule="auto"/>
                              <w:rPr>
                                <w:rFonts w:cs="Arial"/>
                                <w:color w:val="000000" w:themeColor="text1"/>
                                <w:sz w:val="18"/>
                                <w:szCs w:val="20"/>
                              </w:rPr>
                            </w:pPr>
                            <w:r>
                              <w:rPr>
                                <w:rFonts w:cs="Arial"/>
                                <w:color w:val="000000" w:themeColor="text1"/>
                                <w:sz w:val="18"/>
                                <w:szCs w:val="18"/>
                              </w:rPr>
                              <w:t>Reports sought for retrieval</w:t>
                            </w:r>
                          </w:p>
                          <w:p w14:paraId="3AEDDD37" w14:textId="77777777" w:rsidR="002B4D9F" w:rsidRDefault="002B4D9F" w:rsidP="00347931">
                            <w:pPr>
                              <w:spacing w:after="0" w:line="240" w:lineRule="auto"/>
                              <w:rPr>
                                <w:rFonts w:cs="Arial"/>
                                <w:color w:val="000000" w:themeColor="text1"/>
                                <w:sz w:val="18"/>
                                <w:szCs w:val="20"/>
                              </w:rPr>
                            </w:pPr>
                            <w:r>
                              <w:rPr>
                                <w:rFonts w:cs="Arial"/>
                                <w:color w:val="000000" w:themeColor="text1"/>
                                <w:sz w:val="18"/>
                                <w:szCs w:val="18"/>
                              </w:rPr>
                              <w:t>(n = 60)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95F4B74" id="Rectangle 19" o:spid="_x0000_s1032" style="position:absolute;left:0;text-align:left;margin-left:44.15pt;margin-top:3.75pt;width:148.6pt;height:41.45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" filled="f" strokecolor="windowText" strokeweight="1pt">
                <v:textbox>
                  <w:txbxContent>
                    <w:p w14:paraId="48BAA236" w14:textId="77777777" w:rsidR="002B4D9F" w:rsidRDefault="002B4D9F" w:rsidP="00347931">
                      <w:pPr>
                        <w:spacing w:after="0" w:line="240" w:lineRule="auto"/>
                        <w:rPr>
                          <w:rFonts w:cs="Arial"/>
                          <w:color w:val="000000" w:themeColor="text1"/>
                          <w:sz w:val="18"/>
                          <w:szCs w:val="20"/>
                        </w:rPr>
                      </w:pPr>
                      <w:r>
                        <w:rPr>
                          <w:rFonts w:cs="Arial"/>
                          <w:color w:val="000000" w:themeColor="text1"/>
                          <w:sz w:val="18"/>
                          <w:szCs w:val="18"/>
                        </w:rPr>
                        <w:t>Reports sought for retrieval</w:t>
                      </w:r>
                    </w:p>
                    <w:p w14:paraId="3AEDDD37" w14:textId="77777777" w:rsidR="002B4D9F" w:rsidRDefault="002B4D9F" w:rsidP="00347931">
                      <w:pPr>
                        <w:spacing w:after="0" w:line="240" w:lineRule="auto"/>
                        <w:rPr>
                          <w:rFonts w:cs="Arial"/>
                          <w:color w:val="000000" w:themeColor="text1"/>
                          <w:sz w:val="18"/>
                          <w:szCs w:val="20"/>
                        </w:rPr>
                      </w:pPr>
                      <w:r>
                        <w:rPr>
                          <w:rFonts w:cs="Arial"/>
                          <w:color w:val="000000" w:themeColor="text1"/>
                          <w:sz w:val="18"/>
                          <w:szCs w:val="18"/>
                        </w:rPr>
                        <w:t>(n = 60)</w:t>
                      </w:r>
                    </w:p>
                  </w:txbxContent>
                </v:textbox>
              </v:rect>
            </w:pict>
          </mc:Fallback>
        </mc:AlternateContent>
      </w:r>
      <w:r w:rsidRPr="0060384E">
        <w:rPr>
          <w:noProof/>
          <w:lang w:val="en-US"/>
        </w:rPr>
        <mc:AlternateContent>
          <mc:Choice Requires="wps">
            <w:drawing>
              <wp:anchor distT="0" distB="0" distL="114300" distR="114300" simplePos="0" relativeHeight="251662336" behindDoc="0" locked="0" layoutInCell="1" allowOverlap="1" wp14:anchorId="70BB7757" wp14:editId="62DE31D9">
                <wp:simplePos x="0" y="0"/>
                <wp:positionH relativeFrom="column">
                  <wp:posOffset>2463165</wp:posOffset>
                </wp:positionH>
                <wp:positionV relativeFrom="paragraph">
                  <wp:posOffset>320675</wp:posOffset>
                </wp:positionV>
                <wp:extent cx="563245" cy="0"/>
                <wp:effectExtent l="0" t="76200" r="27305" b="95250"/>
                <wp:wrapNone/>
                <wp:docPr id="20" name="Straight Arrow Connector 20"/>
                <wp:cNvGraphicFramePr/>
                <a:graphic xmlns:a="http://schemas.openxmlformats.org/drawingml/2006/main">
                  <a:graphicData uri="http://schemas.microsoft.com/office/word/2010/wordprocessingShape">
                    <wps:wsp>
                      <wps:cNvCnPr/>
                      <wps:spPr>
                        <a:xfrm>
                          <a:off x="0" y="0"/>
                          <a:ext cx="563245" cy="0"/>
                        </a:xfrm>
                        <a:prstGeom prst="straightConnector1">
                          <a:avLst/>
                        </a:prstGeom>
                        <a:noFill/>
                        <a:ln w="6350" cap="flat" cmpd="sng" algn="ctr">
                          <a:solidFill>
                            <a:sysClr val="windowText" lastClr="000000"/>
                          </a:solidFill>
                          <a:prstDash val="solid"/>
                          <a:miter lim="800000"/>
                          <a:tailEnd type="triangle"/>
                        </a:ln>
                        <a:effectLst/>
                      </wps:spPr>
                      <wps:bodyPr/>
                    </wps:wsp>
                  </a:graphicData>
                </a:graphic>
              </wp:anchor>
            </w:drawing>
          </mc:Choice>
          <mc:Fallback>
            <w:pict>
              <v:shape w14:anchorId="0763D04A" id="Straight Arrow Connector 20" o:spid="_x0000_s1026" type="#_x0000_t32" style="position:absolute;margin-left:193.95pt;margin-top:25.25pt;width:44.35pt;height:0;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" strokecolor="windowText" strokeweight=".5pt">
                <v:stroke endarrow="block" joinstyle="miter"/>
              </v:shape>
            </w:pict>
          </mc:Fallback>
        </mc:AlternateContent>
      </w:r>
      <w:r w:rsidRPr="0060384E">
        <w:rPr>
          <w:noProof/>
          <w:lang w:val="en-US"/>
        </w:rPr>
        <mc:AlternateContent>
          <mc:Choice Requires="wps">
            <w:drawing>
              <wp:anchor distT="0" distB="0" distL="114300" distR="114300" simplePos="0" relativeHeight="251643904" behindDoc="0" locked="0" layoutInCell="1" allowOverlap="1" wp14:anchorId="012B4BBF" wp14:editId="75057FCD">
                <wp:simplePos x="0" y="0"/>
                <wp:positionH relativeFrom="column">
                  <wp:posOffset>3049270</wp:posOffset>
                </wp:positionH>
                <wp:positionV relativeFrom="paragraph">
                  <wp:posOffset>66675</wp:posOffset>
                </wp:positionV>
                <wp:extent cx="1887220" cy="526415"/>
                <wp:effectExtent l="0" t="0" r="17780" b="26035"/>
                <wp:wrapNone/>
                <wp:docPr id="21" name="Rectangle 21"/>
                <wp:cNvGraphicFramePr/>
                <a:graphic xmlns:a="http://schemas.openxmlformats.org/drawingml/2006/main">
                  <a:graphicData uri="http://schemas.microsoft.com/office/word/2010/wordprocessingShape">
                    <wps:wsp>
                      <wps:cNvSpPr/>
                      <wps:spPr>
                        <a:xfrm>
                          <a:off x="0" y="0"/>
                          <a:ext cx="1887220" cy="526415"/>
                        </a:xfrm>
                        <a:prstGeom prst="rect">
                          <a:avLst/>
                        </a:prstGeom>
                        <a:noFill/>
                        <a:ln w="12700" cap="flat" cmpd="sng" algn="ctr">
                          <a:solidFill>
                            <a:sysClr val="windowText" lastClr="000000"/>
                          </a:solidFill>
                          <a:prstDash val="solid"/>
                          <a:miter lim="800000"/>
                        </a:ln>
                        <a:effectLst/>
                      </wps:spPr>
                      <wps:txbx>
                        <w:txbxContent>
                          <w:p w14:paraId="5639B4D3" w14:textId="77777777" w:rsidR="002B4D9F" w:rsidRDefault="002B4D9F" w:rsidP="00347931">
                            <w:pPr>
                              <w:spacing w:after="0" w:line="240" w:lineRule="auto"/>
                              <w:rPr>
                                <w:rFonts w:cs="Arial"/>
                                <w:color w:val="000000" w:themeColor="text1"/>
                                <w:sz w:val="18"/>
                                <w:szCs w:val="20"/>
                              </w:rPr>
                            </w:pPr>
                            <w:r>
                              <w:rPr>
                                <w:rFonts w:cs="Arial"/>
                                <w:color w:val="000000" w:themeColor="text1"/>
                                <w:sz w:val="18"/>
                                <w:szCs w:val="18"/>
                              </w:rPr>
                              <w:t>Reports not retrieved</w:t>
                            </w:r>
                          </w:p>
                          <w:p w14:paraId="7EDADCF0" w14:textId="77777777" w:rsidR="002B4D9F" w:rsidRDefault="002B4D9F" w:rsidP="00347931">
                            <w:pPr>
                              <w:spacing w:after="0" w:line="240" w:lineRule="auto"/>
                              <w:rPr>
                                <w:rFonts w:cs="Arial"/>
                                <w:color w:val="000000" w:themeColor="text1"/>
                                <w:sz w:val="18"/>
                                <w:szCs w:val="20"/>
                              </w:rPr>
                            </w:pPr>
                            <w:r>
                              <w:rPr>
                                <w:rFonts w:cs="Arial"/>
                                <w:color w:val="000000" w:themeColor="text1"/>
                                <w:sz w:val="18"/>
                                <w:szCs w:val="18"/>
                              </w:rPr>
                              <w:t>(n = 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12B4BBF" id="Rectangle 21" o:spid="_x0000_s1033" style="position:absolute;left:0;text-align:left;margin-left:240.1pt;margin-top:5.25pt;width:148.6pt;height:41.45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" filled="f" strokecolor="windowText" strokeweight="1pt">
                <v:textbox>
                  <w:txbxContent>
                    <w:p w14:paraId="5639B4D3" w14:textId="77777777" w:rsidR="002B4D9F" w:rsidRDefault="002B4D9F" w:rsidP="00347931">
                      <w:pPr>
                        <w:spacing w:after="0" w:line="240" w:lineRule="auto"/>
                        <w:rPr>
                          <w:rFonts w:cs="Arial"/>
                          <w:color w:val="000000" w:themeColor="text1"/>
                          <w:sz w:val="18"/>
                          <w:szCs w:val="20"/>
                        </w:rPr>
                      </w:pPr>
                      <w:r>
                        <w:rPr>
                          <w:rFonts w:cs="Arial"/>
                          <w:color w:val="000000" w:themeColor="text1"/>
                          <w:sz w:val="18"/>
                          <w:szCs w:val="18"/>
                        </w:rPr>
                        <w:t>Reports not retrieved</w:t>
                      </w:r>
                    </w:p>
                    <w:p w14:paraId="7EDADCF0" w14:textId="77777777" w:rsidR="002B4D9F" w:rsidRDefault="002B4D9F" w:rsidP="00347931">
                      <w:pPr>
                        <w:spacing w:after="0" w:line="240" w:lineRule="auto"/>
                        <w:rPr>
                          <w:rFonts w:cs="Arial"/>
                          <w:color w:val="000000" w:themeColor="text1"/>
                          <w:sz w:val="18"/>
                          <w:szCs w:val="20"/>
                        </w:rPr>
                      </w:pPr>
                      <w:r>
                        <w:rPr>
                          <w:rFonts w:cs="Arial"/>
                          <w:color w:val="000000" w:themeColor="text1"/>
                          <w:sz w:val="18"/>
                          <w:szCs w:val="18"/>
                        </w:rPr>
                        <w:t>(n = 0)</w:t>
                      </w:r>
                    </w:p>
                  </w:txbxContent>
                </v:textbox>
              </v:rect>
            </w:pict>
          </mc:Fallback>
        </mc:AlternateContent>
      </w:r>
    </w:p>
    <w:p w14:paraId="5677EB43" w14:textId="77777777" w:rsidR="00347931" w:rsidRPr="0060384E" w:rsidRDefault="00347931" w:rsidP="00347931">
      <w:pPr>
        <w:spacing w:after="0" w:line="240" w:lineRule="auto"/>
      </w:pPr>
    </w:p>
    <w:p w14:paraId="518956CF" w14:textId="77777777" w:rsidR="00347931" w:rsidRPr="0060384E" w:rsidRDefault="00347931" w:rsidP="00347931">
      <w:pPr>
        <w:spacing w:after="0" w:line="240" w:lineRule="auto"/>
      </w:pPr>
      <w:r w:rsidRPr="0060384E">
        <w:rPr>
          <w:noProof/>
          <w:lang w:val="en-US"/>
        </w:rPr>
        <mc:AlternateContent>
          <mc:Choice Requires="wps">
            <w:drawing>
              <wp:anchor distT="0" distB="0" distL="114300" distR="114300" simplePos="0" relativeHeight="251672576" behindDoc="0" locked="0" layoutInCell="1" allowOverlap="1" wp14:anchorId="6F04DC20" wp14:editId="287D985C">
                <wp:simplePos x="0" y="0"/>
                <wp:positionH relativeFrom="column">
                  <wp:posOffset>-1160940</wp:posOffset>
                </wp:positionH>
                <wp:positionV relativeFrom="paragraph">
                  <wp:posOffset>140495</wp:posOffset>
                </wp:positionV>
                <wp:extent cx="2787335" cy="262890"/>
                <wp:effectExtent l="4763" t="0" r="18097" b="18098"/>
                <wp:wrapNone/>
                <wp:docPr id="32" name="Flowchart: Alternate Process 32"/>
                <wp:cNvGraphicFramePr/>
                <a:graphic xmlns:a="http://schemas.openxmlformats.org/drawingml/2006/main">
                  <a:graphicData uri="http://schemas.microsoft.com/office/word/2010/wordprocessingShape">
                    <wps:wsp>
                      <wps:cNvSpPr/>
                      <wps:spPr>
                        <a:xfrm rot="16200000">
                          <a:off x="0" y="0"/>
                          <a:ext cx="2787335" cy="262890"/>
                        </a:xfrm>
                        <a:prstGeom prst="flowChartAlternateProcess">
                          <a:avLst/>
                        </a:prstGeom>
                        <a:solidFill>
                          <a:srgbClr val="4472C4">
                            <a:lumMod val="60000"/>
                            <a:lumOff val="40000"/>
                          </a:srgbClr>
                        </a:solidFill>
                        <a:ln w="12700" cap="flat" cmpd="sng" algn="ctr">
                          <a:solidFill>
                            <a:sysClr val="windowText" lastClr="000000"/>
                          </a:solidFill>
                          <a:prstDash val="solid"/>
                          <a:miter lim="800000"/>
                        </a:ln>
                        <a:effectLst/>
                      </wps:spPr>
                      <wps:txbx>
                        <w:txbxContent>
                          <w:p w14:paraId="121D2D27" w14:textId="77777777" w:rsidR="002B4D9F" w:rsidRDefault="002B4D9F" w:rsidP="00347931">
                            <w:pPr>
                              <w:spacing w:after="0" w:line="240" w:lineRule="auto"/>
                              <w:jc w:val="center"/>
                              <w:rPr>
                                <w:rFonts w:cs="Arial"/>
                                <w:b/>
                                <w:color w:val="000000" w:themeColor="text1"/>
                                <w:sz w:val="18"/>
                                <w:szCs w:val="18"/>
                              </w:rPr>
                            </w:pPr>
                            <w:r>
                              <w:rPr>
                                <w:rFonts w:cs="Arial"/>
                                <w:b/>
                                <w:color w:val="000000" w:themeColor="text1"/>
                                <w:sz w:val="18"/>
                                <w:szCs w:val="18"/>
                              </w:rPr>
                              <w:t>Screening</w:t>
                            </w:r>
                          </w:p>
                          <w:p w14:paraId="0459DB48" w14:textId="77777777" w:rsidR="002B4D9F" w:rsidRPr="001502CF" w:rsidRDefault="002B4D9F" w:rsidP="00347931">
                            <w:pPr>
                              <w:spacing w:after="0" w:line="240" w:lineRule="auto"/>
                              <w:rPr>
                                <w:rFonts w:cs="Arial"/>
                                <w:b/>
                                <w:color w:val="000000" w:themeColor="text1"/>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F04DC20" id="Flowchart: Alternate Process 32" o:spid="_x0000_s1034" type="#_x0000_t176" style="position:absolute;left:0;text-align:left;margin-left:-91.4pt;margin-top:11.05pt;width:219.5pt;height:20.7pt;rotation:-90;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" fillcolor="#8faadc" strokecolor="windowText" strokeweight="1pt">
                <v:textbox>
                  <w:txbxContent>
                    <w:p w14:paraId="121D2D27" w14:textId="77777777" w:rsidR="002B4D9F" w:rsidRDefault="002B4D9F" w:rsidP="00347931">
                      <w:pPr>
                        <w:spacing w:after="0" w:line="240" w:lineRule="auto"/>
                        <w:jc w:val="center"/>
                        <w:rPr>
                          <w:rFonts w:cs="Arial"/>
                          <w:b/>
                          <w:color w:val="000000" w:themeColor="text1"/>
                          <w:sz w:val="18"/>
                          <w:szCs w:val="18"/>
                        </w:rPr>
                      </w:pPr>
                      <w:r>
                        <w:rPr>
                          <w:rFonts w:cs="Arial"/>
                          <w:b/>
                          <w:color w:val="000000" w:themeColor="text1"/>
                          <w:sz w:val="18"/>
                          <w:szCs w:val="18"/>
                        </w:rPr>
                        <w:t>Screening</w:t>
                      </w:r>
                    </w:p>
                    <w:p w14:paraId="0459DB48" w14:textId="77777777" w:rsidR="002B4D9F" w:rsidRPr="001502CF" w:rsidRDefault="002B4D9F" w:rsidP="00347931">
                      <w:pPr>
                        <w:spacing w:after="0" w:line="240" w:lineRule="auto"/>
                        <w:rPr>
                          <w:rFonts w:cs="Arial"/>
                          <w:b/>
                          <w:color w:val="000000" w:themeColor="text1"/>
                          <w:sz w:val="18"/>
                          <w:szCs w:val="18"/>
                        </w:rPr>
                      </w:pPr>
                    </w:p>
                  </w:txbxContent>
                </v:textbox>
              </v:shape>
            </w:pict>
          </mc:Fallback>
        </mc:AlternateContent>
      </w:r>
    </w:p>
    <w:p w14:paraId="1CD42B80" w14:textId="77777777" w:rsidR="00347931" w:rsidRPr="0060384E" w:rsidRDefault="00347931" w:rsidP="00347931">
      <w:pPr>
        <w:spacing w:after="0" w:line="240" w:lineRule="auto"/>
      </w:pPr>
      <w:r w:rsidRPr="0060384E">
        <w:rPr>
          <w:noProof/>
          <w:lang w:val="en-US"/>
        </w:rPr>
        <mc:AlternateContent>
          <mc:Choice Requires="wps">
            <w:drawing>
              <wp:anchor distT="0" distB="0" distL="114300" distR="114300" simplePos="0" relativeHeight="251680768" behindDoc="0" locked="0" layoutInCell="1" allowOverlap="1" wp14:anchorId="754AC814" wp14:editId="50EA8C1E">
                <wp:simplePos x="0" y="0"/>
                <wp:positionH relativeFrom="column">
                  <wp:posOffset>1409700</wp:posOffset>
                </wp:positionH>
                <wp:positionV relativeFrom="paragraph">
                  <wp:posOffset>56515</wp:posOffset>
                </wp:positionV>
                <wp:extent cx="0" cy="281305"/>
                <wp:effectExtent l="76200" t="0" r="57150" b="61595"/>
                <wp:wrapNone/>
                <wp:docPr id="36" name="Straight Arrow Connector 36"/>
                <wp:cNvGraphicFramePr/>
                <a:graphic xmlns:a="http://schemas.openxmlformats.org/drawingml/2006/main">
                  <a:graphicData uri="http://schemas.microsoft.com/office/word/2010/wordprocessingShape">
                    <wps:wsp>
                      <wps:cNvCnPr/>
                      <wps:spPr>
                        <a:xfrm>
                          <a:off x="0" y="0"/>
                          <a:ext cx="0" cy="281305"/>
                        </a:xfrm>
                        <a:prstGeom prst="straightConnector1">
                          <a:avLst/>
                        </a:prstGeom>
                        <a:noFill/>
                        <a:ln w="6350" cap="flat" cmpd="sng" algn="ctr">
                          <a:solidFill>
                            <a:sysClr val="windowText" lastClr="000000"/>
                          </a:solidFill>
                          <a:prstDash val="solid"/>
                          <a:miter lim="800000"/>
                          <a:tailEnd type="triangle"/>
                        </a:ln>
                        <a:effectLst/>
                      </wps:spPr>
                      <wps:bodyPr/>
                    </wps:wsp>
                  </a:graphicData>
                </a:graphic>
              </wp:anchor>
            </w:drawing>
          </mc:Choice>
          <mc:Fallback>
            <w:pict>
              <v:shape w14:anchorId="41849F12" id="Straight Arrow Connector 36" o:spid="_x0000_s1026" type="#_x0000_t32" style="position:absolute;margin-left:111pt;margin-top:4.45pt;width:0;height:22.15pt;z-index:2516807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" strokecolor="windowText" strokeweight=".5pt">
                <v:stroke endarrow="block" joinstyle="miter"/>
              </v:shape>
            </w:pict>
          </mc:Fallback>
        </mc:AlternateContent>
      </w:r>
    </w:p>
    <w:p w14:paraId="1295A159" w14:textId="77777777" w:rsidR="00347931" w:rsidRPr="0060384E" w:rsidRDefault="00347931" w:rsidP="00347931">
      <w:pPr>
        <w:spacing w:after="0" w:line="240" w:lineRule="auto"/>
      </w:pPr>
    </w:p>
    <w:p w14:paraId="115B90A0" w14:textId="77777777" w:rsidR="00347931" w:rsidRPr="0060384E" w:rsidRDefault="00347931" w:rsidP="00347931">
      <w:pPr>
        <w:spacing w:after="0" w:line="240" w:lineRule="auto"/>
      </w:pPr>
      <w:r w:rsidRPr="0060384E">
        <w:rPr>
          <w:noProof/>
          <w:lang w:val="en-US"/>
        </w:rPr>
        <mc:AlternateContent>
          <mc:Choice Requires="wps">
            <w:drawing>
              <wp:anchor distT="0" distB="0" distL="114300" distR="114300" simplePos="0" relativeHeight="251666432" behindDoc="0" locked="0" layoutInCell="1" allowOverlap="1" wp14:anchorId="510E479E" wp14:editId="2BDE67BE">
                <wp:simplePos x="0" y="0"/>
                <wp:positionH relativeFrom="column">
                  <wp:posOffset>2476500</wp:posOffset>
                </wp:positionH>
                <wp:positionV relativeFrom="paragraph">
                  <wp:posOffset>294640</wp:posOffset>
                </wp:positionV>
                <wp:extent cx="563245" cy="0"/>
                <wp:effectExtent l="0" t="76200" r="27305" b="95250"/>
                <wp:wrapNone/>
                <wp:docPr id="22" name="Straight Arrow Connector 22"/>
                <wp:cNvGraphicFramePr/>
                <a:graphic xmlns:a="http://schemas.openxmlformats.org/drawingml/2006/main">
                  <a:graphicData uri="http://schemas.microsoft.com/office/word/2010/wordprocessingShape">
                    <wps:wsp>
                      <wps:cNvCnPr/>
                      <wps:spPr>
                        <a:xfrm>
                          <a:off x="0" y="0"/>
                          <a:ext cx="563245" cy="0"/>
                        </a:xfrm>
                        <a:prstGeom prst="straightConnector1">
                          <a:avLst/>
                        </a:prstGeom>
                        <a:noFill/>
                        <a:ln w="6350" cap="flat" cmpd="sng" algn="ctr">
                          <a:solidFill>
                            <a:sysClr val="windowText" lastClr="000000"/>
                          </a:solidFill>
                          <a:prstDash val="solid"/>
                          <a:miter lim="800000"/>
                          <a:tailEnd type="triangle"/>
                        </a:ln>
                        <a:effectLst/>
                      </wps:spPr>
                      <wps:bodyPr/>
                    </wps:wsp>
                  </a:graphicData>
                </a:graphic>
              </wp:anchor>
            </w:drawing>
          </mc:Choice>
          <mc:Fallback>
            <w:pict>
              <v:shape w14:anchorId="3128BCBD" id="Straight Arrow Connector 22" o:spid="_x0000_s1026" type="#_x0000_t32" style="position:absolute;margin-left:195pt;margin-top:23.2pt;width:44.35pt;height:0;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" strokecolor="windowText" strokeweight=".5pt">
                <v:stroke endarrow="block" joinstyle="miter"/>
              </v:shape>
            </w:pict>
          </mc:Fallback>
        </mc:AlternateContent>
      </w:r>
      <w:r w:rsidRPr="0060384E">
        <w:rPr>
          <w:noProof/>
          <w:lang w:val="en-US"/>
        </w:rPr>
        <mc:AlternateContent>
          <mc:Choice Requires="wps">
            <w:drawing>
              <wp:anchor distT="0" distB="0" distL="114300" distR="114300" simplePos="0" relativeHeight="251645952" behindDoc="0" locked="0" layoutInCell="1" allowOverlap="1" wp14:anchorId="0E3EBAB8" wp14:editId="178DDE64">
                <wp:simplePos x="0" y="0"/>
                <wp:positionH relativeFrom="column">
                  <wp:posOffset>561975</wp:posOffset>
                </wp:positionH>
                <wp:positionV relativeFrom="paragraph">
                  <wp:posOffset>13335</wp:posOffset>
                </wp:positionV>
                <wp:extent cx="1887220" cy="526415"/>
                <wp:effectExtent l="0" t="0" r="17780" b="26035"/>
                <wp:wrapNone/>
                <wp:docPr id="23" name="Rectangle 23"/>
                <wp:cNvGraphicFramePr/>
                <a:graphic xmlns:a="http://schemas.openxmlformats.org/drawingml/2006/main">
                  <a:graphicData uri="http://schemas.microsoft.com/office/word/2010/wordprocessingShape">
                    <wps:wsp>
                      <wps:cNvSpPr/>
                      <wps:spPr>
                        <a:xfrm>
                          <a:off x="0" y="0"/>
                          <a:ext cx="1887220" cy="526415"/>
                        </a:xfrm>
                        <a:prstGeom prst="rect">
                          <a:avLst/>
                        </a:prstGeom>
                        <a:noFill/>
                        <a:ln w="12700" cap="flat" cmpd="sng" algn="ctr">
                          <a:solidFill>
                            <a:sysClr val="windowText" lastClr="000000"/>
                          </a:solidFill>
                          <a:prstDash val="solid"/>
                          <a:miter lim="800000"/>
                        </a:ln>
                        <a:effectLst/>
                      </wps:spPr>
                      <wps:txbx>
                        <w:txbxContent>
                          <w:p w14:paraId="15F02F18" w14:textId="77777777" w:rsidR="002B4D9F" w:rsidRDefault="002B4D9F" w:rsidP="00347931">
                            <w:pPr>
                              <w:spacing w:after="0" w:line="240" w:lineRule="auto"/>
                              <w:rPr>
                                <w:rFonts w:cs="Arial"/>
                                <w:color w:val="000000" w:themeColor="text1"/>
                                <w:sz w:val="18"/>
                                <w:szCs w:val="20"/>
                              </w:rPr>
                            </w:pPr>
                            <w:r>
                              <w:rPr>
                                <w:rFonts w:cs="Arial"/>
                                <w:color w:val="000000" w:themeColor="text1"/>
                                <w:sz w:val="18"/>
                                <w:szCs w:val="18"/>
                              </w:rPr>
                              <w:t>Reports assessed for eligibility</w:t>
                            </w:r>
                          </w:p>
                          <w:p w14:paraId="3A4B717A" w14:textId="77777777" w:rsidR="002B4D9F" w:rsidRDefault="002B4D9F" w:rsidP="00347931">
                            <w:pPr>
                              <w:spacing w:after="0" w:line="240" w:lineRule="auto"/>
                              <w:rPr>
                                <w:rFonts w:cs="Arial"/>
                                <w:color w:val="000000" w:themeColor="text1"/>
                                <w:sz w:val="18"/>
                                <w:szCs w:val="20"/>
                              </w:rPr>
                            </w:pPr>
                            <w:r>
                              <w:rPr>
                                <w:rFonts w:cs="Arial"/>
                                <w:color w:val="000000" w:themeColor="text1"/>
                                <w:sz w:val="18"/>
                                <w:szCs w:val="18"/>
                              </w:rPr>
                              <w:t>(n = 60)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E3EBAB8" id="Rectangle 23" o:spid="_x0000_s1035" style="position:absolute;left:0;text-align:left;margin-left:44.25pt;margin-top:1.05pt;width:148.6pt;height:41.45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" filled="f" strokecolor="windowText" strokeweight="1pt">
                <v:textbox>
                  <w:txbxContent>
                    <w:p w14:paraId="15F02F18" w14:textId="77777777" w:rsidR="002B4D9F" w:rsidRDefault="002B4D9F" w:rsidP="00347931">
                      <w:pPr>
                        <w:spacing w:after="0" w:line="240" w:lineRule="auto"/>
                        <w:rPr>
                          <w:rFonts w:cs="Arial"/>
                          <w:color w:val="000000" w:themeColor="text1"/>
                          <w:sz w:val="18"/>
                          <w:szCs w:val="20"/>
                        </w:rPr>
                      </w:pPr>
                      <w:r>
                        <w:rPr>
                          <w:rFonts w:cs="Arial"/>
                          <w:color w:val="000000" w:themeColor="text1"/>
                          <w:sz w:val="18"/>
                          <w:szCs w:val="18"/>
                        </w:rPr>
                        <w:t>Reports assessed for eligibility</w:t>
                      </w:r>
                    </w:p>
                    <w:p w14:paraId="3A4B717A" w14:textId="77777777" w:rsidR="002B4D9F" w:rsidRDefault="002B4D9F" w:rsidP="00347931">
                      <w:pPr>
                        <w:spacing w:after="0" w:line="240" w:lineRule="auto"/>
                        <w:rPr>
                          <w:rFonts w:cs="Arial"/>
                          <w:color w:val="000000" w:themeColor="text1"/>
                          <w:sz w:val="18"/>
                          <w:szCs w:val="20"/>
                        </w:rPr>
                      </w:pPr>
                      <w:r>
                        <w:rPr>
                          <w:rFonts w:cs="Arial"/>
                          <w:color w:val="000000" w:themeColor="text1"/>
                          <w:sz w:val="18"/>
                          <w:szCs w:val="18"/>
                        </w:rPr>
                        <w:t>(n = 60)</w:t>
                      </w:r>
                    </w:p>
                  </w:txbxContent>
                </v:textbox>
              </v:rect>
            </w:pict>
          </mc:Fallback>
        </mc:AlternateContent>
      </w:r>
      <w:r w:rsidRPr="0060384E">
        <w:rPr>
          <w:noProof/>
          <w:lang w:val="en-US"/>
        </w:rPr>
        <mc:AlternateContent>
          <mc:Choice Requires="wps">
            <w:drawing>
              <wp:anchor distT="0" distB="0" distL="114300" distR="114300" simplePos="0" relativeHeight="251648000" behindDoc="0" locked="0" layoutInCell="1" allowOverlap="1" wp14:anchorId="389968FC" wp14:editId="705D7066">
                <wp:simplePos x="0" y="0"/>
                <wp:positionH relativeFrom="column">
                  <wp:posOffset>3057525</wp:posOffset>
                </wp:positionH>
                <wp:positionV relativeFrom="paragraph">
                  <wp:posOffset>10795</wp:posOffset>
                </wp:positionV>
                <wp:extent cx="1887220" cy="1133475"/>
                <wp:effectExtent l="0" t="0" r="17780" b="28575"/>
                <wp:wrapNone/>
                <wp:docPr id="24" name="Rectangle 24"/>
                <wp:cNvGraphicFramePr/>
                <a:graphic xmlns:a="http://schemas.openxmlformats.org/drawingml/2006/main">
                  <a:graphicData uri="http://schemas.microsoft.com/office/word/2010/wordprocessingShape">
                    <wps:wsp>
                      <wps:cNvSpPr/>
                      <wps:spPr>
                        <a:xfrm>
                          <a:off x="0" y="0"/>
                          <a:ext cx="1887220" cy="1133475"/>
                        </a:xfrm>
                        <a:prstGeom prst="rect">
                          <a:avLst/>
                        </a:prstGeom>
                        <a:noFill/>
                        <a:ln w="12700" cap="flat" cmpd="sng" algn="ctr">
                          <a:solidFill>
                            <a:sysClr val="windowText" lastClr="000000"/>
                          </a:solidFill>
                          <a:prstDash val="solid"/>
                          <a:miter lim="800000"/>
                        </a:ln>
                        <a:effectLst/>
                      </wps:spPr>
                      <wps:txbx>
                        <w:txbxContent>
                          <w:p w14:paraId="5BB52274" w14:textId="77777777" w:rsidR="002B4D9F" w:rsidRPr="00BC632B" w:rsidRDefault="002B4D9F" w:rsidP="00347931">
                            <w:pPr>
                              <w:spacing w:after="0" w:line="240" w:lineRule="auto"/>
                              <w:rPr>
                                <w:rFonts w:cs="Arial"/>
                                <w:color w:val="000000" w:themeColor="text1"/>
                                <w:szCs w:val="24"/>
                              </w:rPr>
                            </w:pPr>
                            <w:r w:rsidRPr="00BC632B">
                              <w:rPr>
                                <w:rFonts w:cs="Arial"/>
                                <w:color w:val="000000" w:themeColor="text1"/>
                                <w:sz w:val="16"/>
                                <w:szCs w:val="16"/>
                              </w:rPr>
                              <w:t>Reports excluded:</w:t>
                            </w:r>
                          </w:p>
                          <w:p w14:paraId="4EF79920" w14:textId="77777777" w:rsidR="002B4D9F" w:rsidRPr="00BC632B" w:rsidRDefault="002B4D9F" w:rsidP="00347931">
                            <w:pPr>
                              <w:spacing w:after="0" w:line="240" w:lineRule="auto"/>
                              <w:rPr>
                                <w:rFonts w:cs="Arial"/>
                                <w:color w:val="000000" w:themeColor="text1"/>
                                <w:szCs w:val="24"/>
                              </w:rPr>
                            </w:pPr>
                            <w:r w:rsidRPr="00BC632B">
                              <w:rPr>
                                <w:rFonts w:cs="Arial"/>
                                <w:color w:val="000000" w:themeColor="text1"/>
                                <w:sz w:val="16"/>
                                <w:szCs w:val="16"/>
                              </w:rPr>
                              <w:t>Wrong country (n = 16)</w:t>
                            </w:r>
                          </w:p>
                          <w:p w14:paraId="0BBA4A6D" w14:textId="77777777" w:rsidR="002B4D9F" w:rsidRPr="00BC632B" w:rsidRDefault="002B4D9F" w:rsidP="00347931">
                            <w:pPr>
                              <w:spacing w:after="0" w:line="240" w:lineRule="auto"/>
                              <w:rPr>
                                <w:rFonts w:cs="Arial"/>
                                <w:color w:val="000000" w:themeColor="text1"/>
                                <w:szCs w:val="24"/>
                              </w:rPr>
                            </w:pPr>
                            <w:r w:rsidRPr="00BC632B">
                              <w:rPr>
                                <w:rFonts w:cs="Arial"/>
                                <w:color w:val="000000" w:themeColor="text1"/>
                                <w:sz w:val="16"/>
                                <w:szCs w:val="16"/>
                              </w:rPr>
                              <w:t>Non-UK setting (n = 12)</w:t>
                            </w:r>
                          </w:p>
                          <w:p w14:paraId="04C5FD5C" w14:textId="77777777" w:rsidR="002B4D9F" w:rsidRPr="00BC632B" w:rsidRDefault="002B4D9F" w:rsidP="00347931">
                            <w:pPr>
                              <w:spacing w:after="0" w:line="240" w:lineRule="auto"/>
                              <w:rPr>
                                <w:rFonts w:cs="Arial"/>
                                <w:color w:val="000000" w:themeColor="text1"/>
                                <w:szCs w:val="24"/>
                              </w:rPr>
                            </w:pPr>
                            <w:r w:rsidRPr="00BC632B">
                              <w:rPr>
                                <w:rFonts w:cs="Arial"/>
                                <w:color w:val="000000" w:themeColor="text1"/>
                                <w:sz w:val="16"/>
                                <w:szCs w:val="16"/>
                              </w:rPr>
                              <w:t>Ineligible technology (n = 7)</w:t>
                            </w:r>
                          </w:p>
                          <w:p w14:paraId="3A956A05" w14:textId="77777777" w:rsidR="002B4D9F" w:rsidRPr="00BC632B" w:rsidRDefault="002B4D9F" w:rsidP="00347931">
                            <w:pPr>
                              <w:spacing w:after="0" w:line="240" w:lineRule="auto"/>
                              <w:rPr>
                                <w:rFonts w:cs="Arial"/>
                                <w:color w:val="000000" w:themeColor="text1"/>
                                <w:szCs w:val="24"/>
                              </w:rPr>
                            </w:pPr>
                            <w:r w:rsidRPr="00BC632B">
                              <w:rPr>
                                <w:rFonts w:cs="Arial"/>
                                <w:color w:val="000000" w:themeColor="text1"/>
                                <w:sz w:val="16"/>
                                <w:szCs w:val="16"/>
                              </w:rPr>
                              <w:t>No extractable qualitative evidence (n = 11)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89968FC" id="Rectangle 24" o:spid="_x0000_s1036" style="position:absolute;left:0;text-align:left;margin-left:240.75pt;margin-top:.85pt;width:148.6pt;height:89.25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" filled="f" strokecolor="windowText" strokeweight="1pt">
                <v:textbox>
                  <w:txbxContent>
                    <w:p w14:paraId="5BB52274" w14:textId="77777777" w:rsidR="002B4D9F" w:rsidRPr="00BC632B" w:rsidRDefault="002B4D9F" w:rsidP="00347931">
                      <w:pPr>
                        <w:spacing w:after="0" w:line="240" w:lineRule="auto"/>
                        <w:rPr>
                          <w:rFonts w:cs="Arial"/>
                          <w:color w:val="000000" w:themeColor="text1"/>
                          <w:szCs w:val="24"/>
                        </w:rPr>
                      </w:pPr>
                      <w:r w:rsidRPr="00BC632B">
                        <w:rPr>
                          <w:rFonts w:cs="Arial"/>
                          <w:color w:val="000000" w:themeColor="text1"/>
                          <w:sz w:val="16"/>
                          <w:szCs w:val="16"/>
                        </w:rPr>
                        <w:t>Reports excluded:</w:t>
                      </w:r>
                    </w:p>
                    <w:p w14:paraId="4EF79920" w14:textId="77777777" w:rsidR="002B4D9F" w:rsidRPr="00BC632B" w:rsidRDefault="002B4D9F" w:rsidP="00347931">
                      <w:pPr>
                        <w:spacing w:after="0" w:line="240" w:lineRule="auto"/>
                        <w:rPr>
                          <w:rFonts w:cs="Arial"/>
                          <w:color w:val="000000" w:themeColor="text1"/>
                          <w:szCs w:val="24"/>
                        </w:rPr>
                      </w:pPr>
                      <w:r w:rsidRPr="00BC632B">
                        <w:rPr>
                          <w:rFonts w:cs="Arial"/>
                          <w:color w:val="000000" w:themeColor="text1"/>
                          <w:sz w:val="16"/>
                          <w:szCs w:val="16"/>
                        </w:rPr>
                        <w:t>Wrong country (n = 16)</w:t>
                      </w:r>
                    </w:p>
                    <w:p w14:paraId="0BBA4A6D" w14:textId="77777777" w:rsidR="002B4D9F" w:rsidRPr="00BC632B" w:rsidRDefault="002B4D9F" w:rsidP="00347931">
                      <w:pPr>
                        <w:spacing w:after="0" w:line="240" w:lineRule="auto"/>
                        <w:rPr>
                          <w:rFonts w:cs="Arial"/>
                          <w:color w:val="000000" w:themeColor="text1"/>
                          <w:szCs w:val="24"/>
                        </w:rPr>
                      </w:pPr>
                      <w:r w:rsidRPr="00BC632B">
                        <w:rPr>
                          <w:rFonts w:cs="Arial"/>
                          <w:color w:val="000000" w:themeColor="text1"/>
                          <w:sz w:val="16"/>
                          <w:szCs w:val="16"/>
                        </w:rPr>
                        <w:t>Non-UK setting (n = 12)</w:t>
                      </w:r>
                    </w:p>
                    <w:p w14:paraId="04C5FD5C" w14:textId="77777777" w:rsidR="002B4D9F" w:rsidRPr="00BC632B" w:rsidRDefault="002B4D9F" w:rsidP="00347931">
                      <w:pPr>
                        <w:spacing w:after="0" w:line="240" w:lineRule="auto"/>
                        <w:rPr>
                          <w:rFonts w:cs="Arial"/>
                          <w:color w:val="000000" w:themeColor="text1"/>
                          <w:szCs w:val="24"/>
                        </w:rPr>
                      </w:pPr>
                      <w:r w:rsidRPr="00BC632B">
                        <w:rPr>
                          <w:rFonts w:cs="Arial"/>
                          <w:color w:val="000000" w:themeColor="text1"/>
                          <w:sz w:val="16"/>
                          <w:szCs w:val="16"/>
                        </w:rPr>
                        <w:t>Ineligible technology (n = 7)</w:t>
                      </w:r>
                    </w:p>
                    <w:p w14:paraId="3A956A05" w14:textId="77777777" w:rsidR="002B4D9F" w:rsidRPr="00BC632B" w:rsidRDefault="002B4D9F" w:rsidP="00347931">
                      <w:pPr>
                        <w:spacing w:after="0" w:line="240" w:lineRule="auto"/>
                        <w:rPr>
                          <w:rFonts w:cs="Arial"/>
                          <w:color w:val="000000" w:themeColor="text1"/>
                          <w:szCs w:val="24"/>
                        </w:rPr>
                      </w:pPr>
                      <w:r w:rsidRPr="00BC632B">
                        <w:rPr>
                          <w:rFonts w:cs="Arial"/>
                          <w:color w:val="000000" w:themeColor="text1"/>
                          <w:sz w:val="16"/>
                          <w:szCs w:val="16"/>
                        </w:rPr>
                        <w:t>No extractable qualitative evidence (n = 11)</w:t>
                      </w:r>
                    </w:p>
                  </w:txbxContent>
                </v:textbox>
              </v:rect>
            </w:pict>
          </mc:Fallback>
        </mc:AlternateContent>
      </w:r>
    </w:p>
    <w:p w14:paraId="00C813EF" w14:textId="77777777" w:rsidR="00347931" w:rsidRPr="0060384E" w:rsidRDefault="00347931" w:rsidP="00347931">
      <w:pPr>
        <w:spacing w:after="0" w:line="240" w:lineRule="auto"/>
      </w:pPr>
    </w:p>
    <w:p w14:paraId="16B16815" w14:textId="77777777" w:rsidR="00347931" w:rsidRPr="0060384E" w:rsidRDefault="00347931" w:rsidP="00347931">
      <w:pPr>
        <w:spacing w:after="0" w:line="240" w:lineRule="auto"/>
      </w:pPr>
    </w:p>
    <w:p w14:paraId="2EF2A035" w14:textId="77777777" w:rsidR="00347931" w:rsidRPr="0060384E" w:rsidRDefault="00347931" w:rsidP="00347931">
      <w:pPr>
        <w:spacing w:after="0" w:line="240" w:lineRule="auto"/>
      </w:pPr>
      <w:r w:rsidRPr="0060384E">
        <w:rPr>
          <w:noProof/>
          <w:lang w:val="en-US"/>
        </w:rPr>
        <mc:AlternateContent>
          <mc:Choice Requires="wps">
            <w:drawing>
              <wp:anchor distT="0" distB="0" distL="114300" distR="114300" simplePos="0" relativeHeight="251682816" behindDoc="0" locked="0" layoutInCell="1" allowOverlap="1" wp14:anchorId="4BADE5A0" wp14:editId="694F0C9B">
                <wp:simplePos x="0" y="0"/>
                <wp:positionH relativeFrom="column">
                  <wp:posOffset>1400861</wp:posOffset>
                </wp:positionH>
                <wp:positionV relativeFrom="paragraph">
                  <wp:posOffset>29667</wp:posOffset>
                </wp:positionV>
                <wp:extent cx="0" cy="746151"/>
                <wp:effectExtent l="76200" t="0" r="57150" b="53975"/>
                <wp:wrapNone/>
                <wp:docPr id="25" name="Straight Arrow Connector 25"/>
                <wp:cNvGraphicFramePr/>
                <a:graphic xmlns:a="http://schemas.openxmlformats.org/drawingml/2006/main">
                  <a:graphicData uri="http://schemas.microsoft.com/office/word/2010/wordprocessingShape">
                    <wps:wsp>
                      <wps:cNvCnPr/>
                      <wps:spPr>
                        <a:xfrm>
                          <a:off x="0" y="0"/>
                          <a:ext cx="0" cy="746151"/>
                        </a:xfrm>
                        <a:prstGeom prst="straightConnector1">
                          <a:avLst/>
                        </a:prstGeom>
                        <a:noFill/>
                        <a:ln w="6350" cap="flat" cmpd="sng" algn="ctr">
                          <a:solidFill>
                            <a:sysClr val="windowText" lastClr="000000"/>
                          </a:solidFill>
                          <a:prstDash val="solid"/>
                          <a:miter lim="800000"/>
                          <a:tailEnd type="triangle"/>
                        </a:ln>
                        <a:effectLst/>
                      </wps:spPr>
                      <wps:bodyPr/>
                    </wps:wsp>
                  </a:graphicData>
                </a:graphic>
              </wp:anchor>
            </w:drawing>
          </mc:Choice>
          <mc:Fallback>
            <w:pict>
              <v:shape w14:anchorId="0944BD4C" id="Straight Arrow Connector 25" o:spid="_x0000_s1026" type="#_x0000_t32" style="position:absolute;margin-left:110.3pt;margin-top:2.35pt;width:0;height:58.75pt;z-index:2516828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" strokecolor="windowText" strokeweight=".5pt">
                <v:stroke endarrow="block" joinstyle="miter"/>
              </v:shape>
            </w:pict>
          </mc:Fallback>
        </mc:AlternateContent>
      </w:r>
    </w:p>
    <w:p w14:paraId="2CF8E789" w14:textId="77777777" w:rsidR="00347931" w:rsidRPr="0060384E" w:rsidRDefault="00347931" w:rsidP="00347931">
      <w:pPr>
        <w:spacing w:after="0" w:line="240" w:lineRule="auto"/>
      </w:pPr>
    </w:p>
    <w:p w14:paraId="63D73F88" w14:textId="77777777" w:rsidR="00347931" w:rsidRPr="0060384E" w:rsidRDefault="00347931" w:rsidP="00347931">
      <w:pPr>
        <w:spacing w:after="0" w:line="240" w:lineRule="auto"/>
      </w:pPr>
    </w:p>
    <w:p w14:paraId="53AD34E9" w14:textId="77777777" w:rsidR="00347931" w:rsidRPr="0060384E" w:rsidRDefault="00347931" w:rsidP="00347931">
      <w:pPr>
        <w:spacing w:after="0" w:line="240" w:lineRule="auto"/>
      </w:pPr>
    </w:p>
    <w:p w14:paraId="36D3B167" w14:textId="77777777" w:rsidR="00347931" w:rsidRPr="0060384E" w:rsidRDefault="00347931" w:rsidP="00347931">
      <w:pPr>
        <w:spacing w:after="0" w:line="240" w:lineRule="auto"/>
      </w:pPr>
      <w:r w:rsidRPr="0060384E">
        <w:rPr>
          <w:noProof/>
          <w:lang w:val="en-US"/>
        </w:rPr>
        <mc:AlternateContent>
          <mc:Choice Requires="wps">
            <w:drawing>
              <wp:anchor distT="0" distB="0" distL="114300" distR="114300" simplePos="0" relativeHeight="251650048" behindDoc="0" locked="0" layoutInCell="1" allowOverlap="1" wp14:anchorId="18A37C37" wp14:editId="52E0FEA7">
                <wp:simplePos x="0" y="0"/>
                <wp:positionH relativeFrom="column">
                  <wp:posOffset>540385</wp:posOffset>
                </wp:positionH>
                <wp:positionV relativeFrom="paragraph">
                  <wp:posOffset>110795</wp:posOffset>
                </wp:positionV>
                <wp:extent cx="1887220" cy="723900"/>
                <wp:effectExtent l="0" t="0" r="17780" b="19050"/>
                <wp:wrapNone/>
                <wp:docPr id="26" name="Rectangle 26"/>
                <wp:cNvGraphicFramePr/>
                <a:graphic xmlns:a="http://schemas.openxmlformats.org/drawingml/2006/main">
                  <a:graphicData uri="http://schemas.microsoft.com/office/word/2010/wordprocessingShape">
                    <wps:wsp>
                      <wps:cNvSpPr/>
                      <wps:spPr>
                        <a:xfrm>
                          <a:off x="0" y="0"/>
                          <a:ext cx="1887220" cy="723900"/>
                        </a:xfrm>
                        <a:prstGeom prst="rect">
                          <a:avLst/>
                        </a:prstGeom>
                        <a:noFill/>
                        <a:ln w="12700" cap="flat" cmpd="sng" algn="ctr">
                          <a:solidFill>
                            <a:sysClr val="windowText" lastClr="000000"/>
                          </a:solidFill>
                          <a:prstDash val="solid"/>
                          <a:miter lim="800000"/>
                        </a:ln>
                        <a:effectLst/>
                      </wps:spPr>
                      <wps:txbx>
                        <w:txbxContent>
                          <w:p w14:paraId="57171C72" w14:textId="77777777" w:rsidR="002B4D9F" w:rsidRDefault="002B4D9F" w:rsidP="00347931">
                            <w:pPr>
                              <w:spacing w:after="0" w:line="240" w:lineRule="auto"/>
                              <w:rPr>
                                <w:rFonts w:cs="Arial"/>
                                <w:color w:val="000000" w:themeColor="text1"/>
                                <w:sz w:val="18"/>
                                <w:szCs w:val="18"/>
                              </w:rPr>
                            </w:pPr>
                            <w:r w:rsidRPr="00062762">
                              <w:rPr>
                                <w:rFonts w:cs="Arial"/>
                                <w:color w:val="000000" w:themeColor="text1"/>
                                <w:sz w:val="18"/>
                                <w:szCs w:val="18"/>
                              </w:rPr>
                              <w:t>Reports included in final synthesis</w:t>
                            </w:r>
                            <w:r>
                              <w:rPr>
                                <w:rFonts w:cs="Arial"/>
                                <w:color w:val="000000" w:themeColor="text1"/>
                                <w:sz w:val="18"/>
                                <w:szCs w:val="18"/>
                              </w:rPr>
                              <w:t xml:space="preserve"> (n = 15)</w:t>
                            </w:r>
                          </w:p>
                          <w:p w14:paraId="2CAB243F" w14:textId="77777777" w:rsidR="002B4D9F" w:rsidRPr="00042032" w:rsidRDefault="002B4D9F" w:rsidP="00347931">
                            <w:pPr>
                              <w:spacing w:after="0" w:line="240" w:lineRule="auto"/>
                              <w:rPr>
                                <w:rFonts w:cs="Arial"/>
                                <w:color w:val="000000" w:themeColor="text1"/>
                                <w:sz w:val="18"/>
                                <w:szCs w:val="20"/>
                              </w:rPr>
                            </w:pPr>
                            <w:r w:rsidRPr="00434570">
                              <w:rPr>
                                <w:rFonts w:cs="Arial"/>
                                <w:color w:val="000000" w:themeColor="text1"/>
                                <w:sz w:val="18"/>
                                <w:szCs w:val="18"/>
                              </w:rPr>
                              <w:t xml:space="preserve">Unique studies </w:t>
                            </w:r>
                            <w:r w:rsidRPr="00042032">
                              <w:rPr>
                                <w:rFonts w:cs="Arial"/>
                                <w:color w:val="000000" w:themeColor="text1"/>
                                <w:sz w:val="18"/>
                                <w:szCs w:val="18"/>
                              </w:rPr>
                              <w:t>(n = 1</w:t>
                            </w:r>
                            <w:r>
                              <w:rPr>
                                <w:rFonts w:cs="Arial"/>
                                <w:color w:val="000000" w:themeColor="text1"/>
                                <w:sz w:val="18"/>
                                <w:szCs w:val="18"/>
                              </w:rPr>
                              <w:t>4</w:t>
                            </w:r>
                            <w:r w:rsidRPr="00042032">
                              <w:rPr>
                                <w:rFonts w:cs="Arial"/>
                                <w:color w:val="000000" w:themeColor="text1"/>
                                <w:sz w:val="18"/>
                                <w:szCs w:val="18"/>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8A37C37" id="Rectangle 26" o:spid="_x0000_s1037" style="position:absolute;left:0;text-align:left;margin-left:42.55pt;margin-top:8.7pt;width:148.6pt;height:57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" filled="f" strokecolor="windowText" strokeweight="1pt">
                <v:textbox>
                  <w:txbxContent>
                    <w:p w14:paraId="57171C72" w14:textId="77777777" w:rsidR="002B4D9F" w:rsidRDefault="002B4D9F" w:rsidP="00347931">
                      <w:pPr>
                        <w:spacing w:after="0" w:line="240" w:lineRule="auto"/>
                        <w:rPr>
                          <w:rFonts w:cs="Arial"/>
                          <w:color w:val="000000" w:themeColor="text1"/>
                          <w:sz w:val="18"/>
                          <w:szCs w:val="18"/>
                        </w:rPr>
                      </w:pPr>
                      <w:r w:rsidRPr="00062762">
                        <w:rPr>
                          <w:rFonts w:cs="Arial"/>
                          <w:color w:val="000000" w:themeColor="text1"/>
                          <w:sz w:val="18"/>
                          <w:szCs w:val="18"/>
                        </w:rPr>
                        <w:t>Reports included in final synthesis</w:t>
                      </w:r>
                      <w:r>
                        <w:rPr>
                          <w:rFonts w:cs="Arial"/>
                          <w:color w:val="000000" w:themeColor="text1"/>
                          <w:sz w:val="18"/>
                          <w:szCs w:val="18"/>
                        </w:rPr>
                        <w:t xml:space="preserve"> (n = 15)</w:t>
                      </w:r>
                    </w:p>
                    <w:p w14:paraId="2CAB243F" w14:textId="77777777" w:rsidR="002B4D9F" w:rsidRPr="00042032" w:rsidRDefault="002B4D9F" w:rsidP="00347931">
                      <w:pPr>
                        <w:spacing w:after="0" w:line="240" w:lineRule="auto"/>
                        <w:rPr>
                          <w:rFonts w:cs="Arial"/>
                          <w:color w:val="000000" w:themeColor="text1"/>
                          <w:sz w:val="18"/>
                          <w:szCs w:val="20"/>
                        </w:rPr>
                      </w:pPr>
                      <w:r w:rsidRPr="00434570">
                        <w:rPr>
                          <w:rFonts w:cs="Arial"/>
                          <w:color w:val="000000" w:themeColor="text1"/>
                          <w:sz w:val="18"/>
                          <w:szCs w:val="18"/>
                        </w:rPr>
                        <w:t xml:space="preserve">Unique studies </w:t>
                      </w:r>
                      <w:r w:rsidRPr="00042032">
                        <w:rPr>
                          <w:rFonts w:cs="Arial"/>
                          <w:color w:val="000000" w:themeColor="text1"/>
                          <w:sz w:val="18"/>
                          <w:szCs w:val="18"/>
                        </w:rPr>
                        <w:t>(n = 1</w:t>
                      </w:r>
                      <w:r>
                        <w:rPr>
                          <w:rFonts w:cs="Arial"/>
                          <w:color w:val="000000" w:themeColor="text1"/>
                          <w:sz w:val="18"/>
                          <w:szCs w:val="18"/>
                        </w:rPr>
                        <w:t>4</w:t>
                      </w:r>
                      <w:r w:rsidRPr="00042032">
                        <w:rPr>
                          <w:rFonts w:cs="Arial"/>
                          <w:color w:val="000000" w:themeColor="text1"/>
                          <w:sz w:val="18"/>
                          <w:szCs w:val="18"/>
                        </w:rPr>
                        <w:t>)</w:t>
                      </w:r>
                    </w:p>
                  </w:txbxContent>
                </v:textbox>
              </v:rect>
            </w:pict>
          </mc:Fallback>
        </mc:AlternateContent>
      </w:r>
    </w:p>
    <w:p w14:paraId="72497F54" w14:textId="77777777" w:rsidR="00347931" w:rsidRPr="0060384E" w:rsidRDefault="00347931" w:rsidP="00347931">
      <w:pPr>
        <w:spacing w:after="0" w:line="240" w:lineRule="auto"/>
      </w:pPr>
      <w:r w:rsidRPr="0060384E">
        <w:rPr>
          <w:noProof/>
          <w:lang w:val="en-US"/>
        </w:rPr>
        <mc:AlternateContent>
          <mc:Choice Requires="wps">
            <w:drawing>
              <wp:anchor distT="0" distB="0" distL="114300" distR="114300" simplePos="0" relativeHeight="251674624" behindDoc="0" locked="0" layoutInCell="1" allowOverlap="1" wp14:anchorId="1C96411C" wp14:editId="4B4C8CFD">
                <wp:simplePos x="0" y="0"/>
                <wp:positionH relativeFrom="column">
                  <wp:posOffset>-133509</wp:posOffset>
                </wp:positionH>
                <wp:positionV relativeFrom="paragraph">
                  <wp:posOffset>170656</wp:posOffset>
                </wp:positionV>
                <wp:extent cx="764223" cy="262890"/>
                <wp:effectExtent l="2858" t="0" r="20002" b="20003"/>
                <wp:wrapNone/>
                <wp:docPr id="33" name="Flowchart: Alternate Process 33"/>
                <wp:cNvGraphicFramePr/>
                <a:graphic xmlns:a="http://schemas.openxmlformats.org/drawingml/2006/main">
                  <a:graphicData uri="http://schemas.microsoft.com/office/word/2010/wordprocessingShape">
                    <wps:wsp>
                      <wps:cNvSpPr/>
                      <wps:spPr>
                        <a:xfrm rot="16200000">
                          <a:off x="0" y="0"/>
                          <a:ext cx="764223" cy="262890"/>
                        </a:xfrm>
                        <a:prstGeom prst="flowChartAlternateProcess">
                          <a:avLst/>
                        </a:prstGeom>
                        <a:solidFill>
                          <a:srgbClr val="4472C4">
                            <a:lumMod val="60000"/>
                            <a:lumOff val="40000"/>
                          </a:srgbClr>
                        </a:solidFill>
                        <a:ln w="12700" cap="flat" cmpd="sng" algn="ctr">
                          <a:solidFill>
                            <a:sysClr val="windowText" lastClr="000000"/>
                          </a:solidFill>
                          <a:prstDash val="solid"/>
                          <a:miter lim="800000"/>
                        </a:ln>
                        <a:effectLst/>
                      </wps:spPr>
                      <wps:txbx>
                        <w:txbxContent>
                          <w:p w14:paraId="06CC92CB" w14:textId="77777777" w:rsidR="002B4D9F" w:rsidRPr="001502CF" w:rsidRDefault="002B4D9F" w:rsidP="00347931">
                            <w:pPr>
                              <w:spacing w:after="0" w:line="240" w:lineRule="auto"/>
                              <w:jc w:val="center"/>
                              <w:rPr>
                                <w:rFonts w:cs="Arial"/>
                                <w:b/>
                                <w:color w:val="000000" w:themeColor="text1"/>
                                <w:sz w:val="18"/>
                                <w:szCs w:val="18"/>
                              </w:rPr>
                            </w:pPr>
                            <w:r>
                              <w:rPr>
                                <w:rFonts w:cs="Arial"/>
                                <w:b/>
                                <w:color w:val="000000" w:themeColor="text1"/>
                                <w:sz w:val="18"/>
                                <w:szCs w:val="18"/>
                              </w:rPr>
                              <w:t>Included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96411C" id="Flowchart: Alternate Process 33" o:spid="_x0000_s1038" type="#_x0000_t176" style="position:absolute;left:0;text-align:left;margin-left:-10.5pt;margin-top:13.45pt;width:60.2pt;height:20.7pt;rotation:-90;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" fillcolor="#8faadc" strokecolor="windowText" strokeweight="1pt">
                <v:textbox>
                  <w:txbxContent>
                    <w:p w14:paraId="06CC92CB" w14:textId="77777777" w:rsidR="002B4D9F" w:rsidRPr="001502CF" w:rsidRDefault="002B4D9F" w:rsidP="00347931">
                      <w:pPr>
                        <w:spacing w:after="0" w:line="240" w:lineRule="auto"/>
                        <w:jc w:val="center"/>
                        <w:rPr>
                          <w:rFonts w:cs="Arial"/>
                          <w:b/>
                          <w:color w:val="000000" w:themeColor="text1"/>
                          <w:sz w:val="18"/>
                          <w:szCs w:val="18"/>
                        </w:rPr>
                      </w:pPr>
                      <w:r>
                        <w:rPr>
                          <w:rFonts w:cs="Arial"/>
                          <w:b/>
                          <w:color w:val="000000" w:themeColor="text1"/>
                          <w:sz w:val="18"/>
                          <w:szCs w:val="18"/>
                        </w:rPr>
                        <w:t>Included</w:t>
                      </w:r>
                    </w:p>
                  </w:txbxContent>
                </v:textbox>
              </v:shape>
            </w:pict>
          </mc:Fallback>
        </mc:AlternateContent>
      </w:r>
    </w:p>
    <w:p w14:paraId="08A69B3A" w14:textId="77777777" w:rsidR="00347931" w:rsidRPr="0060384E" w:rsidRDefault="00347931" w:rsidP="00347931"/>
    <w:p w14:paraId="7A9DAE26" w14:textId="77777777" w:rsidR="00347931" w:rsidRPr="0060384E" w:rsidRDefault="00347931" w:rsidP="00347931">
      <w:pPr>
        <w:rPr>
          <w:lang w:val="en-US"/>
        </w:rPr>
      </w:pPr>
    </w:p>
    <w:p w14:paraId="0E2EDCD9" w14:textId="77777777" w:rsidR="00347931" w:rsidRPr="0060384E" w:rsidRDefault="00347931" w:rsidP="00347931">
      <w:pPr>
        <w:spacing w:line="259" w:lineRule="auto"/>
        <w:jc w:val="left"/>
        <w:rPr>
          <w:rFonts w:eastAsiaTheme="majorEastAsia" w:cstheme="majorBidi"/>
          <w:b/>
        </w:rPr>
      </w:pPr>
      <w:r w:rsidRPr="0060384E">
        <w:br w:type="page"/>
      </w:r>
    </w:p>
    <w:p w14:paraId="31CB9D15" w14:textId="77777777" w:rsidR="00017BB4" w:rsidRPr="004A1E6C" w:rsidRDefault="00017BB4" w:rsidP="00017BB4">
      <w:pPr>
        <w:pStyle w:val="Heading2"/>
        <w:rPr>
          <w:rFonts w:cs="Arial"/>
          <w:szCs w:val="22"/>
        </w:rPr>
      </w:pPr>
      <w:bookmarkStart w:id="101" w:name="_Toc237364345"/>
      <w:bookmarkStart w:id="102" w:name="_Toc241175733"/>
      <w:r w:rsidRPr="004A1E6C">
        <w:rPr>
          <w:rFonts w:cs="Arial"/>
          <w:szCs w:val="22"/>
        </w:rPr>
        <w:lastRenderedPageBreak/>
        <w:t>4.3 Study Characteristics</w:t>
      </w:r>
      <w:bookmarkEnd w:id="101"/>
      <w:bookmarkEnd w:id="102"/>
    </w:p>
    <w:p w14:paraId="6B55EE64" w14:textId="77777777" w:rsidR="00017BB4" w:rsidRPr="005C65A5" w:rsidRDefault="00017BB4" w:rsidP="00017BB4">
      <w:pPr>
        <w:rPr>
          <w:rFonts w:cs="Arial"/>
        </w:rPr>
      </w:pPr>
      <w:r w:rsidRPr="005C65A5">
        <w:rPr>
          <w:rFonts w:cs="Arial"/>
        </w:rPr>
        <w:t>The research features in the extraction format needed by the programme: source and setting, purpose and design, population and sample, chronic condition and digital exposure, main results, appraisal judgement and synthesised themes, are summarised in Table 4.1 in the extraction format. There was heterogeneous evidence. Not five but five reports focused directly on chronic-condition self-management by using telemonitoring, telehealth, online pulmonary rehabilitation or condition-specific technologies (Salisbury et al., 2015; O’Cathain et al., 2016; Middlemass et al., 2017; Lewis et al., 2021; Moody et al., 2024). Chadwick et al. (2024) compared digital engagement regarding chronic kidney disease, and Ochieng et al. (2022) assessed augmented video assessment within care facilities with residents who bore significant frailty and morbidity. The rest of the reports considered digital accessibility in NHS care, such as video and web-based consultations and web services and booking of appointments. They were not excluded as access is a part of dealing with long-term illness, and they made findings that might be generalised to older adults or those with long-term illness.</w:t>
      </w:r>
    </w:p>
    <w:p w14:paraId="5AA76245" w14:textId="3E056496" w:rsidR="00017BB4" w:rsidRDefault="00017BB4" w:rsidP="00017BB4">
      <w:pPr>
        <w:rPr>
          <w:rFonts w:cs="Arial"/>
        </w:rPr>
      </w:pPr>
      <w:r w:rsidRPr="005C65A5">
        <w:rPr>
          <w:rFonts w:cs="Arial"/>
        </w:rPr>
        <w:t>In an e-Delphi study, samples of 15 specialists were used, and in the case of national surveys, samples of over 1.3 million were used. Eleven reports contained patient or public qualitative reports, two primarily professional reports and two reports that combined multiple evidence strands. Geographically, research was done on England, or various settings in the UK, but Scotland, Wales and Northern Ireland were not represented well. Three of them intentionally enrolled individuals experiencing social deprivation, low English or minoritised ethnicity (Ahmed et al., 2024; Chadwick et al., 2024; Husain et al., 2024). This enhanced the equity analysis, but the evidence was still loaded on the English services and narrow purposive sample bases.</w:t>
      </w:r>
    </w:p>
    <w:p w14:paraId="6FF0A88E" w14:textId="77777777" w:rsidR="0060384E" w:rsidRPr="005C65A5" w:rsidRDefault="0060384E" w:rsidP="00017BB4">
      <w:pPr>
        <w:rPr>
          <w:rFonts w:cs="Arial"/>
        </w:rPr>
      </w:pPr>
    </w:p>
    <w:p w14:paraId="701BEBDD" w14:textId="3FC835AA" w:rsidR="0060384E" w:rsidRPr="005C65A5" w:rsidRDefault="0060384E" w:rsidP="00017BB4">
      <w:pPr>
        <w:rPr>
          <w:rFonts w:cs="Arial"/>
        </w:rPr>
        <w:sectPr w:rsidR="0060384E" w:rsidRPr="005C65A5" w:rsidSect="00B32C7F">
          <w:footerReference w:type="default" r:id="rId18"/>
          <w:type w:val="continuous"/>
          <w:pgSz w:w="11906" w:h="16838" w:code="9"/>
          <w:pgMar w:top="1440" w:right="1800" w:bottom="1440" w:left="1800" w:header="567" w:footer="567" w:gutter="0"/>
          <w:pgNumType w:start="1"/>
          <w:cols w:space="720"/>
          <w:titlePg/>
          <w:docGrid w:linePitch="360"/>
        </w:sectPr>
      </w:pPr>
    </w:p>
    <w:p w14:paraId="44A9DF1F" w14:textId="77777777" w:rsidR="00017BB4" w:rsidRPr="005C65A5" w:rsidRDefault="00017BB4" w:rsidP="00017BB4">
      <w:pPr>
        <w:rPr>
          <w:rFonts w:cs="Arial"/>
        </w:rPr>
      </w:pPr>
      <w:r w:rsidRPr="005C65A5">
        <w:rPr>
          <w:rFonts w:cs="Arial"/>
        </w:rPr>
        <w:lastRenderedPageBreak/>
        <w:t>Table 4.1. Characteristics, principal findings, appraisal and synthesised themes of the 15 included reports</w:t>
      </w:r>
    </w:p>
    <w:tbl>
      <w:tblPr>
        <w:tblStyle w:val="TableGrid"/>
        <w:tblW w:w="0" w:type="auto"/>
        <w:jc w:val="center"/>
        <w:tblLayout w:type="fixed"/>
        <w:tblLook w:val="04A0" w:firstRow="1" w:lastRow="0" w:firstColumn="1" w:lastColumn="0" w:noHBand="0" w:noVBand="1"/>
      </w:tblPr>
      <w:tblGrid>
        <w:gridCol w:w="1531"/>
        <w:gridCol w:w="1587"/>
        <w:gridCol w:w="2324"/>
        <w:gridCol w:w="2268"/>
        <w:gridCol w:w="3628"/>
        <w:gridCol w:w="907"/>
        <w:gridCol w:w="2211"/>
      </w:tblGrid>
      <w:tr w:rsidR="00017BB4" w:rsidRPr="00826A5E" w14:paraId="42F98350" w14:textId="77777777" w:rsidTr="004D2BA7">
        <w:trPr>
          <w:jc w:val="center"/>
        </w:trPr>
        <w:tc>
          <w:tcPr>
            <w:tcW w:w="1531" w:type="dxa"/>
          </w:tcPr>
          <w:p w14:paraId="43E1900A" w14:textId="77777777" w:rsidR="00017BB4" w:rsidRPr="00826A5E" w:rsidRDefault="00017BB4" w:rsidP="00627683">
            <w:pPr>
              <w:rPr>
                <w:rFonts w:cs="Arial"/>
                <w:color w:val="000000" w:themeColor="text1"/>
                <w:sz w:val="20"/>
                <w:szCs w:val="20"/>
              </w:rPr>
            </w:pPr>
            <w:r w:rsidRPr="00826A5E">
              <w:rPr>
                <w:rFonts w:cs="Arial"/>
                <w:b/>
                <w:color w:val="000000" w:themeColor="text1"/>
                <w:sz w:val="20"/>
                <w:szCs w:val="20"/>
              </w:rPr>
              <w:t>Study</w:t>
            </w:r>
          </w:p>
        </w:tc>
        <w:tc>
          <w:tcPr>
            <w:tcW w:w="1587" w:type="dxa"/>
          </w:tcPr>
          <w:p w14:paraId="3F5F9910" w14:textId="77777777" w:rsidR="00017BB4" w:rsidRPr="00826A5E" w:rsidRDefault="00017BB4" w:rsidP="00627683">
            <w:pPr>
              <w:rPr>
                <w:rFonts w:cs="Arial"/>
                <w:color w:val="000000" w:themeColor="text1"/>
                <w:sz w:val="20"/>
                <w:szCs w:val="20"/>
              </w:rPr>
            </w:pPr>
            <w:r w:rsidRPr="00826A5E">
              <w:rPr>
                <w:rFonts w:cs="Arial"/>
                <w:b/>
                <w:color w:val="000000" w:themeColor="text1"/>
                <w:sz w:val="20"/>
                <w:szCs w:val="20"/>
              </w:rPr>
              <w:t>UK setting</w:t>
            </w:r>
          </w:p>
        </w:tc>
        <w:tc>
          <w:tcPr>
            <w:tcW w:w="2324" w:type="dxa"/>
          </w:tcPr>
          <w:p w14:paraId="517FD4F3" w14:textId="77777777" w:rsidR="00017BB4" w:rsidRPr="00826A5E" w:rsidRDefault="00017BB4" w:rsidP="00627683">
            <w:pPr>
              <w:rPr>
                <w:rFonts w:cs="Arial"/>
                <w:color w:val="000000" w:themeColor="text1"/>
                <w:sz w:val="20"/>
                <w:szCs w:val="20"/>
              </w:rPr>
            </w:pPr>
            <w:r w:rsidRPr="00826A5E">
              <w:rPr>
                <w:rFonts w:cs="Arial"/>
                <w:b/>
                <w:color w:val="000000" w:themeColor="text1"/>
                <w:sz w:val="20"/>
                <w:szCs w:val="20"/>
              </w:rPr>
              <w:t>Population, sample and design</w:t>
            </w:r>
          </w:p>
        </w:tc>
        <w:tc>
          <w:tcPr>
            <w:tcW w:w="2268" w:type="dxa"/>
          </w:tcPr>
          <w:p w14:paraId="30195BD3" w14:textId="77777777" w:rsidR="00017BB4" w:rsidRPr="00826A5E" w:rsidRDefault="00017BB4" w:rsidP="00627683">
            <w:pPr>
              <w:rPr>
                <w:rFonts w:cs="Arial"/>
                <w:color w:val="000000" w:themeColor="text1"/>
                <w:sz w:val="20"/>
                <w:szCs w:val="20"/>
              </w:rPr>
            </w:pPr>
            <w:r w:rsidRPr="00826A5E">
              <w:rPr>
                <w:rFonts w:cs="Arial"/>
                <w:b/>
                <w:color w:val="000000" w:themeColor="text1"/>
                <w:sz w:val="20"/>
                <w:szCs w:val="20"/>
              </w:rPr>
              <w:t>Condition and digital exposure</w:t>
            </w:r>
          </w:p>
        </w:tc>
        <w:tc>
          <w:tcPr>
            <w:tcW w:w="3628" w:type="dxa"/>
          </w:tcPr>
          <w:p w14:paraId="57E4768E" w14:textId="77777777" w:rsidR="00017BB4" w:rsidRPr="00826A5E" w:rsidRDefault="00017BB4" w:rsidP="00627683">
            <w:pPr>
              <w:rPr>
                <w:rFonts w:cs="Arial"/>
                <w:color w:val="000000" w:themeColor="text1"/>
                <w:sz w:val="20"/>
                <w:szCs w:val="20"/>
              </w:rPr>
            </w:pPr>
            <w:r w:rsidRPr="00826A5E">
              <w:rPr>
                <w:rFonts w:cs="Arial"/>
                <w:b/>
                <w:color w:val="000000" w:themeColor="text1"/>
                <w:sz w:val="20"/>
                <w:szCs w:val="20"/>
              </w:rPr>
              <w:t>Principal findings</w:t>
            </w:r>
          </w:p>
        </w:tc>
        <w:tc>
          <w:tcPr>
            <w:tcW w:w="907" w:type="dxa"/>
          </w:tcPr>
          <w:p w14:paraId="72A51BAC" w14:textId="77777777" w:rsidR="00017BB4" w:rsidRPr="00826A5E" w:rsidRDefault="00017BB4" w:rsidP="00627683">
            <w:pPr>
              <w:rPr>
                <w:rFonts w:cs="Arial"/>
                <w:color w:val="000000" w:themeColor="text1"/>
                <w:sz w:val="20"/>
                <w:szCs w:val="20"/>
              </w:rPr>
            </w:pPr>
            <w:r w:rsidRPr="00826A5E">
              <w:rPr>
                <w:rFonts w:cs="Arial"/>
                <w:b/>
                <w:color w:val="000000" w:themeColor="text1"/>
                <w:sz w:val="20"/>
                <w:szCs w:val="20"/>
              </w:rPr>
              <w:t>CASP</w:t>
            </w:r>
          </w:p>
        </w:tc>
        <w:tc>
          <w:tcPr>
            <w:tcW w:w="2211" w:type="dxa"/>
          </w:tcPr>
          <w:p w14:paraId="43237984" w14:textId="77777777" w:rsidR="00017BB4" w:rsidRPr="00826A5E" w:rsidRDefault="00017BB4" w:rsidP="00627683">
            <w:pPr>
              <w:rPr>
                <w:rFonts w:cs="Arial"/>
                <w:color w:val="000000" w:themeColor="text1"/>
                <w:sz w:val="20"/>
                <w:szCs w:val="20"/>
              </w:rPr>
            </w:pPr>
            <w:r w:rsidRPr="00826A5E">
              <w:rPr>
                <w:rFonts w:cs="Arial"/>
                <w:b/>
                <w:color w:val="000000" w:themeColor="text1"/>
                <w:sz w:val="20"/>
                <w:szCs w:val="20"/>
              </w:rPr>
              <w:t>Themes</w:t>
            </w:r>
          </w:p>
        </w:tc>
      </w:tr>
      <w:tr w:rsidR="00017BB4" w:rsidRPr="00826A5E" w14:paraId="2FDDC191" w14:textId="77777777" w:rsidTr="004D2BA7">
        <w:trPr>
          <w:jc w:val="center"/>
        </w:trPr>
        <w:tc>
          <w:tcPr>
            <w:tcW w:w="1531" w:type="dxa"/>
          </w:tcPr>
          <w:p w14:paraId="792F5D0A" w14:textId="77777777" w:rsidR="00017BB4" w:rsidRPr="00826A5E" w:rsidRDefault="00017BB4" w:rsidP="00627683">
            <w:pPr>
              <w:rPr>
                <w:rFonts w:cs="Arial"/>
                <w:sz w:val="20"/>
                <w:szCs w:val="20"/>
              </w:rPr>
            </w:pPr>
            <w:r w:rsidRPr="00826A5E">
              <w:rPr>
                <w:rFonts w:cs="Arial"/>
                <w:sz w:val="20"/>
                <w:szCs w:val="20"/>
              </w:rPr>
              <w:t>Salisbury et al. (2015)</w:t>
            </w:r>
          </w:p>
        </w:tc>
        <w:tc>
          <w:tcPr>
            <w:tcW w:w="1587" w:type="dxa"/>
          </w:tcPr>
          <w:p w14:paraId="291145B1" w14:textId="77777777" w:rsidR="00017BB4" w:rsidRPr="00826A5E" w:rsidRDefault="00017BB4" w:rsidP="00627683">
            <w:pPr>
              <w:rPr>
                <w:rFonts w:cs="Arial"/>
                <w:sz w:val="20"/>
                <w:szCs w:val="20"/>
              </w:rPr>
            </w:pPr>
            <w:r w:rsidRPr="00826A5E">
              <w:rPr>
                <w:rFonts w:cs="Arial"/>
                <w:sz w:val="20"/>
                <w:szCs w:val="20"/>
              </w:rPr>
              <w:t>UK primary care</w:t>
            </w:r>
          </w:p>
        </w:tc>
        <w:tc>
          <w:tcPr>
            <w:tcW w:w="2324" w:type="dxa"/>
          </w:tcPr>
          <w:p w14:paraId="16AB50EC" w14:textId="77777777" w:rsidR="00017BB4" w:rsidRPr="00826A5E" w:rsidRDefault="00017BB4" w:rsidP="00627683">
            <w:pPr>
              <w:rPr>
                <w:rFonts w:cs="Arial"/>
                <w:sz w:val="20"/>
                <w:szCs w:val="20"/>
              </w:rPr>
            </w:pPr>
            <w:r w:rsidRPr="00826A5E">
              <w:rPr>
                <w:rFonts w:cs="Arial"/>
                <w:sz w:val="20"/>
                <w:szCs w:val="20"/>
              </w:rPr>
              <w:t>Mixed-methods model development: evidence syntheses, qualitative work, patient survey and stakeholder refinement</w:t>
            </w:r>
          </w:p>
        </w:tc>
        <w:tc>
          <w:tcPr>
            <w:tcW w:w="2268" w:type="dxa"/>
          </w:tcPr>
          <w:p w14:paraId="454C3B5C" w14:textId="77777777" w:rsidR="00017BB4" w:rsidRPr="00826A5E" w:rsidRDefault="00017BB4" w:rsidP="00627683">
            <w:pPr>
              <w:rPr>
                <w:rFonts w:cs="Arial"/>
                <w:sz w:val="20"/>
                <w:szCs w:val="20"/>
              </w:rPr>
            </w:pPr>
            <w:r w:rsidRPr="00826A5E">
              <w:rPr>
                <w:rFonts w:cs="Arial"/>
                <w:sz w:val="20"/>
                <w:szCs w:val="20"/>
              </w:rPr>
              <w:t>Raised cardiovascular risk and depression; Healthlines telephone/web telehealth</w:t>
            </w:r>
          </w:p>
        </w:tc>
        <w:tc>
          <w:tcPr>
            <w:tcW w:w="3628" w:type="dxa"/>
          </w:tcPr>
          <w:p w14:paraId="188E1928" w14:textId="77777777" w:rsidR="00017BB4" w:rsidRPr="00826A5E" w:rsidRDefault="00017BB4" w:rsidP="00627683">
            <w:pPr>
              <w:rPr>
                <w:rFonts w:cs="Arial"/>
                <w:sz w:val="20"/>
                <w:szCs w:val="20"/>
              </w:rPr>
            </w:pPr>
            <w:r w:rsidRPr="00826A5E">
              <w:rPr>
                <w:rFonts w:cs="Arial"/>
                <w:sz w:val="20"/>
                <w:szCs w:val="20"/>
              </w:rPr>
              <w:t>Effectiveness depended on patient/professional engagement, self-management, treatment optimisation, provider partnership and context.</w:t>
            </w:r>
          </w:p>
        </w:tc>
        <w:tc>
          <w:tcPr>
            <w:tcW w:w="907" w:type="dxa"/>
          </w:tcPr>
          <w:p w14:paraId="1E67DA1E" w14:textId="77777777" w:rsidR="00017BB4" w:rsidRPr="00826A5E" w:rsidRDefault="00017BB4" w:rsidP="00627683">
            <w:pPr>
              <w:rPr>
                <w:rFonts w:cs="Arial"/>
                <w:sz w:val="20"/>
                <w:szCs w:val="20"/>
              </w:rPr>
            </w:pPr>
            <w:r w:rsidRPr="00826A5E">
              <w:rPr>
                <w:rFonts w:cs="Arial"/>
                <w:sz w:val="20"/>
                <w:szCs w:val="20"/>
              </w:rPr>
              <w:t>Moderate</w:t>
            </w:r>
          </w:p>
        </w:tc>
        <w:tc>
          <w:tcPr>
            <w:tcW w:w="2211" w:type="dxa"/>
          </w:tcPr>
          <w:p w14:paraId="1127686C" w14:textId="77777777" w:rsidR="00017BB4" w:rsidRPr="00826A5E" w:rsidRDefault="00017BB4" w:rsidP="00627683">
            <w:pPr>
              <w:rPr>
                <w:rFonts w:cs="Arial"/>
                <w:sz w:val="20"/>
                <w:szCs w:val="20"/>
              </w:rPr>
            </w:pPr>
            <w:r w:rsidRPr="00826A5E">
              <w:rPr>
                <w:rFonts w:cs="Arial"/>
                <w:sz w:val="20"/>
                <w:szCs w:val="20"/>
              </w:rPr>
              <w:t>Value; support; organisation</w:t>
            </w:r>
          </w:p>
        </w:tc>
      </w:tr>
      <w:tr w:rsidR="00017BB4" w:rsidRPr="00826A5E" w14:paraId="7A7638F6" w14:textId="77777777" w:rsidTr="004D2BA7">
        <w:trPr>
          <w:jc w:val="center"/>
        </w:trPr>
        <w:tc>
          <w:tcPr>
            <w:tcW w:w="1531" w:type="dxa"/>
          </w:tcPr>
          <w:p w14:paraId="69579258" w14:textId="77777777" w:rsidR="00017BB4" w:rsidRPr="00826A5E" w:rsidRDefault="00017BB4" w:rsidP="00627683">
            <w:pPr>
              <w:rPr>
                <w:rFonts w:cs="Arial"/>
                <w:sz w:val="20"/>
                <w:szCs w:val="20"/>
              </w:rPr>
            </w:pPr>
            <w:r w:rsidRPr="00826A5E">
              <w:rPr>
                <w:rFonts w:cs="Arial"/>
                <w:sz w:val="20"/>
                <w:szCs w:val="20"/>
              </w:rPr>
              <w:t>O’Cathain et al. (2016)</w:t>
            </w:r>
          </w:p>
        </w:tc>
        <w:tc>
          <w:tcPr>
            <w:tcW w:w="1587" w:type="dxa"/>
          </w:tcPr>
          <w:p w14:paraId="5F961C6C" w14:textId="77777777" w:rsidR="00017BB4" w:rsidRPr="00826A5E" w:rsidRDefault="00017BB4" w:rsidP="00627683">
            <w:pPr>
              <w:rPr>
                <w:rFonts w:cs="Arial"/>
                <w:sz w:val="20"/>
                <w:szCs w:val="20"/>
              </w:rPr>
            </w:pPr>
            <w:r w:rsidRPr="00826A5E">
              <w:rPr>
                <w:rFonts w:cs="Arial"/>
                <w:sz w:val="20"/>
                <w:szCs w:val="20"/>
              </w:rPr>
              <w:t>43 English general practices</w:t>
            </w:r>
          </w:p>
        </w:tc>
        <w:tc>
          <w:tcPr>
            <w:tcW w:w="2324" w:type="dxa"/>
          </w:tcPr>
          <w:p w14:paraId="1CCD4F00" w14:textId="77777777" w:rsidR="00017BB4" w:rsidRPr="00826A5E" w:rsidRDefault="00017BB4" w:rsidP="00627683">
            <w:pPr>
              <w:rPr>
                <w:rFonts w:cs="Arial"/>
                <w:sz w:val="20"/>
                <w:szCs w:val="20"/>
              </w:rPr>
            </w:pPr>
            <w:r w:rsidRPr="00826A5E">
              <w:rPr>
                <w:rFonts w:cs="Arial"/>
                <w:sz w:val="20"/>
                <w:szCs w:val="20"/>
              </w:rPr>
              <w:t>24 intervention patients and 21 staff; embedded qualitative interviews</w:t>
            </w:r>
          </w:p>
        </w:tc>
        <w:tc>
          <w:tcPr>
            <w:tcW w:w="2268" w:type="dxa"/>
          </w:tcPr>
          <w:p w14:paraId="0B5C7ED5" w14:textId="77777777" w:rsidR="00017BB4" w:rsidRPr="00826A5E" w:rsidRDefault="00017BB4" w:rsidP="00627683">
            <w:pPr>
              <w:rPr>
                <w:rFonts w:cs="Arial"/>
                <w:sz w:val="20"/>
                <w:szCs w:val="20"/>
              </w:rPr>
            </w:pPr>
            <w:r w:rsidRPr="00826A5E">
              <w:rPr>
                <w:rFonts w:cs="Arial"/>
                <w:sz w:val="20"/>
                <w:szCs w:val="20"/>
              </w:rPr>
              <w:t>Depression or raised CVD risk; Healthlines adviser calls and web resources</w:t>
            </w:r>
          </w:p>
        </w:tc>
        <w:tc>
          <w:tcPr>
            <w:tcW w:w="3628" w:type="dxa"/>
          </w:tcPr>
          <w:p w14:paraId="767A5DF5" w14:textId="77777777" w:rsidR="00017BB4" w:rsidRPr="00826A5E" w:rsidRDefault="00017BB4" w:rsidP="00627683">
            <w:pPr>
              <w:rPr>
                <w:rFonts w:cs="Arial"/>
                <w:sz w:val="20"/>
                <w:szCs w:val="20"/>
              </w:rPr>
            </w:pPr>
            <w:r w:rsidRPr="00826A5E">
              <w:rPr>
                <w:rFonts w:cs="Arial"/>
                <w:sz w:val="20"/>
                <w:szCs w:val="20"/>
              </w:rPr>
              <w:t>Continuity, motivated advisers and tailoring aided engagement; inconsistent delivery and weak primary-care engagement limited effect.</w:t>
            </w:r>
          </w:p>
        </w:tc>
        <w:tc>
          <w:tcPr>
            <w:tcW w:w="907" w:type="dxa"/>
          </w:tcPr>
          <w:p w14:paraId="4F738321" w14:textId="77777777" w:rsidR="00017BB4" w:rsidRPr="00826A5E" w:rsidRDefault="00017BB4" w:rsidP="00627683">
            <w:pPr>
              <w:rPr>
                <w:rFonts w:cs="Arial"/>
                <w:sz w:val="20"/>
                <w:szCs w:val="20"/>
              </w:rPr>
            </w:pPr>
            <w:r w:rsidRPr="00826A5E">
              <w:rPr>
                <w:rFonts w:cs="Arial"/>
                <w:sz w:val="20"/>
                <w:szCs w:val="20"/>
              </w:rPr>
              <w:t>Strong</w:t>
            </w:r>
          </w:p>
        </w:tc>
        <w:tc>
          <w:tcPr>
            <w:tcW w:w="2211" w:type="dxa"/>
          </w:tcPr>
          <w:p w14:paraId="1D7A5E09" w14:textId="77777777" w:rsidR="00017BB4" w:rsidRPr="00826A5E" w:rsidRDefault="00017BB4" w:rsidP="00627683">
            <w:pPr>
              <w:rPr>
                <w:rFonts w:cs="Arial"/>
                <w:sz w:val="20"/>
                <w:szCs w:val="20"/>
              </w:rPr>
            </w:pPr>
            <w:r w:rsidRPr="00826A5E">
              <w:rPr>
                <w:rFonts w:cs="Arial"/>
                <w:sz w:val="20"/>
                <w:szCs w:val="20"/>
              </w:rPr>
              <w:t>Human support; continuity; value</w:t>
            </w:r>
          </w:p>
        </w:tc>
      </w:tr>
      <w:tr w:rsidR="00017BB4" w:rsidRPr="00826A5E" w14:paraId="57187F20" w14:textId="77777777" w:rsidTr="004D2BA7">
        <w:trPr>
          <w:jc w:val="center"/>
        </w:trPr>
        <w:tc>
          <w:tcPr>
            <w:tcW w:w="1531" w:type="dxa"/>
          </w:tcPr>
          <w:p w14:paraId="24743054" w14:textId="77777777" w:rsidR="00017BB4" w:rsidRPr="00826A5E" w:rsidRDefault="00017BB4" w:rsidP="00627683">
            <w:pPr>
              <w:rPr>
                <w:rFonts w:cs="Arial"/>
                <w:sz w:val="20"/>
                <w:szCs w:val="20"/>
              </w:rPr>
            </w:pPr>
            <w:r w:rsidRPr="00826A5E">
              <w:rPr>
                <w:rFonts w:cs="Arial"/>
                <w:sz w:val="20"/>
                <w:szCs w:val="20"/>
              </w:rPr>
              <w:t>Middlemass et al. (2017)</w:t>
            </w:r>
          </w:p>
        </w:tc>
        <w:tc>
          <w:tcPr>
            <w:tcW w:w="1587" w:type="dxa"/>
          </w:tcPr>
          <w:p w14:paraId="186EBCD7" w14:textId="77777777" w:rsidR="00017BB4" w:rsidRPr="00826A5E" w:rsidRDefault="00017BB4" w:rsidP="00627683">
            <w:pPr>
              <w:rPr>
                <w:rFonts w:cs="Arial"/>
                <w:sz w:val="20"/>
                <w:szCs w:val="20"/>
              </w:rPr>
            </w:pPr>
            <w:r w:rsidRPr="00826A5E">
              <w:rPr>
                <w:rFonts w:cs="Arial"/>
                <w:sz w:val="20"/>
                <w:szCs w:val="20"/>
              </w:rPr>
              <w:t>Rural England; CHROMED trial</w:t>
            </w:r>
          </w:p>
        </w:tc>
        <w:tc>
          <w:tcPr>
            <w:tcW w:w="2324" w:type="dxa"/>
          </w:tcPr>
          <w:p w14:paraId="6B4F5207" w14:textId="77777777" w:rsidR="00017BB4" w:rsidRPr="00826A5E" w:rsidRDefault="00017BB4" w:rsidP="00627683">
            <w:pPr>
              <w:rPr>
                <w:rFonts w:cs="Arial"/>
                <w:sz w:val="20"/>
                <w:szCs w:val="20"/>
              </w:rPr>
            </w:pPr>
            <w:r w:rsidRPr="00826A5E">
              <w:rPr>
                <w:rFonts w:cs="Arial"/>
                <w:sz w:val="20"/>
                <w:szCs w:val="20"/>
              </w:rPr>
              <w:t>21 patients aged 60–98, eight carers; two interview rounds; framework analysis</w:t>
            </w:r>
          </w:p>
        </w:tc>
        <w:tc>
          <w:tcPr>
            <w:tcW w:w="2268" w:type="dxa"/>
          </w:tcPr>
          <w:p w14:paraId="5D0AD326" w14:textId="77777777" w:rsidR="00017BB4" w:rsidRPr="00826A5E" w:rsidRDefault="00017BB4" w:rsidP="00627683">
            <w:pPr>
              <w:rPr>
                <w:rFonts w:cs="Arial"/>
                <w:sz w:val="20"/>
                <w:szCs w:val="20"/>
              </w:rPr>
            </w:pPr>
            <w:r w:rsidRPr="00826A5E">
              <w:rPr>
                <w:rFonts w:cs="Arial"/>
                <w:sz w:val="20"/>
                <w:szCs w:val="20"/>
              </w:rPr>
              <w:t>Severe COPD plus heart disease; home physiological telemonitoring</w:t>
            </w:r>
          </w:p>
        </w:tc>
        <w:tc>
          <w:tcPr>
            <w:tcW w:w="3628" w:type="dxa"/>
          </w:tcPr>
          <w:p w14:paraId="03533558" w14:textId="77777777" w:rsidR="00017BB4" w:rsidRPr="00826A5E" w:rsidRDefault="00017BB4" w:rsidP="00627683">
            <w:pPr>
              <w:rPr>
                <w:rFonts w:cs="Arial"/>
                <w:sz w:val="20"/>
                <w:szCs w:val="20"/>
              </w:rPr>
            </w:pPr>
            <w:r w:rsidRPr="00826A5E">
              <w:rPr>
                <w:rFonts w:cs="Arial"/>
                <w:sz w:val="20"/>
                <w:szCs w:val="20"/>
              </w:rPr>
              <w:t>Reassurance, trends and early infection detection aided use; limited feedback, false alerts, connectivity, anxiety and sick-role effects hindered it.</w:t>
            </w:r>
          </w:p>
        </w:tc>
        <w:tc>
          <w:tcPr>
            <w:tcW w:w="907" w:type="dxa"/>
          </w:tcPr>
          <w:p w14:paraId="2A3230F6" w14:textId="77777777" w:rsidR="00017BB4" w:rsidRPr="00826A5E" w:rsidRDefault="00017BB4" w:rsidP="00627683">
            <w:pPr>
              <w:rPr>
                <w:rFonts w:cs="Arial"/>
                <w:sz w:val="20"/>
                <w:szCs w:val="20"/>
              </w:rPr>
            </w:pPr>
            <w:r w:rsidRPr="00826A5E">
              <w:rPr>
                <w:rFonts w:cs="Arial"/>
                <w:sz w:val="20"/>
                <w:szCs w:val="20"/>
              </w:rPr>
              <w:t>Strong</w:t>
            </w:r>
          </w:p>
        </w:tc>
        <w:tc>
          <w:tcPr>
            <w:tcW w:w="2211" w:type="dxa"/>
          </w:tcPr>
          <w:p w14:paraId="628D057D" w14:textId="77777777" w:rsidR="00017BB4" w:rsidRPr="00826A5E" w:rsidRDefault="00017BB4" w:rsidP="00627683">
            <w:pPr>
              <w:rPr>
                <w:rFonts w:cs="Arial"/>
                <w:sz w:val="20"/>
                <w:szCs w:val="20"/>
              </w:rPr>
            </w:pPr>
            <w:r w:rsidRPr="00826A5E">
              <w:rPr>
                <w:rFonts w:cs="Arial"/>
                <w:sz w:val="20"/>
                <w:szCs w:val="20"/>
              </w:rPr>
              <w:t>Usability; feedback; trust</w:t>
            </w:r>
          </w:p>
        </w:tc>
      </w:tr>
      <w:tr w:rsidR="00017BB4" w:rsidRPr="00826A5E" w14:paraId="2F63178E" w14:textId="77777777" w:rsidTr="004D2BA7">
        <w:trPr>
          <w:jc w:val="center"/>
        </w:trPr>
        <w:tc>
          <w:tcPr>
            <w:tcW w:w="1531" w:type="dxa"/>
          </w:tcPr>
          <w:p w14:paraId="61D1CBFC" w14:textId="77777777" w:rsidR="00017BB4" w:rsidRPr="00826A5E" w:rsidRDefault="00017BB4" w:rsidP="00627683">
            <w:pPr>
              <w:rPr>
                <w:rFonts w:cs="Arial"/>
                <w:sz w:val="20"/>
                <w:szCs w:val="20"/>
              </w:rPr>
            </w:pPr>
            <w:r w:rsidRPr="00826A5E">
              <w:rPr>
                <w:rFonts w:cs="Arial"/>
                <w:sz w:val="20"/>
                <w:szCs w:val="20"/>
              </w:rPr>
              <w:t>Lewis et al. (2021)</w:t>
            </w:r>
          </w:p>
        </w:tc>
        <w:tc>
          <w:tcPr>
            <w:tcW w:w="1587" w:type="dxa"/>
          </w:tcPr>
          <w:p w14:paraId="488B68D3" w14:textId="77777777" w:rsidR="00017BB4" w:rsidRPr="00826A5E" w:rsidRDefault="00017BB4" w:rsidP="00627683">
            <w:pPr>
              <w:rPr>
                <w:rFonts w:cs="Arial"/>
                <w:sz w:val="20"/>
                <w:szCs w:val="20"/>
              </w:rPr>
            </w:pPr>
            <w:r w:rsidRPr="00826A5E">
              <w:rPr>
                <w:rFonts w:cs="Arial"/>
                <w:sz w:val="20"/>
                <w:szCs w:val="20"/>
              </w:rPr>
              <w:t>Gloucestershire NHS pulmonary rehabilitation</w:t>
            </w:r>
          </w:p>
        </w:tc>
        <w:tc>
          <w:tcPr>
            <w:tcW w:w="2324" w:type="dxa"/>
          </w:tcPr>
          <w:p w14:paraId="27413E2C" w14:textId="77777777" w:rsidR="00017BB4" w:rsidRPr="00826A5E" w:rsidRDefault="00017BB4" w:rsidP="00627683">
            <w:pPr>
              <w:rPr>
                <w:rFonts w:cs="Arial"/>
                <w:sz w:val="20"/>
                <w:szCs w:val="20"/>
              </w:rPr>
            </w:pPr>
            <w:r w:rsidRPr="00826A5E">
              <w:rPr>
                <w:rFonts w:cs="Arial"/>
                <w:sz w:val="20"/>
                <w:szCs w:val="20"/>
              </w:rPr>
              <w:t>25 eligible, 13 declined, 14 completed; mixed-methods service evaluation and interviews</w:t>
            </w:r>
          </w:p>
        </w:tc>
        <w:tc>
          <w:tcPr>
            <w:tcW w:w="2268" w:type="dxa"/>
          </w:tcPr>
          <w:p w14:paraId="0CFAD775" w14:textId="77777777" w:rsidR="00017BB4" w:rsidRPr="00826A5E" w:rsidRDefault="00017BB4" w:rsidP="00627683">
            <w:pPr>
              <w:rPr>
                <w:rFonts w:cs="Arial"/>
                <w:sz w:val="20"/>
                <w:szCs w:val="20"/>
              </w:rPr>
            </w:pPr>
            <w:r w:rsidRPr="00826A5E">
              <w:rPr>
                <w:rFonts w:cs="Arial"/>
                <w:sz w:val="20"/>
                <w:szCs w:val="20"/>
              </w:rPr>
              <w:t>Chronic respiratory disease; Moodle-based online pulmonary rehabilitation</w:t>
            </w:r>
          </w:p>
        </w:tc>
        <w:tc>
          <w:tcPr>
            <w:tcW w:w="3628" w:type="dxa"/>
          </w:tcPr>
          <w:p w14:paraId="0E286332" w14:textId="77777777" w:rsidR="00017BB4" w:rsidRPr="00826A5E" w:rsidRDefault="00017BB4" w:rsidP="00627683">
            <w:pPr>
              <w:rPr>
                <w:rFonts w:cs="Arial"/>
                <w:sz w:val="20"/>
                <w:szCs w:val="20"/>
              </w:rPr>
            </w:pPr>
            <w:r w:rsidRPr="00826A5E">
              <w:rPr>
                <w:rFonts w:cs="Arial"/>
                <w:sz w:val="20"/>
                <w:szCs w:val="20"/>
              </w:rPr>
              <w:t>Digital support and introduction improved engagement and safety; education worked less well online and staff time was substantial.</w:t>
            </w:r>
          </w:p>
        </w:tc>
        <w:tc>
          <w:tcPr>
            <w:tcW w:w="907" w:type="dxa"/>
          </w:tcPr>
          <w:p w14:paraId="3E7237C7" w14:textId="77777777" w:rsidR="00017BB4" w:rsidRPr="00826A5E" w:rsidRDefault="00017BB4" w:rsidP="00627683">
            <w:pPr>
              <w:rPr>
                <w:rFonts w:cs="Arial"/>
                <w:sz w:val="20"/>
                <w:szCs w:val="20"/>
              </w:rPr>
            </w:pPr>
            <w:r w:rsidRPr="00826A5E">
              <w:rPr>
                <w:rFonts w:cs="Arial"/>
                <w:sz w:val="20"/>
                <w:szCs w:val="20"/>
              </w:rPr>
              <w:t>Moderate</w:t>
            </w:r>
          </w:p>
        </w:tc>
        <w:tc>
          <w:tcPr>
            <w:tcW w:w="2211" w:type="dxa"/>
          </w:tcPr>
          <w:p w14:paraId="3ED29320" w14:textId="77777777" w:rsidR="00017BB4" w:rsidRPr="00826A5E" w:rsidRDefault="00017BB4" w:rsidP="00627683">
            <w:pPr>
              <w:rPr>
                <w:rFonts w:cs="Arial"/>
                <w:sz w:val="20"/>
                <w:szCs w:val="20"/>
              </w:rPr>
            </w:pPr>
            <w:r w:rsidRPr="00826A5E">
              <w:rPr>
                <w:rFonts w:cs="Arial"/>
                <w:sz w:val="20"/>
                <w:szCs w:val="20"/>
              </w:rPr>
              <w:t>Support; fit; value</w:t>
            </w:r>
          </w:p>
        </w:tc>
      </w:tr>
      <w:tr w:rsidR="00017BB4" w:rsidRPr="00826A5E" w14:paraId="7E7AB11F" w14:textId="77777777" w:rsidTr="004D2BA7">
        <w:trPr>
          <w:jc w:val="center"/>
        </w:trPr>
        <w:tc>
          <w:tcPr>
            <w:tcW w:w="1531" w:type="dxa"/>
          </w:tcPr>
          <w:p w14:paraId="078B6FC4" w14:textId="77777777" w:rsidR="00017BB4" w:rsidRPr="00826A5E" w:rsidRDefault="00017BB4" w:rsidP="00627683">
            <w:pPr>
              <w:rPr>
                <w:rFonts w:cs="Arial"/>
                <w:sz w:val="20"/>
                <w:szCs w:val="20"/>
              </w:rPr>
            </w:pPr>
            <w:r w:rsidRPr="00826A5E">
              <w:rPr>
                <w:rFonts w:cs="Arial"/>
                <w:sz w:val="20"/>
                <w:szCs w:val="20"/>
              </w:rPr>
              <w:t xml:space="preserve">Turner et al. </w:t>
            </w:r>
            <w:r w:rsidRPr="00826A5E">
              <w:rPr>
                <w:rFonts w:cs="Arial"/>
                <w:sz w:val="20"/>
                <w:szCs w:val="20"/>
              </w:rPr>
              <w:lastRenderedPageBreak/>
              <w:t>(2022)</w:t>
            </w:r>
          </w:p>
        </w:tc>
        <w:tc>
          <w:tcPr>
            <w:tcW w:w="1587" w:type="dxa"/>
          </w:tcPr>
          <w:p w14:paraId="0B4B6921" w14:textId="77777777" w:rsidR="00017BB4" w:rsidRPr="00826A5E" w:rsidRDefault="00017BB4" w:rsidP="00627683">
            <w:pPr>
              <w:rPr>
                <w:rFonts w:cs="Arial"/>
                <w:sz w:val="20"/>
                <w:szCs w:val="20"/>
              </w:rPr>
            </w:pPr>
            <w:r w:rsidRPr="00826A5E">
              <w:rPr>
                <w:rFonts w:cs="Arial"/>
                <w:sz w:val="20"/>
                <w:szCs w:val="20"/>
              </w:rPr>
              <w:lastRenderedPageBreak/>
              <w:t xml:space="preserve">Eight practices, </w:t>
            </w:r>
            <w:r w:rsidRPr="00826A5E">
              <w:rPr>
                <w:rFonts w:cs="Arial"/>
                <w:sz w:val="20"/>
                <w:szCs w:val="20"/>
              </w:rPr>
              <w:lastRenderedPageBreak/>
              <w:t>South West and North West England</w:t>
            </w:r>
          </w:p>
        </w:tc>
        <w:tc>
          <w:tcPr>
            <w:tcW w:w="2324" w:type="dxa"/>
          </w:tcPr>
          <w:p w14:paraId="670CCFEF" w14:textId="77777777" w:rsidR="00017BB4" w:rsidRPr="00826A5E" w:rsidRDefault="00017BB4" w:rsidP="00627683">
            <w:pPr>
              <w:rPr>
                <w:rFonts w:cs="Arial"/>
                <w:sz w:val="20"/>
                <w:szCs w:val="20"/>
              </w:rPr>
            </w:pPr>
            <w:r w:rsidRPr="00826A5E">
              <w:rPr>
                <w:rFonts w:cs="Arial"/>
                <w:sz w:val="20"/>
                <w:szCs w:val="20"/>
              </w:rPr>
              <w:lastRenderedPageBreak/>
              <w:t xml:space="preserve">19 patients and 18 </w:t>
            </w:r>
            <w:r w:rsidRPr="00826A5E">
              <w:rPr>
                <w:rFonts w:cs="Arial"/>
                <w:sz w:val="20"/>
                <w:szCs w:val="20"/>
              </w:rPr>
              <w:lastRenderedPageBreak/>
              <w:t>staff; qualitative interviews and thematic analysis</w:t>
            </w:r>
          </w:p>
        </w:tc>
        <w:tc>
          <w:tcPr>
            <w:tcW w:w="2268" w:type="dxa"/>
          </w:tcPr>
          <w:p w14:paraId="7191DF75" w14:textId="77777777" w:rsidR="00017BB4" w:rsidRPr="00826A5E" w:rsidRDefault="00017BB4" w:rsidP="00627683">
            <w:pPr>
              <w:rPr>
                <w:rFonts w:cs="Arial"/>
                <w:sz w:val="20"/>
                <w:szCs w:val="20"/>
              </w:rPr>
            </w:pPr>
            <w:r w:rsidRPr="00826A5E">
              <w:rPr>
                <w:rFonts w:cs="Arial"/>
                <w:sz w:val="20"/>
                <w:szCs w:val="20"/>
              </w:rPr>
              <w:lastRenderedPageBreak/>
              <w:t xml:space="preserve">Long-term and general </w:t>
            </w:r>
            <w:r w:rsidRPr="00826A5E">
              <w:rPr>
                <w:rFonts w:cs="Arial"/>
                <w:sz w:val="20"/>
                <w:szCs w:val="20"/>
              </w:rPr>
              <w:lastRenderedPageBreak/>
              <w:t>primary-care needs; online consultation tools</w:t>
            </w:r>
          </w:p>
        </w:tc>
        <w:tc>
          <w:tcPr>
            <w:tcW w:w="3628" w:type="dxa"/>
          </w:tcPr>
          <w:p w14:paraId="04369154" w14:textId="77777777" w:rsidR="00017BB4" w:rsidRPr="00826A5E" w:rsidRDefault="00017BB4" w:rsidP="00627683">
            <w:pPr>
              <w:rPr>
                <w:rFonts w:cs="Arial"/>
                <w:sz w:val="20"/>
                <w:szCs w:val="20"/>
              </w:rPr>
            </w:pPr>
            <w:r w:rsidRPr="00826A5E">
              <w:rPr>
                <w:rFonts w:cs="Arial"/>
                <w:sz w:val="20"/>
                <w:szCs w:val="20"/>
              </w:rPr>
              <w:lastRenderedPageBreak/>
              <w:t xml:space="preserve">Some workflows restricted access, </w:t>
            </w:r>
            <w:r w:rsidRPr="00826A5E">
              <w:rPr>
                <w:rFonts w:cs="Arial"/>
                <w:sz w:val="20"/>
                <w:szCs w:val="20"/>
              </w:rPr>
              <w:lastRenderedPageBreak/>
              <w:t>constrained symptom communication and disadvantaged digitally excluded patients.</w:t>
            </w:r>
          </w:p>
        </w:tc>
        <w:tc>
          <w:tcPr>
            <w:tcW w:w="907" w:type="dxa"/>
          </w:tcPr>
          <w:p w14:paraId="3C7206E0" w14:textId="77777777" w:rsidR="00017BB4" w:rsidRPr="00826A5E" w:rsidRDefault="00017BB4" w:rsidP="00627683">
            <w:pPr>
              <w:rPr>
                <w:rFonts w:cs="Arial"/>
                <w:sz w:val="20"/>
                <w:szCs w:val="20"/>
              </w:rPr>
            </w:pPr>
            <w:r w:rsidRPr="00826A5E">
              <w:rPr>
                <w:rFonts w:cs="Arial"/>
                <w:sz w:val="20"/>
                <w:szCs w:val="20"/>
              </w:rPr>
              <w:lastRenderedPageBreak/>
              <w:t>Strong</w:t>
            </w:r>
          </w:p>
        </w:tc>
        <w:tc>
          <w:tcPr>
            <w:tcW w:w="2211" w:type="dxa"/>
          </w:tcPr>
          <w:p w14:paraId="7D7EA486" w14:textId="77777777" w:rsidR="00017BB4" w:rsidRPr="00826A5E" w:rsidRDefault="00017BB4" w:rsidP="00627683">
            <w:pPr>
              <w:rPr>
                <w:rFonts w:cs="Arial"/>
                <w:sz w:val="20"/>
                <w:szCs w:val="20"/>
              </w:rPr>
            </w:pPr>
            <w:r w:rsidRPr="00826A5E">
              <w:rPr>
                <w:rFonts w:cs="Arial"/>
                <w:sz w:val="20"/>
                <w:szCs w:val="20"/>
              </w:rPr>
              <w:t xml:space="preserve">Access; usability; </w:t>
            </w:r>
            <w:r w:rsidRPr="00826A5E">
              <w:rPr>
                <w:rFonts w:cs="Arial"/>
                <w:sz w:val="20"/>
                <w:szCs w:val="20"/>
              </w:rPr>
              <w:lastRenderedPageBreak/>
              <w:t>organisation</w:t>
            </w:r>
          </w:p>
        </w:tc>
      </w:tr>
      <w:tr w:rsidR="00017BB4" w:rsidRPr="00826A5E" w14:paraId="4A4ED565" w14:textId="77777777" w:rsidTr="004D2BA7">
        <w:trPr>
          <w:jc w:val="center"/>
        </w:trPr>
        <w:tc>
          <w:tcPr>
            <w:tcW w:w="1531" w:type="dxa"/>
          </w:tcPr>
          <w:p w14:paraId="43E9E99F" w14:textId="77777777" w:rsidR="00017BB4" w:rsidRPr="00826A5E" w:rsidRDefault="00017BB4" w:rsidP="00627683">
            <w:pPr>
              <w:rPr>
                <w:rFonts w:cs="Arial"/>
                <w:sz w:val="20"/>
                <w:szCs w:val="20"/>
              </w:rPr>
            </w:pPr>
            <w:r w:rsidRPr="00826A5E">
              <w:rPr>
                <w:rFonts w:cs="Arial"/>
                <w:sz w:val="20"/>
                <w:szCs w:val="20"/>
              </w:rPr>
              <w:lastRenderedPageBreak/>
              <w:t>Greenhalgh et al. (2022)</w:t>
            </w:r>
          </w:p>
        </w:tc>
        <w:tc>
          <w:tcPr>
            <w:tcW w:w="1587" w:type="dxa"/>
          </w:tcPr>
          <w:p w14:paraId="7FB4603C" w14:textId="77777777" w:rsidR="00017BB4" w:rsidRPr="00826A5E" w:rsidRDefault="00017BB4" w:rsidP="00627683">
            <w:pPr>
              <w:rPr>
                <w:rFonts w:cs="Arial"/>
                <w:sz w:val="20"/>
                <w:szCs w:val="20"/>
              </w:rPr>
            </w:pPr>
            <w:r w:rsidRPr="00826A5E">
              <w:rPr>
                <w:rFonts w:cs="Arial"/>
                <w:sz w:val="20"/>
                <w:szCs w:val="20"/>
              </w:rPr>
              <w:t>Multiple UK primary-care settings</w:t>
            </w:r>
          </w:p>
        </w:tc>
        <w:tc>
          <w:tcPr>
            <w:tcW w:w="2324" w:type="dxa"/>
          </w:tcPr>
          <w:p w14:paraId="45DCD814" w14:textId="77777777" w:rsidR="00017BB4" w:rsidRPr="00826A5E" w:rsidRDefault="00017BB4" w:rsidP="00627683">
            <w:pPr>
              <w:rPr>
                <w:rFonts w:cs="Arial"/>
                <w:sz w:val="20"/>
                <w:szCs w:val="20"/>
              </w:rPr>
            </w:pPr>
            <w:r w:rsidRPr="00826A5E">
              <w:rPr>
                <w:rFonts w:cs="Arial"/>
                <w:sz w:val="20"/>
                <w:szCs w:val="20"/>
              </w:rPr>
              <w:t>Subsample of three mixed-method case studies; mainly 55 GPs, 11 other staff plus patient material</w:t>
            </w:r>
          </w:p>
        </w:tc>
        <w:tc>
          <w:tcPr>
            <w:tcW w:w="2268" w:type="dxa"/>
          </w:tcPr>
          <w:p w14:paraId="445A61E3" w14:textId="77777777" w:rsidR="00017BB4" w:rsidRPr="00826A5E" w:rsidRDefault="00017BB4" w:rsidP="00627683">
            <w:pPr>
              <w:rPr>
                <w:rFonts w:cs="Arial"/>
                <w:sz w:val="20"/>
                <w:szCs w:val="20"/>
              </w:rPr>
            </w:pPr>
            <w:r w:rsidRPr="00826A5E">
              <w:rPr>
                <w:rFonts w:cs="Arial"/>
                <w:sz w:val="20"/>
                <w:szCs w:val="20"/>
              </w:rPr>
              <w:t>General and long-term care; video consultation</w:t>
            </w:r>
          </w:p>
        </w:tc>
        <w:tc>
          <w:tcPr>
            <w:tcW w:w="3628" w:type="dxa"/>
          </w:tcPr>
          <w:p w14:paraId="5A6A2D83" w14:textId="77777777" w:rsidR="00017BB4" w:rsidRPr="00826A5E" w:rsidRDefault="00017BB4" w:rsidP="00627683">
            <w:pPr>
              <w:rPr>
                <w:rFonts w:cs="Arial"/>
                <w:sz w:val="20"/>
                <w:szCs w:val="20"/>
              </w:rPr>
            </w:pPr>
            <w:r w:rsidRPr="00826A5E">
              <w:rPr>
                <w:rFonts w:cs="Arial"/>
                <w:sz w:val="20"/>
                <w:szCs w:val="20"/>
              </w:rPr>
              <w:t>Video often added little over telephone and could be fiddly; useful for selected remote, out-of-hours and nursing-home situations.</w:t>
            </w:r>
          </w:p>
        </w:tc>
        <w:tc>
          <w:tcPr>
            <w:tcW w:w="907" w:type="dxa"/>
          </w:tcPr>
          <w:p w14:paraId="3660D195" w14:textId="77777777" w:rsidR="00017BB4" w:rsidRPr="00826A5E" w:rsidRDefault="00017BB4" w:rsidP="00627683">
            <w:pPr>
              <w:rPr>
                <w:rFonts w:cs="Arial"/>
                <w:sz w:val="20"/>
                <w:szCs w:val="20"/>
              </w:rPr>
            </w:pPr>
            <w:r w:rsidRPr="00826A5E">
              <w:rPr>
                <w:rFonts w:cs="Arial"/>
                <w:sz w:val="20"/>
                <w:szCs w:val="20"/>
              </w:rPr>
              <w:t>Moderate</w:t>
            </w:r>
          </w:p>
        </w:tc>
        <w:tc>
          <w:tcPr>
            <w:tcW w:w="2211" w:type="dxa"/>
          </w:tcPr>
          <w:p w14:paraId="3B55168C" w14:textId="77777777" w:rsidR="00017BB4" w:rsidRPr="00826A5E" w:rsidRDefault="00017BB4" w:rsidP="00627683">
            <w:pPr>
              <w:rPr>
                <w:rFonts w:cs="Arial"/>
                <w:sz w:val="20"/>
                <w:szCs w:val="20"/>
              </w:rPr>
            </w:pPr>
            <w:r w:rsidRPr="00826A5E">
              <w:rPr>
                <w:rFonts w:cs="Arial"/>
                <w:sz w:val="20"/>
                <w:szCs w:val="20"/>
              </w:rPr>
              <w:t>Clinical fit; choice; relationship</w:t>
            </w:r>
          </w:p>
        </w:tc>
      </w:tr>
      <w:tr w:rsidR="00017BB4" w:rsidRPr="00826A5E" w14:paraId="05AF9FB9" w14:textId="77777777" w:rsidTr="004D2BA7">
        <w:trPr>
          <w:jc w:val="center"/>
        </w:trPr>
        <w:tc>
          <w:tcPr>
            <w:tcW w:w="1531" w:type="dxa"/>
          </w:tcPr>
          <w:p w14:paraId="4D5D6A0B" w14:textId="77777777" w:rsidR="00017BB4" w:rsidRPr="00826A5E" w:rsidRDefault="00017BB4" w:rsidP="00627683">
            <w:pPr>
              <w:rPr>
                <w:rFonts w:cs="Arial"/>
                <w:sz w:val="20"/>
                <w:szCs w:val="20"/>
              </w:rPr>
            </w:pPr>
            <w:r w:rsidRPr="00826A5E">
              <w:rPr>
                <w:rFonts w:cs="Arial"/>
                <w:sz w:val="20"/>
                <w:szCs w:val="20"/>
              </w:rPr>
              <w:t>Ochieng et al. (2022)</w:t>
            </w:r>
          </w:p>
        </w:tc>
        <w:tc>
          <w:tcPr>
            <w:tcW w:w="1587" w:type="dxa"/>
          </w:tcPr>
          <w:p w14:paraId="13BA067C" w14:textId="77777777" w:rsidR="00017BB4" w:rsidRPr="00826A5E" w:rsidRDefault="00017BB4" w:rsidP="00627683">
            <w:pPr>
              <w:rPr>
                <w:rFonts w:cs="Arial"/>
                <w:sz w:val="20"/>
                <w:szCs w:val="20"/>
              </w:rPr>
            </w:pPr>
            <w:r w:rsidRPr="00826A5E">
              <w:rPr>
                <w:rFonts w:cs="Arial"/>
                <w:sz w:val="20"/>
                <w:szCs w:val="20"/>
              </w:rPr>
              <w:t>Care homes, East Midlands</w:t>
            </w:r>
          </w:p>
        </w:tc>
        <w:tc>
          <w:tcPr>
            <w:tcW w:w="2324" w:type="dxa"/>
          </w:tcPr>
          <w:p w14:paraId="62977865" w14:textId="77777777" w:rsidR="00017BB4" w:rsidRPr="00826A5E" w:rsidRDefault="00017BB4" w:rsidP="00627683">
            <w:pPr>
              <w:rPr>
                <w:rFonts w:cs="Arial"/>
                <w:sz w:val="20"/>
                <w:szCs w:val="20"/>
              </w:rPr>
            </w:pPr>
            <w:r w:rsidRPr="00826A5E">
              <w:rPr>
                <w:rFonts w:cs="Arial"/>
                <w:sz w:val="20"/>
                <w:szCs w:val="20"/>
              </w:rPr>
              <w:t>Five GPs, 12 nurses and three senior care assistants; qualitative interviews; framework analysis</w:t>
            </w:r>
          </w:p>
        </w:tc>
        <w:tc>
          <w:tcPr>
            <w:tcW w:w="2268" w:type="dxa"/>
          </w:tcPr>
          <w:p w14:paraId="67F2A11E" w14:textId="77777777" w:rsidR="00017BB4" w:rsidRPr="00826A5E" w:rsidRDefault="00017BB4" w:rsidP="00627683">
            <w:pPr>
              <w:rPr>
                <w:rFonts w:cs="Arial"/>
                <w:sz w:val="20"/>
                <w:szCs w:val="20"/>
              </w:rPr>
            </w:pPr>
            <w:r w:rsidRPr="00826A5E">
              <w:rPr>
                <w:rFonts w:cs="Arial"/>
                <w:sz w:val="20"/>
                <w:szCs w:val="20"/>
              </w:rPr>
              <w:t>Frail residents with complex conditions; staff-assisted augmented video</w:t>
            </w:r>
          </w:p>
        </w:tc>
        <w:tc>
          <w:tcPr>
            <w:tcW w:w="3628" w:type="dxa"/>
          </w:tcPr>
          <w:p w14:paraId="621BE159" w14:textId="77777777" w:rsidR="00017BB4" w:rsidRPr="00826A5E" w:rsidRDefault="00017BB4" w:rsidP="00627683">
            <w:pPr>
              <w:rPr>
                <w:rFonts w:cs="Arial"/>
                <w:sz w:val="20"/>
                <w:szCs w:val="20"/>
              </w:rPr>
            </w:pPr>
            <w:r w:rsidRPr="00826A5E">
              <w:rPr>
                <w:rFonts w:cs="Arial"/>
                <w:sz w:val="20"/>
                <w:szCs w:val="20"/>
              </w:rPr>
              <w:t>Enabled real-time examination and person-centred assessment; cognitive impairment and end-of-life care reduced suitability.</w:t>
            </w:r>
          </w:p>
        </w:tc>
        <w:tc>
          <w:tcPr>
            <w:tcW w:w="907" w:type="dxa"/>
          </w:tcPr>
          <w:p w14:paraId="62A11149" w14:textId="77777777" w:rsidR="00017BB4" w:rsidRPr="00826A5E" w:rsidRDefault="00017BB4" w:rsidP="00627683">
            <w:pPr>
              <w:rPr>
                <w:rFonts w:cs="Arial"/>
                <w:sz w:val="20"/>
                <w:szCs w:val="20"/>
              </w:rPr>
            </w:pPr>
            <w:r w:rsidRPr="00826A5E">
              <w:rPr>
                <w:rFonts w:cs="Arial"/>
                <w:sz w:val="20"/>
                <w:szCs w:val="20"/>
              </w:rPr>
              <w:t>Moderate</w:t>
            </w:r>
          </w:p>
        </w:tc>
        <w:tc>
          <w:tcPr>
            <w:tcW w:w="2211" w:type="dxa"/>
          </w:tcPr>
          <w:p w14:paraId="58210452" w14:textId="77777777" w:rsidR="00017BB4" w:rsidRPr="00826A5E" w:rsidRDefault="00017BB4" w:rsidP="00627683">
            <w:pPr>
              <w:rPr>
                <w:rFonts w:cs="Arial"/>
                <w:sz w:val="20"/>
                <w:szCs w:val="20"/>
              </w:rPr>
            </w:pPr>
            <w:r w:rsidRPr="00826A5E">
              <w:rPr>
                <w:rFonts w:cs="Arial"/>
                <w:sz w:val="20"/>
                <w:szCs w:val="20"/>
              </w:rPr>
              <w:t>Clinical fit; support; relationship</w:t>
            </w:r>
          </w:p>
        </w:tc>
      </w:tr>
      <w:tr w:rsidR="00017BB4" w:rsidRPr="00826A5E" w14:paraId="2692EAD8" w14:textId="77777777" w:rsidTr="004D2BA7">
        <w:trPr>
          <w:jc w:val="center"/>
        </w:trPr>
        <w:tc>
          <w:tcPr>
            <w:tcW w:w="1531" w:type="dxa"/>
          </w:tcPr>
          <w:p w14:paraId="3D8F3F32" w14:textId="77777777" w:rsidR="00017BB4" w:rsidRPr="00826A5E" w:rsidRDefault="00017BB4" w:rsidP="00627683">
            <w:pPr>
              <w:rPr>
                <w:rFonts w:cs="Arial"/>
                <w:sz w:val="20"/>
                <w:szCs w:val="20"/>
              </w:rPr>
            </w:pPr>
            <w:r w:rsidRPr="00826A5E">
              <w:rPr>
                <w:rFonts w:cs="Arial"/>
                <w:sz w:val="20"/>
                <w:szCs w:val="20"/>
              </w:rPr>
              <w:t>Moody et al. (2024)</w:t>
            </w:r>
          </w:p>
        </w:tc>
        <w:tc>
          <w:tcPr>
            <w:tcW w:w="1587" w:type="dxa"/>
          </w:tcPr>
          <w:p w14:paraId="3B78237A" w14:textId="77777777" w:rsidR="00017BB4" w:rsidRPr="00826A5E" w:rsidRDefault="00017BB4" w:rsidP="00627683">
            <w:pPr>
              <w:rPr>
                <w:rFonts w:cs="Arial"/>
                <w:sz w:val="20"/>
                <w:szCs w:val="20"/>
              </w:rPr>
            </w:pPr>
            <w:r w:rsidRPr="00826A5E">
              <w:rPr>
                <w:rFonts w:cs="Arial"/>
                <w:sz w:val="20"/>
                <w:szCs w:val="20"/>
              </w:rPr>
              <w:t>UK expert panel</w:t>
            </w:r>
          </w:p>
        </w:tc>
        <w:tc>
          <w:tcPr>
            <w:tcW w:w="2324" w:type="dxa"/>
          </w:tcPr>
          <w:p w14:paraId="0AF5CFA6" w14:textId="77777777" w:rsidR="00017BB4" w:rsidRPr="00826A5E" w:rsidRDefault="00017BB4" w:rsidP="00627683">
            <w:pPr>
              <w:rPr>
                <w:rFonts w:cs="Arial"/>
                <w:sz w:val="20"/>
                <w:szCs w:val="20"/>
              </w:rPr>
            </w:pPr>
            <w:r w:rsidRPr="00826A5E">
              <w:rPr>
                <w:rFonts w:cs="Arial"/>
                <w:sz w:val="20"/>
                <w:szCs w:val="20"/>
              </w:rPr>
              <w:t>14 experts; 11 completed all three modified e-Delphi rounds</w:t>
            </w:r>
          </w:p>
        </w:tc>
        <w:tc>
          <w:tcPr>
            <w:tcW w:w="2268" w:type="dxa"/>
          </w:tcPr>
          <w:p w14:paraId="132BBBFE" w14:textId="77777777" w:rsidR="00017BB4" w:rsidRPr="00826A5E" w:rsidRDefault="00017BB4" w:rsidP="00627683">
            <w:pPr>
              <w:rPr>
                <w:rFonts w:cs="Arial"/>
                <w:sz w:val="20"/>
                <w:szCs w:val="20"/>
              </w:rPr>
            </w:pPr>
            <w:r w:rsidRPr="00826A5E">
              <w:rPr>
                <w:rFonts w:cs="Arial"/>
                <w:sz w:val="20"/>
                <w:szCs w:val="20"/>
              </w:rPr>
              <w:t>Older adults with CKD, diabetes or dementia; digital self-management technologies</w:t>
            </w:r>
          </w:p>
        </w:tc>
        <w:tc>
          <w:tcPr>
            <w:tcW w:w="3628" w:type="dxa"/>
          </w:tcPr>
          <w:p w14:paraId="0FD7CAF4" w14:textId="77777777" w:rsidR="00017BB4" w:rsidRPr="00826A5E" w:rsidRDefault="00017BB4" w:rsidP="00627683">
            <w:pPr>
              <w:rPr>
                <w:rFonts w:cs="Arial"/>
                <w:sz w:val="20"/>
                <w:szCs w:val="20"/>
              </w:rPr>
            </w:pPr>
            <w:r w:rsidRPr="00826A5E">
              <w:rPr>
                <w:rFonts w:cs="Arial"/>
                <w:sz w:val="20"/>
                <w:szCs w:val="20"/>
              </w:rPr>
              <w:t>Consensus favoured guided onboarding, adaptable inclusive design, multi-condition integration, user data control and ongoing support.</w:t>
            </w:r>
          </w:p>
        </w:tc>
        <w:tc>
          <w:tcPr>
            <w:tcW w:w="907" w:type="dxa"/>
          </w:tcPr>
          <w:p w14:paraId="6491B7A6" w14:textId="77777777" w:rsidR="00017BB4" w:rsidRPr="00826A5E" w:rsidRDefault="00017BB4" w:rsidP="00627683">
            <w:pPr>
              <w:rPr>
                <w:rFonts w:cs="Arial"/>
                <w:sz w:val="20"/>
                <w:szCs w:val="20"/>
              </w:rPr>
            </w:pPr>
            <w:r w:rsidRPr="00826A5E">
              <w:rPr>
                <w:rFonts w:cs="Arial"/>
                <w:sz w:val="20"/>
                <w:szCs w:val="20"/>
              </w:rPr>
              <w:t>Moderate</w:t>
            </w:r>
          </w:p>
        </w:tc>
        <w:tc>
          <w:tcPr>
            <w:tcW w:w="2211" w:type="dxa"/>
          </w:tcPr>
          <w:p w14:paraId="453F404F" w14:textId="77777777" w:rsidR="00017BB4" w:rsidRPr="00826A5E" w:rsidRDefault="00017BB4" w:rsidP="00627683">
            <w:pPr>
              <w:rPr>
                <w:rFonts w:cs="Arial"/>
                <w:sz w:val="20"/>
                <w:szCs w:val="20"/>
              </w:rPr>
            </w:pPr>
            <w:r w:rsidRPr="00826A5E">
              <w:rPr>
                <w:rFonts w:cs="Arial"/>
                <w:sz w:val="20"/>
                <w:szCs w:val="20"/>
              </w:rPr>
              <w:t>Usability; support; agency</w:t>
            </w:r>
          </w:p>
        </w:tc>
      </w:tr>
      <w:tr w:rsidR="00017BB4" w:rsidRPr="00826A5E" w14:paraId="0E3A453B" w14:textId="77777777" w:rsidTr="004D2BA7">
        <w:trPr>
          <w:jc w:val="center"/>
        </w:trPr>
        <w:tc>
          <w:tcPr>
            <w:tcW w:w="1531" w:type="dxa"/>
          </w:tcPr>
          <w:p w14:paraId="6D4839A2" w14:textId="77777777" w:rsidR="00017BB4" w:rsidRPr="00826A5E" w:rsidRDefault="00017BB4" w:rsidP="00627683">
            <w:pPr>
              <w:rPr>
                <w:rFonts w:cs="Arial"/>
                <w:sz w:val="20"/>
                <w:szCs w:val="20"/>
              </w:rPr>
            </w:pPr>
            <w:r w:rsidRPr="00826A5E">
              <w:rPr>
                <w:rFonts w:cs="Arial"/>
                <w:sz w:val="20"/>
                <w:szCs w:val="20"/>
              </w:rPr>
              <w:t>Moschogianis et al. (2024)</w:t>
            </w:r>
          </w:p>
        </w:tc>
        <w:tc>
          <w:tcPr>
            <w:tcW w:w="1587" w:type="dxa"/>
          </w:tcPr>
          <w:p w14:paraId="06D7DB8A" w14:textId="77777777" w:rsidR="00017BB4" w:rsidRPr="00826A5E" w:rsidRDefault="00017BB4" w:rsidP="00627683">
            <w:pPr>
              <w:rPr>
                <w:rFonts w:cs="Arial"/>
                <w:sz w:val="20"/>
                <w:szCs w:val="20"/>
              </w:rPr>
            </w:pPr>
            <w:r w:rsidRPr="00826A5E">
              <w:rPr>
                <w:rFonts w:cs="Arial"/>
                <w:sz w:val="20"/>
                <w:szCs w:val="20"/>
              </w:rPr>
              <w:t>English general practices</w:t>
            </w:r>
          </w:p>
        </w:tc>
        <w:tc>
          <w:tcPr>
            <w:tcW w:w="2324" w:type="dxa"/>
          </w:tcPr>
          <w:p w14:paraId="220DEEF6" w14:textId="77777777" w:rsidR="00017BB4" w:rsidRPr="00826A5E" w:rsidRDefault="00017BB4" w:rsidP="00627683">
            <w:pPr>
              <w:rPr>
                <w:rFonts w:cs="Arial"/>
                <w:sz w:val="20"/>
                <w:szCs w:val="20"/>
              </w:rPr>
            </w:pPr>
            <w:r w:rsidRPr="00826A5E">
              <w:rPr>
                <w:rFonts w:cs="Arial"/>
                <w:sz w:val="20"/>
                <w:szCs w:val="20"/>
              </w:rPr>
              <w:t>25 interviews plus 21,467 comments from 11,851 users; thematic analysis</w:t>
            </w:r>
          </w:p>
        </w:tc>
        <w:tc>
          <w:tcPr>
            <w:tcW w:w="2268" w:type="dxa"/>
          </w:tcPr>
          <w:p w14:paraId="0B952531" w14:textId="77777777" w:rsidR="00017BB4" w:rsidRPr="00826A5E" w:rsidRDefault="00017BB4" w:rsidP="00627683">
            <w:pPr>
              <w:rPr>
                <w:rFonts w:cs="Arial"/>
                <w:sz w:val="20"/>
                <w:szCs w:val="20"/>
              </w:rPr>
            </w:pPr>
            <w:r w:rsidRPr="00826A5E">
              <w:rPr>
                <w:rFonts w:cs="Arial"/>
                <w:sz w:val="20"/>
                <w:szCs w:val="20"/>
              </w:rPr>
              <w:t>Primary-care needs including long-term conditions; Patchs asynchronous online consultation</w:t>
            </w:r>
          </w:p>
        </w:tc>
        <w:tc>
          <w:tcPr>
            <w:tcW w:w="3628" w:type="dxa"/>
          </w:tcPr>
          <w:p w14:paraId="73C089C3" w14:textId="77777777" w:rsidR="00017BB4" w:rsidRPr="00826A5E" w:rsidRDefault="00017BB4" w:rsidP="00627683">
            <w:pPr>
              <w:rPr>
                <w:rFonts w:cs="Arial"/>
                <w:sz w:val="20"/>
                <w:szCs w:val="20"/>
              </w:rPr>
            </w:pPr>
            <w:r w:rsidRPr="00826A5E">
              <w:rPr>
                <w:rFonts w:cs="Arial"/>
                <w:sz w:val="20"/>
                <w:szCs w:val="20"/>
              </w:rPr>
              <w:t>Speed, flexibility, free text and written records helped; poor advertising, expectation mismatch and unsuitable modality frustrated users.</w:t>
            </w:r>
          </w:p>
        </w:tc>
        <w:tc>
          <w:tcPr>
            <w:tcW w:w="907" w:type="dxa"/>
          </w:tcPr>
          <w:p w14:paraId="3C71EA30" w14:textId="77777777" w:rsidR="00017BB4" w:rsidRPr="00826A5E" w:rsidRDefault="00017BB4" w:rsidP="00627683">
            <w:pPr>
              <w:rPr>
                <w:rFonts w:cs="Arial"/>
                <w:sz w:val="20"/>
                <w:szCs w:val="20"/>
              </w:rPr>
            </w:pPr>
            <w:r w:rsidRPr="00826A5E">
              <w:rPr>
                <w:rFonts w:cs="Arial"/>
                <w:sz w:val="20"/>
                <w:szCs w:val="20"/>
              </w:rPr>
              <w:t>Strong</w:t>
            </w:r>
          </w:p>
        </w:tc>
        <w:tc>
          <w:tcPr>
            <w:tcW w:w="2211" w:type="dxa"/>
          </w:tcPr>
          <w:p w14:paraId="79320016" w14:textId="77777777" w:rsidR="00017BB4" w:rsidRPr="00826A5E" w:rsidRDefault="00017BB4" w:rsidP="00627683">
            <w:pPr>
              <w:rPr>
                <w:rFonts w:cs="Arial"/>
                <w:sz w:val="20"/>
                <w:szCs w:val="20"/>
              </w:rPr>
            </w:pPr>
            <w:r w:rsidRPr="00826A5E">
              <w:rPr>
                <w:rFonts w:cs="Arial"/>
                <w:sz w:val="20"/>
                <w:szCs w:val="20"/>
              </w:rPr>
              <w:t>Value; access; organisation</w:t>
            </w:r>
          </w:p>
        </w:tc>
      </w:tr>
      <w:tr w:rsidR="00017BB4" w:rsidRPr="00826A5E" w14:paraId="702BA47A" w14:textId="77777777" w:rsidTr="004D2BA7">
        <w:trPr>
          <w:jc w:val="center"/>
        </w:trPr>
        <w:tc>
          <w:tcPr>
            <w:tcW w:w="1531" w:type="dxa"/>
          </w:tcPr>
          <w:p w14:paraId="6C7E9803" w14:textId="77777777" w:rsidR="00017BB4" w:rsidRPr="00826A5E" w:rsidRDefault="00017BB4" w:rsidP="00627683">
            <w:pPr>
              <w:rPr>
                <w:rFonts w:cs="Arial"/>
                <w:sz w:val="20"/>
                <w:szCs w:val="20"/>
              </w:rPr>
            </w:pPr>
            <w:r w:rsidRPr="00826A5E">
              <w:rPr>
                <w:rFonts w:cs="Arial"/>
                <w:sz w:val="20"/>
                <w:szCs w:val="20"/>
              </w:rPr>
              <w:t>Atherton et al. (2024)</w:t>
            </w:r>
          </w:p>
        </w:tc>
        <w:tc>
          <w:tcPr>
            <w:tcW w:w="1587" w:type="dxa"/>
          </w:tcPr>
          <w:p w14:paraId="4F9A920A" w14:textId="77777777" w:rsidR="00017BB4" w:rsidRPr="00826A5E" w:rsidRDefault="00017BB4" w:rsidP="00627683">
            <w:pPr>
              <w:rPr>
                <w:rFonts w:cs="Arial"/>
                <w:sz w:val="20"/>
                <w:szCs w:val="20"/>
              </w:rPr>
            </w:pPr>
            <w:r w:rsidRPr="00826A5E">
              <w:rPr>
                <w:rFonts w:cs="Arial"/>
                <w:sz w:val="20"/>
                <w:szCs w:val="20"/>
              </w:rPr>
              <w:t xml:space="preserve">11 interview practices and </w:t>
            </w:r>
            <w:r w:rsidRPr="00826A5E">
              <w:rPr>
                <w:rFonts w:cs="Arial"/>
                <w:sz w:val="20"/>
                <w:szCs w:val="20"/>
              </w:rPr>
              <w:lastRenderedPageBreak/>
              <w:t>national England survey</w:t>
            </w:r>
          </w:p>
        </w:tc>
        <w:tc>
          <w:tcPr>
            <w:tcW w:w="2324" w:type="dxa"/>
          </w:tcPr>
          <w:p w14:paraId="77E179A6" w14:textId="77777777" w:rsidR="00017BB4" w:rsidRPr="00826A5E" w:rsidRDefault="00017BB4" w:rsidP="00627683">
            <w:pPr>
              <w:rPr>
                <w:rFonts w:cs="Arial"/>
                <w:sz w:val="20"/>
                <w:szCs w:val="20"/>
              </w:rPr>
            </w:pPr>
            <w:r w:rsidRPr="00826A5E">
              <w:rPr>
                <w:rFonts w:cs="Arial"/>
                <w:sz w:val="20"/>
                <w:szCs w:val="20"/>
              </w:rPr>
              <w:lastRenderedPageBreak/>
              <w:t xml:space="preserve">1,327,693 survey responses and 43 </w:t>
            </w:r>
            <w:r w:rsidRPr="00826A5E">
              <w:rPr>
                <w:rFonts w:cs="Arial"/>
                <w:sz w:val="20"/>
                <w:szCs w:val="20"/>
              </w:rPr>
              <w:lastRenderedPageBreak/>
              <w:t>patient interviews; mixed methods</w:t>
            </w:r>
          </w:p>
        </w:tc>
        <w:tc>
          <w:tcPr>
            <w:tcW w:w="2268" w:type="dxa"/>
          </w:tcPr>
          <w:p w14:paraId="2004C45A" w14:textId="77777777" w:rsidR="00017BB4" w:rsidRPr="00826A5E" w:rsidRDefault="00017BB4" w:rsidP="00627683">
            <w:pPr>
              <w:rPr>
                <w:rFonts w:cs="Arial"/>
                <w:sz w:val="20"/>
                <w:szCs w:val="20"/>
              </w:rPr>
            </w:pPr>
            <w:r w:rsidRPr="00826A5E">
              <w:rPr>
                <w:rFonts w:cs="Arial"/>
                <w:sz w:val="20"/>
                <w:szCs w:val="20"/>
              </w:rPr>
              <w:lastRenderedPageBreak/>
              <w:t xml:space="preserve">Primary care and long-term illness; online </w:t>
            </w:r>
            <w:r w:rsidRPr="00826A5E">
              <w:rPr>
                <w:rFonts w:cs="Arial"/>
                <w:sz w:val="20"/>
                <w:szCs w:val="20"/>
              </w:rPr>
              <w:lastRenderedPageBreak/>
              <w:t>appointment booking</w:t>
            </w:r>
          </w:p>
        </w:tc>
        <w:tc>
          <w:tcPr>
            <w:tcW w:w="3628" w:type="dxa"/>
          </w:tcPr>
          <w:p w14:paraId="71ED6BA9" w14:textId="77777777" w:rsidR="00017BB4" w:rsidRPr="00826A5E" w:rsidRDefault="00017BB4" w:rsidP="00627683">
            <w:pPr>
              <w:rPr>
                <w:rFonts w:cs="Arial"/>
                <w:sz w:val="20"/>
                <w:szCs w:val="20"/>
              </w:rPr>
            </w:pPr>
            <w:r w:rsidRPr="00826A5E">
              <w:rPr>
                <w:rFonts w:cs="Arial"/>
                <w:sz w:val="20"/>
                <w:szCs w:val="20"/>
              </w:rPr>
              <w:lastRenderedPageBreak/>
              <w:t xml:space="preserve">Awareness exceeded use; both declined sharply over age 75 and </w:t>
            </w:r>
            <w:r w:rsidRPr="00826A5E">
              <w:rPr>
                <w:rFonts w:cs="Arial"/>
                <w:sz w:val="20"/>
                <w:szCs w:val="20"/>
              </w:rPr>
              <w:lastRenderedPageBreak/>
              <w:t>varied with deprivation, long-term illness and practice context.</w:t>
            </w:r>
          </w:p>
        </w:tc>
        <w:tc>
          <w:tcPr>
            <w:tcW w:w="907" w:type="dxa"/>
          </w:tcPr>
          <w:p w14:paraId="3C4830B9" w14:textId="77777777" w:rsidR="00017BB4" w:rsidRPr="00826A5E" w:rsidRDefault="00017BB4" w:rsidP="00627683">
            <w:pPr>
              <w:rPr>
                <w:rFonts w:cs="Arial"/>
                <w:sz w:val="20"/>
                <w:szCs w:val="20"/>
              </w:rPr>
            </w:pPr>
            <w:r w:rsidRPr="00826A5E">
              <w:rPr>
                <w:rFonts w:cs="Arial"/>
                <w:sz w:val="20"/>
                <w:szCs w:val="20"/>
              </w:rPr>
              <w:lastRenderedPageBreak/>
              <w:t>Strong</w:t>
            </w:r>
          </w:p>
        </w:tc>
        <w:tc>
          <w:tcPr>
            <w:tcW w:w="2211" w:type="dxa"/>
          </w:tcPr>
          <w:p w14:paraId="38820CA3" w14:textId="77777777" w:rsidR="00017BB4" w:rsidRPr="00826A5E" w:rsidRDefault="00017BB4" w:rsidP="00627683">
            <w:pPr>
              <w:rPr>
                <w:rFonts w:cs="Arial"/>
                <w:sz w:val="20"/>
                <w:szCs w:val="20"/>
              </w:rPr>
            </w:pPr>
            <w:r w:rsidRPr="00826A5E">
              <w:rPr>
                <w:rFonts w:cs="Arial"/>
                <w:sz w:val="20"/>
                <w:szCs w:val="20"/>
              </w:rPr>
              <w:t>Access; capability; equity</w:t>
            </w:r>
          </w:p>
        </w:tc>
      </w:tr>
      <w:tr w:rsidR="00017BB4" w:rsidRPr="00826A5E" w14:paraId="76E7EE8A" w14:textId="77777777" w:rsidTr="004D2BA7">
        <w:trPr>
          <w:jc w:val="center"/>
        </w:trPr>
        <w:tc>
          <w:tcPr>
            <w:tcW w:w="1531" w:type="dxa"/>
          </w:tcPr>
          <w:p w14:paraId="5551BF4D" w14:textId="77777777" w:rsidR="00017BB4" w:rsidRPr="00826A5E" w:rsidRDefault="00017BB4" w:rsidP="00627683">
            <w:pPr>
              <w:rPr>
                <w:rFonts w:cs="Arial"/>
                <w:sz w:val="20"/>
                <w:szCs w:val="20"/>
              </w:rPr>
            </w:pPr>
            <w:r w:rsidRPr="00826A5E">
              <w:rPr>
                <w:rFonts w:cs="Arial"/>
                <w:sz w:val="20"/>
                <w:szCs w:val="20"/>
              </w:rPr>
              <w:t>Money et al. (2024)</w:t>
            </w:r>
          </w:p>
        </w:tc>
        <w:tc>
          <w:tcPr>
            <w:tcW w:w="1587" w:type="dxa"/>
          </w:tcPr>
          <w:p w14:paraId="3C24C4DD" w14:textId="77777777" w:rsidR="00017BB4" w:rsidRPr="00826A5E" w:rsidRDefault="00017BB4" w:rsidP="00627683">
            <w:pPr>
              <w:rPr>
                <w:rFonts w:cs="Arial"/>
                <w:sz w:val="20"/>
                <w:szCs w:val="20"/>
              </w:rPr>
            </w:pPr>
            <w:r w:rsidRPr="00826A5E">
              <w:rPr>
                <w:rFonts w:cs="Arial"/>
                <w:sz w:val="20"/>
                <w:szCs w:val="20"/>
              </w:rPr>
              <w:t>Greater Manchester</w:t>
            </w:r>
          </w:p>
        </w:tc>
        <w:tc>
          <w:tcPr>
            <w:tcW w:w="2324" w:type="dxa"/>
          </w:tcPr>
          <w:p w14:paraId="69A12E98" w14:textId="77777777" w:rsidR="00017BB4" w:rsidRPr="00826A5E" w:rsidRDefault="00017BB4" w:rsidP="00627683">
            <w:pPr>
              <w:rPr>
                <w:rFonts w:cs="Arial"/>
                <w:sz w:val="20"/>
                <w:szCs w:val="20"/>
              </w:rPr>
            </w:pPr>
            <w:r w:rsidRPr="00826A5E">
              <w:rPr>
                <w:rFonts w:cs="Arial"/>
                <w:sz w:val="20"/>
                <w:szCs w:val="20"/>
              </w:rPr>
              <w:t>24 adults aged 75–91 and two support workers; interviews; thematic analysis</w:t>
            </w:r>
          </w:p>
        </w:tc>
        <w:tc>
          <w:tcPr>
            <w:tcW w:w="2268" w:type="dxa"/>
          </w:tcPr>
          <w:p w14:paraId="67857507" w14:textId="77777777" w:rsidR="00017BB4" w:rsidRPr="00826A5E" w:rsidRDefault="00017BB4" w:rsidP="00627683">
            <w:pPr>
              <w:rPr>
                <w:rFonts w:cs="Arial"/>
                <w:sz w:val="20"/>
                <w:szCs w:val="20"/>
              </w:rPr>
            </w:pPr>
            <w:r w:rsidRPr="00826A5E">
              <w:rPr>
                <w:rFonts w:cs="Arial"/>
                <w:sz w:val="20"/>
                <w:szCs w:val="20"/>
              </w:rPr>
              <w:t>Web public and health services, including prescriptions and appointments</w:t>
            </w:r>
          </w:p>
        </w:tc>
        <w:tc>
          <w:tcPr>
            <w:tcW w:w="3628" w:type="dxa"/>
          </w:tcPr>
          <w:p w14:paraId="05E77865" w14:textId="77777777" w:rsidR="00017BB4" w:rsidRPr="00826A5E" w:rsidRDefault="00017BB4" w:rsidP="00627683">
            <w:pPr>
              <w:rPr>
                <w:rFonts w:cs="Arial"/>
                <w:sz w:val="20"/>
                <w:szCs w:val="20"/>
              </w:rPr>
            </w:pPr>
            <w:r w:rsidRPr="00826A5E">
              <w:rPr>
                <w:rFonts w:cs="Arial"/>
                <w:sz w:val="20"/>
                <w:szCs w:val="20"/>
              </w:rPr>
              <w:t>Need motivated use, but activity stayed narrow; fear, wellbeing trade-offs and need for one-to-one support made continued choice essential.</w:t>
            </w:r>
          </w:p>
        </w:tc>
        <w:tc>
          <w:tcPr>
            <w:tcW w:w="907" w:type="dxa"/>
          </w:tcPr>
          <w:p w14:paraId="1C026EEB" w14:textId="77777777" w:rsidR="00017BB4" w:rsidRPr="00826A5E" w:rsidRDefault="00017BB4" w:rsidP="00627683">
            <w:pPr>
              <w:rPr>
                <w:rFonts w:cs="Arial"/>
                <w:sz w:val="20"/>
                <w:szCs w:val="20"/>
              </w:rPr>
            </w:pPr>
            <w:r w:rsidRPr="00826A5E">
              <w:rPr>
                <w:rFonts w:cs="Arial"/>
                <w:sz w:val="20"/>
                <w:szCs w:val="20"/>
              </w:rPr>
              <w:t>Moderate</w:t>
            </w:r>
          </w:p>
        </w:tc>
        <w:tc>
          <w:tcPr>
            <w:tcW w:w="2211" w:type="dxa"/>
          </w:tcPr>
          <w:p w14:paraId="2465F800" w14:textId="77777777" w:rsidR="00017BB4" w:rsidRPr="00826A5E" w:rsidRDefault="00017BB4" w:rsidP="00627683">
            <w:pPr>
              <w:rPr>
                <w:rFonts w:cs="Arial"/>
                <w:sz w:val="20"/>
                <w:szCs w:val="20"/>
              </w:rPr>
            </w:pPr>
            <w:r w:rsidRPr="00826A5E">
              <w:rPr>
                <w:rFonts w:cs="Arial"/>
                <w:sz w:val="20"/>
                <w:szCs w:val="20"/>
              </w:rPr>
              <w:t>Capability; value; choice</w:t>
            </w:r>
          </w:p>
        </w:tc>
      </w:tr>
      <w:tr w:rsidR="00017BB4" w:rsidRPr="00826A5E" w14:paraId="4CE845D8" w14:textId="77777777" w:rsidTr="004D2BA7">
        <w:trPr>
          <w:jc w:val="center"/>
        </w:trPr>
        <w:tc>
          <w:tcPr>
            <w:tcW w:w="1531" w:type="dxa"/>
          </w:tcPr>
          <w:p w14:paraId="3AB71C78" w14:textId="77777777" w:rsidR="00017BB4" w:rsidRPr="00826A5E" w:rsidRDefault="00017BB4" w:rsidP="00627683">
            <w:pPr>
              <w:rPr>
                <w:rFonts w:cs="Arial"/>
                <w:sz w:val="20"/>
                <w:szCs w:val="20"/>
              </w:rPr>
            </w:pPr>
            <w:r w:rsidRPr="00826A5E">
              <w:rPr>
                <w:rFonts w:cs="Arial"/>
                <w:sz w:val="20"/>
                <w:szCs w:val="20"/>
              </w:rPr>
              <w:t>Chadwick et al. (2024)</w:t>
            </w:r>
          </w:p>
        </w:tc>
        <w:tc>
          <w:tcPr>
            <w:tcW w:w="1587" w:type="dxa"/>
          </w:tcPr>
          <w:p w14:paraId="1DCBF6A5" w14:textId="77777777" w:rsidR="00017BB4" w:rsidRPr="00826A5E" w:rsidRDefault="00017BB4" w:rsidP="00627683">
            <w:pPr>
              <w:rPr>
                <w:rFonts w:cs="Arial"/>
                <w:sz w:val="20"/>
                <w:szCs w:val="20"/>
              </w:rPr>
            </w:pPr>
            <w:r w:rsidRPr="00826A5E">
              <w:rPr>
                <w:rFonts w:cs="Arial"/>
                <w:sz w:val="20"/>
                <w:szCs w:val="20"/>
              </w:rPr>
              <w:t>Three English kidney centres</w:t>
            </w:r>
          </w:p>
        </w:tc>
        <w:tc>
          <w:tcPr>
            <w:tcW w:w="2324" w:type="dxa"/>
          </w:tcPr>
          <w:p w14:paraId="34C1E39F" w14:textId="77777777" w:rsidR="00017BB4" w:rsidRPr="00826A5E" w:rsidRDefault="00017BB4" w:rsidP="00627683">
            <w:pPr>
              <w:rPr>
                <w:rFonts w:cs="Arial"/>
                <w:sz w:val="20"/>
                <w:szCs w:val="20"/>
              </w:rPr>
            </w:pPr>
            <w:r w:rsidRPr="00826A5E">
              <w:rPr>
                <w:rFonts w:cs="Arial"/>
                <w:sz w:val="20"/>
                <w:szCs w:val="20"/>
              </w:rPr>
              <w:t>26 people with CKD; 24 aged ≥70 and 16 in deprived areas; interviews</w:t>
            </w:r>
          </w:p>
        </w:tc>
        <w:tc>
          <w:tcPr>
            <w:tcW w:w="2268" w:type="dxa"/>
          </w:tcPr>
          <w:p w14:paraId="0D460FC6" w14:textId="77777777" w:rsidR="00017BB4" w:rsidRPr="00826A5E" w:rsidRDefault="00017BB4" w:rsidP="00627683">
            <w:pPr>
              <w:rPr>
                <w:rFonts w:cs="Arial"/>
                <w:sz w:val="20"/>
                <w:szCs w:val="20"/>
              </w:rPr>
            </w:pPr>
            <w:r w:rsidRPr="00826A5E">
              <w:rPr>
                <w:rFonts w:cs="Arial"/>
                <w:sz w:val="20"/>
                <w:szCs w:val="20"/>
              </w:rPr>
              <w:t>CKD; portals, apps and other digital health services</w:t>
            </w:r>
          </w:p>
        </w:tc>
        <w:tc>
          <w:tcPr>
            <w:tcW w:w="3628" w:type="dxa"/>
          </w:tcPr>
          <w:p w14:paraId="53D7DD92" w14:textId="77777777" w:rsidR="00017BB4" w:rsidRPr="00826A5E" w:rsidRDefault="00017BB4" w:rsidP="00627683">
            <w:pPr>
              <w:rPr>
                <w:rFonts w:cs="Arial"/>
                <w:sz w:val="20"/>
                <w:szCs w:val="20"/>
              </w:rPr>
            </w:pPr>
            <w:r w:rsidRPr="00826A5E">
              <w:rPr>
                <w:rFonts w:cs="Arial"/>
                <w:sz w:val="20"/>
                <w:szCs w:val="20"/>
              </w:rPr>
              <w:t>Missed workplace learning, weak support, cost, anxiety, age identity, poor interfaces and low perceived benefit drove “not for me”.</w:t>
            </w:r>
          </w:p>
        </w:tc>
        <w:tc>
          <w:tcPr>
            <w:tcW w:w="907" w:type="dxa"/>
          </w:tcPr>
          <w:p w14:paraId="1B5BFE30" w14:textId="77777777" w:rsidR="00017BB4" w:rsidRPr="00826A5E" w:rsidRDefault="00017BB4" w:rsidP="00627683">
            <w:pPr>
              <w:rPr>
                <w:rFonts w:cs="Arial"/>
                <w:sz w:val="20"/>
                <w:szCs w:val="20"/>
              </w:rPr>
            </w:pPr>
            <w:r w:rsidRPr="00826A5E">
              <w:rPr>
                <w:rFonts w:cs="Arial"/>
                <w:sz w:val="20"/>
                <w:szCs w:val="20"/>
              </w:rPr>
              <w:t>Strong</w:t>
            </w:r>
          </w:p>
        </w:tc>
        <w:tc>
          <w:tcPr>
            <w:tcW w:w="2211" w:type="dxa"/>
          </w:tcPr>
          <w:p w14:paraId="33332A3D" w14:textId="77777777" w:rsidR="00017BB4" w:rsidRPr="00826A5E" w:rsidRDefault="00017BB4" w:rsidP="00627683">
            <w:pPr>
              <w:rPr>
                <w:rFonts w:cs="Arial"/>
                <w:sz w:val="20"/>
                <w:szCs w:val="20"/>
              </w:rPr>
            </w:pPr>
            <w:r w:rsidRPr="00826A5E">
              <w:rPr>
                <w:rFonts w:cs="Arial"/>
                <w:sz w:val="20"/>
                <w:szCs w:val="20"/>
              </w:rPr>
              <w:t>Capability; usability; equity</w:t>
            </w:r>
          </w:p>
        </w:tc>
      </w:tr>
      <w:tr w:rsidR="00017BB4" w:rsidRPr="00826A5E" w14:paraId="6E6908A7" w14:textId="77777777" w:rsidTr="004D2BA7">
        <w:trPr>
          <w:jc w:val="center"/>
        </w:trPr>
        <w:tc>
          <w:tcPr>
            <w:tcW w:w="1531" w:type="dxa"/>
          </w:tcPr>
          <w:p w14:paraId="05CC4797" w14:textId="77777777" w:rsidR="00017BB4" w:rsidRPr="00826A5E" w:rsidRDefault="00017BB4" w:rsidP="00627683">
            <w:pPr>
              <w:rPr>
                <w:rFonts w:cs="Arial"/>
                <w:sz w:val="20"/>
                <w:szCs w:val="20"/>
              </w:rPr>
            </w:pPr>
            <w:r w:rsidRPr="00826A5E">
              <w:rPr>
                <w:rFonts w:cs="Arial"/>
                <w:sz w:val="20"/>
                <w:szCs w:val="20"/>
              </w:rPr>
              <w:t>Ahmed et al. (2024)</w:t>
            </w:r>
          </w:p>
        </w:tc>
        <w:tc>
          <w:tcPr>
            <w:tcW w:w="1587" w:type="dxa"/>
          </w:tcPr>
          <w:p w14:paraId="08E31059" w14:textId="77777777" w:rsidR="00017BB4" w:rsidRPr="00826A5E" w:rsidRDefault="00017BB4" w:rsidP="00627683">
            <w:pPr>
              <w:rPr>
                <w:rFonts w:cs="Arial"/>
                <w:sz w:val="20"/>
                <w:szCs w:val="20"/>
              </w:rPr>
            </w:pPr>
            <w:r w:rsidRPr="00826A5E">
              <w:rPr>
                <w:rFonts w:cs="Arial"/>
                <w:sz w:val="20"/>
                <w:szCs w:val="20"/>
              </w:rPr>
              <w:t>England and Wales community groups</w:t>
            </w:r>
          </w:p>
        </w:tc>
        <w:tc>
          <w:tcPr>
            <w:tcW w:w="2324" w:type="dxa"/>
          </w:tcPr>
          <w:p w14:paraId="09F6EB6B" w14:textId="77777777" w:rsidR="00017BB4" w:rsidRPr="00826A5E" w:rsidRDefault="00017BB4" w:rsidP="00627683">
            <w:pPr>
              <w:rPr>
                <w:rFonts w:cs="Arial"/>
                <w:sz w:val="20"/>
                <w:szCs w:val="20"/>
              </w:rPr>
            </w:pPr>
            <w:r w:rsidRPr="00826A5E">
              <w:rPr>
                <w:rFonts w:cs="Arial"/>
                <w:sz w:val="20"/>
                <w:szCs w:val="20"/>
              </w:rPr>
              <w:t>27 adults &gt;65 (median 69); four ethnic-group focus groups; framework analysis</w:t>
            </w:r>
          </w:p>
        </w:tc>
        <w:tc>
          <w:tcPr>
            <w:tcW w:w="2268" w:type="dxa"/>
          </w:tcPr>
          <w:p w14:paraId="60B22D7A" w14:textId="77777777" w:rsidR="00017BB4" w:rsidRPr="00826A5E" w:rsidRDefault="00017BB4" w:rsidP="00627683">
            <w:pPr>
              <w:rPr>
                <w:rFonts w:cs="Arial"/>
                <w:sz w:val="20"/>
                <w:szCs w:val="20"/>
              </w:rPr>
            </w:pPr>
            <w:r w:rsidRPr="00826A5E">
              <w:rPr>
                <w:rFonts w:cs="Arial"/>
                <w:sz w:val="20"/>
                <w:szCs w:val="20"/>
              </w:rPr>
              <w:t>Digitalised primary care; South Asian, Black African and Caribbean groups</w:t>
            </w:r>
          </w:p>
        </w:tc>
        <w:tc>
          <w:tcPr>
            <w:tcW w:w="3628" w:type="dxa"/>
          </w:tcPr>
          <w:p w14:paraId="2E8797B5" w14:textId="77777777" w:rsidR="00017BB4" w:rsidRPr="00826A5E" w:rsidRDefault="00017BB4" w:rsidP="00627683">
            <w:pPr>
              <w:rPr>
                <w:rFonts w:cs="Arial"/>
                <w:sz w:val="20"/>
                <w:szCs w:val="20"/>
              </w:rPr>
            </w:pPr>
            <w:r w:rsidRPr="00826A5E">
              <w:rPr>
                <w:rFonts w:cs="Arial"/>
                <w:sz w:val="20"/>
                <w:szCs w:val="20"/>
              </w:rPr>
              <w:t>Language and skill barriers, family dependence, stress and discrimination supported culturally sensitive help, face-to-face options and hybrid care.</w:t>
            </w:r>
          </w:p>
        </w:tc>
        <w:tc>
          <w:tcPr>
            <w:tcW w:w="907" w:type="dxa"/>
          </w:tcPr>
          <w:p w14:paraId="22D3D44C" w14:textId="77777777" w:rsidR="00017BB4" w:rsidRPr="00826A5E" w:rsidRDefault="00017BB4" w:rsidP="00627683">
            <w:pPr>
              <w:rPr>
                <w:rFonts w:cs="Arial"/>
                <w:sz w:val="20"/>
                <w:szCs w:val="20"/>
              </w:rPr>
            </w:pPr>
            <w:r w:rsidRPr="00826A5E">
              <w:rPr>
                <w:rFonts w:cs="Arial"/>
                <w:sz w:val="20"/>
                <w:szCs w:val="20"/>
              </w:rPr>
              <w:t>Strong</w:t>
            </w:r>
          </w:p>
        </w:tc>
        <w:tc>
          <w:tcPr>
            <w:tcW w:w="2211" w:type="dxa"/>
          </w:tcPr>
          <w:p w14:paraId="33841D69" w14:textId="77777777" w:rsidR="00017BB4" w:rsidRPr="00826A5E" w:rsidRDefault="00017BB4" w:rsidP="00627683">
            <w:pPr>
              <w:rPr>
                <w:rFonts w:cs="Arial"/>
                <w:sz w:val="20"/>
                <w:szCs w:val="20"/>
              </w:rPr>
            </w:pPr>
            <w:r w:rsidRPr="00826A5E">
              <w:rPr>
                <w:rFonts w:cs="Arial"/>
                <w:sz w:val="20"/>
                <w:szCs w:val="20"/>
              </w:rPr>
              <w:t>Equity; trust; choice</w:t>
            </w:r>
          </w:p>
        </w:tc>
      </w:tr>
      <w:tr w:rsidR="00017BB4" w:rsidRPr="00826A5E" w14:paraId="7DC46127" w14:textId="77777777" w:rsidTr="004D2BA7">
        <w:trPr>
          <w:jc w:val="center"/>
        </w:trPr>
        <w:tc>
          <w:tcPr>
            <w:tcW w:w="1531" w:type="dxa"/>
          </w:tcPr>
          <w:p w14:paraId="4E7DE1C2" w14:textId="77777777" w:rsidR="00017BB4" w:rsidRPr="00826A5E" w:rsidRDefault="00017BB4" w:rsidP="00627683">
            <w:pPr>
              <w:rPr>
                <w:rFonts w:cs="Arial"/>
                <w:sz w:val="20"/>
                <w:szCs w:val="20"/>
              </w:rPr>
            </w:pPr>
            <w:r w:rsidRPr="00826A5E">
              <w:rPr>
                <w:rFonts w:cs="Arial"/>
                <w:sz w:val="20"/>
                <w:szCs w:val="20"/>
              </w:rPr>
              <w:t>Husain et al. (2024)</w:t>
            </w:r>
          </w:p>
        </w:tc>
        <w:tc>
          <w:tcPr>
            <w:tcW w:w="1587" w:type="dxa"/>
          </w:tcPr>
          <w:p w14:paraId="4E4AA951" w14:textId="77777777" w:rsidR="00017BB4" w:rsidRPr="00826A5E" w:rsidRDefault="00017BB4" w:rsidP="00627683">
            <w:pPr>
              <w:rPr>
                <w:rFonts w:cs="Arial"/>
                <w:sz w:val="20"/>
                <w:szCs w:val="20"/>
              </w:rPr>
            </w:pPr>
            <w:r w:rsidRPr="00826A5E">
              <w:rPr>
                <w:rFonts w:cs="Arial"/>
                <w:sz w:val="20"/>
                <w:szCs w:val="20"/>
              </w:rPr>
              <w:t>Redbridge, London NHS community services</w:t>
            </w:r>
          </w:p>
        </w:tc>
        <w:tc>
          <w:tcPr>
            <w:tcW w:w="2324" w:type="dxa"/>
          </w:tcPr>
          <w:p w14:paraId="214E5A1A" w14:textId="77777777" w:rsidR="00017BB4" w:rsidRPr="00826A5E" w:rsidRDefault="00017BB4" w:rsidP="00627683">
            <w:pPr>
              <w:rPr>
                <w:rFonts w:cs="Arial"/>
                <w:sz w:val="20"/>
                <w:szCs w:val="20"/>
              </w:rPr>
            </w:pPr>
            <w:r w:rsidRPr="00826A5E">
              <w:rPr>
                <w:rFonts w:cs="Arial"/>
                <w:sz w:val="20"/>
                <w:szCs w:val="20"/>
              </w:rPr>
              <w:t>17 disadvantaged older adults plus refinement focus groups (n=12); narrative interviews and personas</w:t>
            </w:r>
          </w:p>
        </w:tc>
        <w:tc>
          <w:tcPr>
            <w:tcW w:w="2268" w:type="dxa"/>
          </w:tcPr>
          <w:p w14:paraId="55E34A78" w14:textId="77777777" w:rsidR="00017BB4" w:rsidRPr="00826A5E" w:rsidRDefault="00017BB4" w:rsidP="00627683">
            <w:pPr>
              <w:rPr>
                <w:rFonts w:cs="Arial"/>
                <w:sz w:val="20"/>
                <w:szCs w:val="20"/>
              </w:rPr>
            </w:pPr>
            <w:r w:rsidRPr="00826A5E">
              <w:rPr>
                <w:rFonts w:cs="Arial"/>
                <w:sz w:val="20"/>
                <w:szCs w:val="20"/>
              </w:rPr>
              <w:t>Multiple conditions; remote and video primary care</w:t>
            </w:r>
          </w:p>
        </w:tc>
        <w:tc>
          <w:tcPr>
            <w:tcW w:w="3628" w:type="dxa"/>
          </w:tcPr>
          <w:p w14:paraId="0BACD230" w14:textId="77777777" w:rsidR="00017BB4" w:rsidRPr="00826A5E" w:rsidRDefault="00017BB4" w:rsidP="00627683">
            <w:pPr>
              <w:rPr>
                <w:rFonts w:cs="Arial"/>
                <w:sz w:val="20"/>
                <w:szCs w:val="20"/>
              </w:rPr>
            </w:pPr>
            <w:r w:rsidRPr="00826A5E">
              <w:rPr>
                <w:rFonts w:cs="Arial"/>
                <w:sz w:val="20"/>
                <w:szCs w:val="20"/>
              </w:rPr>
              <w:t>Four personas exposed intersecting poverty, limited English, low literacy, racism, discontinuity, mistrust and loss of agency.</w:t>
            </w:r>
          </w:p>
        </w:tc>
        <w:tc>
          <w:tcPr>
            <w:tcW w:w="907" w:type="dxa"/>
          </w:tcPr>
          <w:p w14:paraId="000820D5" w14:textId="77777777" w:rsidR="00017BB4" w:rsidRPr="00826A5E" w:rsidRDefault="00017BB4" w:rsidP="00627683">
            <w:pPr>
              <w:rPr>
                <w:rFonts w:cs="Arial"/>
                <w:sz w:val="20"/>
                <w:szCs w:val="20"/>
              </w:rPr>
            </w:pPr>
            <w:r w:rsidRPr="00826A5E">
              <w:rPr>
                <w:rFonts w:cs="Arial"/>
                <w:sz w:val="20"/>
                <w:szCs w:val="20"/>
              </w:rPr>
              <w:t>Strong</w:t>
            </w:r>
          </w:p>
        </w:tc>
        <w:tc>
          <w:tcPr>
            <w:tcW w:w="2211" w:type="dxa"/>
          </w:tcPr>
          <w:p w14:paraId="52E030FE" w14:textId="77777777" w:rsidR="00017BB4" w:rsidRPr="00826A5E" w:rsidRDefault="00017BB4" w:rsidP="00627683">
            <w:pPr>
              <w:rPr>
                <w:rFonts w:cs="Arial"/>
                <w:sz w:val="20"/>
                <w:szCs w:val="20"/>
              </w:rPr>
            </w:pPr>
            <w:r w:rsidRPr="00826A5E">
              <w:rPr>
                <w:rFonts w:cs="Arial"/>
                <w:sz w:val="20"/>
                <w:szCs w:val="20"/>
              </w:rPr>
              <w:t>Intersectionality; trust; agency</w:t>
            </w:r>
          </w:p>
        </w:tc>
      </w:tr>
      <w:tr w:rsidR="00017BB4" w:rsidRPr="00826A5E" w14:paraId="0C55072E" w14:textId="77777777" w:rsidTr="004D2BA7">
        <w:trPr>
          <w:jc w:val="center"/>
        </w:trPr>
        <w:tc>
          <w:tcPr>
            <w:tcW w:w="1531" w:type="dxa"/>
          </w:tcPr>
          <w:p w14:paraId="71D01DAF" w14:textId="77777777" w:rsidR="00017BB4" w:rsidRPr="00826A5E" w:rsidRDefault="00017BB4" w:rsidP="00627683">
            <w:pPr>
              <w:rPr>
                <w:rFonts w:cs="Arial"/>
                <w:sz w:val="20"/>
                <w:szCs w:val="20"/>
              </w:rPr>
            </w:pPr>
            <w:r w:rsidRPr="00826A5E">
              <w:rPr>
                <w:rFonts w:cs="Arial"/>
                <w:sz w:val="20"/>
                <w:szCs w:val="20"/>
              </w:rPr>
              <w:t>Husain &amp; Greenhalgh (2025)</w:t>
            </w:r>
          </w:p>
        </w:tc>
        <w:tc>
          <w:tcPr>
            <w:tcW w:w="1587" w:type="dxa"/>
          </w:tcPr>
          <w:p w14:paraId="580FC0FA" w14:textId="77777777" w:rsidR="00017BB4" w:rsidRPr="00826A5E" w:rsidRDefault="00017BB4" w:rsidP="00627683">
            <w:pPr>
              <w:rPr>
                <w:rFonts w:cs="Arial"/>
                <w:sz w:val="20"/>
                <w:szCs w:val="20"/>
              </w:rPr>
            </w:pPr>
            <w:r w:rsidRPr="00826A5E">
              <w:rPr>
                <w:rFonts w:cs="Arial"/>
                <w:sz w:val="20"/>
                <w:szCs w:val="20"/>
              </w:rPr>
              <w:t>Redbridge, London; same 17-person dataset</w:t>
            </w:r>
          </w:p>
        </w:tc>
        <w:tc>
          <w:tcPr>
            <w:tcW w:w="2324" w:type="dxa"/>
          </w:tcPr>
          <w:p w14:paraId="6F6B2124" w14:textId="77777777" w:rsidR="00017BB4" w:rsidRPr="00826A5E" w:rsidRDefault="00017BB4" w:rsidP="00627683">
            <w:pPr>
              <w:rPr>
                <w:rFonts w:cs="Arial"/>
                <w:sz w:val="20"/>
                <w:szCs w:val="20"/>
              </w:rPr>
            </w:pPr>
            <w:r w:rsidRPr="00826A5E">
              <w:rPr>
                <w:rFonts w:cs="Arial"/>
                <w:sz w:val="20"/>
                <w:szCs w:val="20"/>
              </w:rPr>
              <w:t>Intersectional narrative analysis with ethnographic observations</w:t>
            </w:r>
          </w:p>
        </w:tc>
        <w:tc>
          <w:tcPr>
            <w:tcW w:w="2268" w:type="dxa"/>
          </w:tcPr>
          <w:p w14:paraId="7BE3589D" w14:textId="77777777" w:rsidR="00017BB4" w:rsidRPr="00826A5E" w:rsidRDefault="00017BB4" w:rsidP="00627683">
            <w:pPr>
              <w:rPr>
                <w:rFonts w:cs="Arial"/>
                <w:sz w:val="20"/>
                <w:szCs w:val="20"/>
              </w:rPr>
            </w:pPr>
            <w:r w:rsidRPr="00826A5E">
              <w:rPr>
                <w:rFonts w:cs="Arial"/>
                <w:sz w:val="20"/>
                <w:szCs w:val="20"/>
              </w:rPr>
              <w:t>Multiple chronic conditions; video consultation</w:t>
            </w:r>
          </w:p>
        </w:tc>
        <w:tc>
          <w:tcPr>
            <w:tcW w:w="3628" w:type="dxa"/>
          </w:tcPr>
          <w:p w14:paraId="5BCB66A9" w14:textId="77777777" w:rsidR="00017BB4" w:rsidRPr="00826A5E" w:rsidRDefault="00017BB4" w:rsidP="00627683">
            <w:pPr>
              <w:rPr>
                <w:rFonts w:cs="Arial"/>
                <w:sz w:val="20"/>
                <w:szCs w:val="20"/>
              </w:rPr>
            </w:pPr>
            <w:r w:rsidRPr="00826A5E">
              <w:rPr>
                <w:rFonts w:cs="Arial"/>
                <w:sz w:val="20"/>
                <w:szCs w:val="20"/>
              </w:rPr>
              <w:t>Weak presence, eroded relationships, distributed continuity, complexity, discrimination and family mediation reduced trust and agency.</w:t>
            </w:r>
          </w:p>
        </w:tc>
        <w:tc>
          <w:tcPr>
            <w:tcW w:w="907" w:type="dxa"/>
          </w:tcPr>
          <w:p w14:paraId="252E4354" w14:textId="77777777" w:rsidR="00017BB4" w:rsidRPr="00826A5E" w:rsidRDefault="00017BB4" w:rsidP="00627683">
            <w:pPr>
              <w:rPr>
                <w:rFonts w:cs="Arial"/>
                <w:sz w:val="20"/>
                <w:szCs w:val="20"/>
              </w:rPr>
            </w:pPr>
            <w:r w:rsidRPr="00826A5E">
              <w:rPr>
                <w:rFonts w:cs="Arial"/>
                <w:sz w:val="20"/>
                <w:szCs w:val="20"/>
              </w:rPr>
              <w:t>Strong</w:t>
            </w:r>
          </w:p>
        </w:tc>
        <w:tc>
          <w:tcPr>
            <w:tcW w:w="2211" w:type="dxa"/>
          </w:tcPr>
          <w:p w14:paraId="7AD9B080" w14:textId="77777777" w:rsidR="00017BB4" w:rsidRPr="00826A5E" w:rsidRDefault="00017BB4" w:rsidP="00627683">
            <w:pPr>
              <w:rPr>
                <w:rFonts w:cs="Arial"/>
                <w:sz w:val="20"/>
                <w:szCs w:val="20"/>
              </w:rPr>
            </w:pPr>
            <w:r w:rsidRPr="00826A5E">
              <w:rPr>
                <w:rFonts w:cs="Arial"/>
                <w:sz w:val="20"/>
                <w:szCs w:val="20"/>
              </w:rPr>
              <w:t>Presence; continuity; agency</w:t>
            </w:r>
          </w:p>
        </w:tc>
      </w:tr>
    </w:tbl>
    <w:p w14:paraId="34AE23CD" w14:textId="77777777" w:rsidR="0002484B" w:rsidRDefault="0002484B" w:rsidP="00017BB4">
      <w:pPr>
        <w:rPr>
          <w:rFonts w:cs="Arial"/>
          <w:sz w:val="20"/>
        </w:rPr>
        <w:sectPr w:rsidR="0002484B" w:rsidSect="002B4D9F">
          <w:headerReference w:type="default" r:id="rId19"/>
          <w:pgSz w:w="16838" w:h="11906" w:orient="landscape" w:code="9"/>
          <w:pgMar w:top="1440" w:right="1800" w:bottom="1440" w:left="1800" w:header="562" w:footer="562" w:gutter="0"/>
          <w:cols w:space="720"/>
          <w:docGrid w:linePitch="360"/>
        </w:sectPr>
      </w:pPr>
    </w:p>
    <w:p w14:paraId="2D582542" w14:textId="694CF158" w:rsidR="004D2BA7" w:rsidRDefault="00017BB4" w:rsidP="00017BB4">
      <w:pPr>
        <w:rPr>
          <w:rFonts w:cs="Arial"/>
        </w:rPr>
      </w:pPr>
      <w:r w:rsidRPr="005C65A5">
        <w:rPr>
          <w:rFonts w:cs="Arial"/>
        </w:rPr>
        <w:lastRenderedPageBreak/>
        <w:t>Note. CASP judgements apply to the qualitative contribution used in this review. The two Husain reports derive from the same 17-participant dataset and were not double-counted when assessing theme spread.</w:t>
      </w:r>
    </w:p>
    <w:p w14:paraId="54E0519E" w14:textId="77777777" w:rsidR="004D2BA7" w:rsidRPr="004D2BA7" w:rsidRDefault="004D2BA7" w:rsidP="004D2BA7">
      <w:pPr>
        <w:keepNext/>
        <w:keepLines/>
        <w:spacing w:before="40" w:after="0"/>
        <w:outlineLvl w:val="1"/>
        <w:rPr>
          <w:rFonts w:eastAsiaTheme="majorEastAsia" w:cs="Arial"/>
          <w:b/>
          <w:sz w:val="28"/>
        </w:rPr>
      </w:pPr>
      <w:bookmarkStart w:id="103" w:name="_Toc241175734"/>
      <w:r w:rsidRPr="004D2BA7">
        <w:rPr>
          <w:rFonts w:eastAsiaTheme="majorEastAsia" w:cs="Arial"/>
          <w:b/>
          <w:sz w:val="28"/>
        </w:rPr>
        <w:t>4.4 Methodological Quality of Included Studies</w:t>
      </w:r>
      <w:bookmarkEnd w:id="103"/>
    </w:p>
    <w:p w14:paraId="3CA7F7D6" w14:textId="77777777" w:rsidR="004D2BA7" w:rsidRPr="004D2BA7" w:rsidRDefault="004D2BA7" w:rsidP="004D2BA7">
      <w:pPr>
        <w:rPr>
          <w:rFonts w:cs="Arial"/>
        </w:rPr>
      </w:pPr>
      <w:r w:rsidRPr="004D2BA7">
        <w:rPr>
          <w:rFonts w:cs="Arial"/>
        </w:rPr>
        <w:t>Nine of the reports were rated as strong and six moderate to the overall qualitative contribution as present in this review. Good studies tended to have a clear purpose, fit recruitment and data gathering to this purpose, systematic analysis, supportive data, and limitations. Middlemass et al. (2017) proved to be useful, especially due to repeated interviews, as they seemed to record varying experiences of telemonitoring, and Chadwick et al. (2024) included purposive recruitment, literacy instruments, a theoretical framework and development of themes by multiple researchers. Atherton et al. (2024) in their large mixed-methods study triangulated national survey patterns and patient interviews, making it plausible that it should be used and described, both in its breadth and scope.</w:t>
      </w:r>
    </w:p>
    <w:p w14:paraId="12DB93A1" w14:textId="095DF1EC" w:rsidR="004D2BA7" w:rsidRPr="004D2BA7" w:rsidRDefault="004D2BA7" w:rsidP="004D2BA7">
      <w:pPr>
        <w:rPr>
          <w:rFonts w:cs="Arial"/>
        </w:rPr>
      </w:pPr>
      <w:r w:rsidRPr="004D2BA7">
        <w:rPr>
          <w:rFonts w:cs="Arial"/>
        </w:rPr>
        <w:t>Moderate judgements did not imply unusable evidence. Lewis et al. (2021) was a rapid service appraisal with a small self-selected group of completions, and Ochieng et al. (2022) omitted direct voices from their residents; Greenhalgh et al. (2022) depended on expert consensus instead of interviewing older users; and Moody et al. (2024) used consensus among experts instead of interviews with older users. Money et al. (2024) recruited a sample where three-quarters of the sample were already digitally engaged, which may not be representative of non-users. The contribution of specific groups of participants was less apparent, as Salisbury et al. (2015) combined various evidence strands. These constraints reflected the interpretive emphasis: the strength of convergence was given more prominence, compared to single claims, and the evidence given by the provider was not provided as an alternative to lived experience.</w:t>
      </w:r>
      <w:r>
        <w:rPr>
          <w:rFonts w:cs="Arial"/>
        </w:rPr>
        <w:t xml:space="preserve"> </w:t>
      </w:r>
    </w:p>
    <w:p w14:paraId="38B410CA" w14:textId="77777777" w:rsidR="004D2BA7" w:rsidRDefault="004D2BA7" w:rsidP="00017BB4">
      <w:pPr>
        <w:rPr>
          <w:rFonts w:cs="Arial"/>
        </w:rPr>
      </w:pPr>
    </w:p>
    <w:p w14:paraId="061AB085" w14:textId="3F3A3FF3" w:rsidR="00803EDC" w:rsidRDefault="00803EDC" w:rsidP="00017BB4">
      <w:pPr>
        <w:rPr>
          <w:rFonts w:cs="Arial"/>
        </w:rPr>
      </w:pPr>
      <w:r>
        <w:rPr>
          <w:rFonts w:cs="Arial"/>
        </w:rPr>
        <w:t xml:space="preserve">  </w:t>
      </w:r>
      <w:r w:rsidR="004D2BA7">
        <w:rPr>
          <w:rFonts w:cs="Arial"/>
        </w:rPr>
        <w:t xml:space="preserve"> </w:t>
      </w:r>
    </w:p>
    <w:p w14:paraId="4C31D8CF" w14:textId="77777777" w:rsidR="004D2BA7" w:rsidRDefault="004D2BA7" w:rsidP="00017BB4">
      <w:pPr>
        <w:rPr>
          <w:rFonts w:cs="Arial"/>
        </w:rPr>
        <w:sectPr w:rsidR="004D2BA7" w:rsidSect="002B4D9F">
          <w:pgSz w:w="16838" w:h="11906" w:orient="landscape" w:code="9"/>
          <w:pgMar w:top="1440" w:right="1800" w:bottom="1440" w:left="1800" w:header="562" w:footer="562" w:gutter="0"/>
          <w:cols w:space="720"/>
          <w:docGrid w:linePitch="360"/>
        </w:sectPr>
      </w:pPr>
    </w:p>
    <w:p w14:paraId="3D8BDA3B" w14:textId="1F1B73CA" w:rsidR="00017BB4" w:rsidRPr="008634D9" w:rsidRDefault="00017BB4" w:rsidP="00017BB4">
      <w:pPr>
        <w:pStyle w:val="Heading2"/>
        <w:rPr>
          <w:rFonts w:cs="Arial"/>
          <w:szCs w:val="22"/>
        </w:rPr>
      </w:pPr>
      <w:bookmarkStart w:id="104" w:name="_Toc237364347"/>
      <w:bookmarkStart w:id="105" w:name="_Toc241175735"/>
      <w:r w:rsidRPr="008634D9">
        <w:rPr>
          <w:rFonts w:cs="Arial"/>
          <w:szCs w:val="22"/>
        </w:rPr>
        <w:lastRenderedPageBreak/>
        <w:t>4.5 Thematic Results</w:t>
      </w:r>
      <w:bookmarkEnd w:id="104"/>
      <w:bookmarkEnd w:id="105"/>
    </w:p>
    <w:p w14:paraId="393FE479" w14:textId="77777777" w:rsidR="00017BB4" w:rsidRPr="005C65A5" w:rsidRDefault="00017BB4" w:rsidP="00017BB4">
      <w:pPr>
        <w:rPr>
          <w:rFonts w:cs="Arial"/>
        </w:rPr>
      </w:pPr>
      <w:r w:rsidRPr="005C65A5">
        <w:rPr>
          <w:rFonts w:cs="Arial"/>
        </w:rPr>
        <w:t>Four analytical themes identified the ways in which digital health came into action as effective, ineffective or inequitable, including: digital capability and identity; usability and fit with ageing and illness; human support, trust and continuity; and perceived value, feedback and choice. Only barriers rarely acted alone. One such case was when a multifaceted interface was more consequential because of the additional poor eyesight of an older user, low income, lack of support in the immediate environment and a new clinician. The same facilitators were collaborations: easily designed, tutorialized onboarding, an apparent advantage and responsive professional assistance supported each other.</w:t>
      </w:r>
    </w:p>
    <w:p w14:paraId="632CC408" w14:textId="1E209BF2" w:rsidR="00017BB4" w:rsidRPr="005B0607" w:rsidRDefault="00017BB4" w:rsidP="00017BB4">
      <w:pPr>
        <w:pStyle w:val="Heading3"/>
        <w:rPr>
          <w:rFonts w:cs="Arial"/>
          <w:sz w:val="24"/>
          <w:szCs w:val="22"/>
        </w:rPr>
      </w:pPr>
      <w:bookmarkStart w:id="106" w:name="_Toc237364348"/>
      <w:bookmarkStart w:id="107" w:name="_Toc241175736"/>
      <w:r w:rsidRPr="005B0607">
        <w:rPr>
          <w:rFonts w:cs="Arial"/>
          <w:sz w:val="24"/>
          <w:szCs w:val="22"/>
        </w:rPr>
        <w:t xml:space="preserve">4.5.1 Digital </w:t>
      </w:r>
      <w:r w:rsidR="000F6353" w:rsidRPr="005B0607">
        <w:rPr>
          <w:rFonts w:cs="Arial"/>
          <w:sz w:val="24"/>
          <w:szCs w:val="22"/>
        </w:rPr>
        <w:t xml:space="preserve">Capability, Confidence </w:t>
      </w:r>
      <w:r w:rsidRPr="005B0607">
        <w:rPr>
          <w:rFonts w:cs="Arial"/>
          <w:sz w:val="24"/>
          <w:szCs w:val="22"/>
        </w:rPr>
        <w:t xml:space="preserve">and </w:t>
      </w:r>
      <w:r w:rsidR="000F6353" w:rsidRPr="005B0607">
        <w:rPr>
          <w:rFonts w:cs="Arial"/>
          <w:sz w:val="24"/>
          <w:szCs w:val="22"/>
        </w:rPr>
        <w:t>Identity</w:t>
      </w:r>
      <w:bookmarkEnd w:id="106"/>
      <w:bookmarkEnd w:id="107"/>
    </w:p>
    <w:p w14:paraId="47694B16" w14:textId="77777777" w:rsidR="00017BB4" w:rsidRPr="005C65A5" w:rsidRDefault="00017BB4" w:rsidP="00017BB4">
      <w:pPr>
        <w:rPr>
          <w:rFonts w:cs="Arial"/>
        </w:rPr>
      </w:pPr>
      <w:r w:rsidRPr="005C65A5">
        <w:rPr>
          <w:rFonts w:cs="Arial"/>
        </w:rPr>
        <w:t>Reduced ability was significant, yet the evidence disproved merely an either-or dichotomy between digitally capable and incapable elderly individuals. In one study, Chadwick et al. (2024) revealed the accumulation of digital capability throughout the life cycle. Those who had used computers in the workplace reported confidence, and those who had retired prior to the digitalisation of the workplace, or worked in an occupation that required manual work, had fewer opportunities to learn. This divide was exacerbated by social deprivation via unstable internet connection and failure to replace computers. Certain participants therefore made the meaning of technology to be, not of mine, a blend of anticipated failure as well as an identity based on age. Fear of breaking a device or doing something wrong was thus both realistic and symbolic: it implied recurring exclusion and internalisation of expectations of what older people should be capable of doing.</w:t>
      </w:r>
    </w:p>
    <w:p w14:paraId="2D725F37" w14:textId="77777777" w:rsidR="00017BB4" w:rsidRPr="005C65A5" w:rsidRDefault="00017BB4" w:rsidP="00017BB4">
      <w:pPr>
        <w:rPr>
          <w:rFonts w:cs="Arial"/>
        </w:rPr>
      </w:pPr>
      <w:r w:rsidRPr="005C65A5">
        <w:rPr>
          <w:rFonts w:cs="Arial"/>
        </w:rPr>
        <w:t>Money et al. (2024) made the concept that access to the internet is equivalent to inclusion more complicated. The majority of the participants were internet users, but many were narrow users who took the prescription order or made contact with family members without engaging in unfamiliar activities. Concern about fraud, revelation or hitting the wrong button limited the growth of new services. This discriminating action was not indiscriminate resistance but reasonable risk management. Similarly, Ahmed et al. (2024) discovered that portals became unnavigable due to limited English and digital literacy, so the participants got this exposed to young relatives or community organisations. The use of translation was not sufficient to solve the misunderstood healthcare terms, workflow and expectations. The facilitator was depended on for instructions about specific tasks that allowed the older person to accomplish the task, and not a family member who took the machine and did it on their behalf.</w:t>
      </w:r>
    </w:p>
    <w:p w14:paraId="17BB7AC1" w14:textId="77777777" w:rsidR="00017BB4" w:rsidRPr="005C65A5" w:rsidRDefault="00017BB4" w:rsidP="00017BB4">
      <w:pPr>
        <w:rPr>
          <w:rFonts w:cs="Arial"/>
        </w:rPr>
      </w:pPr>
      <w:r w:rsidRPr="005C65A5">
        <w:rPr>
          <w:rFonts w:cs="Arial"/>
        </w:rPr>
        <w:lastRenderedPageBreak/>
        <w:t>The intersectional studies revealed the implications of considering age as an independent predictor. Poverty in the Redbridge sample limited access to data and devices, low English was a barrier to communication, illness complicated the requests, and mistrust was due to past discrimination (Husain et al., 2024; Husain and Greenhalgh, 2025). These combinations were visible in the form of four user personas. The subsequent narrative analysis revealed that 14 out of 17 respondents perceived less agency and that dependence on their family might shift the control over appointments, outcomes and the order of medications outside of their control. Since the two of us adopted identical 17 participants, the two reports reinforce the aspect of conceptual richness as opposed to the prevalence. Throughout the theme, inclusion was to be achieved by taking into account the cost of connectivity, access to learning, language-sensitive direction and allowing a non-digital route.</w:t>
      </w:r>
    </w:p>
    <w:p w14:paraId="0E60F351" w14:textId="2B773B9C" w:rsidR="00017BB4" w:rsidRPr="005B0607" w:rsidRDefault="00017BB4" w:rsidP="00017BB4">
      <w:pPr>
        <w:pStyle w:val="Heading3"/>
        <w:rPr>
          <w:rFonts w:cs="Arial"/>
          <w:sz w:val="24"/>
          <w:szCs w:val="22"/>
        </w:rPr>
      </w:pPr>
      <w:bookmarkStart w:id="108" w:name="_Toc237364349"/>
      <w:bookmarkStart w:id="109" w:name="_Toc241175737"/>
      <w:r w:rsidRPr="005B0607">
        <w:rPr>
          <w:rFonts w:cs="Arial"/>
          <w:sz w:val="24"/>
          <w:szCs w:val="22"/>
        </w:rPr>
        <w:t xml:space="preserve">4.5.2 Usability and </w:t>
      </w:r>
      <w:r w:rsidR="000F6353" w:rsidRPr="005B0607">
        <w:rPr>
          <w:rFonts w:cs="Arial"/>
          <w:sz w:val="24"/>
          <w:szCs w:val="22"/>
        </w:rPr>
        <w:t xml:space="preserve">Fit </w:t>
      </w:r>
      <w:r w:rsidRPr="005B0607">
        <w:rPr>
          <w:rFonts w:cs="Arial"/>
          <w:sz w:val="24"/>
          <w:szCs w:val="22"/>
        </w:rPr>
        <w:t xml:space="preserve">with </w:t>
      </w:r>
      <w:r w:rsidR="000F6353" w:rsidRPr="005B0607">
        <w:rPr>
          <w:rFonts w:cs="Arial"/>
          <w:sz w:val="24"/>
          <w:szCs w:val="22"/>
        </w:rPr>
        <w:t xml:space="preserve">Ageing </w:t>
      </w:r>
      <w:r w:rsidRPr="005B0607">
        <w:rPr>
          <w:rFonts w:cs="Arial"/>
          <w:sz w:val="24"/>
          <w:szCs w:val="22"/>
        </w:rPr>
        <w:t xml:space="preserve">and </w:t>
      </w:r>
      <w:r w:rsidR="000F6353" w:rsidRPr="005B0607">
        <w:rPr>
          <w:rFonts w:cs="Arial"/>
          <w:sz w:val="24"/>
          <w:szCs w:val="22"/>
        </w:rPr>
        <w:t>Chronic Illness</w:t>
      </w:r>
      <w:bookmarkEnd w:id="108"/>
      <w:bookmarkEnd w:id="109"/>
    </w:p>
    <w:p w14:paraId="38631C8E" w14:textId="77777777" w:rsidR="00017BB4" w:rsidRPr="005C65A5" w:rsidRDefault="00017BB4" w:rsidP="00017BB4">
      <w:pPr>
        <w:rPr>
          <w:rFonts w:cs="Arial"/>
        </w:rPr>
      </w:pPr>
      <w:r w:rsidRPr="005C65A5">
        <w:rPr>
          <w:rFonts w:cs="Arial"/>
        </w:rPr>
        <w:t>Technology was embraced when it suited the physical ability, household habits and the labour of disease control. Middlemass et al. (2017) have established that equipment that was rated as easy to use and appropriate to older adults promoted high levels of adherence to daily reads. Yet, low rural connectivity enabled technical notifications; standard indicators led to false alarms, and the availability of clinical equipment might increase the anxiety of being ill or an unwanted sick role. One of the participants dropped out at once due to constant awareness of disease as a result of monitoring. That system might thus comfort one individual, but weigh down another. Individually set alert parameters, dependable installation and equipment that were not overbearing at home played key facilitating roles.</w:t>
      </w:r>
    </w:p>
    <w:p w14:paraId="4D4B3AEB" w14:textId="77777777" w:rsidR="00017BB4" w:rsidRPr="005C65A5" w:rsidRDefault="00017BB4" w:rsidP="00017BB4">
      <w:pPr>
        <w:rPr>
          <w:rFonts w:cs="Arial"/>
        </w:rPr>
      </w:pPr>
      <w:r w:rsidRPr="005C65A5">
        <w:rPr>
          <w:rFonts w:cs="Arial"/>
        </w:rPr>
        <w:t>The poor design became more expensive due to physical and cognitive changes. Kidney disease participants reported problems with handheld retainability, limited visual interface, recall memory, and understanding overload (Chadwick et al., 2024). Moody et al. (2024) achieved an expert agreement that onboarding, flexible interfaces, multi-language offering, allowing users to control their data and re-assess it were required. Their panel further claimed that multimorbid elderly were not expected to have to contend with applications on their own, one per condition. This is one of the most important design phenomena: a single disease tool can be implemented alone but can result in an unmanageable workload. The Delphi evidence was necessarily indirect but aligned with the views of patients regarding fatigue, cognitive load and fragmented pathways.</w:t>
      </w:r>
    </w:p>
    <w:p w14:paraId="5A202036" w14:textId="77777777" w:rsidR="00017BB4" w:rsidRPr="005C65A5" w:rsidRDefault="00017BB4" w:rsidP="00017BB4">
      <w:pPr>
        <w:rPr>
          <w:rFonts w:cs="Arial"/>
        </w:rPr>
      </w:pPr>
      <w:r w:rsidRPr="005C65A5">
        <w:rPr>
          <w:rFonts w:cs="Arial"/>
        </w:rPr>
        <w:lastRenderedPageBreak/>
        <w:t>The feasibility and selection have been shown in the online pulmonary rehabilitation study. Fourteen respondents also completed the programme and stated its benefits when an initial session and a supporting digital tool helped to make the process of exercise clear and safe (Lewis et al., 2021). Online education was viewed as less successful, and time demands of the staff were high. There were thirteen qualified individuals who turned down the offer; thus, successful completion cannot serve as an indicator of universal appropriateness. In nursing homes, augmented video facilitated the assistant examination at the hands of a staff member and allowed the diagnosis without transport and infection risk exposure, but its applicability was restricted by cognitive impairment and final care issues (Ochieng et al., 2022). These results demonstrate that accessibility is not a bigger font or simpler menu. It comprises an equivalent modality to clinical intent, sensory and cognitive capacities, emotional reaction, domestic conditions and presence of an able advocate.</w:t>
      </w:r>
    </w:p>
    <w:p w14:paraId="1D80A577" w14:textId="2F202ED0" w:rsidR="00017BB4" w:rsidRPr="005B0607" w:rsidRDefault="00017BB4" w:rsidP="00017BB4">
      <w:pPr>
        <w:pStyle w:val="Heading3"/>
        <w:rPr>
          <w:rFonts w:cs="Arial"/>
          <w:sz w:val="24"/>
          <w:szCs w:val="22"/>
        </w:rPr>
      </w:pPr>
      <w:bookmarkStart w:id="110" w:name="_Toc237364350"/>
      <w:bookmarkStart w:id="111" w:name="_Toc241175738"/>
      <w:r w:rsidRPr="005B0607">
        <w:rPr>
          <w:rFonts w:cs="Arial"/>
          <w:sz w:val="24"/>
          <w:szCs w:val="22"/>
        </w:rPr>
        <w:t xml:space="preserve">4.5.3 Human </w:t>
      </w:r>
      <w:r w:rsidR="000F6353" w:rsidRPr="005B0607">
        <w:rPr>
          <w:rFonts w:cs="Arial"/>
          <w:sz w:val="24"/>
          <w:szCs w:val="22"/>
        </w:rPr>
        <w:t xml:space="preserve">Support, Trust </w:t>
      </w:r>
      <w:r w:rsidRPr="005B0607">
        <w:rPr>
          <w:rFonts w:cs="Arial"/>
          <w:sz w:val="24"/>
          <w:szCs w:val="22"/>
        </w:rPr>
        <w:t xml:space="preserve">and </w:t>
      </w:r>
      <w:r w:rsidR="000F6353" w:rsidRPr="005B0607">
        <w:rPr>
          <w:rFonts w:cs="Arial"/>
          <w:sz w:val="24"/>
          <w:szCs w:val="22"/>
        </w:rPr>
        <w:t>Relational Continuity</w:t>
      </w:r>
      <w:bookmarkEnd w:id="110"/>
      <w:bookmarkEnd w:id="111"/>
    </w:p>
    <w:p w14:paraId="6B5884A5" w14:textId="77777777" w:rsidR="00017BB4" w:rsidRPr="005C65A5" w:rsidRDefault="00017BB4" w:rsidP="00017BB4">
      <w:pPr>
        <w:rPr>
          <w:rFonts w:cs="Arial"/>
        </w:rPr>
      </w:pPr>
      <w:r w:rsidRPr="005C65A5">
        <w:rPr>
          <w:rFonts w:cs="Arial"/>
        </w:rPr>
        <w:t>Human relationships did not become an application to digital effectiveness; it was part of the intervention. The process evaluation of Healthlines revealed that supportive, highly motivated advisers who provided continuity and personalised contact increased contact participation among patients but were weak regarding primary-care engagement (O’Cathain et al., 2016). Similarly, Salisbury et al. (2015) placed patient and professional engagement, effective chronic-disease management, provider partnership and context in an interactional way. Technology might bridge these aspects, yet could not provide a fix to lacking organisational ownership.</w:t>
      </w:r>
    </w:p>
    <w:p w14:paraId="3DE5938B" w14:textId="77777777" w:rsidR="00017BB4" w:rsidRPr="005C65A5" w:rsidRDefault="00017BB4" w:rsidP="00017BB4">
      <w:pPr>
        <w:rPr>
          <w:rFonts w:cs="Arial"/>
        </w:rPr>
      </w:pPr>
      <w:r w:rsidRPr="005C65A5">
        <w:rPr>
          <w:rFonts w:cs="Arial"/>
        </w:rPr>
        <w:t>In the case of home monitoring, informing patients and carers that results were reviewed by a professional provided certainty, especially following hospitalisation (Middlemass et al., 2017). Nonetheless, participants were also worried that machines could assume face-to-face care. Reliability was pegged on responsiveness to alerts and transparency on who was inspecting the data. Turner et al. (2022) examined online primary care in a system designed to expand access instead of variables; they found that symptom communication was challenging, which limited access and disadvantaged digitally disadvantaged patients. Moschogianis et al. (2024) discovered that speed, flexibility, free-text description and written record were helpful, as some of the people did not perform well in traditional consultations. There was frustration about practices that did not advertise the service in a great way, or those that utilised the service in a different manner than expected by the patients. The interface then brokered a relationship with the practice; repeated failure to implement signalled weak reliability, even in cases where the software did work.</w:t>
      </w:r>
    </w:p>
    <w:p w14:paraId="2B5A2107" w14:textId="77777777" w:rsidR="00017BB4" w:rsidRPr="005C65A5" w:rsidRDefault="00017BB4" w:rsidP="00017BB4">
      <w:pPr>
        <w:rPr>
          <w:rFonts w:cs="Arial"/>
        </w:rPr>
      </w:pPr>
      <w:r w:rsidRPr="005C65A5">
        <w:rPr>
          <w:rFonts w:cs="Arial"/>
        </w:rPr>
        <w:lastRenderedPageBreak/>
        <w:t>Video provided an informational visual aspect, yet not necessarily a curative presence. Greenhalgh et al. (2022) discovered only a slight benefit over telephone to much of the work of the general practice, and other issues continued to require in-person evaluation. According to Ochieng et al. (2022), video added value in nursing homes and in some remote settings is supportive of the findings of care homes. In older patients in a disadvantaged group of multiple patients, however, a weak sense of presence was generated by fast reactions and restricted non-verbal interaction and non-recognisable clinicians, leading to diminished trust (Husain and Greenhalgh, 2025). Ahmed et al. (2024) also described a high level of preference for face-to-face interaction, and video was easy to use, but not an obligatory default. The continuity across modes was that the facilitator was a familiar professional, direct focus, culturally and linguistically fitting communication, and effortless access to in-person reviews in the case of deficient digital contact.</w:t>
      </w:r>
    </w:p>
    <w:p w14:paraId="3BB1C1BD" w14:textId="5648EECE" w:rsidR="00017BB4" w:rsidRPr="005B0607" w:rsidRDefault="00017BB4" w:rsidP="00017BB4">
      <w:pPr>
        <w:pStyle w:val="Heading3"/>
        <w:rPr>
          <w:rFonts w:cs="Arial"/>
          <w:sz w:val="24"/>
          <w:szCs w:val="22"/>
        </w:rPr>
      </w:pPr>
      <w:bookmarkStart w:id="112" w:name="_Toc237364351"/>
      <w:bookmarkStart w:id="113" w:name="_Toc241175739"/>
      <w:r w:rsidRPr="005B0607">
        <w:rPr>
          <w:rFonts w:cs="Arial"/>
          <w:sz w:val="24"/>
          <w:szCs w:val="22"/>
        </w:rPr>
        <w:t xml:space="preserve">4.5.4 Perceived </w:t>
      </w:r>
      <w:r w:rsidR="00DB5F94" w:rsidRPr="005B0607">
        <w:rPr>
          <w:rFonts w:cs="Arial"/>
          <w:sz w:val="24"/>
          <w:szCs w:val="22"/>
        </w:rPr>
        <w:t xml:space="preserve">Usefulness, Feedback </w:t>
      </w:r>
      <w:r w:rsidRPr="005B0607">
        <w:rPr>
          <w:rFonts w:cs="Arial"/>
          <w:sz w:val="24"/>
          <w:szCs w:val="22"/>
        </w:rPr>
        <w:t xml:space="preserve">and </w:t>
      </w:r>
      <w:r w:rsidR="00DB5F94" w:rsidRPr="005B0607">
        <w:rPr>
          <w:rFonts w:cs="Arial"/>
          <w:sz w:val="24"/>
          <w:szCs w:val="22"/>
        </w:rPr>
        <w:t>Hybrid Choice</w:t>
      </w:r>
      <w:bookmarkEnd w:id="112"/>
      <w:bookmarkEnd w:id="113"/>
    </w:p>
    <w:p w14:paraId="2D625258" w14:textId="77777777" w:rsidR="00017BB4" w:rsidRPr="005C65A5" w:rsidRDefault="00017BB4" w:rsidP="00017BB4">
      <w:pPr>
        <w:rPr>
          <w:rFonts w:cs="Arial"/>
        </w:rPr>
      </w:pPr>
      <w:r w:rsidRPr="005C65A5">
        <w:rPr>
          <w:rFonts w:cs="Arial"/>
        </w:rPr>
        <w:t>The elderly were involved when the usage of a tool was tangible and personally meaningful. Home telemonitoring proved advantageous when it identified changes in health, revealed early infection or made patients feel that they were being watched over; finding solutions to self-management was compromised when patients could not read the outcomes or receive feedback (Middlemass et al., 2017). Learning did not arise simply as a result of data collection. The patients used to trust their body feelings as the measurements were sent into what seemed to be a vacuum. A feedback loop was thus needed to provide effective monitoring by turning data into comprehensible action.</w:t>
      </w:r>
    </w:p>
    <w:p w14:paraId="2FFDB5EA" w14:textId="77777777" w:rsidR="00017BB4" w:rsidRPr="005C65A5" w:rsidRDefault="00017BB4" w:rsidP="00017BB4">
      <w:pPr>
        <w:rPr>
          <w:rFonts w:cs="Arial"/>
        </w:rPr>
      </w:pPr>
      <w:r w:rsidRPr="005C65A5">
        <w:rPr>
          <w:rFonts w:cs="Arial"/>
        </w:rPr>
        <w:t>The same trend was observed with access technologies. Online booking of the appointment would provide convenience, whereas the analysis of the national surveys indicated that there was much more awareness than actual usage and a steep drop in both among those older than 75 (Atherton et al., 2024). Availability was not equal to access since deprivation, long-term illness and practice-level arrangements affected engagement. In Money et al. (2024), ordering of the prescription proved to be beneficial due to the lack of travel, whereas the participants appreciated accessing the shops or practice due to movement and socialisation. Convenience in the digital world may inadvertently eliminate wellbeing-supportive activities. Moschogianis et al. (2024) demonstrated that asynchronous systems were time-saving and permitted detailed written requests, whereas some patients requested to communicate with a person in the traditional way. Virtues were task-</w:t>
      </w:r>
      <w:r w:rsidRPr="005C65A5">
        <w:rPr>
          <w:rFonts w:cs="Arial"/>
        </w:rPr>
        <w:lastRenderedPageBreak/>
        <w:t>specific and person-specific, and were not based on the belief that digital was necessarily the best.</w:t>
      </w:r>
    </w:p>
    <w:p w14:paraId="46EBD09B" w14:textId="2C413B4C" w:rsidR="00017BB4" w:rsidRPr="005C65A5" w:rsidRDefault="00017BB4" w:rsidP="00A06A87">
      <w:pPr>
        <w:rPr>
          <w:rFonts w:cs="Arial"/>
        </w:rPr>
      </w:pPr>
      <w:r w:rsidRPr="005C65A5">
        <w:rPr>
          <w:rFonts w:cs="Arial"/>
        </w:rPr>
        <w:t>Choice was found to be the most effective cross-cutting facilitator. Ahmed et al. (2024) promoted a partially staffed hybrid with offline options. Chadwick et al. (2024) also reported low motivation when the users did not perceive it to be relevant or had a perceived impersonality of digital care. Holistic assessment prior to provision and reassessment as needs varied was proposed by Moody et al. (2024). Greenhalgh et al. (2022) have also reached similar conclusions, indicating that the use of video must be justified by the evident relative advantage or the preference of patients and clinicians. Hybrid care does not imply the nominalisation of a telephone option sitting next to a digitally organised pathway; it must enable the same access, effective assistance and escalation. Effectiveness was thus contingent: the right modality, on a treasured task, and with the aid of feedback and a human backup.</w:t>
      </w:r>
    </w:p>
    <w:p w14:paraId="5FAEA3B2" w14:textId="5263D60A" w:rsidR="00017BB4" w:rsidRPr="00195CD8" w:rsidRDefault="00017BB4" w:rsidP="00017BB4">
      <w:pPr>
        <w:pStyle w:val="Heading2"/>
        <w:rPr>
          <w:rFonts w:cs="Arial"/>
          <w:szCs w:val="22"/>
        </w:rPr>
      </w:pPr>
      <w:bookmarkStart w:id="114" w:name="_Toc237364353"/>
      <w:bookmarkStart w:id="115" w:name="_Toc241175740"/>
      <w:r w:rsidRPr="00195CD8">
        <w:rPr>
          <w:rFonts w:cs="Arial"/>
          <w:szCs w:val="22"/>
        </w:rPr>
        <w:t>4.</w:t>
      </w:r>
      <w:r w:rsidR="00E40086" w:rsidRPr="00195CD8">
        <w:rPr>
          <w:rFonts w:cs="Arial"/>
          <w:szCs w:val="22"/>
        </w:rPr>
        <w:t>6</w:t>
      </w:r>
      <w:r w:rsidRPr="00195CD8">
        <w:rPr>
          <w:rFonts w:cs="Arial"/>
          <w:szCs w:val="22"/>
        </w:rPr>
        <w:t xml:space="preserve"> Summary of Main Findings</w:t>
      </w:r>
      <w:bookmarkEnd w:id="114"/>
      <w:bookmarkEnd w:id="115"/>
    </w:p>
    <w:p w14:paraId="49CAD841" w14:textId="77777777" w:rsidR="00017BB4" w:rsidRPr="005C65A5" w:rsidRDefault="00017BB4" w:rsidP="00017BB4">
      <w:pPr>
        <w:rPr>
          <w:rFonts w:cs="Arial"/>
        </w:rPr>
      </w:pPr>
      <w:r w:rsidRPr="005C65A5">
        <w:rPr>
          <w:rFonts w:cs="Arial"/>
        </w:rPr>
        <w:t>The 15 reports indicated that digital tools could help to manage chronic disease by decreasing travel, facilitating monitoring and rehabilitation, speeding up contact and offering reassurance. The most helpful advantages were where there was a value in the task, the technology was present, meaningful feedback was provided, and a trusted person was still present. Challenges were low, non-uniform digital abilities; costs and connectivity; physical or cognitive limitations; language and system literacy; lack of fear of error or fraud; burden of clinical tasks; and disjointed platforms and insufficient organisational implementation. Digital contact could also have a negative impact on presence, continuity and agency, especially for those facing multiple disadvantage. The central result is therefore one of digital health, not a promotion of digital health, but rather something that happened when digital health was appropriate to the person, condition, task and relationship, and when a non-digital equivalent was still truly available.</w:t>
      </w:r>
    </w:p>
    <w:p w14:paraId="05D7015F" w14:textId="218212E5" w:rsidR="00017BB4" w:rsidRPr="00020702" w:rsidRDefault="00017BB4" w:rsidP="00017BB4">
      <w:pPr>
        <w:pStyle w:val="Heading2"/>
        <w:rPr>
          <w:rFonts w:cs="Arial"/>
          <w:szCs w:val="22"/>
        </w:rPr>
      </w:pPr>
      <w:bookmarkStart w:id="116" w:name="_Toc237364354"/>
      <w:bookmarkStart w:id="117" w:name="_Toc241175741"/>
      <w:r w:rsidRPr="00020702">
        <w:rPr>
          <w:rFonts w:cs="Arial"/>
          <w:szCs w:val="22"/>
        </w:rPr>
        <w:t>4.</w:t>
      </w:r>
      <w:r w:rsidR="00E40086" w:rsidRPr="00020702">
        <w:rPr>
          <w:rFonts w:cs="Arial"/>
          <w:szCs w:val="22"/>
        </w:rPr>
        <w:t>7</w:t>
      </w:r>
      <w:r w:rsidRPr="00020702">
        <w:rPr>
          <w:rFonts w:cs="Arial"/>
          <w:szCs w:val="22"/>
        </w:rPr>
        <w:t xml:space="preserve"> Conclusion</w:t>
      </w:r>
      <w:bookmarkEnd w:id="116"/>
      <w:bookmarkEnd w:id="117"/>
    </w:p>
    <w:p w14:paraId="4CB6CBF3" w14:textId="488582E6" w:rsidR="00A06A87" w:rsidRPr="005C65A5" w:rsidRDefault="00017BB4" w:rsidP="00017BB4">
      <w:pPr>
        <w:rPr>
          <w:rFonts w:cs="Arial"/>
        </w:rPr>
      </w:pPr>
      <w:r w:rsidRPr="005C65A5">
        <w:rPr>
          <w:rFonts w:cs="Arial"/>
        </w:rPr>
        <w:t xml:space="preserve">In this chapter, a total of 15 papers were included in 14 studies and four interacting themes were identified. Digital capability, inclusive usability and human support/perceived usefulness all contributed to engagement and outcomes. There were no enabling or inhibiting technologies in general. The results supported personalised, supported and hybrid implementation as opposed to digital-by-default access. They also found that assessing the registration or technical use alone was not enough to determine that information has been understood and that the elderly </w:t>
      </w:r>
      <w:r w:rsidRPr="005C65A5">
        <w:rPr>
          <w:rFonts w:cs="Arial"/>
        </w:rPr>
        <w:lastRenderedPageBreak/>
        <w:t>have retained agency and received relationally safe care. The conclusions offer the evidence that supports the recommendations formed in the last chapter in regard to service design, policy and future research.</w:t>
      </w:r>
    </w:p>
    <w:p w14:paraId="44FB9CC7" w14:textId="77777777" w:rsidR="00A06A87" w:rsidRPr="005C65A5" w:rsidRDefault="00A06A87">
      <w:pPr>
        <w:spacing w:line="259" w:lineRule="auto"/>
        <w:jc w:val="left"/>
        <w:rPr>
          <w:rFonts w:cs="Arial"/>
        </w:rPr>
      </w:pPr>
      <w:r w:rsidRPr="005C65A5">
        <w:rPr>
          <w:rFonts w:cs="Arial"/>
        </w:rPr>
        <w:br w:type="page"/>
      </w:r>
    </w:p>
    <w:p w14:paraId="7878ACAE" w14:textId="0FE71ACE" w:rsidR="003C53BB" w:rsidRPr="008B7F6E" w:rsidRDefault="008B7F6E" w:rsidP="008B7F6E">
      <w:pPr>
        <w:pStyle w:val="Heading1"/>
        <w:spacing w:after="240"/>
        <w:jc w:val="center"/>
        <w:rPr>
          <w:rFonts w:cs="Arial"/>
          <w:szCs w:val="22"/>
        </w:rPr>
      </w:pPr>
      <w:bookmarkStart w:id="118" w:name="_Toc241175742"/>
      <w:r>
        <w:rPr>
          <w:rFonts w:cs="Arial"/>
          <w:szCs w:val="22"/>
        </w:rPr>
        <w:lastRenderedPageBreak/>
        <w:t>Chapter Five</w:t>
      </w:r>
      <w:r w:rsidR="00226CF2" w:rsidRPr="008B7F6E">
        <w:rPr>
          <w:rFonts w:cs="Arial"/>
          <w:szCs w:val="22"/>
        </w:rPr>
        <w:t>: Discussion</w:t>
      </w:r>
      <w:bookmarkEnd w:id="118"/>
    </w:p>
    <w:p w14:paraId="3D85EFFB" w14:textId="77777777" w:rsidR="00770DE5" w:rsidRPr="008B7F6E" w:rsidRDefault="00770DE5" w:rsidP="00770DE5">
      <w:pPr>
        <w:pStyle w:val="Heading2"/>
        <w:rPr>
          <w:rFonts w:cs="Arial"/>
          <w:szCs w:val="22"/>
        </w:rPr>
      </w:pPr>
      <w:bookmarkStart w:id="119" w:name="_Toc241175743"/>
      <w:r w:rsidRPr="008B7F6E">
        <w:rPr>
          <w:rFonts w:cs="Arial"/>
          <w:szCs w:val="22"/>
        </w:rPr>
        <w:t>5.1 Digital Capability, Inequality and Meaningful Access</w:t>
      </w:r>
      <w:bookmarkEnd w:id="119"/>
    </w:p>
    <w:p w14:paraId="56544C1F" w14:textId="77E5EB37" w:rsidR="00770DE5" w:rsidRPr="005C65A5" w:rsidRDefault="00770DE5" w:rsidP="00770DE5">
      <w:pPr>
        <w:rPr>
          <w:rFonts w:cs="Arial"/>
        </w:rPr>
      </w:pPr>
      <w:r w:rsidRPr="005C65A5">
        <w:rPr>
          <w:rFonts w:cs="Arial"/>
        </w:rPr>
        <w:t xml:space="preserve">The results suggest that the impact of digital health interventions on older adults with chronic conditions is more likely to depend on the interplay between digital </w:t>
      </w:r>
      <w:r w:rsidR="008D217B" w:rsidRPr="005C65A5">
        <w:rPr>
          <w:rFonts w:cs="Arial"/>
        </w:rPr>
        <w:t>capabilities</w:t>
      </w:r>
      <w:r w:rsidRPr="005C65A5">
        <w:rPr>
          <w:rFonts w:cs="Arial"/>
        </w:rPr>
        <w:t>, socioeconomic resources, health burden and service design, rather than on chronological age. Atherton et al. (2024) found that older individuals (aged over 75) were less likely to be aware of and use online appointment booking; Money et al. (2024) demonstrated that even those using the internet regularly were less likely to use it for activities they were unfamiliar with due to fear of fraud, mistakes or loss of control. In a similar way, Chadwick et al. (2024) identified limited exposure to digital technology, financial limitations and anxiety, and interface design as reasons for the perception of “not for me” associated with digital health. These results indicate that having access to a device and/or Internet access should not be considered a proxy for digital inclusion.</w:t>
      </w:r>
    </w:p>
    <w:p w14:paraId="7AF9163A" w14:textId="77777777" w:rsidR="00770DE5" w:rsidRPr="005C65A5" w:rsidRDefault="00770DE5" w:rsidP="00770DE5">
      <w:pPr>
        <w:rPr>
          <w:rFonts w:cs="Arial"/>
        </w:rPr>
      </w:pPr>
      <w:r w:rsidRPr="005C65A5">
        <w:rPr>
          <w:rFonts w:cs="Arial"/>
        </w:rPr>
        <w:t>Additionally, evidence reveals that inequality is multidimensional. Ahmed et al. (2024) found that older people from South Asian, Black African and Caribbean communities experienced a number of language barriers, limited digital skills, and family dependence and experiences of discrimination. Husain et al. (2024) built on this by demonstrating how poverty, low English proficiency and limited literacy may be combined in a way that diminishes agency, as may racism and discontinuity of care. Husain and Greenhalgh (2025) also demonstrated that video consultations might diminish presence and continuity in cases where the patient already had multiple disadvantages. All of these studies are congruent in that an intervention that seeks to improve “digital literacy” alone does not suffice because the barriers are not entirely personal. Skills training can be beneficial, but it will require access to these, understanding of these, culturally and linguistically relevant supports, and the need to keep the non-digital pathways available.</w:t>
      </w:r>
    </w:p>
    <w:p w14:paraId="40D6AE86" w14:textId="77777777" w:rsidR="00770DE5" w:rsidRPr="005C65A5" w:rsidRDefault="00770DE5" w:rsidP="00770DE5">
      <w:pPr>
        <w:rPr>
          <w:rFonts w:cs="Arial"/>
        </w:rPr>
      </w:pPr>
      <w:r w:rsidRPr="005C65A5">
        <w:rPr>
          <w:rFonts w:cs="Arial"/>
        </w:rPr>
        <w:t xml:space="preserve">This also means that assessing digital uptake is different. Success is overstated if users are using their relatives or support workers a lot, are not comprehending the information they are given, or are not able to use it on their own. Money et al. (2024) and Ahmed et al. (2024) demonstrate that support can facilitate participation, but dependence can also result in the removal of control from the older person. So meaningful access ought to comprise understanding, confidence, choice, continuity, and the option to access another method of caring if digital access is unsuitable. The </w:t>
      </w:r>
      <w:r w:rsidRPr="005C65A5">
        <w:rPr>
          <w:rFonts w:cs="Arial"/>
        </w:rPr>
        <w:lastRenderedPageBreak/>
        <w:t>core idea is that digital inclusion isn't just about having technology; it's about making technology available to ensure safe and effective digitally supported participation in care.</w:t>
      </w:r>
    </w:p>
    <w:p w14:paraId="06F22379" w14:textId="77777777" w:rsidR="00770DE5" w:rsidRPr="00821FD9" w:rsidRDefault="00770DE5" w:rsidP="00770DE5">
      <w:pPr>
        <w:pStyle w:val="Heading2"/>
        <w:rPr>
          <w:rFonts w:cs="Arial"/>
          <w:szCs w:val="22"/>
        </w:rPr>
      </w:pPr>
      <w:bookmarkStart w:id="120" w:name="_Toc241175744"/>
      <w:r w:rsidRPr="00821FD9">
        <w:rPr>
          <w:rFonts w:cs="Arial"/>
          <w:szCs w:val="22"/>
        </w:rPr>
        <w:t>5.2 Usability, Clinical Fit and Relational Care</w:t>
      </w:r>
      <w:bookmarkEnd w:id="120"/>
    </w:p>
    <w:p w14:paraId="124795CD" w14:textId="77777777" w:rsidR="00770DE5" w:rsidRPr="005C65A5" w:rsidRDefault="00770DE5" w:rsidP="00770DE5">
      <w:pPr>
        <w:rPr>
          <w:rFonts w:cs="Arial"/>
        </w:rPr>
      </w:pPr>
      <w:r w:rsidRPr="005C65A5">
        <w:rPr>
          <w:rFonts w:cs="Arial"/>
        </w:rPr>
        <w:t>The second major finding is that effectiveness is reliant on the appropriateness of the technology for the clinical task and the physical, cognitive and emotional context of the older person. Results from Middlemass et al. (2017) demonstrated that home telemonitoring could reassure and assist with early detection, but poor connectivity, false alarms, and lack of feedback can also make home telemonitoring a source of anxiety and reinforcement of a “sick role”. Lewis et al. (2021) found that some patients were able to participate in online pulmonary rehabilitation, and that they could help with the progression of exercise when session start-up and digital assistance were offered, but there was selective participation and less successful online education. These results underscore the fact that a digital intervention that is useful in one context can not be as effective in another.</w:t>
      </w:r>
    </w:p>
    <w:p w14:paraId="4CE2775C" w14:textId="20C595EF" w:rsidR="00770DE5" w:rsidRPr="005C65A5" w:rsidRDefault="00770DE5" w:rsidP="00770DE5">
      <w:pPr>
        <w:rPr>
          <w:rFonts w:cs="Arial"/>
        </w:rPr>
      </w:pPr>
      <w:r w:rsidRPr="005C65A5">
        <w:rPr>
          <w:rFonts w:cs="Arial"/>
        </w:rPr>
        <w:t>This is echoed by the work of Moody et al. (2024), who demonstrated that the onboarding process needs to be guided, interfaces need to be flexible and supports available to older adults with chronic kidney disease, diabetes, or dementia need to be provided and better integrated. This is especially useful for multimorbidity, as it can add to the cognitive and practical workload. Usability should not only be about font size, navigation or technical reliability; it's also about the amount of work that is transferred to the patient, and about whether the system fits fatigue, dexterity, eyesight, memory, and disease complexity.</w:t>
      </w:r>
    </w:p>
    <w:p w14:paraId="2709DB1E" w14:textId="77777777" w:rsidR="00770DE5" w:rsidRPr="005C65A5" w:rsidRDefault="00770DE5" w:rsidP="00770DE5">
      <w:pPr>
        <w:rPr>
          <w:rFonts w:cs="Arial"/>
        </w:rPr>
      </w:pPr>
      <w:r w:rsidRPr="005C65A5">
        <w:rPr>
          <w:rFonts w:cs="Arial"/>
        </w:rPr>
        <w:t>It is also essential to provide relational care. Engagement with the Healthlines intervention was greater when the primary-care provider was consistent and personalised, and when the adviser was motivated, according to O’Cathain et al. (2016). Similarly, Salisbury et al. (2015) highlighted the complex relationship between patient engagement, professional engagement, and organisation. In care homes, Ochieng et al. (2022) identified the potential of using augmented video consultation to aid in real-time assessments and minimise unnecessary trips, with limitations in cognitive impairment and end-of-life scenarios due to staff support. Similarly, Greenhalgh et al. (2022) reported that video did not often provide any extra value to telephone assessment in general practice and that some issues still needed to be assessed in person.</w:t>
      </w:r>
    </w:p>
    <w:p w14:paraId="4027C772" w14:textId="77777777" w:rsidR="00770DE5" w:rsidRPr="005C65A5" w:rsidRDefault="00770DE5" w:rsidP="00770DE5">
      <w:pPr>
        <w:rPr>
          <w:rFonts w:cs="Arial"/>
        </w:rPr>
      </w:pPr>
      <w:r w:rsidRPr="005C65A5">
        <w:rPr>
          <w:rFonts w:cs="Arial"/>
        </w:rPr>
        <w:lastRenderedPageBreak/>
        <w:t>This research shows an interesting paradox. Digital contact can enhance convenience and accessibility while also diminishing the presence of the relational. Technology is effective when used in conjunction with, and not in place of, appropriate professional contact. It is not the question of the effectiveness of video, telemonitoring or online rehabilitation in general, but which one is suitable for which clinical purpose, for the person and for the kind of communication needed.</w:t>
      </w:r>
    </w:p>
    <w:p w14:paraId="511B2712" w14:textId="77777777" w:rsidR="00770DE5" w:rsidRPr="00821FD9" w:rsidRDefault="00770DE5" w:rsidP="00770DE5">
      <w:pPr>
        <w:pStyle w:val="Heading2"/>
        <w:rPr>
          <w:rFonts w:cs="Arial"/>
          <w:szCs w:val="22"/>
        </w:rPr>
      </w:pPr>
      <w:bookmarkStart w:id="121" w:name="_Toc241175745"/>
      <w:r w:rsidRPr="00821FD9">
        <w:rPr>
          <w:rFonts w:cs="Arial"/>
          <w:szCs w:val="22"/>
        </w:rPr>
        <w:t>5.3 Implementation, Service Responsibility and Hybrid Care</w:t>
      </w:r>
      <w:bookmarkEnd w:id="121"/>
    </w:p>
    <w:p w14:paraId="134C62E7" w14:textId="503F8150" w:rsidR="00770DE5" w:rsidRPr="005C65A5" w:rsidRDefault="00770DE5" w:rsidP="00770DE5">
      <w:pPr>
        <w:rPr>
          <w:rFonts w:cs="Arial"/>
        </w:rPr>
      </w:pPr>
      <w:r w:rsidRPr="005C65A5">
        <w:rPr>
          <w:rFonts w:cs="Arial"/>
        </w:rPr>
        <w:t>The third big result is related to implementation. Efficiency at the organisational level can often seem like a given with digital health, but it is possible that there is some efficiency that relies on ‘behind-the-scenes’ work that patients, relatives, and frontline staff do. Poor design of workflows might limit symptom communication and disadvantage digitally excluded patients when using online consultation systems, as found by Turner et al. (2022). Moschogianis et al. (2024) concluded that asynchronous online consultation may yield some benefits in terms of speed, flexibility, free-text communication and a written record, but users were frustrated when services were poorly advertised and poorly implemented, or when they did not happen as they had hoped. The contrasting results demonstrate that results aren't just dependent on the software: it's also dependent on the organisation of the service.</w:t>
      </w:r>
    </w:p>
    <w:p w14:paraId="747AF2F5" w14:textId="77777777" w:rsidR="00770DE5" w:rsidRPr="005C65A5" w:rsidRDefault="00770DE5" w:rsidP="00770DE5">
      <w:pPr>
        <w:rPr>
          <w:rFonts w:cs="Arial"/>
        </w:rPr>
      </w:pPr>
      <w:r w:rsidRPr="005C65A5">
        <w:rPr>
          <w:rFonts w:cs="Arial"/>
        </w:rPr>
        <w:t>This is especially the case with implementation responsibility. Patients might need to recall passwords, input measurements, classify symptoms and determine if escalation is needed. Devices or translation can be provided by relatives; informal digital facilitation can be provided by receptionists, nurses, advisers and care-home staff. The research by Salisbury et al. (2015), O'Cathain et al. (2016) and Ochieng et al. (2022) all highlight the need for the support of professionals or organisations to ensure digital care is successful, and not dependent on technology alone. In a similar way, ‘Structure your induction and provide ongoing support’ is emphasised by Moody et al. (2024). Without recognition and resources, digital transformation may relegate time, responsibility and risk to the people who aren't best equipped to handle them.</w:t>
      </w:r>
    </w:p>
    <w:p w14:paraId="2BC7A64E" w14:textId="77777777" w:rsidR="00770DE5" w:rsidRPr="005C65A5" w:rsidRDefault="00770DE5" w:rsidP="00770DE5">
      <w:pPr>
        <w:rPr>
          <w:rFonts w:cs="Arial"/>
        </w:rPr>
      </w:pPr>
      <w:r w:rsidRPr="005C65A5">
        <w:rPr>
          <w:rFonts w:cs="Arial"/>
        </w:rPr>
        <w:t xml:space="preserve">The results thus indicate a hybrid approach (not digital by default). Ahmed et al. (2024), Chadwick et al. (2024) and Husain and Greenhalgh (2025) indicate that there may be a need to keep face-to-face and telephone options available to ensure equity, trust and agency. Atherton et al. (2024) also confirm that there is a lack of equality of uptake even where there is good availability, especially among older and more deprived people. This is a proportional approach which matches the mode of care to </w:t>
      </w:r>
      <w:r w:rsidRPr="005C65A5">
        <w:rPr>
          <w:rFonts w:cs="Arial"/>
        </w:rPr>
        <w:lastRenderedPageBreak/>
        <w:t>the task and the individual, for example, digital routes where they help to reduce travel, monitor or help to communicate and non-digital routes where they are needed for examination, complex discussion, continuity or patient preference.</w:t>
      </w:r>
    </w:p>
    <w:p w14:paraId="2543B735" w14:textId="77777777" w:rsidR="00770DE5" w:rsidRPr="005C65A5" w:rsidRDefault="00770DE5" w:rsidP="00770DE5">
      <w:pPr>
        <w:rPr>
          <w:rFonts w:cs="Arial"/>
        </w:rPr>
      </w:pPr>
      <w:r w:rsidRPr="005C65A5">
        <w:rPr>
          <w:rFonts w:cs="Arial"/>
        </w:rPr>
        <w:t>This interpretation also provides a rationale for the dramatically different results that seemingly successful technologies can deliver, depending on the service and support networks and services, as well as the patients, in a given setting and population.</w:t>
      </w:r>
    </w:p>
    <w:p w14:paraId="30218B17" w14:textId="31D840ED" w:rsidR="00226CF2" w:rsidRPr="005C65A5" w:rsidRDefault="00770DE5" w:rsidP="00770DE5">
      <w:pPr>
        <w:rPr>
          <w:rFonts w:cs="Arial"/>
        </w:rPr>
      </w:pPr>
      <w:r w:rsidRPr="005C65A5">
        <w:rPr>
          <w:rFonts w:cs="Arial"/>
        </w:rPr>
        <w:t>Overall, all 15 of the included reports suggest that effectiveness of digital health is a socio-technical outcome. Clinical benefit can be obtained if these four factors – accessible design, clinical fit, relational continuity and clear responsibility and genuine choice – all come together. The evidence thus calls into doubt assumptions that digitalisation will lead to better chronic disease management. The value of the service is whether or not it allows older people to use technology without a loss of understanding, autonomy or equality of access to care.</w:t>
      </w:r>
    </w:p>
    <w:p w14:paraId="7BE9361F" w14:textId="77777777" w:rsidR="003C53BB" w:rsidRPr="005C65A5" w:rsidRDefault="003C53BB">
      <w:pPr>
        <w:spacing w:line="259" w:lineRule="auto"/>
        <w:jc w:val="left"/>
        <w:rPr>
          <w:rFonts w:cs="Arial"/>
        </w:rPr>
      </w:pPr>
      <w:r w:rsidRPr="005C65A5">
        <w:rPr>
          <w:rFonts w:cs="Arial"/>
        </w:rPr>
        <w:br w:type="page"/>
      </w:r>
    </w:p>
    <w:p w14:paraId="33ECB689" w14:textId="20AEFE53" w:rsidR="00E40A2F" w:rsidRPr="00C33CD7" w:rsidRDefault="00E40A2F" w:rsidP="00C33CD7">
      <w:pPr>
        <w:pStyle w:val="Heading1"/>
        <w:jc w:val="center"/>
        <w:rPr>
          <w:rFonts w:cs="Arial"/>
          <w:szCs w:val="22"/>
        </w:rPr>
      </w:pPr>
      <w:bookmarkStart w:id="122" w:name="_Toc237363401"/>
      <w:bookmarkStart w:id="123" w:name="_Toc241175746"/>
      <w:r w:rsidRPr="00C33CD7">
        <w:rPr>
          <w:rFonts w:cs="Arial"/>
          <w:szCs w:val="22"/>
        </w:rPr>
        <w:lastRenderedPageBreak/>
        <w:t xml:space="preserve">Chapter </w:t>
      </w:r>
      <w:r w:rsidR="00C33CD7" w:rsidRPr="00C33CD7">
        <w:rPr>
          <w:rFonts w:cs="Arial"/>
          <w:szCs w:val="22"/>
        </w:rPr>
        <w:t>Six</w:t>
      </w:r>
      <w:r w:rsidRPr="00C33CD7">
        <w:rPr>
          <w:rFonts w:cs="Arial"/>
          <w:szCs w:val="22"/>
        </w:rPr>
        <w:t>: Conclusions and Recommendations</w:t>
      </w:r>
      <w:bookmarkEnd w:id="122"/>
      <w:bookmarkEnd w:id="123"/>
    </w:p>
    <w:p w14:paraId="1B236EC1" w14:textId="63BFA586" w:rsidR="00E40A2F" w:rsidRPr="00107007" w:rsidRDefault="00A06A87" w:rsidP="00E40A2F">
      <w:pPr>
        <w:pStyle w:val="Heading2"/>
        <w:rPr>
          <w:rFonts w:cs="Arial"/>
          <w:szCs w:val="22"/>
        </w:rPr>
      </w:pPr>
      <w:bookmarkStart w:id="124" w:name="_Toc237363402"/>
      <w:bookmarkStart w:id="125" w:name="_Toc241175747"/>
      <w:r w:rsidRPr="00107007">
        <w:rPr>
          <w:rFonts w:cs="Arial"/>
          <w:szCs w:val="22"/>
        </w:rPr>
        <w:t>6</w:t>
      </w:r>
      <w:r w:rsidR="00E40A2F" w:rsidRPr="00107007">
        <w:rPr>
          <w:rFonts w:cs="Arial"/>
          <w:szCs w:val="22"/>
        </w:rPr>
        <w:t>.1 Introduction</w:t>
      </w:r>
      <w:bookmarkEnd w:id="124"/>
      <w:bookmarkEnd w:id="125"/>
    </w:p>
    <w:p w14:paraId="395C9271" w14:textId="77777777" w:rsidR="00E40A2F" w:rsidRPr="005C65A5" w:rsidRDefault="00E40A2F" w:rsidP="00E40A2F">
      <w:pPr>
        <w:pStyle w:val="BodyText"/>
        <w:rPr>
          <w:rFonts w:cs="Arial"/>
        </w:rPr>
      </w:pPr>
      <w:r w:rsidRPr="005C65A5">
        <w:rPr>
          <w:rFonts w:cs="Arial"/>
        </w:rPr>
        <w:t>This chapter brings the systematic review of the digital interventions for older adults used to manage chronic conditions in the United Kingdom to a close. It brings together evidence from 15 reports it includes, addresses the research question, and includes implications for NHS practice and service design. It also examines the potential for strengths, limitations and priorities of the review in the research. The main finding is that digital effectiveness is not just about the technology, but about conditions for using it, particularly social, clinical and organisational.</w:t>
      </w:r>
    </w:p>
    <w:p w14:paraId="2F6AD8F6" w14:textId="443BB166" w:rsidR="00E40A2F" w:rsidRPr="003A15BA" w:rsidRDefault="00A06A87" w:rsidP="00E40A2F">
      <w:pPr>
        <w:pStyle w:val="Heading2"/>
        <w:rPr>
          <w:rFonts w:cs="Arial"/>
          <w:szCs w:val="22"/>
        </w:rPr>
      </w:pPr>
      <w:bookmarkStart w:id="126" w:name="_Toc237363403"/>
      <w:bookmarkStart w:id="127" w:name="_Toc241175748"/>
      <w:r w:rsidRPr="003A15BA">
        <w:rPr>
          <w:rFonts w:cs="Arial"/>
          <w:szCs w:val="22"/>
        </w:rPr>
        <w:t>6</w:t>
      </w:r>
      <w:r w:rsidR="00E40A2F" w:rsidRPr="003A15BA">
        <w:rPr>
          <w:rFonts w:cs="Arial"/>
          <w:szCs w:val="22"/>
        </w:rPr>
        <w:t>.2 Conclusions in Relation to the Research Question</w:t>
      </w:r>
      <w:bookmarkEnd w:id="126"/>
      <w:bookmarkEnd w:id="127"/>
    </w:p>
    <w:p w14:paraId="31121C07" w14:textId="27D90F3C" w:rsidR="00E40A2F" w:rsidRPr="005C65A5" w:rsidRDefault="00E40A2F" w:rsidP="00E40A2F">
      <w:pPr>
        <w:pStyle w:val="BodyText"/>
        <w:rPr>
          <w:rFonts w:cs="Arial"/>
        </w:rPr>
      </w:pPr>
      <w:r w:rsidRPr="005C65A5">
        <w:rPr>
          <w:rFonts w:cs="Arial"/>
        </w:rPr>
        <w:t xml:space="preserve">The review queried what type of barriers or facilitators have an impact on the effectiveness of digital health technology for older people and those with chronic conditions in the UK? Four converging conclusions provide solutions to this question. Firstly, there is unequal distribution of capability which cannot be assumed from age. Confidence was due to experience in the workplace, learning opportunities, language, </w:t>
      </w:r>
      <w:r w:rsidR="008D217B" w:rsidRPr="005C65A5">
        <w:rPr>
          <w:rFonts w:cs="Arial"/>
        </w:rPr>
        <w:t>and income</w:t>
      </w:r>
      <w:r w:rsidRPr="005C65A5">
        <w:rPr>
          <w:rFonts w:cs="Arial"/>
        </w:rPr>
        <w:t>, access to devices, sensory or cognitive ability and online risk. Some adults limited activities to familiar tasks as errors, fraud or loss of control was perceived as 'meaningful' (Money et al., 2024; Chadwick et al., 2024). This was compounded by poverty, having limited English, and discrimination, and depending on family members may diminish individual control (Ahmed et al., 2024; Husain et al., 2024; Husain and Greenhalgh, 2025).</w:t>
      </w:r>
    </w:p>
    <w:p w14:paraId="1EC9F709" w14:textId="77777777" w:rsidR="00E40A2F" w:rsidRPr="005C65A5" w:rsidRDefault="00E40A2F" w:rsidP="00E40A2F">
      <w:pPr>
        <w:pStyle w:val="BodyText"/>
        <w:rPr>
          <w:rFonts w:cs="Arial"/>
        </w:rPr>
      </w:pPr>
      <w:r w:rsidRPr="005C65A5">
        <w:rPr>
          <w:rFonts w:cs="Arial"/>
        </w:rPr>
        <w:t>Second, usability was dependent upon a relationship and was context-dependent. Guided onboarding, clear interfaces, adaptable settings, and supported language all contributed to engaging sections, as did the accommodation of fatigue and dexterity, eyesight, cognitive load, and multimorbidity in design. Monitoring could have provided reassurance to users, only for it to be hampered by connectivity problems, non-explained alerts and the absence of feedback, which raised anxiety (Middlemass et al., 2017). Online rehabilitation was acceptable with preparation and support making exercise understandable, but completers did not include those who did not agree to take part (Lewis et al., 2021). Consensus also prevailed that technology needed to be flexible, interdependent and ongoing (Moody et al., 2024).</w:t>
      </w:r>
    </w:p>
    <w:p w14:paraId="4516DA7A" w14:textId="77777777" w:rsidR="00E40A2F" w:rsidRPr="005C65A5" w:rsidRDefault="00E40A2F" w:rsidP="00E40A2F">
      <w:pPr>
        <w:pStyle w:val="BodyText"/>
        <w:rPr>
          <w:rFonts w:cs="Arial"/>
        </w:rPr>
      </w:pPr>
      <w:r w:rsidRPr="005C65A5">
        <w:rPr>
          <w:rFonts w:cs="Arial"/>
        </w:rPr>
        <w:t xml:space="preserve">Thirdly, the intervention included human support. Continuity, responsive professionals and clear responsibility encouraged trust and sustained use (O’Cathain et al., 2016; Salisbury et al., 2015). Clinical information was facilitated through video assessment, and for routine video, the benefit was limited in care homes and not </w:t>
      </w:r>
      <w:r w:rsidRPr="005C65A5">
        <w:rPr>
          <w:rFonts w:cs="Arial"/>
        </w:rPr>
        <w:lastRenderedPageBreak/>
        <w:t>matched by in-person presence when communicating complex information (Ochieng et al., 2022; Greenhalgh et al., 2022). Finally, it was determined whether access led to meaningful engagement or not based on usefulness and choice. The systems were appreciated when they saved time, when they allowed for more detailed communication or when they responded to a recognised need; yet systems that were badly implemented were not, and systems that were poorly promoted and/or were rigid resulted in some exclusion (Turner et al., 2022; Moschogianis et al., 2024). Despite the availability, there was no evidence in the national evidence that this was matched with equitable uptake (Atherton et al., 2024). In general, computer-based technologies aid in management when they are appropriate for the person, the task, and the clinical relationship, and hinder management when they take work and risks to the users without providing support and alternatives.</w:t>
      </w:r>
    </w:p>
    <w:p w14:paraId="18C85BBB" w14:textId="572C1CC6" w:rsidR="00E40A2F" w:rsidRPr="0042422E" w:rsidRDefault="00A06A87" w:rsidP="00E40A2F">
      <w:pPr>
        <w:pStyle w:val="Heading2"/>
        <w:rPr>
          <w:rFonts w:cs="Arial"/>
          <w:szCs w:val="22"/>
        </w:rPr>
      </w:pPr>
      <w:bookmarkStart w:id="128" w:name="_Toc237363404"/>
      <w:bookmarkStart w:id="129" w:name="_Toc241175749"/>
      <w:r w:rsidRPr="0042422E">
        <w:rPr>
          <w:rFonts w:cs="Arial"/>
          <w:szCs w:val="22"/>
        </w:rPr>
        <w:t>6</w:t>
      </w:r>
      <w:r w:rsidR="00E40A2F" w:rsidRPr="0042422E">
        <w:rPr>
          <w:rFonts w:cs="Arial"/>
          <w:szCs w:val="22"/>
        </w:rPr>
        <w:t>.3 Implications and Recommendations for Practice</w:t>
      </w:r>
      <w:bookmarkEnd w:id="128"/>
      <w:bookmarkEnd w:id="129"/>
    </w:p>
    <w:p w14:paraId="5973CD81" w14:textId="77777777" w:rsidR="00E40A2F" w:rsidRPr="005C65A5" w:rsidRDefault="00E40A2F" w:rsidP="00E40A2F">
      <w:pPr>
        <w:pStyle w:val="BodyText"/>
        <w:rPr>
          <w:rFonts w:cs="Arial"/>
        </w:rPr>
      </w:pPr>
      <w:r w:rsidRPr="005C65A5">
        <w:rPr>
          <w:rFonts w:cs="Arial"/>
        </w:rPr>
        <w:t>A hybrid NHS service not a ‘digital by default' approach is needed. Telephone and face-to-face routes should be apparent and available, particularly in relation to examination or sensitive communication or continuity. Make a choice knowing that it is not permanent and is to be reviewed as health, confidence and circumstances change.</w:t>
      </w:r>
    </w:p>
    <w:p w14:paraId="4A9FAD06" w14:textId="77777777" w:rsidR="00E40A2F" w:rsidRPr="005C65A5" w:rsidRDefault="00E40A2F" w:rsidP="00E40A2F">
      <w:pPr>
        <w:pStyle w:val="BodyText"/>
        <w:rPr>
          <w:rFonts w:cs="Arial"/>
        </w:rPr>
      </w:pPr>
      <w:r w:rsidRPr="005C65A5">
        <w:rPr>
          <w:rFonts w:cs="Arial"/>
        </w:rPr>
        <w:t>Enrolment should be preceded by a brief digital-needs assessment of connectivity, device ownership, language, vision, hearing, dexterity, cognition, confidence and preferred contact and trusted support. Staff should ensure task-specific onboarding, with the patient using their own device and make sure it is possible to complete the action independently or with agreed assistance. Consent and privacy protections are essential, as is considering whether proxy access is transferring the control away from the patient in a family-friendly manner.</w:t>
      </w:r>
    </w:p>
    <w:p w14:paraId="6ABD8CE1" w14:textId="77777777" w:rsidR="00E40A2F" w:rsidRPr="005C65A5" w:rsidRDefault="00E40A2F" w:rsidP="00E40A2F">
      <w:pPr>
        <w:pStyle w:val="BodyText"/>
        <w:rPr>
          <w:rFonts w:cs="Arial"/>
        </w:rPr>
      </w:pPr>
      <w:r w:rsidRPr="005C65A5">
        <w:rPr>
          <w:rFonts w:cs="Arial"/>
        </w:rPr>
        <w:t>This responsibility must be made tangible and explicit in services. Patients should be made aware of what data is gathered, who sees it, the turnaround time and what to do if it does not come back. Reliable escalation and understandable feedback are vital to telemonitoring and are referred to as clinical ownership. Multimorbidity is best managed using integrated platforms, as multiple systems add to workload. Evaluation should focus on sustained use, understanding, confidence, agency, continuity, and delayed care and equitable benefit and not just on registrations, along deprivation and ethnicity and language. People who reject or drop digital services should be involved in co-design.</w:t>
      </w:r>
    </w:p>
    <w:p w14:paraId="04D27B71" w14:textId="30831A69" w:rsidR="00E40A2F" w:rsidRPr="0042422E" w:rsidRDefault="00A06A87" w:rsidP="00E40A2F">
      <w:pPr>
        <w:pStyle w:val="Heading2"/>
        <w:rPr>
          <w:rFonts w:cs="Arial"/>
          <w:szCs w:val="22"/>
        </w:rPr>
      </w:pPr>
      <w:bookmarkStart w:id="130" w:name="_Toc237363405"/>
      <w:bookmarkStart w:id="131" w:name="_Toc241175750"/>
      <w:r w:rsidRPr="0042422E">
        <w:rPr>
          <w:rFonts w:cs="Arial"/>
          <w:szCs w:val="22"/>
        </w:rPr>
        <w:lastRenderedPageBreak/>
        <w:t>6</w:t>
      </w:r>
      <w:r w:rsidR="00E40A2F" w:rsidRPr="0042422E">
        <w:rPr>
          <w:rFonts w:cs="Arial"/>
          <w:szCs w:val="22"/>
        </w:rPr>
        <w:t>.4 Strengths and Limitations of the Review</w:t>
      </w:r>
      <w:bookmarkEnd w:id="130"/>
      <w:bookmarkEnd w:id="131"/>
    </w:p>
    <w:p w14:paraId="50415FD9" w14:textId="1A5451F4" w:rsidR="00E40A2F" w:rsidRDefault="001F7E37" w:rsidP="00E40A2F">
      <w:pPr>
        <w:pStyle w:val="BodyText"/>
        <w:rPr>
          <w:rFonts w:cs="Arial"/>
        </w:rPr>
      </w:pPr>
      <w:r w:rsidRPr="005C65A5">
        <w:rPr>
          <w:rFonts w:cs="Arial"/>
        </w:rPr>
        <w:t>The review was well done for a number of reasons. It had a clear question that was focused on the UK and used clear eligibility criteria, critical appraisal and systematic thematic synthesis. Interviews, focus groups, service evaluation and user comments, as well as national survey data, provided evidence to enable comparison of lived experiences to wider service patterns. Combining the two Redbridge reports into a single study also minimised the risk of double counting but maintained the separate analytical strengths of the two reports. But there are some significant restrictions. The majority of evidence was from England, and there was limited evidence from Scotland, Wales and Northern Ireland. A few studies were based on small purposive samples, and some studies depended more on the provider or expert voice than on the voice of the older adults themselves. Pooled clinical effectiveness could not be estimated since the synthesis was based on qualitative and mixed-methods evidence, and qualitative findings could be extracted. Furthermore, the review was performed by only one reviewer, which may lead to selection and interpretive bias, despite the transparent review process.</w:t>
      </w:r>
    </w:p>
    <w:p w14:paraId="0BADA98C" w14:textId="77777777" w:rsidR="007A3026" w:rsidRDefault="007A3026" w:rsidP="00E40A2F">
      <w:pPr>
        <w:pStyle w:val="BodyText"/>
        <w:rPr>
          <w:rFonts w:cs="Arial"/>
        </w:rPr>
      </w:pPr>
    </w:p>
    <w:p w14:paraId="6CDE6C35" w14:textId="77777777" w:rsidR="007A3026" w:rsidRDefault="007A3026" w:rsidP="00E40A2F">
      <w:pPr>
        <w:pStyle w:val="BodyText"/>
        <w:rPr>
          <w:rFonts w:cs="Arial"/>
        </w:rPr>
      </w:pPr>
    </w:p>
    <w:p w14:paraId="743A9BDA" w14:textId="77777777" w:rsidR="007A3026" w:rsidRDefault="007A3026" w:rsidP="00E40A2F">
      <w:pPr>
        <w:pStyle w:val="BodyText"/>
        <w:rPr>
          <w:rFonts w:cs="Arial"/>
        </w:rPr>
      </w:pPr>
    </w:p>
    <w:p w14:paraId="5B6490BB" w14:textId="77777777" w:rsidR="007A3026" w:rsidRDefault="007A3026" w:rsidP="00E40A2F">
      <w:pPr>
        <w:pStyle w:val="BodyText"/>
        <w:rPr>
          <w:rFonts w:cs="Arial"/>
        </w:rPr>
      </w:pPr>
    </w:p>
    <w:p w14:paraId="11EDE073" w14:textId="77777777" w:rsidR="007A3026" w:rsidRDefault="007A3026" w:rsidP="00E40A2F">
      <w:pPr>
        <w:pStyle w:val="BodyText"/>
        <w:rPr>
          <w:rFonts w:cs="Arial"/>
        </w:rPr>
      </w:pPr>
    </w:p>
    <w:p w14:paraId="5B45E40A" w14:textId="77777777" w:rsidR="007A3026" w:rsidRDefault="007A3026" w:rsidP="00E40A2F">
      <w:pPr>
        <w:pStyle w:val="BodyText"/>
        <w:rPr>
          <w:rFonts w:cs="Arial"/>
        </w:rPr>
      </w:pPr>
    </w:p>
    <w:p w14:paraId="074BAFB7" w14:textId="77777777" w:rsidR="007A3026" w:rsidRDefault="007A3026" w:rsidP="00E40A2F">
      <w:pPr>
        <w:pStyle w:val="BodyText"/>
        <w:rPr>
          <w:rFonts w:cs="Arial"/>
        </w:rPr>
      </w:pPr>
    </w:p>
    <w:p w14:paraId="72450183" w14:textId="77777777" w:rsidR="007A3026" w:rsidRDefault="007A3026" w:rsidP="00E40A2F">
      <w:pPr>
        <w:pStyle w:val="BodyText"/>
        <w:rPr>
          <w:rFonts w:cs="Arial"/>
        </w:rPr>
      </w:pPr>
    </w:p>
    <w:p w14:paraId="71785CDF" w14:textId="77777777" w:rsidR="007A3026" w:rsidRDefault="007A3026" w:rsidP="00E40A2F">
      <w:pPr>
        <w:pStyle w:val="BodyText"/>
        <w:rPr>
          <w:rFonts w:cs="Arial"/>
        </w:rPr>
      </w:pPr>
    </w:p>
    <w:p w14:paraId="72013B85" w14:textId="77777777" w:rsidR="007A3026" w:rsidRDefault="007A3026" w:rsidP="00E40A2F">
      <w:pPr>
        <w:pStyle w:val="BodyText"/>
        <w:rPr>
          <w:rFonts w:cs="Arial"/>
        </w:rPr>
      </w:pPr>
    </w:p>
    <w:p w14:paraId="18761F9B" w14:textId="77777777" w:rsidR="007A3026" w:rsidRDefault="007A3026" w:rsidP="00E40A2F">
      <w:pPr>
        <w:pStyle w:val="BodyText"/>
        <w:rPr>
          <w:rFonts w:cs="Arial"/>
        </w:rPr>
      </w:pPr>
    </w:p>
    <w:p w14:paraId="77DFE7DA" w14:textId="77777777" w:rsidR="007A3026" w:rsidRDefault="007A3026" w:rsidP="00E40A2F">
      <w:pPr>
        <w:pStyle w:val="BodyText"/>
        <w:rPr>
          <w:rFonts w:cs="Arial"/>
        </w:rPr>
      </w:pPr>
    </w:p>
    <w:p w14:paraId="217E7653" w14:textId="77777777" w:rsidR="007A3026" w:rsidRDefault="007A3026" w:rsidP="00E40A2F">
      <w:pPr>
        <w:pStyle w:val="BodyText"/>
        <w:rPr>
          <w:rFonts w:cs="Arial"/>
        </w:rPr>
      </w:pPr>
    </w:p>
    <w:p w14:paraId="6151DB32" w14:textId="77777777" w:rsidR="007A3026" w:rsidRPr="005C65A5" w:rsidRDefault="007A3026" w:rsidP="00E40A2F">
      <w:pPr>
        <w:pStyle w:val="BodyText"/>
        <w:rPr>
          <w:rFonts w:cs="Arial"/>
        </w:rPr>
      </w:pPr>
    </w:p>
    <w:p w14:paraId="7706F500" w14:textId="78D16BDB" w:rsidR="00E40A2F" w:rsidRPr="00D32DF2" w:rsidRDefault="00A06A87" w:rsidP="00E40A2F">
      <w:pPr>
        <w:pStyle w:val="Heading2"/>
        <w:rPr>
          <w:rFonts w:cs="Arial"/>
          <w:szCs w:val="22"/>
        </w:rPr>
      </w:pPr>
      <w:bookmarkStart w:id="132" w:name="_Toc237363406"/>
      <w:bookmarkStart w:id="133" w:name="_Toc241175751"/>
      <w:r w:rsidRPr="00D32DF2">
        <w:rPr>
          <w:rFonts w:cs="Arial"/>
          <w:szCs w:val="22"/>
        </w:rPr>
        <w:lastRenderedPageBreak/>
        <w:t>6</w:t>
      </w:r>
      <w:r w:rsidR="00E40A2F" w:rsidRPr="00D32DF2">
        <w:rPr>
          <w:rFonts w:cs="Arial"/>
          <w:szCs w:val="22"/>
        </w:rPr>
        <w:t>.5 Recommendations for Future Research</w:t>
      </w:r>
      <w:bookmarkEnd w:id="132"/>
      <w:bookmarkEnd w:id="133"/>
    </w:p>
    <w:p w14:paraId="60F1F3CA" w14:textId="77777777" w:rsidR="00E40A2F" w:rsidRPr="005C65A5" w:rsidRDefault="00E40A2F" w:rsidP="00E40A2F">
      <w:pPr>
        <w:pStyle w:val="BodyText"/>
        <w:rPr>
          <w:rFonts w:cs="Arial"/>
        </w:rPr>
      </w:pPr>
      <w:r w:rsidRPr="005C65A5">
        <w:rPr>
          <w:rFonts w:cs="Arial"/>
        </w:rPr>
        <w:t>Future studies should try to compare supported hybrid pathways with the digital-only and conventional care pathways in the longer term. Non-users, people giving up on services, adults with limited English, sensory and cognitive impairment, as well as people living in rural areas or deprivation, are all part of the recruitment process. Infrastructure and service organisation should be tested for in research across all 4 UK nations. Outcomes should be connected to both condition-specific measures and workload, confidence, agency, continuity, carer dependence and equity. For the purposes of implementation studies, the combinations of onboarding, community support, professional follow-up and interface adaptation that result in sustained benefit over time with whom and at what cost should be identified.</w:t>
      </w:r>
    </w:p>
    <w:p w14:paraId="3D2270B6" w14:textId="35839CDA" w:rsidR="00E40A2F" w:rsidRPr="004974F1" w:rsidRDefault="00340FD1" w:rsidP="00E40A2F">
      <w:pPr>
        <w:pStyle w:val="Heading2"/>
        <w:rPr>
          <w:rFonts w:cs="Arial"/>
          <w:szCs w:val="22"/>
        </w:rPr>
      </w:pPr>
      <w:bookmarkStart w:id="134" w:name="_Toc237363407"/>
      <w:bookmarkStart w:id="135" w:name="_Toc241175752"/>
      <w:r>
        <w:rPr>
          <w:rFonts w:cs="Arial"/>
          <w:szCs w:val="22"/>
        </w:rPr>
        <w:t>6</w:t>
      </w:r>
      <w:r w:rsidR="00E40A2F" w:rsidRPr="004974F1">
        <w:rPr>
          <w:rFonts w:cs="Arial"/>
          <w:szCs w:val="22"/>
        </w:rPr>
        <w:t>.6 Final Conclusion</w:t>
      </w:r>
      <w:bookmarkEnd w:id="134"/>
      <w:bookmarkEnd w:id="135"/>
    </w:p>
    <w:p w14:paraId="1AE7641A" w14:textId="6F1A5E7E" w:rsidR="006209CE" w:rsidRDefault="00E40A2F" w:rsidP="00E40A2F">
      <w:pPr>
        <w:rPr>
          <w:rFonts w:cs="Arial"/>
        </w:rPr>
      </w:pPr>
      <w:r w:rsidRPr="005C65A5">
        <w:rPr>
          <w:rFonts w:cs="Arial"/>
        </w:rPr>
        <w:t>While digital health can reduce access and reassurance issues, increase monitoring and self-management for older people with chronic conditions, it is not a natural technology: it is not inclusive. Trust and choice are important, as is accessible design and human support; when working together, they make a wonderful benefit. Responsive relationships + a viable, alternative, non-digital care provision is the most defensible policy: digital routes offered where they make a difference. This changes the way inclusion, autonomy and continuity are taken for granted in UK services as outcomes of a process of transformation.</w:t>
      </w:r>
      <w:r w:rsidR="005C65A5">
        <w:rPr>
          <w:rFonts w:cs="Arial"/>
        </w:rPr>
        <w:t xml:space="preserve"> </w:t>
      </w:r>
    </w:p>
    <w:p w14:paraId="61A7EDC0" w14:textId="5517DE52" w:rsidR="005C65A5" w:rsidRDefault="005C65A5">
      <w:pPr>
        <w:spacing w:line="259" w:lineRule="auto"/>
        <w:jc w:val="left"/>
        <w:rPr>
          <w:rFonts w:cs="Arial"/>
        </w:rPr>
      </w:pPr>
      <w:r>
        <w:rPr>
          <w:rFonts w:cs="Arial"/>
        </w:rPr>
        <w:br w:type="page"/>
      </w:r>
    </w:p>
    <w:p w14:paraId="46C7D30F" w14:textId="47DF91D8" w:rsidR="00C24A68" w:rsidRPr="00DF70B3" w:rsidRDefault="00C24A68" w:rsidP="005C65A5">
      <w:pPr>
        <w:pStyle w:val="Heading1"/>
        <w:jc w:val="center"/>
        <w:rPr>
          <w:rFonts w:cs="Arial"/>
          <w:lang w:val="en-US"/>
        </w:rPr>
      </w:pPr>
      <w:bookmarkStart w:id="136" w:name="_Toc241175753"/>
      <w:r w:rsidRPr="00DF70B3">
        <w:rPr>
          <w:rFonts w:cs="Arial"/>
          <w:lang w:val="en-US"/>
        </w:rPr>
        <w:lastRenderedPageBreak/>
        <w:t>Reference list</w:t>
      </w:r>
      <w:bookmarkEnd w:id="136"/>
    </w:p>
    <w:p w14:paraId="458B69FB" w14:textId="77777777" w:rsidR="00E35EAB" w:rsidRPr="005C65A5" w:rsidRDefault="00E35EAB" w:rsidP="005C65A5">
      <w:pPr>
        <w:pStyle w:val="ListParagraph"/>
        <w:numPr>
          <w:ilvl w:val="0"/>
          <w:numId w:val="5"/>
        </w:numPr>
        <w:rPr>
          <w:rFonts w:cs="Arial"/>
          <w:lang w:val="en-US"/>
        </w:rPr>
      </w:pPr>
      <w:r w:rsidRPr="005C65A5">
        <w:rPr>
          <w:rFonts w:cs="Arial"/>
          <w:lang w:val="en-US"/>
        </w:rPr>
        <w:t xml:space="preserve">Age UK (2024). </w:t>
      </w:r>
      <w:r w:rsidRPr="005C65A5">
        <w:rPr>
          <w:rFonts w:cs="Arial"/>
          <w:i/>
          <w:iCs/>
          <w:lang w:val="en-US"/>
        </w:rPr>
        <w:t>Facts and figures about digital inclusion and older people, June 2024</w:t>
      </w:r>
      <w:r w:rsidRPr="005C65A5">
        <w:rPr>
          <w:rFonts w:cs="Arial"/>
          <w:lang w:val="en-US"/>
        </w:rPr>
        <w:t xml:space="preserve">. [online] Age UK. Available at: </w:t>
      </w:r>
      <w:hyperlink r:id="rId20" w:tgtFrame="_new" w:history="1">
        <w:r w:rsidRPr="005C65A5">
          <w:rPr>
            <w:rStyle w:val="Hyperlink"/>
            <w:rFonts w:cs="Arial"/>
            <w:lang w:val="en-US"/>
          </w:rPr>
          <w:t>https://www.ageuk.org.uk/siteassets/documents/reports-and-publications/reports-and-briefings/active-communities/internet-use-statistics-june-2024.pdf</w:t>
        </w:r>
      </w:hyperlink>
      <w:r w:rsidRPr="005C65A5">
        <w:rPr>
          <w:rFonts w:cs="Arial"/>
          <w:lang w:val="en-US"/>
        </w:rPr>
        <w:t xml:space="preserve"> [Accessed 28 Jun. 2026].</w:t>
      </w:r>
    </w:p>
    <w:p w14:paraId="106D9CED" w14:textId="77777777" w:rsidR="00E35EAB" w:rsidRPr="005C65A5" w:rsidRDefault="00E35EAB" w:rsidP="005C65A5">
      <w:pPr>
        <w:pStyle w:val="ListParagraph"/>
        <w:numPr>
          <w:ilvl w:val="0"/>
          <w:numId w:val="5"/>
        </w:numPr>
        <w:rPr>
          <w:rFonts w:cs="Arial"/>
          <w:lang w:val="en-US"/>
        </w:rPr>
      </w:pPr>
      <w:r w:rsidRPr="005C65A5">
        <w:rPr>
          <w:rFonts w:cs="Arial"/>
          <w:lang w:val="en-US"/>
        </w:rPr>
        <w:t xml:space="preserve">Age UK (2026). </w:t>
      </w:r>
      <w:r w:rsidRPr="005C65A5">
        <w:rPr>
          <w:rFonts w:cs="Arial"/>
          <w:i/>
          <w:iCs/>
          <w:lang w:val="en-US"/>
        </w:rPr>
        <w:t>Facts and figures about digital inclusion and older people</w:t>
      </w:r>
      <w:r w:rsidRPr="005C65A5">
        <w:rPr>
          <w:rFonts w:cs="Arial"/>
          <w:lang w:val="en-US"/>
        </w:rPr>
        <w:t xml:space="preserve">. [online] Age UK. Available at: </w:t>
      </w:r>
      <w:hyperlink r:id="rId21" w:tgtFrame="_new" w:history="1">
        <w:r w:rsidRPr="005C65A5">
          <w:rPr>
            <w:rStyle w:val="Hyperlink"/>
            <w:rFonts w:cs="Arial"/>
            <w:lang w:val="en-US"/>
          </w:rPr>
          <w:t>https://www.ageuk.org.uk/siteassets/documents/reports-and-publications/reports-and-briefings/active-communities/internet-use-statistics-june-2024.pdf</w:t>
        </w:r>
      </w:hyperlink>
      <w:r w:rsidRPr="005C65A5">
        <w:rPr>
          <w:rFonts w:cs="Arial"/>
          <w:lang w:val="en-US"/>
        </w:rPr>
        <w:t xml:space="preserve"> [Accessed 29 Jun. 2026].</w:t>
      </w:r>
    </w:p>
    <w:p w14:paraId="5829E24C" w14:textId="77777777" w:rsidR="00E35EAB" w:rsidRPr="005C65A5" w:rsidRDefault="00E35EAB" w:rsidP="005C65A5">
      <w:pPr>
        <w:pStyle w:val="ListParagraph"/>
        <w:numPr>
          <w:ilvl w:val="0"/>
          <w:numId w:val="5"/>
        </w:numPr>
        <w:rPr>
          <w:rFonts w:cs="Arial"/>
          <w:lang w:val="en-US"/>
        </w:rPr>
      </w:pPr>
      <w:r w:rsidRPr="005C65A5">
        <w:rPr>
          <w:rFonts w:cs="Arial"/>
          <w:lang w:val="en-US"/>
        </w:rPr>
        <w:t xml:space="preserve">Ahmed, N., Hall, A., Poku, B., McDermott, J., Astbury, J. and Todd, C. (2024). Experiences and views of older adults of South Asian, Black African, and Caribbean backgrounds about the digitalization of primary care services since the COVID-19 pandemic: Qualitative focus group study. </w:t>
      </w:r>
      <w:r w:rsidRPr="005C65A5">
        <w:rPr>
          <w:rFonts w:cs="Arial"/>
          <w:i/>
          <w:iCs/>
          <w:lang w:val="en-US"/>
        </w:rPr>
        <w:t>JMIR Formative Research</w:t>
      </w:r>
      <w:r w:rsidRPr="005C65A5">
        <w:rPr>
          <w:rFonts w:cs="Arial"/>
          <w:lang w:val="en-US"/>
        </w:rPr>
        <w:t>, 8, e57580. doi:10.2196/57580.</w:t>
      </w:r>
    </w:p>
    <w:p w14:paraId="59DB7245" w14:textId="77777777" w:rsidR="00E35EAB" w:rsidRPr="005C65A5" w:rsidRDefault="00E35EAB" w:rsidP="005C65A5">
      <w:pPr>
        <w:pStyle w:val="ListParagraph"/>
        <w:numPr>
          <w:ilvl w:val="0"/>
          <w:numId w:val="5"/>
        </w:numPr>
        <w:rPr>
          <w:rFonts w:cs="Arial"/>
          <w:lang w:val="en-US"/>
        </w:rPr>
      </w:pPr>
      <w:r w:rsidRPr="005C65A5">
        <w:rPr>
          <w:rFonts w:cs="Arial"/>
          <w:lang w:val="en-US"/>
        </w:rPr>
        <w:t xml:space="preserve">ALLEA (2023). </w:t>
      </w:r>
      <w:r w:rsidRPr="005C65A5">
        <w:rPr>
          <w:rFonts w:cs="Arial"/>
          <w:i/>
          <w:iCs/>
          <w:lang w:val="en-US"/>
        </w:rPr>
        <w:t>The European Code of Conduct for Research Integrity – Revised Edition 2023</w:t>
      </w:r>
      <w:r w:rsidRPr="005C65A5">
        <w:rPr>
          <w:rFonts w:cs="Arial"/>
          <w:lang w:val="en-US"/>
        </w:rPr>
        <w:t>. Berlin: All European Academies. doi:10.26356/ECOC.</w:t>
      </w:r>
    </w:p>
    <w:p w14:paraId="52BBBA26" w14:textId="77777777" w:rsidR="00E35EAB" w:rsidRPr="005C65A5" w:rsidRDefault="00E35EAB" w:rsidP="005C65A5">
      <w:pPr>
        <w:pStyle w:val="ListParagraph"/>
        <w:numPr>
          <w:ilvl w:val="0"/>
          <w:numId w:val="5"/>
        </w:numPr>
        <w:rPr>
          <w:rFonts w:cs="Arial"/>
          <w:lang w:val="en-US"/>
        </w:rPr>
      </w:pPr>
      <w:r w:rsidRPr="005C65A5">
        <w:rPr>
          <w:rFonts w:cs="Arial"/>
          <w:lang w:val="en-US"/>
        </w:rPr>
        <w:t xml:space="preserve">Archer, C., Kessler, D., Ting, L., Wiles, N. and Turner, K. (2026). The use of online consultation tools for common mental health conditions in UK primary care: A qualitative interview study of patient and practitioner perspectives. </w:t>
      </w:r>
      <w:r w:rsidRPr="005C65A5">
        <w:rPr>
          <w:rFonts w:cs="Arial"/>
          <w:i/>
          <w:iCs/>
          <w:lang w:val="en-US"/>
        </w:rPr>
        <w:t>BMC Primary Care</w:t>
      </w:r>
      <w:r w:rsidRPr="005C65A5">
        <w:rPr>
          <w:rFonts w:cs="Arial"/>
          <w:lang w:val="en-US"/>
        </w:rPr>
        <w:t>. doi:10.1186/s12875-026-03206-8.</w:t>
      </w:r>
    </w:p>
    <w:p w14:paraId="06E13207" w14:textId="77777777" w:rsidR="00E35EAB" w:rsidRPr="005C65A5" w:rsidRDefault="00E35EAB" w:rsidP="005C65A5">
      <w:pPr>
        <w:pStyle w:val="ListParagraph"/>
        <w:numPr>
          <w:ilvl w:val="0"/>
          <w:numId w:val="5"/>
        </w:numPr>
        <w:rPr>
          <w:rFonts w:cs="Arial"/>
          <w:lang w:val="en-US"/>
        </w:rPr>
      </w:pPr>
      <w:r w:rsidRPr="005C65A5">
        <w:rPr>
          <w:rFonts w:cs="Arial"/>
          <w:lang w:val="en-US"/>
        </w:rPr>
        <w:t xml:space="preserve">Aromataris, E., Lockwood, C., Porritt, K., Pilla, B. and Jordan, Z. (eds.) (2024). </w:t>
      </w:r>
      <w:r w:rsidRPr="005C65A5">
        <w:rPr>
          <w:rFonts w:cs="Arial"/>
          <w:i/>
          <w:iCs/>
          <w:lang w:val="en-US"/>
        </w:rPr>
        <w:t>JBI Manual for Evidence Synthesis</w:t>
      </w:r>
      <w:r w:rsidRPr="005C65A5">
        <w:rPr>
          <w:rFonts w:cs="Arial"/>
          <w:lang w:val="en-US"/>
        </w:rPr>
        <w:t>. Adelaide: JBI. doi:10.46658/JBIMES-24-01.</w:t>
      </w:r>
    </w:p>
    <w:p w14:paraId="0848F171" w14:textId="77777777" w:rsidR="00E35EAB" w:rsidRPr="005C65A5" w:rsidRDefault="00E35EAB" w:rsidP="005C65A5">
      <w:pPr>
        <w:pStyle w:val="ListParagraph"/>
        <w:numPr>
          <w:ilvl w:val="0"/>
          <w:numId w:val="5"/>
        </w:numPr>
        <w:rPr>
          <w:rFonts w:cs="Arial"/>
          <w:lang w:val="en-US"/>
        </w:rPr>
      </w:pPr>
      <w:r w:rsidRPr="005C65A5">
        <w:rPr>
          <w:rFonts w:cs="Arial"/>
          <w:lang w:val="en-US"/>
        </w:rPr>
        <w:t xml:space="preserve">Atherton, H., Eccles, A., Poltawski, L., Dale, J., Campbell, J. and Abel, G. (2024). Investigating patient use and experience of online appointment booking in primary care: Mixed methods study. </w:t>
      </w:r>
      <w:r w:rsidRPr="005C65A5">
        <w:rPr>
          <w:rFonts w:cs="Arial"/>
          <w:i/>
          <w:iCs/>
          <w:lang w:val="en-US"/>
        </w:rPr>
        <w:t>Journal of Medical Internet Research</w:t>
      </w:r>
      <w:r w:rsidRPr="005C65A5">
        <w:rPr>
          <w:rFonts w:cs="Arial"/>
          <w:lang w:val="en-US"/>
        </w:rPr>
        <w:t>, 26, e51931. doi:10.2196/51931.</w:t>
      </w:r>
    </w:p>
    <w:p w14:paraId="716326AF" w14:textId="77777777" w:rsidR="00E35EAB" w:rsidRPr="005C65A5" w:rsidRDefault="00E35EAB" w:rsidP="005C65A5">
      <w:pPr>
        <w:pStyle w:val="ListParagraph"/>
        <w:numPr>
          <w:ilvl w:val="0"/>
          <w:numId w:val="5"/>
        </w:numPr>
        <w:rPr>
          <w:rFonts w:cs="Arial"/>
          <w:lang w:val="en-US"/>
        </w:rPr>
      </w:pPr>
      <w:r w:rsidRPr="005C65A5">
        <w:rPr>
          <w:rFonts w:cs="Arial"/>
          <w:lang w:val="en-US"/>
        </w:rPr>
        <w:t xml:space="preserve">Barker, R.D., Gökmen, R., Naylor, D. and Teo, J.T. (2026). Unlocking digital health: Inequalities in the adoption of a patient portal. </w:t>
      </w:r>
      <w:r w:rsidRPr="005C65A5">
        <w:rPr>
          <w:rFonts w:cs="Arial"/>
          <w:i/>
          <w:iCs/>
          <w:lang w:val="en-US"/>
        </w:rPr>
        <w:t>BMJ Health &amp; Care Informatics</w:t>
      </w:r>
      <w:r w:rsidRPr="005C65A5">
        <w:rPr>
          <w:rFonts w:cs="Arial"/>
          <w:lang w:val="en-US"/>
        </w:rPr>
        <w:t>, 33(1), e101587. doi:10.1136/bmjhci-2025-101587.</w:t>
      </w:r>
    </w:p>
    <w:p w14:paraId="03CFEEFB" w14:textId="77777777" w:rsidR="00E35EAB" w:rsidRPr="005C65A5" w:rsidRDefault="00E35EAB" w:rsidP="005C65A5">
      <w:pPr>
        <w:pStyle w:val="ListParagraph"/>
        <w:numPr>
          <w:ilvl w:val="0"/>
          <w:numId w:val="5"/>
        </w:numPr>
        <w:rPr>
          <w:rFonts w:cs="Arial"/>
          <w:lang w:val="en-US"/>
        </w:rPr>
      </w:pPr>
      <w:r w:rsidRPr="005C65A5">
        <w:rPr>
          <w:rFonts w:cs="Arial"/>
        </w:rPr>
        <w:t>Blease, C., Torous, J., Dong, Z., Davidge, G., DesRoches, C., Kharko, A., Turner, A.J., Jones, R., Hägglund, M. and McMillan, B. (2023)</w:t>
      </w:r>
      <w:r w:rsidRPr="005C65A5">
        <w:rPr>
          <w:rFonts w:cs="Arial"/>
          <w:lang w:val="en-US"/>
        </w:rPr>
        <w:t xml:space="preserve"> ‘Patient online record access in English primary care: Qualitative survey study of general practitioners’ views’, </w:t>
      </w:r>
      <w:r w:rsidRPr="005C65A5">
        <w:rPr>
          <w:rFonts w:cs="Arial"/>
          <w:i/>
          <w:iCs/>
          <w:lang w:val="en-US"/>
        </w:rPr>
        <w:t>Journal of Medical Internet Research</w:t>
      </w:r>
      <w:r w:rsidRPr="005C65A5">
        <w:rPr>
          <w:rFonts w:cs="Arial"/>
          <w:lang w:val="en-US"/>
        </w:rPr>
        <w:t xml:space="preserve">, 25, e43496. doi:10.2196/43496. </w:t>
      </w:r>
    </w:p>
    <w:p w14:paraId="5B0FB9C5" w14:textId="77777777" w:rsidR="00E35EAB" w:rsidRPr="005C65A5" w:rsidRDefault="00E35EAB" w:rsidP="005C65A5">
      <w:pPr>
        <w:pStyle w:val="ListParagraph"/>
        <w:numPr>
          <w:ilvl w:val="0"/>
          <w:numId w:val="5"/>
        </w:numPr>
        <w:rPr>
          <w:rFonts w:cs="Arial"/>
          <w:lang w:val="en-US"/>
        </w:rPr>
      </w:pPr>
      <w:r w:rsidRPr="005C65A5">
        <w:rPr>
          <w:rFonts w:cs="Arial"/>
        </w:rPr>
        <w:lastRenderedPageBreak/>
        <w:t>Boxall, C., Dennison, L., Miller, S., Joseph, J., Morton, K., Corser, J., Kesten, J., Electicwala, A., Western, M.J., Lim, S., Grimmett, C., Yardley, L. and Bradbury, K. (2025)</w:t>
      </w:r>
      <w:r w:rsidRPr="005C65A5">
        <w:rPr>
          <w:rFonts w:cs="Arial"/>
          <w:lang w:val="en-US"/>
        </w:rPr>
        <w:t xml:space="preserve"> ‘Implementing a digital physical activity intervention for older adults: Qualitative study’, </w:t>
      </w:r>
      <w:r w:rsidRPr="005C65A5">
        <w:rPr>
          <w:rFonts w:cs="Arial"/>
          <w:i/>
          <w:iCs/>
          <w:lang w:val="en-US"/>
        </w:rPr>
        <w:t>JMIR Aging</w:t>
      </w:r>
      <w:r w:rsidRPr="005C65A5">
        <w:rPr>
          <w:rFonts w:cs="Arial"/>
          <w:lang w:val="en-US"/>
        </w:rPr>
        <w:t xml:space="preserve">, 8, e64953. doi:10.2196/64953. </w:t>
      </w:r>
    </w:p>
    <w:p w14:paraId="0556A950" w14:textId="77777777" w:rsidR="00E35EAB" w:rsidRPr="005C65A5" w:rsidRDefault="00E35EAB" w:rsidP="005C65A5">
      <w:pPr>
        <w:pStyle w:val="ListParagraph"/>
        <w:numPr>
          <w:ilvl w:val="0"/>
          <w:numId w:val="5"/>
        </w:numPr>
        <w:rPr>
          <w:rFonts w:cs="Arial"/>
          <w:lang w:val="en-US"/>
        </w:rPr>
      </w:pPr>
      <w:r w:rsidRPr="005C65A5">
        <w:rPr>
          <w:rFonts w:cs="Arial"/>
          <w:lang w:val="en-US"/>
        </w:rPr>
        <w:t xml:space="preserve">Bramer, W.M., de Jonge, G.B., Rethlefsen, M.L., Mast, F. and Kleijnen, J. (2018). A systematic approach to searching: An efficient and complete method to develop literature searches. </w:t>
      </w:r>
      <w:r w:rsidRPr="005C65A5">
        <w:rPr>
          <w:rFonts w:cs="Arial"/>
          <w:i/>
          <w:iCs/>
          <w:lang w:val="en-US"/>
        </w:rPr>
        <w:t>Journal of the Medical Library Association</w:t>
      </w:r>
      <w:r w:rsidRPr="005C65A5">
        <w:rPr>
          <w:rFonts w:cs="Arial"/>
          <w:lang w:val="en-US"/>
        </w:rPr>
        <w:t>, 106(4), pp.531–541. doi:10.5195/jmla.2018.283.</w:t>
      </w:r>
    </w:p>
    <w:p w14:paraId="68AA275E" w14:textId="77777777" w:rsidR="00E35EAB" w:rsidRPr="005C65A5" w:rsidRDefault="00E35EAB" w:rsidP="005C65A5">
      <w:pPr>
        <w:pStyle w:val="ListParagraph"/>
        <w:numPr>
          <w:ilvl w:val="0"/>
          <w:numId w:val="5"/>
        </w:numPr>
        <w:rPr>
          <w:rFonts w:cs="Arial"/>
          <w:lang w:val="en-US"/>
        </w:rPr>
      </w:pPr>
      <w:r w:rsidRPr="005C65A5">
        <w:rPr>
          <w:rFonts w:cs="Arial"/>
          <w:lang w:val="en-US"/>
        </w:rPr>
        <w:t xml:space="preserve">Braun, V. and Clarke, V. (2021). One size fits all? What counts as quality practice in (reflexive) thematic analysis? </w:t>
      </w:r>
      <w:r w:rsidRPr="005C65A5">
        <w:rPr>
          <w:rFonts w:cs="Arial"/>
          <w:i/>
          <w:iCs/>
          <w:lang w:val="en-US"/>
        </w:rPr>
        <w:t>Qualitative Research in Psychology</w:t>
      </w:r>
      <w:r w:rsidRPr="005C65A5">
        <w:rPr>
          <w:rFonts w:cs="Arial"/>
          <w:lang w:val="en-US"/>
        </w:rPr>
        <w:t>, 18(3), pp.328–352. doi:10.1080/14780887.2020.1769238.</w:t>
      </w:r>
    </w:p>
    <w:p w14:paraId="62B54206" w14:textId="77777777" w:rsidR="00E35EAB" w:rsidRPr="005C65A5" w:rsidRDefault="00E35EAB" w:rsidP="005C65A5">
      <w:pPr>
        <w:pStyle w:val="ListParagraph"/>
        <w:numPr>
          <w:ilvl w:val="0"/>
          <w:numId w:val="5"/>
        </w:numPr>
        <w:rPr>
          <w:rFonts w:cs="Arial"/>
          <w:lang w:val="en-US"/>
        </w:rPr>
      </w:pPr>
      <w:r w:rsidRPr="005C65A5">
        <w:rPr>
          <w:rFonts w:cs="Arial"/>
          <w:lang w:val="en-US"/>
        </w:rPr>
        <w:t xml:space="preserve">Chadwick, H., Laverty, L., Finnigan, R., Elias, R., Farrington, K., Caskey, F.J. and van der Veer, S.N. (2024). Engagement with digital health technologies among older people living in socially deprived areas: Qualitative study of influencing factors. </w:t>
      </w:r>
      <w:r w:rsidRPr="005C65A5">
        <w:rPr>
          <w:rFonts w:cs="Arial"/>
          <w:i/>
          <w:iCs/>
          <w:lang w:val="en-US"/>
        </w:rPr>
        <w:t>JMIR Formative Research</w:t>
      </w:r>
      <w:r w:rsidRPr="005C65A5">
        <w:rPr>
          <w:rFonts w:cs="Arial"/>
          <w:lang w:val="en-US"/>
        </w:rPr>
        <w:t>, 8, e60483. doi:10.2196/60483.</w:t>
      </w:r>
    </w:p>
    <w:p w14:paraId="5EB2CA34" w14:textId="77777777" w:rsidR="00E35EAB" w:rsidRPr="005C65A5" w:rsidRDefault="00E35EAB" w:rsidP="005C65A5">
      <w:pPr>
        <w:pStyle w:val="ListParagraph"/>
        <w:numPr>
          <w:ilvl w:val="0"/>
          <w:numId w:val="5"/>
        </w:numPr>
        <w:rPr>
          <w:rFonts w:cs="Arial"/>
          <w:lang w:val="en-US"/>
        </w:rPr>
      </w:pPr>
      <w:r w:rsidRPr="005C65A5">
        <w:rPr>
          <w:rFonts w:cs="Arial"/>
        </w:rPr>
        <w:t>Chaloner, C., Stevenson, F.A., Rehill, N., Halvorsrud, K., Raine, R. and Barratt, H. (2025)</w:t>
      </w:r>
      <w:r w:rsidRPr="005C65A5">
        <w:rPr>
          <w:rFonts w:cs="Arial"/>
          <w:lang w:val="en-US"/>
        </w:rPr>
        <w:t xml:space="preserve"> ‘What is the impact of a shift to remote consultations? A qualitative interview study in primary and secondary healthcare’, </w:t>
      </w:r>
      <w:r w:rsidRPr="005C65A5">
        <w:rPr>
          <w:rFonts w:cs="Arial"/>
          <w:i/>
          <w:iCs/>
          <w:lang w:val="en-US"/>
        </w:rPr>
        <w:t>BMJ Open</w:t>
      </w:r>
      <w:r w:rsidRPr="005C65A5">
        <w:rPr>
          <w:rFonts w:cs="Arial"/>
          <w:lang w:val="en-US"/>
        </w:rPr>
        <w:t xml:space="preserve">, 15(6), e097633. doi:10.1136/bmjopen-2024-097633. </w:t>
      </w:r>
    </w:p>
    <w:p w14:paraId="0C04078F" w14:textId="77777777" w:rsidR="00E35EAB" w:rsidRPr="005C65A5" w:rsidRDefault="00E35EAB" w:rsidP="005C65A5">
      <w:pPr>
        <w:pStyle w:val="ListParagraph"/>
        <w:numPr>
          <w:ilvl w:val="0"/>
          <w:numId w:val="5"/>
        </w:numPr>
        <w:rPr>
          <w:rFonts w:cs="Arial"/>
          <w:lang w:val="en-US"/>
        </w:rPr>
      </w:pPr>
      <w:r w:rsidRPr="005C65A5">
        <w:rPr>
          <w:rFonts w:cs="Arial"/>
        </w:rPr>
        <w:t xml:space="preserve">Chappell, P., Dias, A., Bakhai, M., Ledger, J. and Clarke, G.M. (2023) </w:t>
      </w:r>
      <w:r w:rsidRPr="005C65A5">
        <w:rPr>
          <w:rFonts w:cs="Arial"/>
          <w:lang w:val="en-US"/>
        </w:rPr>
        <w:t xml:space="preserve">‘How is primary care access changing? A retrospective, repeated cross-sectional study of patient-initiated demand at general practices in England using a modern access model, 2019–2022’, </w:t>
      </w:r>
      <w:r w:rsidRPr="005C65A5">
        <w:rPr>
          <w:rFonts w:cs="Arial"/>
          <w:i/>
          <w:iCs/>
          <w:lang w:val="en-US"/>
        </w:rPr>
        <w:t>BMJ Open</w:t>
      </w:r>
      <w:r w:rsidRPr="005C65A5">
        <w:rPr>
          <w:rFonts w:cs="Arial"/>
          <w:lang w:val="en-US"/>
        </w:rPr>
        <w:t xml:space="preserve">, 13(8), e072944. doi:10.1136/bmjopen-2023-072944. </w:t>
      </w:r>
    </w:p>
    <w:p w14:paraId="11A2A430" w14:textId="77777777" w:rsidR="00E35EAB" w:rsidRPr="005C65A5" w:rsidRDefault="00E35EAB" w:rsidP="005C65A5">
      <w:pPr>
        <w:pStyle w:val="ListParagraph"/>
        <w:numPr>
          <w:ilvl w:val="0"/>
          <w:numId w:val="5"/>
        </w:numPr>
        <w:rPr>
          <w:rFonts w:cs="Arial"/>
          <w:lang w:val="en-US"/>
        </w:rPr>
      </w:pPr>
      <w:r w:rsidRPr="005C65A5">
        <w:rPr>
          <w:rFonts w:cs="Arial"/>
          <w:lang w:val="en-US"/>
        </w:rPr>
        <w:t xml:space="preserve">Clohessy, S., Kempton, C., Ryan, K., Grinbergs, P. and Elliott, M.T. (2024) ‘Exploring older adults’ perceptions of using digital health platforms for self-managing musculoskeletal health conditions: Focus group study’, </w:t>
      </w:r>
      <w:r w:rsidRPr="005C65A5">
        <w:rPr>
          <w:rFonts w:cs="Arial"/>
          <w:i/>
          <w:iCs/>
          <w:lang w:val="en-US"/>
        </w:rPr>
        <w:t>JMIR Aging</w:t>
      </w:r>
      <w:r w:rsidRPr="005C65A5">
        <w:rPr>
          <w:rFonts w:cs="Arial"/>
          <w:lang w:val="en-US"/>
        </w:rPr>
        <w:t xml:space="preserve">, 7, e55693. doi:10.2196/55693. </w:t>
      </w:r>
    </w:p>
    <w:p w14:paraId="2781717F" w14:textId="77777777" w:rsidR="00E35EAB" w:rsidRPr="005C65A5" w:rsidRDefault="00E35EAB" w:rsidP="005C65A5">
      <w:pPr>
        <w:pStyle w:val="ListParagraph"/>
        <w:numPr>
          <w:ilvl w:val="0"/>
          <w:numId w:val="5"/>
        </w:numPr>
        <w:rPr>
          <w:rFonts w:cs="Arial"/>
          <w:lang w:val="en-US"/>
        </w:rPr>
      </w:pPr>
      <w:r w:rsidRPr="005C65A5">
        <w:rPr>
          <w:rFonts w:cs="Arial"/>
          <w:lang w:val="en-US"/>
        </w:rPr>
        <w:t xml:space="preserve">Cooke, A., Smith, D. and Booth, A. (2012). Beyond PICO: The SPIDER tool for qualitative evidence synthesis. </w:t>
      </w:r>
      <w:r w:rsidRPr="005C65A5">
        <w:rPr>
          <w:rFonts w:cs="Arial"/>
          <w:i/>
          <w:iCs/>
          <w:lang w:val="en-US"/>
        </w:rPr>
        <w:t>Qualitative Health Research</w:t>
      </w:r>
      <w:r w:rsidRPr="005C65A5">
        <w:rPr>
          <w:rFonts w:cs="Arial"/>
          <w:lang w:val="en-US"/>
        </w:rPr>
        <w:t>, 22(10), pp.1435–1443. doi:10.1177/1049732312452938.</w:t>
      </w:r>
    </w:p>
    <w:p w14:paraId="2BEBE77C" w14:textId="77777777" w:rsidR="00E35EAB" w:rsidRPr="005C65A5" w:rsidRDefault="00E35EAB" w:rsidP="005C65A5">
      <w:pPr>
        <w:pStyle w:val="ListParagraph"/>
        <w:numPr>
          <w:ilvl w:val="0"/>
          <w:numId w:val="5"/>
        </w:numPr>
        <w:rPr>
          <w:rFonts w:cs="Arial"/>
          <w:lang w:val="en-US"/>
        </w:rPr>
      </w:pPr>
      <w:r w:rsidRPr="005C65A5">
        <w:rPr>
          <w:rFonts w:cs="Arial"/>
          <w:lang w:val="en-US"/>
        </w:rPr>
        <w:t xml:space="preserve">Creaney, R.S., Currie, M. and Reid, L.A. (2023) ‘Digital life as a cabaret, old chum: A dramaturgical analysis of older digitalised home residents and their wider caring networks’, </w:t>
      </w:r>
      <w:r w:rsidRPr="005C65A5">
        <w:rPr>
          <w:rFonts w:cs="Arial"/>
          <w:i/>
          <w:iCs/>
          <w:lang w:val="en-US"/>
        </w:rPr>
        <w:t>Journal of Aging Studies</w:t>
      </w:r>
      <w:r w:rsidRPr="005C65A5">
        <w:rPr>
          <w:rFonts w:cs="Arial"/>
          <w:lang w:val="en-US"/>
        </w:rPr>
        <w:t xml:space="preserve">, 65, 101129. doi:10.1016/j.jaging.2023.101129. </w:t>
      </w:r>
    </w:p>
    <w:p w14:paraId="141C4B6E" w14:textId="77777777" w:rsidR="00E35EAB" w:rsidRPr="005C65A5" w:rsidRDefault="00E35EAB" w:rsidP="005C65A5">
      <w:pPr>
        <w:pStyle w:val="ListParagraph"/>
        <w:numPr>
          <w:ilvl w:val="0"/>
          <w:numId w:val="5"/>
        </w:numPr>
        <w:rPr>
          <w:rFonts w:cs="Arial"/>
          <w:lang w:val="en-US"/>
        </w:rPr>
      </w:pPr>
      <w:r w:rsidRPr="005C65A5">
        <w:rPr>
          <w:rFonts w:cs="Arial"/>
          <w:lang w:val="en-US"/>
        </w:rPr>
        <w:lastRenderedPageBreak/>
        <w:t xml:space="preserve">Critical Appraisal Skills Programme (2024). </w:t>
      </w:r>
      <w:r w:rsidRPr="005C65A5">
        <w:rPr>
          <w:rFonts w:cs="Arial"/>
          <w:i/>
          <w:iCs/>
          <w:lang w:val="en-US"/>
        </w:rPr>
        <w:t>CASP checklist: For qualitative research</w:t>
      </w:r>
      <w:r w:rsidRPr="005C65A5">
        <w:rPr>
          <w:rFonts w:cs="Arial"/>
          <w:lang w:val="en-US"/>
        </w:rPr>
        <w:t xml:space="preserve">. Oxford: CASP UK. Available at: </w:t>
      </w:r>
      <w:hyperlink r:id="rId22" w:tgtFrame="_new" w:history="1">
        <w:r w:rsidRPr="005C65A5">
          <w:rPr>
            <w:rStyle w:val="Hyperlink"/>
            <w:rFonts w:cs="Arial"/>
            <w:lang w:val="en-US"/>
          </w:rPr>
          <w:t>https://casp-uk.net/casp-checklists/CASP-checklist-qualitative-2024.pdf</w:t>
        </w:r>
      </w:hyperlink>
      <w:r w:rsidRPr="005C65A5">
        <w:rPr>
          <w:rFonts w:cs="Arial"/>
          <w:lang w:val="en-US"/>
        </w:rPr>
        <w:t xml:space="preserve"> [Accessed 10 August 2026].</w:t>
      </w:r>
    </w:p>
    <w:p w14:paraId="1C866419" w14:textId="77777777" w:rsidR="00E35EAB" w:rsidRPr="005C65A5" w:rsidRDefault="00E35EAB" w:rsidP="005C65A5">
      <w:pPr>
        <w:pStyle w:val="ListParagraph"/>
        <w:numPr>
          <w:ilvl w:val="0"/>
          <w:numId w:val="5"/>
        </w:numPr>
        <w:rPr>
          <w:rFonts w:cs="Arial"/>
          <w:lang w:val="en-US"/>
        </w:rPr>
      </w:pPr>
      <w:r w:rsidRPr="005C65A5">
        <w:rPr>
          <w:rFonts w:cs="Arial"/>
          <w:lang w:val="en-US"/>
        </w:rPr>
        <w:t xml:space="preserve">Davidge, G., Brown, L., Lyons, M., Blease, C., French, D., van Staa, T. and McMillan, B. (2023) ‘Primary care staff’s views and experience of patients’ online access to their electronic health record: A qualitative exploration’, </w:t>
      </w:r>
      <w:r w:rsidRPr="005C65A5">
        <w:rPr>
          <w:rFonts w:cs="Arial"/>
          <w:i/>
          <w:iCs/>
          <w:lang w:val="en-US"/>
        </w:rPr>
        <w:t>British Journal of General Practice</w:t>
      </w:r>
      <w:r w:rsidRPr="005C65A5">
        <w:rPr>
          <w:rFonts w:cs="Arial"/>
          <w:lang w:val="en-US"/>
        </w:rPr>
        <w:t xml:space="preserve">, 73(731), pp. e418–e426. doi:10.3399/BJGP.2022.0436. </w:t>
      </w:r>
    </w:p>
    <w:p w14:paraId="6ABAE234" w14:textId="77777777" w:rsidR="00E35EAB" w:rsidRPr="005C65A5" w:rsidRDefault="00E35EAB" w:rsidP="005C65A5">
      <w:pPr>
        <w:pStyle w:val="ListParagraph"/>
        <w:numPr>
          <w:ilvl w:val="0"/>
          <w:numId w:val="5"/>
        </w:numPr>
        <w:rPr>
          <w:rFonts w:cs="Arial"/>
          <w:lang w:val="en-US"/>
        </w:rPr>
      </w:pPr>
      <w:r w:rsidRPr="005C65A5">
        <w:rPr>
          <w:rFonts w:cs="Arial"/>
          <w:lang w:val="en-US"/>
        </w:rPr>
        <w:t xml:space="preserve">de Visser, R.O., Nwamba, C., Brearley, E., Shafiei, V. and Hart, L. (2024) ‘Remote consultations in primary care: Patient experiences and suggestions for improvement’, </w:t>
      </w:r>
      <w:r w:rsidRPr="005C65A5">
        <w:rPr>
          <w:rFonts w:cs="Arial"/>
          <w:i/>
          <w:iCs/>
          <w:lang w:val="en-US"/>
        </w:rPr>
        <w:t>Journal of Health Psychology</w:t>
      </w:r>
      <w:r w:rsidRPr="005C65A5">
        <w:rPr>
          <w:rFonts w:cs="Arial"/>
          <w:lang w:val="en-US"/>
        </w:rPr>
        <w:t xml:space="preserve">, 29(12), pp. 1321–1335. doi:10.1177/13591053241240383. </w:t>
      </w:r>
    </w:p>
    <w:p w14:paraId="1E84DDE7" w14:textId="77777777" w:rsidR="00E35EAB" w:rsidRPr="005C65A5" w:rsidRDefault="00E35EAB" w:rsidP="005C65A5">
      <w:pPr>
        <w:pStyle w:val="ListParagraph"/>
        <w:numPr>
          <w:ilvl w:val="0"/>
          <w:numId w:val="5"/>
        </w:numPr>
        <w:rPr>
          <w:rFonts w:cs="Arial"/>
          <w:lang w:val="en-US"/>
        </w:rPr>
      </w:pPr>
      <w:r w:rsidRPr="005C65A5">
        <w:rPr>
          <w:rFonts w:cs="Arial"/>
          <w:lang w:val="en-US"/>
        </w:rPr>
        <w:t xml:space="preserve">Department of Health and Social Care (2023). </w:t>
      </w:r>
      <w:r w:rsidRPr="005C65A5">
        <w:rPr>
          <w:rFonts w:cs="Arial"/>
          <w:i/>
          <w:iCs/>
          <w:lang w:val="en-US"/>
        </w:rPr>
        <w:t>Major conditions strategy: Case for change and our strategic framework</w:t>
      </w:r>
      <w:r w:rsidRPr="005C65A5">
        <w:rPr>
          <w:rFonts w:cs="Arial"/>
          <w:lang w:val="en-US"/>
        </w:rPr>
        <w:t xml:space="preserve">. [online] GOV.UK. Available at: </w:t>
      </w:r>
      <w:hyperlink r:id="rId23" w:tgtFrame="_new" w:history="1">
        <w:r w:rsidRPr="005C65A5">
          <w:rPr>
            <w:rStyle w:val="Hyperlink"/>
            <w:rFonts w:cs="Arial"/>
            <w:lang w:val="en-US"/>
          </w:rPr>
          <w:t>https://www.gov.uk/government/publications/major-conditions-strategy-case-for-change-and-our-strategic-framework</w:t>
        </w:r>
      </w:hyperlink>
      <w:r w:rsidRPr="005C65A5">
        <w:rPr>
          <w:rFonts w:cs="Arial"/>
          <w:lang w:val="en-US"/>
        </w:rPr>
        <w:t xml:space="preserve"> [Accessed 29 Jun. 2026].</w:t>
      </w:r>
    </w:p>
    <w:p w14:paraId="6A41A7CE" w14:textId="77777777" w:rsidR="00E35EAB" w:rsidRPr="005C65A5" w:rsidRDefault="00E35EAB" w:rsidP="005C65A5">
      <w:pPr>
        <w:pStyle w:val="ListParagraph"/>
        <w:numPr>
          <w:ilvl w:val="0"/>
          <w:numId w:val="5"/>
        </w:numPr>
        <w:rPr>
          <w:rFonts w:cs="Arial"/>
          <w:lang w:val="en-US"/>
        </w:rPr>
      </w:pPr>
      <w:r w:rsidRPr="005C65A5">
        <w:rPr>
          <w:rFonts w:cs="Arial"/>
          <w:lang w:val="en-US"/>
        </w:rPr>
        <w:t xml:space="preserve">Fernandes, G., Figueiredo, T., Costa, E., Coelho, L. and Loyens, D. (2025). Impact of telehealth on health outcomes and quality of life in the older adults population: A systematic review. </w:t>
      </w:r>
      <w:r w:rsidRPr="005C65A5">
        <w:rPr>
          <w:rFonts w:cs="Arial"/>
          <w:i/>
          <w:iCs/>
          <w:lang w:val="en-US"/>
        </w:rPr>
        <w:t>Frontiers in Digital Health</w:t>
      </w:r>
      <w:r w:rsidRPr="005C65A5">
        <w:rPr>
          <w:rFonts w:cs="Arial"/>
          <w:lang w:val="en-US"/>
        </w:rPr>
        <w:t>, 7. doi:10.3389/fdgth.2025.1708960.</w:t>
      </w:r>
    </w:p>
    <w:p w14:paraId="73CF6F36" w14:textId="77777777" w:rsidR="00E35EAB" w:rsidRPr="005C65A5" w:rsidRDefault="00E35EAB" w:rsidP="005C65A5">
      <w:pPr>
        <w:pStyle w:val="ListParagraph"/>
        <w:numPr>
          <w:ilvl w:val="0"/>
          <w:numId w:val="5"/>
        </w:numPr>
        <w:rPr>
          <w:rFonts w:cs="Arial"/>
          <w:lang w:val="en-US"/>
        </w:rPr>
      </w:pPr>
      <w:r w:rsidRPr="005C65A5">
        <w:rPr>
          <w:rFonts w:cs="Arial"/>
          <w:lang w:val="en-US"/>
        </w:rPr>
        <w:t xml:space="preserve">Ferraz, L.T., Frohlich, D.M., Hodgkins, C.E., Yuan, H. and Costa Castro, P. (2025) ‘Optimising the provision of health information for older adults across paper and screen formats – A requirement study with content producers and consumers’, </w:t>
      </w:r>
      <w:r w:rsidRPr="005C65A5">
        <w:rPr>
          <w:rFonts w:cs="Arial"/>
          <w:i/>
          <w:iCs/>
          <w:lang w:val="en-US"/>
        </w:rPr>
        <w:t>PLOS Digital Health</w:t>
      </w:r>
      <w:r w:rsidRPr="005C65A5">
        <w:rPr>
          <w:rFonts w:cs="Arial"/>
          <w:lang w:val="en-US"/>
        </w:rPr>
        <w:t xml:space="preserve">, 4(11), e0001090. doi:10.1371/journal.pdig.0001090. </w:t>
      </w:r>
    </w:p>
    <w:p w14:paraId="77EA619A" w14:textId="77777777" w:rsidR="00E35EAB" w:rsidRPr="005C65A5" w:rsidRDefault="00E35EAB" w:rsidP="005C65A5">
      <w:pPr>
        <w:pStyle w:val="ListParagraph"/>
        <w:numPr>
          <w:ilvl w:val="0"/>
          <w:numId w:val="5"/>
        </w:numPr>
        <w:rPr>
          <w:rFonts w:cs="Arial"/>
          <w:lang w:val="en-US"/>
        </w:rPr>
      </w:pPr>
      <w:r w:rsidRPr="005C65A5">
        <w:rPr>
          <w:rFonts w:cs="Arial"/>
          <w:lang w:val="en-US"/>
        </w:rPr>
        <w:t xml:space="preserve">Forte, C., Grey, E.B., Jessiman, P., McLeod, H., Salway, R., Sillero-Rejon, C., Harkes, R., Stokes, P., De Vocht, F., Campbell, R. and Jago, R. (2025) ‘Exploring service users’ and healthcare professionals’ experience of digital and face-to-face Health Checks in England: A qualitative study’, </w:t>
      </w:r>
      <w:r w:rsidRPr="005C65A5">
        <w:rPr>
          <w:rFonts w:cs="Arial"/>
          <w:i/>
          <w:iCs/>
          <w:lang w:val="en-US"/>
        </w:rPr>
        <w:t>BMJ Open</w:t>
      </w:r>
      <w:r w:rsidRPr="005C65A5">
        <w:rPr>
          <w:rFonts w:cs="Arial"/>
          <w:lang w:val="en-US"/>
        </w:rPr>
        <w:t xml:space="preserve">, 15(3), e090492. doi:10.1136/bmjopen-2024-090492. </w:t>
      </w:r>
    </w:p>
    <w:p w14:paraId="75AF3BDD" w14:textId="77777777" w:rsidR="00E35EAB" w:rsidRPr="005C65A5" w:rsidRDefault="00E35EAB" w:rsidP="005C65A5">
      <w:pPr>
        <w:pStyle w:val="ListParagraph"/>
        <w:numPr>
          <w:ilvl w:val="0"/>
          <w:numId w:val="5"/>
        </w:numPr>
        <w:rPr>
          <w:rFonts w:cs="Arial"/>
          <w:lang w:val="en-US"/>
        </w:rPr>
      </w:pPr>
      <w:r w:rsidRPr="005C65A5">
        <w:rPr>
          <w:rFonts w:cs="Arial"/>
          <w:lang w:val="en-US"/>
        </w:rPr>
        <w:t xml:space="preserve">GOV.UK (2025). </w:t>
      </w:r>
      <w:r w:rsidRPr="005C65A5">
        <w:rPr>
          <w:rFonts w:cs="Arial"/>
          <w:i/>
          <w:iCs/>
          <w:lang w:val="en-US"/>
        </w:rPr>
        <w:t>Digital Inclusion Action Plan: First Steps</w:t>
      </w:r>
      <w:r w:rsidRPr="005C65A5">
        <w:rPr>
          <w:rFonts w:cs="Arial"/>
          <w:lang w:val="en-US"/>
        </w:rPr>
        <w:t xml:space="preserve">. [online] GOV.UK. Available at: </w:t>
      </w:r>
      <w:hyperlink r:id="rId24" w:tgtFrame="_new" w:history="1">
        <w:r w:rsidRPr="005C65A5">
          <w:rPr>
            <w:rStyle w:val="Hyperlink"/>
            <w:rFonts w:cs="Arial"/>
            <w:lang w:val="en-US"/>
          </w:rPr>
          <w:t>https://www.gov.uk/government/publications/digital-inclusion-action-plan-first-steps/digital-inclusion-action-plan-first-steps</w:t>
        </w:r>
      </w:hyperlink>
      <w:r w:rsidRPr="005C65A5">
        <w:rPr>
          <w:rFonts w:cs="Arial"/>
          <w:lang w:val="en-US"/>
        </w:rPr>
        <w:t xml:space="preserve"> [Accessed 29 Jun. 2026].</w:t>
      </w:r>
    </w:p>
    <w:p w14:paraId="5E989547" w14:textId="77777777" w:rsidR="00E35EAB" w:rsidRPr="005C65A5" w:rsidRDefault="00E35EAB" w:rsidP="005C65A5">
      <w:pPr>
        <w:pStyle w:val="ListParagraph"/>
        <w:numPr>
          <w:ilvl w:val="0"/>
          <w:numId w:val="5"/>
        </w:numPr>
        <w:rPr>
          <w:rFonts w:cs="Arial"/>
          <w:lang w:val="en-US"/>
        </w:rPr>
      </w:pPr>
      <w:r w:rsidRPr="005C65A5">
        <w:rPr>
          <w:rFonts w:cs="Arial"/>
          <w:lang w:val="en-US"/>
        </w:rPr>
        <w:t xml:space="preserve">Greaves, F., Papoutsi, C., Kc, S., Tewolde, S., Reidy, C., Gudgin, B., Laverty, A.A., Majeed, A., Costelloe, C. and Powell, J. (2026). Evaluating the national rollout of the NHS App in England using qualitative and quantitative methods. </w:t>
      </w:r>
      <w:r w:rsidRPr="005C65A5">
        <w:rPr>
          <w:rFonts w:cs="Arial"/>
          <w:i/>
          <w:iCs/>
          <w:lang w:val="en-US"/>
        </w:rPr>
        <w:t>Health and Social Care Delivery Research</w:t>
      </w:r>
      <w:r w:rsidRPr="005C65A5">
        <w:rPr>
          <w:rFonts w:cs="Arial"/>
          <w:lang w:val="en-US"/>
        </w:rPr>
        <w:t>, 14(15), pp.1–91. doi:10.3310/XYRV6485.</w:t>
      </w:r>
    </w:p>
    <w:p w14:paraId="1EA3B8B6" w14:textId="77777777" w:rsidR="00E35EAB" w:rsidRPr="005C65A5" w:rsidRDefault="00E35EAB" w:rsidP="005C65A5">
      <w:pPr>
        <w:pStyle w:val="ListParagraph"/>
        <w:numPr>
          <w:ilvl w:val="0"/>
          <w:numId w:val="5"/>
        </w:numPr>
        <w:rPr>
          <w:rFonts w:cs="Arial"/>
          <w:lang w:val="en-US"/>
        </w:rPr>
      </w:pPr>
      <w:r w:rsidRPr="005C65A5">
        <w:rPr>
          <w:rFonts w:cs="Arial"/>
          <w:lang w:val="en-US"/>
        </w:rPr>
        <w:lastRenderedPageBreak/>
        <w:t xml:space="preserve">Greenhalgh, T., Ladds, E., Hughes, G., Moore, L., Wherton, J., Shaw, S.E., Papoutsi, C., Wieringa, S., Rosen, R., Rushforth, A. and Rybczynska-Bunt, S. (2022). Why do GPs rarely do video consultations? Qualitative study in UK general practice. </w:t>
      </w:r>
      <w:r w:rsidRPr="005C65A5">
        <w:rPr>
          <w:rFonts w:cs="Arial"/>
          <w:i/>
          <w:iCs/>
          <w:lang w:val="en-US"/>
        </w:rPr>
        <w:t>British Journal of General Practice</w:t>
      </w:r>
      <w:r w:rsidRPr="005C65A5">
        <w:rPr>
          <w:rFonts w:cs="Arial"/>
          <w:lang w:val="en-US"/>
        </w:rPr>
        <w:t>, 72(718), pp.e351–e360. doi:10.3399/BJGP.2021.0658.</w:t>
      </w:r>
    </w:p>
    <w:p w14:paraId="09F1D186" w14:textId="77777777" w:rsidR="00E35EAB" w:rsidRPr="005C65A5" w:rsidRDefault="00E35EAB" w:rsidP="005C65A5">
      <w:pPr>
        <w:pStyle w:val="ListParagraph"/>
        <w:numPr>
          <w:ilvl w:val="0"/>
          <w:numId w:val="5"/>
        </w:numPr>
        <w:rPr>
          <w:rFonts w:cs="Arial"/>
          <w:lang w:val="en-US"/>
        </w:rPr>
      </w:pPr>
      <w:r w:rsidRPr="005C65A5">
        <w:rPr>
          <w:rFonts w:cs="Arial"/>
          <w:lang w:val="en-US"/>
        </w:rPr>
        <w:t xml:space="preserve">Greenhalgh, T., Nishio, A.A., Clarke, A., Byng, R., Dakin, F., Faulkner, S., Hanson, I., Hemmings, N., Hughes, G., Husain, L., Kalin, A., Ladds, E., MacIver, E., Moore, L., O’Rourke, S., Payne, R., Pring, T., Rosen, R., Rybczynska-Bunt, S. and Shaw, S.E. (2025). Remote and digital services in UK general practice 2021–2023: The Remote by Default 2 longitudinal qualitative study synopsis. </w:t>
      </w:r>
      <w:r w:rsidRPr="005C65A5">
        <w:rPr>
          <w:rFonts w:cs="Arial"/>
          <w:i/>
          <w:iCs/>
          <w:lang w:val="en-US"/>
        </w:rPr>
        <w:t>Health and Social Care Delivery Research</w:t>
      </w:r>
      <w:r w:rsidRPr="005C65A5">
        <w:rPr>
          <w:rFonts w:cs="Arial"/>
          <w:lang w:val="en-US"/>
        </w:rPr>
        <w:t>, pp.1–49. doi:10.3310/qqtt4411.</w:t>
      </w:r>
    </w:p>
    <w:p w14:paraId="1CFFA606" w14:textId="77777777" w:rsidR="00E35EAB" w:rsidRPr="005C65A5" w:rsidRDefault="00E35EAB" w:rsidP="005C65A5">
      <w:pPr>
        <w:pStyle w:val="ListParagraph"/>
        <w:numPr>
          <w:ilvl w:val="0"/>
          <w:numId w:val="5"/>
        </w:numPr>
        <w:rPr>
          <w:rFonts w:cs="Arial"/>
          <w:lang w:val="en-US"/>
        </w:rPr>
      </w:pPr>
      <w:r w:rsidRPr="005C65A5">
        <w:rPr>
          <w:rFonts w:cs="Arial"/>
          <w:lang w:val="en-US"/>
        </w:rPr>
        <w:t xml:space="preserve">Greenhalgh, T., Rosen, R., Shaw, S.E., Byng, R., Faulkner, S., Finlay, T., Grundy, E., Husain, L., Hughes, G., Leone, C., Moore, L., Papoutsi, C., Pope, C., Rybczynska-Bunt, S., Rushforth, A., Wherton, J., Wieringa, S. and Wood, G.W. (2021). Planning and evaluating remote consultation services: A new conceptual framework incorporating complexity and practical ethics. </w:t>
      </w:r>
      <w:r w:rsidRPr="005C65A5">
        <w:rPr>
          <w:rFonts w:cs="Arial"/>
          <w:i/>
          <w:iCs/>
          <w:lang w:val="en-US"/>
        </w:rPr>
        <w:t>Frontiers in Digital Health</w:t>
      </w:r>
      <w:r w:rsidRPr="005C65A5">
        <w:rPr>
          <w:rFonts w:cs="Arial"/>
          <w:lang w:val="en-US"/>
        </w:rPr>
        <w:t>, 3(3). doi:10.3389/fdgth.2021.726095.</w:t>
      </w:r>
    </w:p>
    <w:p w14:paraId="1690EB54" w14:textId="77777777" w:rsidR="00E35EAB" w:rsidRPr="005C65A5" w:rsidRDefault="00E35EAB" w:rsidP="005C65A5">
      <w:pPr>
        <w:pStyle w:val="ListParagraph"/>
        <w:numPr>
          <w:ilvl w:val="0"/>
          <w:numId w:val="5"/>
        </w:numPr>
        <w:rPr>
          <w:rFonts w:cs="Arial"/>
          <w:lang w:val="en-US"/>
        </w:rPr>
      </w:pPr>
      <w:r w:rsidRPr="005C65A5">
        <w:rPr>
          <w:rFonts w:cs="Arial"/>
          <w:lang w:val="en-US"/>
        </w:rPr>
        <w:t xml:space="preserve">Guo, H., Frost, R., Rait, G. and Burns, F. (2026) ‘Older Chinese migrants’ experiences of remote primary care in England: A semi-structured interview study’, </w:t>
      </w:r>
      <w:r w:rsidRPr="005C65A5">
        <w:rPr>
          <w:rFonts w:cs="Arial"/>
          <w:i/>
          <w:iCs/>
          <w:lang w:val="en-US"/>
        </w:rPr>
        <w:t>BJGP Open</w:t>
      </w:r>
      <w:r w:rsidRPr="005C65A5">
        <w:rPr>
          <w:rFonts w:cs="Arial"/>
          <w:lang w:val="en-US"/>
        </w:rPr>
        <w:t xml:space="preserve">, 10(1), BJGPO.2025.0106. doi:10.3399/BJGPO.2025.0106. </w:t>
      </w:r>
    </w:p>
    <w:p w14:paraId="50A0C35E" w14:textId="77777777" w:rsidR="00E35EAB" w:rsidRPr="005C65A5" w:rsidRDefault="00E35EAB" w:rsidP="005C65A5">
      <w:pPr>
        <w:pStyle w:val="ListParagraph"/>
        <w:numPr>
          <w:ilvl w:val="0"/>
          <w:numId w:val="5"/>
        </w:numPr>
        <w:rPr>
          <w:rFonts w:cs="Arial"/>
          <w:lang w:val="en-US"/>
        </w:rPr>
      </w:pPr>
      <w:r w:rsidRPr="005C65A5">
        <w:rPr>
          <w:rFonts w:cs="Arial"/>
          <w:lang w:val="en-US"/>
        </w:rPr>
        <w:t xml:space="preserve">Gusenbauer, M. and Haddaway, N.R. (2020). Which academic search systems are suitable for systematic reviews or meta-analyses? Evaluating retrieval qualities of Google Scholar, PubMed, and 26 other resources. </w:t>
      </w:r>
      <w:r w:rsidRPr="005C65A5">
        <w:rPr>
          <w:rFonts w:cs="Arial"/>
          <w:i/>
          <w:iCs/>
          <w:lang w:val="en-US"/>
        </w:rPr>
        <w:t>Research Synthesis Methods</w:t>
      </w:r>
      <w:r w:rsidRPr="005C65A5">
        <w:rPr>
          <w:rFonts w:cs="Arial"/>
          <w:lang w:val="en-US"/>
        </w:rPr>
        <w:t>, 11(2), pp.181–217. doi:10.1002/jrsm.1378.</w:t>
      </w:r>
    </w:p>
    <w:p w14:paraId="4273BC6C" w14:textId="77777777" w:rsidR="00E35EAB" w:rsidRPr="005C65A5" w:rsidRDefault="00E35EAB" w:rsidP="005C65A5">
      <w:pPr>
        <w:pStyle w:val="ListParagraph"/>
        <w:numPr>
          <w:ilvl w:val="0"/>
          <w:numId w:val="5"/>
        </w:numPr>
        <w:rPr>
          <w:rFonts w:cs="Arial"/>
          <w:lang w:val="en-US"/>
        </w:rPr>
      </w:pPr>
      <w:r w:rsidRPr="005C65A5">
        <w:rPr>
          <w:rFonts w:cs="Arial"/>
          <w:lang w:val="en-US"/>
        </w:rPr>
        <w:t xml:space="preserve">Haddaway, N.R., Collins, A.M., Coughlin, D. and Kirk, S. (2015). The role of Google Scholar in evidence reviews and its applicability to grey literature searching. </w:t>
      </w:r>
      <w:r w:rsidRPr="005C65A5">
        <w:rPr>
          <w:rFonts w:cs="Arial"/>
          <w:i/>
          <w:iCs/>
          <w:lang w:val="en-US"/>
        </w:rPr>
        <w:t>PLOS ONE</w:t>
      </w:r>
      <w:r w:rsidRPr="005C65A5">
        <w:rPr>
          <w:rFonts w:cs="Arial"/>
          <w:lang w:val="en-US"/>
        </w:rPr>
        <w:t>, 10(9), e0138237. doi:10.1371/journal.pone.0138237.</w:t>
      </w:r>
    </w:p>
    <w:p w14:paraId="6D105BD1" w14:textId="77777777" w:rsidR="00E35EAB" w:rsidRPr="005C65A5" w:rsidRDefault="00E35EAB" w:rsidP="005C65A5">
      <w:pPr>
        <w:pStyle w:val="ListParagraph"/>
        <w:numPr>
          <w:ilvl w:val="0"/>
          <w:numId w:val="5"/>
        </w:numPr>
        <w:rPr>
          <w:rFonts w:cs="Arial"/>
          <w:lang w:val="en-US"/>
        </w:rPr>
      </w:pPr>
      <w:r w:rsidRPr="005C65A5">
        <w:rPr>
          <w:rFonts w:cs="Arial"/>
          <w:lang w:val="en-US"/>
        </w:rPr>
        <w:t xml:space="preserve">Hamilton, F.L., Imran, S., Mahmood, A., Dobbin, J., Bradbury, K., Poduval, S., Scuffell, J., Thomas, F. and Stevenson, F. (2025). Design and deployment of digital health interventions to reduce the risk of the digital divide and to inform development of the living with COVID recovery: A systematic scoping review. </w:t>
      </w:r>
      <w:r w:rsidRPr="005C65A5">
        <w:rPr>
          <w:rFonts w:cs="Arial"/>
          <w:i/>
          <w:iCs/>
          <w:lang w:val="en-US"/>
        </w:rPr>
        <w:t>Health and Social Care Delivery Research</w:t>
      </w:r>
      <w:r w:rsidRPr="005C65A5">
        <w:rPr>
          <w:rFonts w:cs="Arial"/>
          <w:lang w:val="en-US"/>
        </w:rPr>
        <w:t>, pp.1–18. doi:10.3310/gjhg1331.</w:t>
      </w:r>
    </w:p>
    <w:p w14:paraId="279F3FF0" w14:textId="77777777" w:rsidR="00E35EAB" w:rsidRPr="005C65A5" w:rsidRDefault="00E35EAB" w:rsidP="005C65A5">
      <w:pPr>
        <w:pStyle w:val="ListParagraph"/>
        <w:numPr>
          <w:ilvl w:val="0"/>
          <w:numId w:val="5"/>
        </w:numPr>
        <w:rPr>
          <w:rFonts w:cs="Arial"/>
          <w:lang w:val="en-US"/>
        </w:rPr>
      </w:pPr>
      <w:r w:rsidRPr="005C65A5">
        <w:rPr>
          <w:rFonts w:cs="Arial"/>
          <w:lang w:val="en-US"/>
        </w:rPr>
        <w:t xml:space="preserve">Heaslip, V. and Holley, D. (2023). Ensuring digital inclusion. </w:t>
      </w:r>
      <w:r w:rsidRPr="005C65A5">
        <w:rPr>
          <w:rFonts w:cs="Arial"/>
          <w:i/>
          <w:iCs/>
          <w:lang w:val="en-US"/>
        </w:rPr>
        <w:t>Clinics in Integrated Care</w:t>
      </w:r>
      <w:r w:rsidRPr="005C65A5">
        <w:rPr>
          <w:rFonts w:cs="Arial"/>
          <w:lang w:val="en-US"/>
        </w:rPr>
        <w:t>, 17, 100141. doi:10.1016/j.intcar.2023.100141.</w:t>
      </w:r>
    </w:p>
    <w:p w14:paraId="236499F4" w14:textId="77777777" w:rsidR="00E35EAB" w:rsidRPr="005C65A5" w:rsidRDefault="00E35EAB" w:rsidP="005C65A5">
      <w:pPr>
        <w:pStyle w:val="ListParagraph"/>
        <w:numPr>
          <w:ilvl w:val="0"/>
          <w:numId w:val="5"/>
        </w:numPr>
        <w:rPr>
          <w:rFonts w:cs="Arial"/>
          <w:lang w:val="en-US"/>
        </w:rPr>
      </w:pPr>
      <w:r w:rsidRPr="005C65A5">
        <w:rPr>
          <w:rFonts w:cs="Arial"/>
          <w:lang w:val="en-US"/>
        </w:rPr>
        <w:t xml:space="preserve">Hepburn, J., Williams, L. and McCann, L. (2025). Barriers and facilitators to digital health technology adoption among older adults with chronic disease: An updated systematic review. </w:t>
      </w:r>
      <w:r w:rsidRPr="005C65A5">
        <w:rPr>
          <w:rFonts w:cs="Arial"/>
          <w:i/>
          <w:iCs/>
          <w:lang w:val="en-US"/>
        </w:rPr>
        <w:t>JMIR Aging</w:t>
      </w:r>
      <w:r w:rsidRPr="005C65A5">
        <w:rPr>
          <w:rFonts w:cs="Arial"/>
          <w:lang w:val="en-US"/>
        </w:rPr>
        <w:t>, 8, e80000. doi:10.2196/80000.</w:t>
      </w:r>
    </w:p>
    <w:p w14:paraId="6572EF38" w14:textId="77777777" w:rsidR="00E35EAB" w:rsidRPr="005C65A5" w:rsidRDefault="00E35EAB" w:rsidP="005C65A5">
      <w:pPr>
        <w:pStyle w:val="ListParagraph"/>
        <w:numPr>
          <w:ilvl w:val="0"/>
          <w:numId w:val="5"/>
        </w:numPr>
        <w:rPr>
          <w:rFonts w:cs="Arial"/>
          <w:lang w:val="en-US"/>
        </w:rPr>
      </w:pPr>
      <w:r w:rsidRPr="005C65A5">
        <w:rPr>
          <w:rFonts w:cs="Arial"/>
          <w:lang w:val="en-US"/>
        </w:rPr>
        <w:lastRenderedPageBreak/>
        <w:t xml:space="preserve">Higgins, J.P.T., Thomas, J., Chandler, J., Cumpston, M., Li, T., Page, M.J. and Welch, V.A. (eds.) (2024). </w:t>
      </w:r>
      <w:r w:rsidRPr="005C65A5">
        <w:rPr>
          <w:rFonts w:cs="Arial"/>
          <w:i/>
          <w:iCs/>
          <w:lang w:val="en-US"/>
        </w:rPr>
        <w:t>Cochrane Handbook for Systematic Reviews of Interventions</w:t>
      </w:r>
      <w:r w:rsidRPr="005C65A5">
        <w:rPr>
          <w:rFonts w:cs="Arial"/>
          <w:lang w:val="en-US"/>
        </w:rPr>
        <w:t xml:space="preserve">, version 6.5. London: Cochrane. Available at: </w:t>
      </w:r>
      <w:hyperlink r:id="rId25" w:tgtFrame="_new" w:history="1">
        <w:r w:rsidRPr="005C65A5">
          <w:rPr>
            <w:rStyle w:val="Hyperlink"/>
            <w:rFonts w:cs="Arial"/>
            <w:lang w:val="en-US"/>
          </w:rPr>
          <w:t>https://training.cochrane.org/handbook/current</w:t>
        </w:r>
      </w:hyperlink>
      <w:r w:rsidRPr="005C65A5">
        <w:rPr>
          <w:rFonts w:cs="Arial"/>
          <w:lang w:val="en-US"/>
        </w:rPr>
        <w:t xml:space="preserve"> [Accessed 10 August 2026].</w:t>
      </w:r>
    </w:p>
    <w:p w14:paraId="05501F6C" w14:textId="77777777" w:rsidR="00E35EAB" w:rsidRPr="005C65A5" w:rsidRDefault="00E35EAB" w:rsidP="005C65A5">
      <w:pPr>
        <w:pStyle w:val="ListParagraph"/>
        <w:numPr>
          <w:ilvl w:val="0"/>
          <w:numId w:val="5"/>
        </w:numPr>
        <w:rPr>
          <w:rFonts w:cs="Arial"/>
          <w:lang w:val="en-US"/>
        </w:rPr>
      </w:pPr>
      <w:r w:rsidRPr="005C65A5">
        <w:rPr>
          <w:rFonts w:cs="Arial"/>
          <w:lang w:val="en-US"/>
        </w:rPr>
        <w:t xml:space="preserve">Hu, E., Wang, H., Yao, J., Liao, M. and Chen, W. (2026). Impact of digital health interventions on quality of life and mental health in older adults with chronic diseases: A systematic review and meta-analysis. </w:t>
      </w:r>
      <w:r w:rsidRPr="005C65A5">
        <w:rPr>
          <w:rFonts w:cs="Arial"/>
          <w:i/>
          <w:iCs/>
          <w:lang w:val="en-US"/>
        </w:rPr>
        <w:t>Frontiers in Aging</w:t>
      </w:r>
      <w:r w:rsidRPr="005C65A5">
        <w:rPr>
          <w:rFonts w:cs="Arial"/>
          <w:lang w:val="en-US"/>
        </w:rPr>
        <w:t>, 6, 1737277. doi:10.3389/fragi.2025.1737277.</w:t>
      </w:r>
    </w:p>
    <w:p w14:paraId="6DD2312C" w14:textId="77777777" w:rsidR="00E35EAB" w:rsidRPr="005C65A5" w:rsidRDefault="00E35EAB" w:rsidP="005C65A5">
      <w:pPr>
        <w:pStyle w:val="ListParagraph"/>
        <w:numPr>
          <w:ilvl w:val="0"/>
          <w:numId w:val="5"/>
        </w:numPr>
        <w:rPr>
          <w:rFonts w:cs="Arial"/>
          <w:lang w:val="en-US"/>
        </w:rPr>
      </w:pPr>
      <w:r w:rsidRPr="005C65A5">
        <w:rPr>
          <w:rFonts w:cs="Arial"/>
          <w:lang w:val="en-US"/>
        </w:rPr>
        <w:t xml:space="preserve">Husain, L. and Greenhalgh, T. (2025). Examining intersectionality and barriers to the uptake of video consultations among older adults from disadvantaged backgrounds with limited English proficiency: Qualitative narrative interview study. </w:t>
      </w:r>
      <w:r w:rsidRPr="005C65A5">
        <w:rPr>
          <w:rFonts w:cs="Arial"/>
          <w:i/>
          <w:iCs/>
          <w:lang w:val="en-US"/>
        </w:rPr>
        <w:t>Journal of Medical Internet Research</w:t>
      </w:r>
      <w:r w:rsidRPr="005C65A5">
        <w:rPr>
          <w:rFonts w:cs="Arial"/>
          <w:lang w:val="en-US"/>
        </w:rPr>
        <w:t>, 27, e65690. doi:10.2196/65690.</w:t>
      </w:r>
    </w:p>
    <w:p w14:paraId="33B55501" w14:textId="77777777" w:rsidR="00E35EAB" w:rsidRPr="005C65A5" w:rsidRDefault="00E35EAB" w:rsidP="005C65A5">
      <w:pPr>
        <w:pStyle w:val="ListParagraph"/>
        <w:numPr>
          <w:ilvl w:val="0"/>
          <w:numId w:val="5"/>
        </w:numPr>
        <w:rPr>
          <w:rFonts w:cs="Arial"/>
          <w:lang w:val="en-US"/>
        </w:rPr>
      </w:pPr>
      <w:r w:rsidRPr="005C65A5">
        <w:rPr>
          <w:rFonts w:cs="Arial"/>
          <w:lang w:val="en-US"/>
        </w:rPr>
        <w:t xml:space="preserve">Husain, L., Finlay, T., Husain, A., Wherton, J., Hughes, G. and Greenhalgh, T. (2024). Developing user personas to capture intersecting dimensions of disadvantage in older patients who are marginalised: A qualitative study. </w:t>
      </w:r>
      <w:r w:rsidRPr="005C65A5">
        <w:rPr>
          <w:rFonts w:cs="Arial"/>
          <w:i/>
          <w:iCs/>
          <w:lang w:val="en-US"/>
        </w:rPr>
        <w:t>British Journal of General Practice</w:t>
      </w:r>
      <w:r w:rsidRPr="005C65A5">
        <w:rPr>
          <w:rFonts w:cs="Arial"/>
          <w:lang w:val="en-US"/>
        </w:rPr>
        <w:t>, 74(741), pp.e250–e257. doi:10.3399/BJGP.2023.0412.</w:t>
      </w:r>
    </w:p>
    <w:p w14:paraId="4E8AD01E" w14:textId="77777777" w:rsidR="00E35EAB" w:rsidRPr="005C65A5" w:rsidRDefault="00E35EAB" w:rsidP="005C65A5">
      <w:pPr>
        <w:pStyle w:val="ListParagraph"/>
        <w:numPr>
          <w:ilvl w:val="0"/>
          <w:numId w:val="5"/>
        </w:numPr>
        <w:rPr>
          <w:rFonts w:cs="Arial"/>
          <w:lang w:val="en-US"/>
        </w:rPr>
      </w:pPr>
      <w:r w:rsidRPr="005C65A5">
        <w:rPr>
          <w:rFonts w:cs="Arial"/>
          <w:lang w:val="en-US"/>
        </w:rPr>
        <w:t xml:space="preserve">Ingram, J., Stubbs, H., Lua, S., Brewis, M., Johnson, M. and Church, C. (2025). Digital inclusion in a Scottish national pulmonary hypertension population. </w:t>
      </w:r>
      <w:r w:rsidRPr="005C65A5">
        <w:rPr>
          <w:rFonts w:cs="Arial"/>
          <w:i/>
          <w:iCs/>
          <w:lang w:val="en-US"/>
        </w:rPr>
        <w:t>Pulmonary Circulation</w:t>
      </w:r>
      <w:r w:rsidRPr="005C65A5">
        <w:rPr>
          <w:rFonts w:cs="Arial"/>
          <w:lang w:val="en-US"/>
        </w:rPr>
        <w:t>, 15(3). doi:10.1002/pul2.70135.</w:t>
      </w:r>
    </w:p>
    <w:p w14:paraId="3E5EF70D" w14:textId="77777777" w:rsidR="00E35EAB" w:rsidRPr="005C65A5" w:rsidRDefault="00E35EAB" w:rsidP="005C65A5">
      <w:pPr>
        <w:pStyle w:val="ListParagraph"/>
        <w:numPr>
          <w:ilvl w:val="0"/>
          <w:numId w:val="5"/>
        </w:numPr>
        <w:rPr>
          <w:rFonts w:cs="Arial"/>
          <w:lang w:val="en-US"/>
        </w:rPr>
      </w:pPr>
      <w:r w:rsidRPr="005C65A5">
        <w:rPr>
          <w:rFonts w:cs="Arial"/>
          <w:lang w:val="en-US"/>
        </w:rPr>
        <w:t xml:space="preserve">Kc, S., Papoutsi, C., Reidy, C., Gudgin, B., Powell, J., Majeed, A., Greaves, F. and Laverty, A.A. (2024). Differences in usage of a patient portal across socio-demographic groups: Observational study of the NHS App in England. </w:t>
      </w:r>
      <w:r w:rsidRPr="005C65A5">
        <w:rPr>
          <w:rFonts w:cs="Arial"/>
          <w:i/>
          <w:iCs/>
          <w:lang w:val="en-US"/>
        </w:rPr>
        <w:t>Journal of Medical Internet Research</w:t>
      </w:r>
      <w:r w:rsidRPr="005C65A5">
        <w:rPr>
          <w:rFonts w:cs="Arial"/>
          <w:lang w:val="en-US"/>
        </w:rPr>
        <w:t>, 26, e56320. doi:10.2196/56320.</w:t>
      </w:r>
    </w:p>
    <w:p w14:paraId="5C3873A1" w14:textId="77777777" w:rsidR="00E35EAB" w:rsidRPr="005C65A5" w:rsidRDefault="00E35EAB" w:rsidP="005C65A5">
      <w:pPr>
        <w:pStyle w:val="ListParagraph"/>
        <w:numPr>
          <w:ilvl w:val="0"/>
          <w:numId w:val="5"/>
        </w:numPr>
        <w:rPr>
          <w:rFonts w:cs="Arial"/>
          <w:lang w:val="en-US"/>
        </w:rPr>
      </w:pPr>
      <w:r w:rsidRPr="005C65A5">
        <w:rPr>
          <w:rFonts w:cs="Arial"/>
          <w:lang w:val="en-US"/>
        </w:rPr>
        <w:t xml:space="preserve">Khan, N., Pitchforth, E., Winder, R., Abel, G., Clark, C.E., Cockcroft, E. and Campbell, J. (2024) ‘What helps patients access web-based services in primary care? Free-text analysis of patient responses to the Di-Facto questionnaire’, </w:t>
      </w:r>
      <w:r w:rsidRPr="005C65A5">
        <w:rPr>
          <w:rFonts w:cs="Arial"/>
          <w:i/>
          <w:iCs/>
          <w:lang w:val="en-US"/>
        </w:rPr>
        <w:t>BMC Primary Care</w:t>
      </w:r>
      <w:r w:rsidRPr="005C65A5">
        <w:rPr>
          <w:rFonts w:cs="Arial"/>
          <w:lang w:val="en-US"/>
        </w:rPr>
        <w:t xml:space="preserve">, 25, 20. doi:10.1186/s12875-023-02257-5. </w:t>
      </w:r>
    </w:p>
    <w:p w14:paraId="7CB8D362" w14:textId="77777777" w:rsidR="00E35EAB" w:rsidRPr="005C65A5" w:rsidRDefault="00E35EAB" w:rsidP="005C65A5">
      <w:pPr>
        <w:pStyle w:val="ListParagraph"/>
        <w:numPr>
          <w:ilvl w:val="0"/>
          <w:numId w:val="5"/>
        </w:numPr>
        <w:rPr>
          <w:rFonts w:cs="Arial"/>
          <w:lang w:val="en-US"/>
        </w:rPr>
      </w:pPr>
      <w:r w:rsidRPr="005C65A5">
        <w:rPr>
          <w:rFonts w:cs="Arial"/>
          <w:lang w:val="en-US"/>
        </w:rPr>
        <w:t xml:space="preserve">Kung, C.S.J. and Steptoe, A. (2023). Changes in Internet use patterns among older adults in England from before to after the outbreak of the COVID-19 pandemic. </w:t>
      </w:r>
      <w:r w:rsidRPr="005C65A5">
        <w:rPr>
          <w:rFonts w:cs="Arial"/>
          <w:i/>
          <w:iCs/>
          <w:lang w:val="en-US"/>
        </w:rPr>
        <w:t>Scientific Reports</w:t>
      </w:r>
      <w:r w:rsidRPr="005C65A5">
        <w:rPr>
          <w:rFonts w:cs="Arial"/>
          <w:lang w:val="en-US"/>
        </w:rPr>
        <w:t>, 13(1). doi:10.1038/s41598-023-30882-8.</w:t>
      </w:r>
    </w:p>
    <w:p w14:paraId="59924605" w14:textId="77777777" w:rsidR="00E35EAB" w:rsidRPr="005C65A5" w:rsidRDefault="00E35EAB" w:rsidP="005C65A5">
      <w:pPr>
        <w:pStyle w:val="ListParagraph"/>
        <w:numPr>
          <w:ilvl w:val="0"/>
          <w:numId w:val="5"/>
        </w:numPr>
        <w:rPr>
          <w:rFonts w:cs="Arial"/>
          <w:lang w:val="en-US"/>
        </w:rPr>
      </w:pPr>
      <w:r w:rsidRPr="005C65A5">
        <w:rPr>
          <w:rFonts w:cs="Arial"/>
          <w:lang w:val="en-US"/>
        </w:rPr>
        <w:t xml:space="preserve">Kunonga, T.P., Spiers, G.F., Beyer, F.R., Hanratty, B., Boulton, E., Hall, A., Bower, P., Todd, C. and Craig, D. (2021). Effects of digital technologies on older people’s access to health and social care: Umbrella review. </w:t>
      </w:r>
      <w:r w:rsidRPr="005C65A5">
        <w:rPr>
          <w:rFonts w:cs="Arial"/>
          <w:i/>
          <w:iCs/>
          <w:lang w:val="en-US"/>
        </w:rPr>
        <w:t>Journal of Medical Internet Research</w:t>
      </w:r>
      <w:r w:rsidRPr="005C65A5">
        <w:rPr>
          <w:rFonts w:cs="Arial"/>
          <w:lang w:val="en-US"/>
        </w:rPr>
        <w:t>, 23(11), e25887. doi:10.2196/25887.</w:t>
      </w:r>
    </w:p>
    <w:p w14:paraId="5B950B8D" w14:textId="77777777" w:rsidR="00E35EAB" w:rsidRPr="005C65A5" w:rsidRDefault="00E35EAB" w:rsidP="005C65A5">
      <w:pPr>
        <w:pStyle w:val="ListParagraph"/>
        <w:numPr>
          <w:ilvl w:val="0"/>
          <w:numId w:val="5"/>
        </w:numPr>
        <w:rPr>
          <w:rFonts w:cs="Arial"/>
          <w:lang w:val="en-US"/>
        </w:rPr>
      </w:pPr>
      <w:r w:rsidRPr="005C65A5">
        <w:rPr>
          <w:rFonts w:cs="Arial"/>
          <w:lang w:val="en-US"/>
        </w:rPr>
        <w:t xml:space="preserve">Kwon, Y., Lemieux, M., McTavish, J. and Wathen, N. (2015). Identifying and removing duplicate records from systematic review searches. </w:t>
      </w:r>
      <w:r w:rsidRPr="005C65A5">
        <w:rPr>
          <w:rFonts w:cs="Arial"/>
          <w:i/>
          <w:iCs/>
          <w:lang w:val="en-US"/>
        </w:rPr>
        <w:t xml:space="preserve">Journal of the </w:t>
      </w:r>
      <w:r w:rsidRPr="005C65A5">
        <w:rPr>
          <w:rFonts w:cs="Arial"/>
          <w:i/>
          <w:iCs/>
          <w:lang w:val="en-US"/>
        </w:rPr>
        <w:lastRenderedPageBreak/>
        <w:t>Medical Library Association</w:t>
      </w:r>
      <w:r w:rsidRPr="005C65A5">
        <w:rPr>
          <w:rFonts w:cs="Arial"/>
          <w:lang w:val="en-US"/>
        </w:rPr>
        <w:t>, 103(4), pp.184–188. doi:10.3163/1536-5050.103.4.004.</w:t>
      </w:r>
    </w:p>
    <w:p w14:paraId="7FE902F9" w14:textId="77777777" w:rsidR="00E35EAB" w:rsidRPr="005C65A5" w:rsidRDefault="00E35EAB" w:rsidP="005C65A5">
      <w:pPr>
        <w:pStyle w:val="ListParagraph"/>
        <w:numPr>
          <w:ilvl w:val="0"/>
          <w:numId w:val="5"/>
        </w:numPr>
        <w:rPr>
          <w:rFonts w:cs="Arial"/>
          <w:lang w:val="en-US"/>
        </w:rPr>
      </w:pPr>
      <w:r w:rsidRPr="005C65A5">
        <w:rPr>
          <w:rFonts w:cs="Arial"/>
          <w:lang w:val="en-US"/>
        </w:rPr>
        <w:t xml:space="preserve">Laverty, A.A., Reidy, C., KC, S., Papoutsi, C., Gudgin, B., Majeed, A. and Powell, J. (2026). The NHS App should focus on inequalities to improve population health. </w:t>
      </w:r>
      <w:r w:rsidRPr="005C65A5">
        <w:rPr>
          <w:rFonts w:cs="Arial"/>
          <w:i/>
          <w:iCs/>
          <w:lang w:val="en-US"/>
        </w:rPr>
        <w:t>Journal of the Royal Society of Medicine</w:t>
      </w:r>
      <w:r w:rsidRPr="005C65A5">
        <w:rPr>
          <w:rFonts w:cs="Arial"/>
          <w:lang w:val="en-US"/>
        </w:rPr>
        <w:t>, 119(2), pp.37–41. doi:10.1177/01410768261421427.</w:t>
      </w:r>
    </w:p>
    <w:p w14:paraId="29241A19" w14:textId="77777777" w:rsidR="00E35EAB" w:rsidRPr="005C65A5" w:rsidRDefault="00E35EAB" w:rsidP="005C65A5">
      <w:pPr>
        <w:pStyle w:val="ListParagraph"/>
        <w:numPr>
          <w:ilvl w:val="0"/>
          <w:numId w:val="5"/>
        </w:numPr>
        <w:rPr>
          <w:rFonts w:cs="Arial"/>
          <w:lang w:val="en-US"/>
        </w:rPr>
      </w:pPr>
      <w:r w:rsidRPr="005C65A5">
        <w:rPr>
          <w:rFonts w:cs="Arial"/>
          <w:lang w:val="en-US"/>
        </w:rPr>
        <w:t xml:space="preserve">Leach, B., Parkinson, S., Gkousis, E., Abel, G., Atherton, H., Campbell, J., Clark, C., Cockcroft, E., Marriott, C., Pitchforth, E. and Sussex, J. (2022) ‘Digital facilitation to support patient access to web-based primary care services: Scoping literature review’, </w:t>
      </w:r>
      <w:r w:rsidRPr="005C65A5">
        <w:rPr>
          <w:rFonts w:cs="Arial"/>
          <w:i/>
          <w:iCs/>
          <w:lang w:val="en-US"/>
        </w:rPr>
        <w:t>Journal of Medical Internet Research</w:t>
      </w:r>
      <w:r w:rsidRPr="005C65A5">
        <w:rPr>
          <w:rFonts w:cs="Arial"/>
          <w:lang w:val="en-US"/>
        </w:rPr>
        <w:t xml:space="preserve">, 24(7), e33911. doi:10.2196/33911. </w:t>
      </w:r>
    </w:p>
    <w:p w14:paraId="6909EC7F" w14:textId="77777777" w:rsidR="00E35EAB" w:rsidRPr="005C65A5" w:rsidRDefault="00E35EAB" w:rsidP="005C65A5">
      <w:pPr>
        <w:pStyle w:val="ListParagraph"/>
        <w:numPr>
          <w:ilvl w:val="0"/>
          <w:numId w:val="5"/>
        </w:numPr>
        <w:rPr>
          <w:rFonts w:cs="Arial"/>
          <w:lang w:val="en-US"/>
        </w:rPr>
      </w:pPr>
      <w:r w:rsidRPr="005C65A5">
        <w:rPr>
          <w:rFonts w:cs="Arial"/>
          <w:lang w:val="en-US"/>
        </w:rPr>
        <w:t xml:space="preserve">Lefebvre, C., Glanville, J., Briscoe, S., Featherstone, R., Littlewood, A., Metzendorf, M.-I., Noel-Storr, A., Paynter, R., Rader, T., Thomas, J. and Wieland, L.S. (2024). Technical supplement to Chapter 4: Searching for and selecting studies. In: Higgins, J.P.T. et al. (eds.) </w:t>
      </w:r>
      <w:r w:rsidRPr="005C65A5">
        <w:rPr>
          <w:rFonts w:cs="Arial"/>
          <w:i/>
          <w:iCs/>
          <w:lang w:val="en-US"/>
        </w:rPr>
        <w:t>Cochrane Handbook for Systematic Reviews of Interventions</w:t>
      </w:r>
      <w:r w:rsidRPr="005C65A5">
        <w:rPr>
          <w:rFonts w:cs="Arial"/>
          <w:lang w:val="en-US"/>
        </w:rPr>
        <w:t xml:space="preserve">, version 6.5. London: Cochrane. Available at: </w:t>
      </w:r>
      <w:hyperlink r:id="rId26" w:tgtFrame="_new" w:history="1">
        <w:r w:rsidRPr="005C65A5">
          <w:rPr>
            <w:rStyle w:val="Hyperlink"/>
            <w:rFonts w:cs="Arial"/>
            <w:lang w:val="en-US"/>
          </w:rPr>
          <w:t>https://www.cochrane.org/authors/handbooks-and-manuals/handbook/current/chapter-04-technical-supplement-searching-and-selecting-studies</w:t>
        </w:r>
      </w:hyperlink>
      <w:r w:rsidRPr="005C65A5">
        <w:rPr>
          <w:rFonts w:cs="Arial"/>
          <w:lang w:val="en-US"/>
        </w:rPr>
        <w:t xml:space="preserve"> [Accessed 10 August 2026].</w:t>
      </w:r>
    </w:p>
    <w:p w14:paraId="3CC2C5EA" w14:textId="77777777" w:rsidR="00E35EAB" w:rsidRPr="005C65A5" w:rsidRDefault="00E35EAB" w:rsidP="005C65A5">
      <w:pPr>
        <w:pStyle w:val="ListParagraph"/>
        <w:numPr>
          <w:ilvl w:val="0"/>
          <w:numId w:val="5"/>
        </w:numPr>
        <w:rPr>
          <w:rFonts w:cs="Arial"/>
          <w:lang w:val="en-US"/>
        </w:rPr>
      </w:pPr>
      <w:r w:rsidRPr="005C65A5">
        <w:rPr>
          <w:rFonts w:cs="Arial"/>
          <w:lang w:val="en-US"/>
        </w:rPr>
        <w:t xml:space="preserve">Lewis, A., Knight, E., Bland, M., Middleton, J., Mitchell, E., McCrum, K., Conway, J. and Bevan-Smith, E. (2021). Feasibility of an online platform delivery of pulmonary rehabilitation for individuals with chronic respiratory disease. </w:t>
      </w:r>
      <w:r w:rsidRPr="005C65A5">
        <w:rPr>
          <w:rFonts w:cs="Arial"/>
          <w:i/>
          <w:iCs/>
          <w:lang w:val="en-US"/>
        </w:rPr>
        <w:t>BMJ Open Respiratory Research</w:t>
      </w:r>
      <w:r w:rsidRPr="005C65A5">
        <w:rPr>
          <w:rFonts w:cs="Arial"/>
          <w:lang w:val="en-US"/>
        </w:rPr>
        <w:t>, 8(1), e000880. doi:10.1136/bmjresp-2021-000880.</w:t>
      </w:r>
    </w:p>
    <w:p w14:paraId="172F6C90" w14:textId="77777777" w:rsidR="00E35EAB" w:rsidRPr="005C65A5" w:rsidRDefault="00E35EAB" w:rsidP="005C65A5">
      <w:pPr>
        <w:pStyle w:val="ListParagraph"/>
        <w:numPr>
          <w:ilvl w:val="0"/>
          <w:numId w:val="5"/>
        </w:numPr>
        <w:rPr>
          <w:rFonts w:cs="Arial"/>
          <w:lang w:val="en-US"/>
        </w:rPr>
      </w:pPr>
      <w:r w:rsidRPr="005C65A5">
        <w:rPr>
          <w:rFonts w:cs="Arial"/>
          <w:lang w:val="en-US"/>
        </w:rPr>
        <w:t xml:space="preserve">Li, C., Wang, H., Yuan, J., Shi, L., Chen, Y., Gao, Z., Zhao, L. and Oliveira, A. (2025). Current status of older people with chronic diseases adopting digital health technologies: A scoping review. </w:t>
      </w:r>
      <w:r w:rsidRPr="005C65A5">
        <w:rPr>
          <w:rFonts w:cs="Arial"/>
          <w:i/>
          <w:iCs/>
          <w:lang w:val="en-US"/>
        </w:rPr>
        <w:t>DIGITAL HEALTH</w:t>
      </w:r>
      <w:r w:rsidRPr="005C65A5">
        <w:rPr>
          <w:rFonts w:cs="Arial"/>
          <w:lang w:val="en-US"/>
        </w:rPr>
        <w:t>, 11. doi:10.1177/20552076251348578.</w:t>
      </w:r>
    </w:p>
    <w:p w14:paraId="11649FE4" w14:textId="77777777" w:rsidR="00E35EAB" w:rsidRPr="005C65A5" w:rsidRDefault="00E35EAB" w:rsidP="005C65A5">
      <w:pPr>
        <w:pStyle w:val="ListParagraph"/>
        <w:numPr>
          <w:ilvl w:val="0"/>
          <w:numId w:val="5"/>
        </w:numPr>
        <w:rPr>
          <w:rFonts w:cs="Arial"/>
          <w:lang w:val="en-US"/>
        </w:rPr>
      </w:pPr>
      <w:r w:rsidRPr="005C65A5">
        <w:rPr>
          <w:rFonts w:cs="Arial"/>
          <w:lang w:val="en-US"/>
        </w:rPr>
        <w:t xml:space="preserve">Long, H.A., French, D.P. and Brooks, J.M. (2020). Optimising the value of the Critical Appraisal Skills Programme (CASP) tool for quality appraisal in qualitative evidence synthesis. </w:t>
      </w:r>
      <w:r w:rsidRPr="005C65A5">
        <w:rPr>
          <w:rFonts w:cs="Arial"/>
          <w:i/>
          <w:iCs/>
          <w:lang w:val="en-US"/>
        </w:rPr>
        <w:t>Research Methods in Medicine &amp; Health Sciences</w:t>
      </w:r>
      <w:r w:rsidRPr="005C65A5">
        <w:rPr>
          <w:rFonts w:cs="Arial"/>
          <w:lang w:val="en-US"/>
        </w:rPr>
        <w:t>, 1(1), pp.31–42. doi:10.1177/2632084320947559.</w:t>
      </w:r>
    </w:p>
    <w:p w14:paraId="5C569D8E" w14:textId="77777777" w:rsidR="00E35EAB" w:rsidRPr="005C65A5" w:rsidRDefault="00E35EAB" w:rsidP="005C65A5">
      <w:pPr>
        <w:pStyle w:val="ListParagraph"/>
        <w:numPr>
          <w:ilvl w:val="0"/>
          <w:numId w:val="5"/>
        </w:numPr>
        <w:rPr>
          <w:rFonts w:cs="Arial"/>
          <w:lang w:val="en-US"/>
        </w:rPr>
      </w:pPr>
      <w:r w:rsidRPr="005C65A5">
        <w:rPr>
          <w:rFonts w:cs="Arial"/>
          <w:lang w:val="en-US"/>
        </w:rPr>
        <w:t xml:space="preserve">Ma, Y., Zhao, C., Zhao, Y., Lu, J., Jiang, H., Cao, Y. and Xu, Y. (2022). Telemedicine application in patients with chronic disease: A systematic review and meta-analysis. </w:t>
      </w:r>
      <w:r w:rsidRPr="005C65A5">
        <w:rPr>
          <w:rFonts w:cs="Arial"/>
          <w:i/>
          <w:iCs/>
          <w:lang w:val="en-US"/>
        </w:rPr>
        <w:t>BMC Medical Informatics and Decision Making</w:t>
      </w:r>
      <w:r w:rsidRPr="005C65A5">
        <w:rPr>
          <w:rFonts w:cs="Arial"/>
          <w:lang w:val="en-US"/>
        </w:rPr>
        <w:t>, 22(1). doi:10.1186/s12911-022-01845-2.</w:t>
      </w:r>
    </w:p>
    <w:p w14:paraId="01E7457A" w14:textId="77777777" w:rsidR="00E35EAB" w:rsidRPr="005C65A5" w:rsidRDefault="00E35EAB" w:rsidP="005C65A5">
      <w:pPr>
        <w:pStyle w:val="ListParagraph"/>
        <w:numPr>
          <w:ilvl w:val="0"/>
          <w:numId w:val="5"/>
        </w:numPr>
        <w:rPr>
          <w:rFonts w:cs="Arial"/>
          <w:lang w:val="en-US"/>
        </w:rPr>
      </w:pPr>
      <w:r w:rsidRPr="005C65A5">
        <w:rPr>
          <w:rFonts w:cs="Arial"/>
          <w:lang w:val="en-US"/>
        </w:rPr>
        <w:lastRenderedPageBreak/>
        <w:t xml:space="preserve">Majid, U. and Vanstone, M. (2018). Appraising qualitative research for evidence syntheses: A compendium of quality appraisal tools. </w:t>
      </w:r>
      <w:r w:rsidRPr="005C65A5">
        <w:rPr>
          <w:rFonts w:cs="Arial"/>
          <w:i/>
          <w:iCs/>
          <w:lang w:val="en-US"/>
        </w:rPr>
        <w:t>Qualitative Health Research</w:t>
      </w:r>
      <w:r w:rsidRPr="005C65A5">
        <w:rPr>
          <w:rFonts w:cs="Arial"/>
          <w:lang w:val="en-US"/>
        </w:rPr>
        <w:t>, 28(13), pp.2115–2131. doi:10.1177/1049732318785358.</w:t>
      </w:r>
    </w:p>
    <w:p w14:paraId="20611A96" w14:textId="77777777" w:rsidR="00E35EAB" w:rsidRPr="005C65A5" w:rsidRDefault="00E35EAB" w:rsidP="005C65A5">
      <w:pPr>
        <w:pStyle w:val="ListParagraph"/>
        <w:numPr>
          <w:ilvl w:val="0"/>
          <w:numId w:val="5"/>
        </w:numPr>
        <w:rPr>
          <w:rFonts w:cs="Arial"/>
          <w:lang w:val="en-US"/>
        </w:rPr>
      </w:pPr>
      <w:r w:rsidRPr="005C65A5">
        <w:rPr>
          <w:rFonts w:cs="Arial"/>
          <w:lang w:val="en-US"/>
        </w:rPr>
        <w:t xml:space="preserve">Masoli, J.A.H., Todd, O., Burton, J.K., Wolff, C., Walesby, K.E., Hewitt, J., Conroy, S., van Oppen, J., Wilkinson, C., Evans, R., Anand, A., Hollinghurst, J., Bhanu, C., Keevil, V.L. and Vardy, E.R.L.C. (2023) ‘New horizons in the role of digital data in the healthcare of older people’, </w:t>
      </w:r>
      <w:r w:rsidRPr="005C65A5">
        <w:rPr>
          <w:rFonts w:cs="Arial"/>
          <w:i/>
          <w:iCs/>
          <w:lang w:val="en-US"/>
        </w:rPr>
        <w:t>Age and Ageing</w:t>
      </w:r>
      <w:r w:rsidRPr="005C65A5">
        <w:rPr>
          <w:rFonts w:cs="Arial"/>
          <w:lang w:val="en-US"/>
        </w:rPr>
        <w:t xml:space="preserve">, 52(8), afad134. doi:10.1093/ageing/afad134. </w:t>
      </w:r>
    </w:p>
    <w:p w14:paraId="4845A7FD" w14:textId="77777777" w:rsidR="00E35EAB" w:rsidRPr="005C65A5" w:rsidRDefault="00E35EAB" w:rsidP="005C65A5">
      <w:pPr>
        <w:pStyle w:val="ListParagraph"/>
        <w:numPr>
          <w:ilvl w:val="0"/>
          <w:numId w:val="5"/>
        </w:numPr>
        <w:rPr>
          <w:rFonts w:cs="Arial"/>
          <w:lang w:val="en-US"/>
        </w:rPr>
      </w:pPr>
      <w:r w:rsidRPr="005C65A5">
        <w:rPr>
          <w:rFonts w:cs="Arial"/>
          <w:lang w:val="en-US"/>
        </w:rPr>
        <w:t xml:space="preserve">McGowan, J., Sampson, M., Salzwedel, D.M., Cogo, E., Foerster, V. and Lefebvre, C. (2016). PRESS Peer Review of Electronic Search Strategies: 2015 guideline statement. </w:t>
      </w:r>
      <w:r w:rsidRPr="005C65A5">
        <w:rPr>
          <w:rFonts w:cs="Arial"/>
          <w:i/>
          <w:iCs/>
          <w:lang w:val="en-US"/>
        </w:rPr>
        <w:t>Journal of Clinical Epidemiology</w:t>
      </w:r>
      <w:r w:rsidRPr="005C65A5">
        <w:rPr>
          <w:rFonts w:cs="Arial"/>
          <w:lang w:val="en-US"/>
        </w:rPr>
        <w:t>, 75, pp.40–46. doi:10.1016/j.jclinepi.2016.01.021.</w:t>
      </w:r>
    </w:p>
    <w:p w14:paraId="334A67EF" w14:textId="77777777" w:rsidR="00E35EAB" w:rsidRPr="005C65A5" w:rsidRDefault="00E35EAB" w:rsidP="005C65A5">
      <w:pPr>
        <w:pStyle w:val="ListParagraph"/>
        <w:numPr>
          <w:ilvl w:val="0"/>
          <w:numId w:val="5"/>
        </w:numPr>
        <w:rPr>
          <w:rFonts w:cs="Arial"/>
          <w:lang w:val="en-US"/>
        </w:rPr>
      </w:pPr>
      <w:r w:rsidRPr="005C65A5">
        <w:rPr>
          <w:rFonts w:cs="Arial"/>
          <w:lang w:val="en-US"/>
        </w:rPr>
        <w:t xml:space="preserve">Methley, A.M., Campbell, S., Chew-Graham, C., McNally, R. and Cheraghi-Sohi, S. (2014). PICO, PICOS and SPIDER: A comparison study of specificity and sensitivity in three search tools for qualitative systematic reviews. </w:t>
      </w:r>
      <w:r w:rsidRPr="005C65A5">
        <w:rPr>
          <w:rFonts w:cs="Arial"/>
          <w:i/>
          <w:iCs/>
          <w:lang w:val="en-US"/>
        </w:rPr>
        <w:t>BMC Health Services Research</w:t>
      </w:r>
      <w:r w:rsidRPr="005C65A5">
        <w:rPr>
          <w:rFonts w:cs="Arial"/>
          <w:lang w:val="en-US"/>
        </w:rPr>
        <w:t>, 14, 579. doi:10.1186/s12913-014-0579-0.</w:t>
      </w:r>
    </w:p>
    <w:p w14:paraId="4881F931" w14:textId="77777777" w:rsidR="00E35EAB" w:rsidRPr="005C65A5" w:rsidRDefault="00E35EAB" w:rsidP="005C65A5">
      <w:pPr>
        <w:pStyle w:val="ListParagraph"/>
        <w:numPr>
          <w:ilvl w:val="0"/>
          <w:numId w:val="5"/>
        </w:numPr>
        <w:rPr>
          <w:rFonts w:cs="Arial"/>
          <w:lang w:val="en-US"/>
        </w:rPr>
      </w:pPr>
      <w:r w:rsidRPr="005C65A5">
        <w:rPr>
          <w:rFonts w:cs="Arial"/>
          <w:lang w:val="en-US"/>
        </w:rPr>
        <w:t xml:space="preserve">Middlemass, J.B., Vos, J. and Siriwardena, A.N. (2017). Perceptions on use of home telemonitoring in patients with long term conditions—concordance with the Health Information Technology Acceptance Model: A qualitative collective case study. </w:t>
      </w:r>
      <w:r w:rsidRPr="005C65A5">
        <w:rPr>
          <w:rFonts w:cs="Arial"/>
          <w:i/>
          <w:iCs/>
          <w:lang w:val="en-US"/>
        </w:rPr>
        <w:t>BMC Medical Informatics and Decision Making</w:t>
      </w:r>
      <w:r w:rsidRPr="005C65A5">
        <w:rPr>
          <w:rFonts w:cs="Arial"/>
          <w:lang w:val="en-US"/>
        </w:rPr>
        <w:t>, 17, 89. doi:10.1186/s12911-017-0486-5.</w:t>
      </w:r>
    </w:p>
    <w:p w14:paraId="3D419D93" w14:textId="77777777" w:rsidR="00E35EAB" w:rsidRPr="005C65A5" w:rsidRDefault="00E35EAB" w:rsidP="005C65A5">
      <w:pPr>
        <w:pStyle w:val="ListParagraph"/>
        <w:numPr>
          <w:ilvl w:val="0"/>
          <w:numId w:val="5"/>
        </w:numPr>
        <w:rPr>
          <w:rFonts w:cs="Arial"/>
          <w:lang w:val="en-US"/>
        </w:rPr>
      </w:pPr>
      <w:r w:rsidRPr="005C65A5">
        <w:rPr>
          <w:rFonts w:cs="Arial"/>
          <w:lang w:val="en-US"/>
        </w:rPr>
        <w:t xml:space="preserve">Money, A., Hall, A., Harris, D., Eost-Telling, C., McDermott, J. and Todd, C. (2024). Barriers to and facilitators of older people’s engagement with web-based services: Qualitative study of adults aged &gt;75 years. </w:t>
      </w:r>
      <w:r w:rsidRPr="005C65A5">
        <w:rPr>
          <w:rFonts w:cs="Arial"/>
          <w:i/>
          <w:iCs/>
          <w:lang w:val="en-US"/>
        </w:rPr>
        <w:t>JMIR Aging</w:t>
      </w:r>
      <w:r w:rsidRPr="005C65A5">
        <w:rPr>
          <w:rFonts w:cs="Arial"/>
          <w:lang w:val="en-US"/>
        </w:rPr>
        <w:t>, 7, e46522. doi:10.2196/46522.</w:t>
      </w:r>
    </w:p>
    <w:p w14:paraId="1946E2E7" w14:textId="77777777" w:rsidR="00E35EAB" w:rsidRPr="005C65A5" w:rsidRDefault="00E35EAB" w:rsidP="005C65A5">
      <w:pPr>
        <w:pStyle w:val="ListParagraph"/>
        <w:numPr>
          <w:ilvl w:val="0"/>
          <w:numId w:val="5"/>
        </w:numPr>
        <w:rPr>
          <w:rFonts w:cs="Arial"/>
          <w:lang w:val="en-US"/>
        </w:rPr>
      </w:pPr>
      <w:r w:rsidRPr="005C65A5">
        <w:rPr>
          <w:rFonts w:cs="Arial"/>
          <w:lang w:val="en-US"/>
        </w:rPr>
        <w:t xml:space="preserve">Moody, L., Wood, E., Needham, A., Booth, A. and Tindale, W. (2024). Exploring how the design and provision of digital self-management technology can improve the uptake by older adults with chronic kidney disease, diabetes and dementia: A modified e-Delphi study. </w:t>
      </w:r>
      <w:r w:rsidRPr="005C65A5">
        <w:rPr>
          <w:rFonts w:cs="Arial"/>
          <w:i/>
          <w:iCs/>
          <w:lang w:val="en-US"/>
        </w:rPr>
        <w:t>DIGITAL HEALTH</w:t>
      </w:r>
      <w:r w:rsidRPr="005C65A5">
        <w:rPr>
          <w:rFonts w:cs="Arial"/>
          <w:lang w:val="en-US"/>
        </w:rPr>
        <w:t>, 10, 20552076241247196. doi:10.1177/20552076241247196.</w:t>
      </w:r>
    </w:p>
    <w:p w14:paraId="4F7B6ADE" w14:textId="77777777" w:rsidR="00E35EAB" w:rsidRPr="005C65A5" w:rsidRDefault="00E35EAB" w:rsidP="005C65A5">
      <w:pPr>
        <w:pStyle w:val="ListParagraph"/>
        <w:numPr>
          <w:ilvl w:val="0"/>
          <w:numId w:val="5"/>
        </w:numPr>
        <w:rPr>
          <w:rFonts w:cs="Arial"/>
          <w:lang w:val="en-US"/>
        </w:rPr>
      </w:pPr>
      <w:r w:rsidRPr="005C65A5">
        <w:rPr>
          <w:rFonts w:cs="Arial"/>
          <w:lang w:val="en-US"/>
        </w:rPr>
        <w:t xml:space="preserve">Moody, L., Wood, E., Needham, A., Booth, A., Jimenez-Aranda, A. and Tindale, W. (2022). Identifying individual enablers and barriers to the use of digital technology for the self-management of long-term conditions by older adults. </w:t>
      </w:r>
      <w:r w:rsidRPr="005C65A5">
        <w:rPr>
          <w:rFonts w:cs="Arial"/>
          <w:i/>
          <w:iCs/>
          <w:lang w:val="en-US"/>
        </w:rPr>
        <w:t>Journal of Medical Engineering &amp; Technology</w:t>
      </w:r>
      <w:r w:rsidRPr="005C65A5">
        <w:rPr>
          <w:rFonts w:cs="Arial"/>
          <w:lang w:val="en-US"/>
        </w:rPr>
        <w:t>, 46(6), pp.1–14. doi:10.1080/03091902.2022.2089249.</w:t>
      </w:r>
    </w:p>
    <w:p w14:paraId="4CBFB445" w14:textId="77777777" w:rsidR="00E35EAB" w:rsidRPr="005C65A5" w:rsidRDefault="00E35EAB" w:rsidP="005C65A5">
      <w:pPr>
        <w:pStyle w:val="ListParagraph"/>
        <w:numPr>
          <w:ilvl w:val="0"/>
          <w:numId w:val="5"/>
        </w:numPr>
        <w:rPr>
          <w:rFonts w:cs="Arial"/>
          <w:lang w:val="en-US"/>
        </w:rPr>
      </w:pPr>
      <w:r w:rsidRPr="005C65A5">
        <w:rPr>
          <w:rFonts w:cs="Arial"/>
          <w:lang w:val="en-US"/>
        </w:rPr>
        <w:t xml:space="preserve">Moschogianis, S., Darley, S., Coulson, T., Peek, N., Cheraghi-Sohi, S. and Brown, B.C. (2024). Patient experiences of an online consultation system: A </w:t>
      </w:r>
      <w:r w:rsidRPr="005C65A5">
        <w:rPr>
          <w:rFonts w:cs="Arial"/>
          <w:lang w:val="en-US"/>
        </w:rPr>
        <w:lastRenderedPageBreak/>
        <w:t xml:space="preserve">qualitative study in English primary care post-COVID-19. </w:t>
      </w:r>
      <w:r w:rsidRPr="005C65A5">
        <w:rPr>
          <w:rFonts w:cs="Arial"/>
          <w:i/>
          <w:iCs/>
          <w:lang w:val="en-US"/>
        </w:rPr>
        <w:t>British Journal of General Practice</w:t>
      </w:r>
      <w:r w:rsidRPr="005C65A5">
        <w:rPr>
          <w:rFonts w:cs="Arial"/>
          <w:lang w:val="en-US"/>
        </w:rPr>
        <w:t>, 74(744), pp.e489–e497. doi:10.3399/BJGP.2023.0076.</w:t>
      </w:r>
    </w:p>
    <w:p w14:paraId="71738AF0" w14:textId="77777777" w:rsidR="00E35EAB" w:rsidRPr="005C65A5" w:rsidRDefault="00E35EAB" w:rsidP="005C65A5">
      <w:pPr>
        <w:pStyle w:val="ListParagraph"/>
        <w:numPr>
          <w:ilvl w:val="0"/>
          <w:numId w:val="5"/>
        </w:numPr>
        <w:rPr>
          <w:rFonts w:cs="Arial"/>
          <w:lang w:val="en-US"/>
        </w:rPr>
      </w:pPr>
      <w:r w:rsidRPr="005C65A5">
        <w:rPr>
          <w:rFonts w:cs="Arial"/>
          <w:lang w:val="en-US"/>
        </w:rPr>
        <w:t xml:space="preserve">Munn, Z., Peters, M.D.J., Stern, C., Tufanaru, C., McArthur, A. and Aromataris, E. (2018). Systematic review or scoping review? Guidance for authors when choosing between a systematic or scoping review approach. </w:t>
      </w:r>
      <w:r w:rsidRPr="005C65A5">
        <w:rPr>
          <w:rFonts w:cs="Arial"/>
          <w:i/>
          <w:iCs/>
          <w:lang w:val="en-US"/>
        </w:rPr>
        <w:t>BMC Medical Research Methodology</w:t>
      </w:r>
      <w:r w:rsidRPr="005C65A5">
        <w:rPr>
          <w:rFonts w:cs="Arial"/>
          <w:lang w:val="en-US"/>
        </w:rPr>
        <w:t>, 18, 143. doi:10.1186/s12874-018-0611-x.</w:t>
      </w:r>
    </w:p>
    <w:p w14:paraId="78A60B26" w14:textId="77777777" w:rsidR="00E35EAB" w:rsidRPr="005C65A5" w:rsidRDefault="00E35EAB" w:rsidP="005C65A5">
      <w:pPr>
        <w:pStyle w:val="ListParagraph"/>
        <w:numPr>
          <w:ilvl w:val="0"/>
          <w:numId w:val="5"/>
        </w:numPr>
        <w:rPr>
          <w:rFonts w:cs="Arial"/>
          <w:lang w:val="en-US"/>
        </w:rPr>
      </w:pPr>
      <w:r w:rsidRPr="005C65A5">
        <w:rPr>
          <w:rFonts w:cs="Arial"/>
          <w:lang w:val="en-US"/>
        </w:rPr>
        <w:t xml:space="preserve">Murphy, M., Scott, L.J., Salisbury, C., Turner, A., Scott, A., Denholm, R., Iyer, G., Lewis, R., MacLeod, J. and Horwood, J. (2021). The implementation of remote consulting in UK primary care following the COVID-19 pandemic: A mixed-methods longitudinal study. </w:t>
      </w:r>
      <w:r w:rsidRPr="005C65A5">
        <w:rPr>
          <w:rFonts w:cs="Arial"/>
          <w:i/>
          <w:iCs/>
          <w:lang w:val="en-US"/>
        </w:rPr>
        <w:t>British Journal of General Practice</w:t>
      </w:r>
      <w:r w:rsidRPr="005C65A5">
        <w:rPr>
          <w:rFonts w:cs="Arial"/>
          <w:lang w:val="en-US"/>
        </w:rPr>
        <w:t>, 71(704), BJGP.2020.0948. doi:10.3399/bjgp.2020.0948.</w:t>
      </w:r>
    </w:p>
    <w:p w14:paraId="1506BBA6" w14:textId="77777777" w:rsidR="00E35EAB" w:rsidRPr="005C65A5" w:rsidRDefault="00E35EAB" w:rsidP="005C65A5">
      <w:pPr>
        <w:pStyle w:val="ListParagraph"/>
        <w:numPr>
          <w:ilvl w:val="0"/>
          <w:numId w:val="5"/>
        </w:numPr>
        <w:rPr>
          <w:rFonts w:cs="Arial"/>
          <w:lang w:val="en-US"/>
        </w:rPr>
      </w:pPr>
      <w:r w:rsidRPr="005C65A5">
        <w:rPr>
          <w:rFonts w:cs="Arial"/>
          <w:lang w:val="en-US"/>
        </w:rPr>
        <w:t xml:space="preserve">Newbould, J., Hocking, L., Sidhu, M. and Daniel, K. (2024). Digital First Primary Care for those with multiple long-term conditions: A rapid review of the views of stakeholders. </w:t>
      </w:r>
      <w:r w:rsidRPr="005C65A5">
        <w:rPr>
          <w:rFonts w:cs="Arial"/>
          <w:i/>
          <w:iCs/>
          <w:lang w:val="en-US"/>
        </w:rPr>
        <w:t>Health and Social Care Delivery Research</w:t>
      </w:r>
      <w:r w:rsidRPr="005C65A5">
        <w:rPr>
          <w:rFonts w:cs="Arial"/>
          <w:lang w:val="en-US"/>
        </w:rPr>
        <w:t>, 12(21), pp.1–68. doi:10.3310/awbt4827.</w:t>
      </w:r>
    </w:p>
    <w:p w14:paraId="3E59991C" w14:textId="77777777" w:rsidR="00E35EAB" w:rsidRPr="005C65A5" w:rsidRDefault="00E35EAB" w:rsidP="005C65A5">
      <w:pPr>
        <w:pStyle w:val="ListParagraph"/>
        <w:numPr>
          <w:ilvl w:val="0"/>
          <w:numId w:val="5"/>
        </w:numPr>
        <w:rPr>
          <w:rFonts w:cs="Arial"/>
          <w:lang w:val="en-US"/>
        </w:rPr>
      </w:pPr>
      <w:r w:rsidRPr="005C65A5">
        <w:rPr>
          <w:rFonts w:cs="Arial"/>
          <w:lang w:val="en-US"/>
        </w:rPr>
        <w:t xml:space="preserve">NHS (2024). </w:t>
      </w:r>
      <w:r w:rsidRPr="005C65A5">
        <w:rPr>
          <w:rFonts w:cs="Arial"/>
          <w:i/>
          <w:iCs/>
          <w:lang w:val="en-US"/>
        </w:rPr>
        <w:t>Health Survey for England, 2024</w:t>
      </w:r>
      <w:r w:rsidRPr="005C65A5">
        <w:rPr>
          <w:rFonts w:cs="Arial"/>
          <w:lang w:val="en-US"/>
        </w:rPr>
        <w:t xml:space="preserve">. [online] Digital.nhs.uk. Available at: </w:t>
      </w:r>
      <w:hyperlink r:id="rId27" w:tgtFrame="_new" w:history="1">
        <w:r w:rsidRPr="005C65A5">
          <w:rPr>
            <w:rStyle w:val="Hyperlink"/>
            <w:rFonts w:cs="Arial"/>
            <w:lang w:val="en-US"/>
          </w:rPr>
          <w:t>https://digital.nhs.uk/data-and-information/publications/statistical/health-survey-for-england/2024/adults-health</w:t>
        </w:r>
      </w:hyperlink>
      <w:r w:rsidRPr="005C65A5">
        <w:rPr>
          <w:rFonts w:cs="Arial"/>
          <w:lang w:val="en-US"/>
        </w:rPr>
        <w:t xml:space="preserve"> [Accessed 28 Jun. 2026].</w:t>
      </w:r>
    </w:p>
    <w:p w14:paraId="0E539DCB" w14:textId="77777777" w:rsidR="00E35EAB" w:rsidRPr="005C65A5" w:rsidRDefault="00E35EAB" w:rsidP="005C65A5">
      <w:pPr>
        <w:pStyle w:val="ListParagraph"/>
        <w:numPr>
          <w:ilvl w:val="0"/>
          <w:numId w:val="5"/>
        </w:numPr>
        <w:rPr>
          <w:rFonts w:cs="Arial"/>
          <w:lang w:val="en-US"/>
        </w:rPr>
      </w:pPr>
      <w:r w:rsidRPr="005C65A5">
        <w:rPr>
          <w:rFonts w:cs="Arial"/>
          <w:lang w:val="en-US"/>
        </w:rPr>
        <w:t xml:space="preserve">NHS Digital (2026). </w:t>
      </w:r>
      <w:r w:rsidRPr="005C65A5">
        <w:rPr>
          <w:rFonts w:cs="Arial"/>
          <w:i/>
          <w:iCs/>
          <w:lang w:val="en-US"/>
        </w:rPr>
        <w:t>Health Survey for England, 2024: Adults’ health</w:t>
      </w:r>
      <w:r w:rsidRPr="005C65A5">
        <w:rPr>
          <w:rFonts w:cs="Arial"/>
          <w:lang w:val="en-US"/>
        </w:rPr>
        <w:t xml:space="preserve">. [online] Digital.nhs.uk. Available at: </w:t>
      </w:r>
      <w:hyperlink r:id="rId28" w:tgtFrame="_new" w:history="1">
        <w:r w:rsidRPr="005C65A5">
          <w:rPr>
            <w:rStyle w:val="Hyperlink"/>
            <w:rFonts w:cs="Arial"/>
            <w:lang w:val="en-US"/>
          </w:rPr>
          <w:t>https://digital.nhs.uk/data-and-information/publications/statistical/health-survey-for-england/2024/adults-health</w:t>
        </w:r>
      </w:hyperlink>
      <w:r w:rsidRPr="005C65A5">
        <w:rPr>
          <w:rFonts w:cs="Arial"/>
          <w:lang w:val="en-US"/>
        </w:rPr>
        <w:t xml:space="preserve"> [Accessed 29 Jun. 2026].</w:t>
      </w:r>
    </w:p>
    <w:p w14:paraId="38D92753" w14:textId="77777777" w:rsidR="00E35EAB" w:rsidRPr="005C65A5" w:rsidRDefault="00E35EAB" w:rsidP="005C65A5">
      <w:pPr>
        <w:pStyle w:val="ListParagraph"/>
        <w:numPr>
          <w:ilvl w:val="0"/>
          <w:numId w:val="5"/>
        </w:numPr>
        <w:rPr>
          <w:rFonts w:cs="Arial"/>
          <w:lang w:val="en-US"/>
        </w:rPr>
      </w:pPr>
      <w:r w:rsidRPr="005C65A5">
        <w:rPr>
          <w:rFonts w:cs="Arial"/>
          <w:lang w:val="en-US"/>
        </w:rPr>
        <w:t xml:space="preserve">NHS England (2023). </w:t>
      </w:r>
      <w:r w:rsidRPr="005C65A5">
        <w:rPr>
          <w:rFonts w:cs="Arial"/>
          <w:i/>
          <w:iCs/>
          <w:lang w:val="en-US"/>
        </w:rPr>
        <w:t>Inclusive digital healthcare: A framework for NHS action on digital inclusion</w:t>
      </w:r>
      <w:r w:rsidRPr="005C65A5">
        <w:rPr>
          <w:rFonts w:cs="Arial"/>
          <w:lang w:val="en-US"/>
        </w:rPr>
        <w:t xml:space="preserve">. [online] NHS England. Available at: </w:t>
      </w:r>
      <w:hyperlink r:id="rId29" w:tgtFrame="_new" w:history="1">
        <w:r w:rsidRPr="005C65A5">
          <w:rPr>
            <w:rStyle w:val="Hyperlink"/>
            <w:rFonts w:cs="Arial"/>
            <w:lang w:val="en-US"/>
          </w:rPr>
          <w:t>https://www.england.nhs.uk/long-read/inclusive-digital-healthcare-a-framework-for-nhs-action-on-digital-inclusion/</w:t>
        </w:r>
      </w:hyperlink>
      <w:r w:rsidRPr="005C65A5">
        <w:rPr>
          <w:rFonts w:cs="Arial"/>
          <w:lang w:val="en-US"/>
        </w:rPr>
        <w:t>.</w:t>
      </w:r>
    </w:p>
    <w:p w14:paraId="7DC665ED" w14:textId="77777777" w:rsidR="00E35EAB" w:rsidRPr="005C65A5" w:rsidRDefault="00E35EAB" w:rsidP="005C65A5">
      <w:pPr>
        <w:pStyle w:val="ListParagraph"/>
        <w:numPr>
          <w:ilvl w:val="0"/>
          <w:numId w:val="5"/>
        </w:numPr>
        <w:rPr>
          <w:rFonts w:cs="Arial"/>
          <w:lang w:val="en-US"/>
        </w:rPr>
      </w:pPr>
      <w:r w:rsidRPr="005C65A5">
        <w:rPr>
          <w:rFonts w:cs="Arial"/>
          <w:lang w:val="en-US"/>
        </w:rPr>
        <w:t xml:space="preserve">O’Cathain, A., Drabble, S.J., Foster, A., Horspool, K., Edwards, L., Thomas, C. and Salisbury, C. (2016). Being human: A qualitative interview study exploring why a telehealth intervention for management of chronic conditions had a modest effect. </w:t>
      </w:r>
      <w:r w:rsidRPr="005C65A5">
        <w:rPr>
          <w:rFonts w:cs="Arial"/>
          <w:i/>
          <w:iCs/>
          <w:lang w:val="en-US"/>
        </w:rPr>
        <w:t>Journal of Medical Internet Research</w:t>
      </w:r>
      <w:r w:rsidRPr="005C65A5">
        <w:rPr>
          <w:rFonts w:cs="Arial"/>
          <w:lang w:val="en-US"/>
        </w:rPr>
        <w:t>, 18(6), e163. doi:10.2196/jmir.5879.</w:t>
      </w:r>
    </w:p>
    <w:p w14:paraId="3F413FF1" w14:textId="77777777" w:rsidR="00E35EAB" w:rsidRPr="005C65A5" w:rsidRDefault="00E35EAB" w:rsidP="005C65A5">
      <w:pPr>
        <w:pStyle w:val="ListParagraph"/>
        <w:numPr>
          <w:ilvl w:val="0"/>
          <w:numId w:val="5"/>
        </w:numPr>
        <w:rPr>
          <w:rFonts w:cs="Arial"/>
          <w:lang w:val="en-US"/>
        </w:rPr>
      </w:pPr>
      <w:r w:rsidRPr="005C65A5">
        <w:rPr>
          <w:rFonts w:cs="Arial"/>
          <w:lang w:val="en-US"/>
        </w:rPr>
        <w:t xml:space="preserve">Ochieng, B., Hall, V., Ochieng, R., Amedzro, J. and Wong, R. (2026) ‘It felt like surveillance, not support: Understanding barriers to enrolling older adults in an energy-linked digital health study during pandemic recovery and the cost-of-living crisis’, </w:t>
      </w:r>
      <w:r w:rsidRPr="005C65A5">
        <w:rPr>
          <w:rFonts w:cs="Arial"/>
          <w:i/>
          <w:iCs/>
          <w:lang w:val="en-US"/>
        </w:rPr>
        <w:t>BMC Geriatrics</w:t>
      </w:r>
      <w:r w:rsidRPr="005C65A5">
        <w:rPr>
          <w:rFonts w:cs="Arial"/>
          <w:lang w:val="en-US"/>
        </w:rPr>
        <w:t xml:space="preserve">, 26, 1039. doi:10.1186/s12877-026-07665-7. </w:t>
      </w:r>
    </w:p>
    <w:p w14:paraId="453ECA5B" w14:textId="77777777" w:rsidR="00E35EAB" w:rsidRPr="005C65A5" w:rsidRDefault="00E35EAB" w:rsidP="005C65A5">
      <w:pPr>
        <w:pStyle w:val="ListParagraph"/>
        <w:numPr>
          <w:ilvl w:val="0"/>
          <w:numId w:val="5"/>
        </w:numPr>
        <w:rPr>
          <w:rFonts w:cs="Arial"/>
          <w:lang w:val="en-US"/>
        </w:rPr>
      </w:pPr>
      <w:r w:rsidRPr="005C65A5">
        <w:rPr>
          <w:rFonts w:cs="Arial"/>
          <w:lang w:val="en-US"/>
        </w:rPr>
        <w:t xml:space="preserve">Ochieng, L., Salehi, M., Ochieng, R., Nijhof, D., Wong, R., Gupta, V. and Ochieng, B. (2022). Augmented video consultations in care homes during the </w:t>
      </w:r>
      <w:r w:rsidRPr="005C65A5">
        <w:rPr>
          <w:rFonts w:cs="Arial"/>
          <w:lang w:val="en-US"/>
        </w:rPr>
        <w:lastRenderedPageBreak/>
        <w:t xml:space="preserve">COVID-19 pandemic: A qualitative study. </w:t>
      </w:r>
      <w:r w:rsidRPr="005C65A5">
        <w:rPr>
          <w:rFonts w:cs="Arial"/>
          <w:i/>
          <w:iCs/>
          <w:lang w:val="en-US"/>
        </w:rPr>
        <w:t>BJGP Open</w:t>
      </w:r>
      <w:r w:rsidRPr="005C65A5">
        <w:rPr>
          <w:rFonts w:cs="Arial"/>
          <w:lang w:val="en-US"/>
        </w:rPr>
        <w:t>, 6(4), BJGPO.2022.0073. doi:10.3399/BJGPO.2022.0073.</w:t>
      </w:r>
    </w:p>
    <w:p w14:paraId="14E5DBAE" w14:textId="77777777" w:rsidR="00E35EAB" w:rsidRPr="005C65A5" w:rsidRDefault="00E35EAB" w:rsidP="005C65A5">
      <w:pPr>
        <w:pStyle w:val="ListParagraph"/>
        <w:numPr>
          <w:ilvl w:val="0"/>
          <w:numId w:val="5"/>
        </w:numPr>
        <w:rPr>
          <w:rFonts w:cs="Arial"/>
          <w:lang w:val="en-US"/>
        </w:rPr>
      </w:pPr>
      <w:r w:rsidRPr="005C65A5">
        <w:rPr>
          <w:rFonts w:cs="Arial"/>
          <w:lang w:val="en-US"/>
        </w:rPr>
        <w:t xml:space="preserve">Ofcom (2024). </w:t>
      </w:r>
      <w:r w:rsidRPr="005C65A5">
        <w:rPr>
          <w:rFonts w:cs="Arial"/>
          <w:i/>
          <w:iCs/>
          <w:lang w:val="en-US"/>
        </w:rPr>
        <w:t>Adults’ Media Use and Attitudes Report 2024</w:t>
      </w:r>
      <w:r w:rsidRPr="005C65A5">
        <w:rPr>
          <w:rFonts w:cs="Arial"/>
          <w:lang w:val="en-US"/>
        </w:rPr>
        <w:t xml:space="preserve">. [online] Ofcom. Available at: </w:t>
      </w:r>
      <w:hyperlink r:id="rId30" w:tgtFrame="_new" w:history="1">
        <w:r w:rsidRPr="005C65A5">
          <w:rPr>
            <w:rStyle w:val="Hyperlink"/>
            <w:rFonts w:cs="Arial"/>
            <w:lang w:val="en-US"/>
          </w:rPr>
          <w:t>https://www.ofcom.org.uk/research-and-data/media-literacy-research/adults/adults-media-use-and-attitudes</w:t>
        </w:r>
      </w:hyperlink>
      <w:r w:rsidRPr="005C65A5">
        <w:rPr>
          <w:rFonts w:cs="Arial"/>
          <w:lang w:val="en-US"/>
        </w:rPr>
        <w:t xml:space="preserve"> [Accessed 29 Jun. 2026].</w:t>
      </w:r>
    </w:p>
    <w:p w14:paraId="512954C9" w14:textId="77777777" w:rsidR="00E35EAB" w:rsidRPr="005C65A5" w:rsidRDefault="00E35EAB" w:rsidP="005C65A5">
      <w:pPr>
        <w:pStyle w:val="ListParagraph"/>
        <w:numPr>
          <w:ilvl w:val="0"/>
          <w:numId w:val="5"/>
        </w:numPr>
        <w:rPr>
          <w:rFonts w:cs="Arial"/>
          <w:lang w:val="en-US"/>
        </w:rPr>
      </w:pPr>
      <w:r w:rsidRPr="005C65A5">
        <w:rPr>
          <w:rFonts w:cs="Arial"/>
          <w:lang w:val="en-US"/>
        </w:rPr>
        <w:t xml:space="preserve">ONS (2021). </w:t>
      </w:r>
      <w:r w:rsidRPr="005C65A5">
        <w:rPr>
          <w:rFonts w:cs="Arial"/>
          <w:i/>
          <w:iCs/>
          <w:lang w:val="en-US"/>
        </w:rPr>
        <w:t>Internet users, UK: 2020</w:t>
      </w:r>
      <w:r w:rsidRPr="005C65A5">
        <w:rPr>
          <w:rFonts w:cs="Arial"/>
          <w:lang w:val="en-US"/>
        </w:rPr>
        <w:t xml:space="preserve">. [online] Office for National Statistics. Available at: </w:t>
      </w:r>
      <w:hyperlink r:id="rId31" w:tgtFrame="_new" w:history="1">
        <w:r w:rsidRPr="005C65A5">
          <w:rPr>
            <w:rStyle w:val="Hyperlink"/>
            <w:rFonts w:cs="Arial"/>
            <w:lang w:val="en-US"/>
          </w:rPr>
          <w:t>https://www.ons.gov.uk/businessindustryandtrade/itandinternetindustry/bulletins/internetusers/2020</w:t>
        </w:r>
      </w:hyperlink>
      <w:r w:rsidRPr="005C65A5">
        <w:rPr>
          <w:rFonts w:cs="Arial"/>
          <w:lang w:val="en-US"/>
        </w:rPr>
        <w:t xml:space="preserve"> [Accessed 29 Jun. 2026].</w:t>
      </w:r>
    </w:p>
    <w:p w14:paraId="39A69429" w14:textId="77777777" w:rsidR="00E35EAB" w:rsidRPr="005C65A5" w:rsidRDefault="00E35EAB" w:rsidP="005C65A5">
      <w:pPr>
        <w:pStyle w:val="ListParagraph"/>
        <w:numPr>
          <w:ilvl w:val="0"/>
          <w:numId w:val="5"/>
        </w:numPr>
        <w:rPr>
          <w:rFonts w:cs="Arial"/>
          <w:lang w:val="en-US"/>
        </w:rPr>
      </w:pPr>
      <w:r w:rsidRPr="005C65A5">
        <w:rPr>
          <w:rFonts w:cs="Arial"/>
          <w:lang w:val="en-US"/>
        </w:rPr>
        <w:t xml:space="preserve">Ouzzani, M., Hammady, H., Fedorowicz, Z. and Elmagarmid, A. (2016). Rayyan—a web and mobile app for systematic reviews. </w:t>
      </w:r>
      <w:r w:rsidRPr="005C65A5">
        <w:rPr>
          <w:rFonts w:cs="Arial"/>
          <w:i/>
          <w:iCs/>
          <w:lang w:val="en-US"/>
        </w:rPr>
        <w:t>Systematic Reviews</w:t>
      </w:r>
      <w:r w:rsidRPr="005C65A5">
        <w:rPr>
          <w:rFonts w:cs="Arial"/>
          <w:lang w:val="en-US"/>
        </w:rPr>
        <w:t>, 5, 210. doi:10.1186/s13643-016-0384-4.</w:t>
      </w:r>
    </w:p>
    <w:p w14:paraId="468ECD60" w14:textId="77777777" w:rsidR="00E35EAB" w:rsidRPr="005C65A5" w:rsidRDefault="00E35EAB" w:rsidP="005C65A5">
      <w:pPr>
        <w:pStyle w:val="ListParagraph"/>
        <w:numPr>
          <w:ilvl w:val="0"/>
          <w:numId w:val="5"/>
        </w:numPr>
        <w:rPr>
          <w:rFonts w:cs="Arial"/>
          <w:lang w:val="en-US"/>
        </w:rPr>
      </w:pPr>
      <w:r w:rsidRPr="005C65A5">
        <w:rPr>
          <w:rFonts w:cs="Arial"/>
          <w:lang w:val="en-US"/>
        </w:rPr>
        <w:t xml:space="preserve">Page, M.J., McKenzie, J.E., Bossuyt, P.M., Boutron, I., Hoffmann, T.C., Mulrow, C.D. et al. (2021a). The PRISMA 2020 statement: An updated guideline for reporting systematic reviews. </w:t>
      </w:r>
      <w:r w:rsidRPr="005C65A5">
        <w:rPr>
          <w:rFonts w:cs="Arial"/>
          <w:i/>
          <w:iCs/>
          <w:lang w:val="en-US"/>
        </w:rPr>
        <w:t>BMJ</w:t>
      </w:r>
      <w:r w:rsidRPr="005C65A5">
        <w:rPr>
          <w:rFonts w:cs="Arial"/>
          <w:lang w:val="en-US"/>
        </w:rPr>
        <w:t>, 372, n71. doi:10.1136/bmj.n71.</w:t>
      </w:r>
    </w:p>
    <w:p w14:paraId="6F69A59A" w14:textId="77777777" w:rsidR="00E35EAB" w:rsidRPr="005C65A5" w:rsidRDefault="00E35EAB" w:rsidP="005C65A5">
      <w:pPr>
        <w:pStyle w:val="ListParagraph"/>
        <w:numPr>
          <w:ilvl w:val="0"/>
          <w:numId w:val="5"/>
        </w:numPr>
        <w:rPr>
          <w:rFonts w:cs="Arial"/>
          <w:lang w:val="en-US"/>
        </w:rPr>
      </w:pPr>
      <w:r w:rsidRPr="005C65A5">
        <w:rPr>
          <w:rFonts w:cs="Arial"/>
          <w:lang w:val="en-US"/>
        </w:rPr>
        <w:t xml:space="preserve">Page, M.J., Moher, D., Bossuyt, P.M., Boutron, I., Hoffmann, T.C., Mulrow, C.D. et al. (2021b). PRISMA 2020 explanation and elaboration: Updated guidance and exemplars for reporting systematic reviews. </w:t>
      </w:r>
      <w:r w:rsidRPr="005C65A5">
        <w:rPr>
          <w:rFonts w:cs="Arial"/>
          <w:i/>
          <w:iCs/>
          <w:lang w:val="en-US"/>
        </w:rPr>
        <w:t>BMJ</w:t>
      </w:r>
      <w:r w:rsidRPr="005C65A5">
        <w:rPr>
          <w:rFonts w:cs="Arial"/>
          <w:lang w:val="en-US"/>
        </w:rPr>
        <w:t>, 372, n160. doi:10.1136/bmj.n160.</w:t>
      </w:r>
    </w:p>
    <w:p w14:paraId="4302FAF5" w14:textId="77777777" w:rsidR="00E35EAB" w:rsidRPr="005C65A5" w:rsidRDefault="00E35EAB" w:rsidP="005C65A5">
      <w:pPr>
        <w:pStyle w:val="ListParagraph"/>
        <w:numPr>
          <w:ilvl w:val="0"/>
          <w:numId w:val="5"/>
        </w:numPr>
        <w:rPr>
          <w:rFonts w:cs="Arial"/>
          <w:lang w:val="en-US"/>
        </w:rPr>
      </w:pPr>
      <w:r w:rsidRPr="005C65A5">
        <w:rPr>
          <w:rFonts w:cs="Arial"/>
          <w:lang w:val="en-US"/>
        </w:rPr>
        <w:t xml:space="preserve">Park, Y., Kim, E.-J., Park, S. and Lee, M. (2025). Digital health intervention effect on older adults with chronic diseases living alone: Systematic review and meta-analysis of randomized controlled trials. </w:t>
      </w:r>
      <w:r w:rsidRPr="005C65A5">
        <w:rPr>
          <w:rFonts w:cs="Arial"/>
          <w:i/>
          <w:iCs/>
          <w:lang w:val="en-US"/>
        </w:rPr>
        <w:t>Journal of Medical Internet Research</w:t>
      </w:r>
      <w:r w:rsidRPr="005C65A5">
        <w:rPr>
          <w:rFonts w:cs="Arial"/>
          <w:lang w:val="en-US"/>
        </w:rPr>
        <w:t>, 27, e63168. doi:10.2196/63168.</w:t>
      </w:r>
    </w:p>
    <w:p w14:paraId="64626623" w14:textId="77777777" w:rsidR="00E35EAB" w:rsidRPr="005C65A5" w:rsidRDefault="00E35EAB" w:rsidP="005C65A5">
      <w:pPr>
        <w:pStyle w:val="ListParagraph"/>
        <w:numPr>
          <w:ilvl w:val="0"/>
          <w:numId w:val="5"/>
        </w:numPr>
        <w:rPr>
          <w:rFonts w:cs="Arial"/>
          <w:lang w:val="en-US"/>
        </w:rPr>
      </w:pPr>
      <w:r w:rsidRPr="005C65A5">
        <w:rPr>
          <w:rFonts w:cs="Arial"/>
          <w:lang w:val="en-US"/>
        </w:rPr>
        <w:t xml:space="preserve">Poduval, S., Arnold, L., Carta, E., Nimmons, D., Stratton, I., Shaw, M., Bradbury, K. and Stevenson, F. (2025). Do community-based digital health inclusion programmes contribute to tackling health inequalities in disadvantaged population groups?: A qualitative study of experiences of a city-wide programme in the North of England. </w:t>
      </w:r>
      <w:r w:rsidRPr="005C65A5">
        <w:rPr>
          <w:rFonts w:cs="Arial"/>
          <w:i/>
          <w:iCs/>
          <w:lang w:val="en-US"/>
        </w:rPr>
        <w:t>BMC Public Health</w:t>
      </w:r>
      <w:r w:rsidRPr="005C65A5">
        <w:rPr>
          <w:rFonts w:cs="Arial"/>
          <w:lang w:val="en-US"/>
        </w:rPr>
        <w:t>, 25(1). doi:10.1186/s12889-025-21418-y.</w:t>
      </w:r>
    </w:p>
    <w:p w14:paraId="2DF54474" w14:textId="77777777" w:rsidR="00E35EAB" w:rsidRPr="005C65A5" w:rsidRDefault="00E35EAB" w:rsidP="005C65A5">
      <w:pPr>
        <w:pStyle w:val="ListParagraph"/>
        <w:numPr>
          <w:ilvl w:val="0"/>
          <w:numId w:val="5"/>
        </w:numPr>
        <w:rPr>
          <w:rFonts w:cs="Arial"/>
          <w:lang w:val="en-US"/>
        </w:rPr>
      </w:pPr>
      <w:r w:rsidRPr="005C65A5">
        <w:rPr>
          <w:rFonts w:cs="Arial"/>
          <w:lang w:val="en-US"/>
        </w:rPr>
        <w:t xml:space="preserve">Polgar, O., Patel, S., Walsh, J.A., Barker, R.E., Ingram, K.A., Kon, S.S., Man, W.D. and Nolan, C.M. (2022). Digital habits of pulmonary rehabilitation service-users following the COVID-19 pandemic. </w:t>
      </w:r>
      <w:r w:rsidRPr="005C65A5">
        <w:rPr>
          <w:rFonts w:cs="Arial"/>
          <w:i/>
          <w:iCs/>
          <w:lang w:val="en-US"/>
        </w:rPr>
        <w:t>Chronic Respiratory Disease</w:t>
      </w:r>
      <w:r w:rsidRPr="005C65A5">
        <w:rPr>
          <w:rFonts w:cs="Arial"/>
          <w:lang w:val="en-US"/>
        </w:rPr>
        <w:t>, 19, 14799731221075647. doi:10.1177/14799731221075647.</w:t>
      </w:r>
    </w:p>
    <w:p w14:paraId="354FD3A8" w14:textId="77777777" w:rsidR="00E35EAB" w:rsidRPr="005C65A5" w:rsidRDefault="00E35EAB" w:rsidP="005C65A5">
      <w:pPr>
        <w:pStyle w:val="ListParagraph"/>
        <w:numPr>
          <w:ilvl w:val="0"/>
          <w:numId w:val="5"/>
        </w:numPr>
        <w:rPr>
          <w:rFonts w:cs="Arial"/>
          <w:lang w:val="en-US"/>
        </w:rPr>
      </w:pPr>
      <w:r w:rsidRPr="005C65A5">
        <w:rPr>
          <w:rFonts w:cs="Arial"/>
          <w:lang w:val="en-US"/>
        </w:rPr>
        <w:t xml:space="preserve">Reidy, C., Papoutsi, C., KC, S., Gudgin, B., Laverty, A.A., Greaves, F. and Powell, J. (2025). Qualitative evaluation of the implementation and national roll-out of the NHS App in England. </w:t>
      </w:r>
      <w:r w:rsidRPr="005C65A5">
        <w:rPr>
          <w:rFonts w:cs="Arial"/>
          <w:i/>
          <w:iCs/>
          <w:lang w:val="en-US"/>
        </w:rPr>
        <w:t>BMC Medicine</w:t>
      </w:r>
      <w:r w:rsidRPr="005C65A5">
        <w:rPr>
          <w:rFonts w:cs="Arial"/>
          <w:lang w:val="en-US"/>
        </w:rPr>
        <w:t>, 23(1). doi:10.1186/s12916-024-03842-w.</w:t>
      </w:r>
    </w:p>
    <w:p w14:paraId="5277B2BD" w14:textId="77777777" w:rsidR="00E35EAB" w:rsidRPr="005C65A5" w:rsidRDefault="00E35EAB" w:rsidP="005C65A5">
      <w:pPr>
        <w:pStyle w:val="ListParagraph"/>
        <w:numPr>
          <w:ilvl w:val="0"/>
          <w:numId w:val="5"/>
        </w:numPr>
        <w:rPr>
          <w:rFonts w:cs="Arial"/>
          <w:lang w:val="en-US"/>
        </w:rPr>
      </w:pPr>
      <w:r w:rsidRPr="005C65A5">
        <w:rPr>
          <w:rFonts w:cs="Arial"/>
          <w:lang w:val="en-US"/>
        </w:rPr>
        <w:lastRenderedPageBreak/>
        <w:t xml:space="preserve">Rethlefsen, M.L., Kirtley, S., Waffenschmidt, S., Ayala, A.P., Moher, D., Page, M.J. and Koffel, J.B. (2021). PRISMA-S: An extension to the PRISMA Statement for reporting literature searches in systematic reviews. </w:t>
      </w:r>
      <w:r w:rsidRPr="005C65A5">
        <w:rPr>
          <w:rFonts w:cs="Arial"/>
          <w:i/>
          <w:iCs/>
          <w:lang w:val="en-US"/>
        </w:rPr>
        <w:t>Systematic Reviews</w:t>
      </w:r>
      <w:r w:rsidRPr="005C65A5">
        <w:rPr>
          <w:rFonts w:cs="Arial"/>
          <w:lang w:val="en-US"/>
        </w:rPr>
        <w:t>, 10, 39. doi:10.1186/s13643-020-01542-z.</w:t>
      </w:r>
    </w:p>
    <w:p w14:paraId="5510ED47" w14:textId="77777777" w:rsidR="00E35EAB" w:rsidRPr="005C65A5" w:rsidRDefault="00E35EAB" w:rsidP="005C65A5">
      <w:pPr>
        <w:pStyle w:val="ListParagraph"/>
        <w:numPr>
          <w:ilvl w:val="0"/>
          <w:numId w:val="5"/>
        </w:numPr>
        <w:rPr>
          <w:rFonts w:cs="Arial"/>
          <w:lang w:val="en-US"/>
        </w:rPr>
      </w:pPr>
      <w:r w:rsidRPr="005C65A5">
        <w:rPr>
          <w:rFonts w:cs="Arial"/>
          <w:lang w:val="en-US"/>
        </w:rPr>
        <w:t xml:space="preserve">Rodrigues, D., Kreif, N., Darzi, A., Barahona, M. and Mayer, E. (2025) ‘Digitalization of access to primary care: Is there an equity-efficiency trade-off?’, </w:t>
      </w:r>
      <w:r w:rsidRPr="005C65A5">
        <w:rPr>
          <w:rFonts w:cs="Arial"/>
          <w:i/>
          <w:iCs/>
          <w:lang w:val="en-US"/>
        </w:rPr>
        <w:t>Health Economics</w:t>
      </w:r>
      <w:r w:rsidRPr="005C65A5">
        <w:rPr>
          <w:rFonts w:cs="Arial"/>
          <w:lang w:val="en-US"/>
        </w:rPr>
        <w:t xml:space="preserve">, 34(10), pp. 1943–1962. doi:10.1002/hec.70014. </w:t>
      </w:r>
    </w:p>
    <w:p w14:paraId="056B96DC" w14:textId="77777777" w:rsidR="00E35EAB" w:rsidRPr="005C65A5" w:rsidRDefault="00E35EAB" w:rsidP="005C65A5">
      <w:pPr>
        <w:pStyle w:val="ListParagraph"/>
        <w:numPr>
          <w:ilvl w:val="0"/>
          <w:numId w:val="5"/>
        </w:numPr>
        <w:rPr>
          <w:rFonts w:cs="Arial"/>
          <w:lang w:val="en-US"/>
        </w:rPr>
      </w:pPr>
      <w:r w:rsidRPr="005C65A5">
        <w:rPr>
          <w:rFonts w:cs="Arial"/>
          <w:lang w:val="en-US"/>
        </w:rPr>
        <w:t xml:space="preserve">Ryan, G. (2018). Introduction to positivism, interpretivism and critical theory. </w:t>
      </w:r>
      <w:r w:rsidRPr="005C65A5">
        <w:rPr>
          <w:rFonts w:cs="Arial"/>
          <w:i/>
          <w:iCs/>
          <w:lang w:val="en-US"/>
        </w:rPr>
        <w:t>Nurse Researcher</w:t>
      </w:r>
      <w:r w:rsidRPr="005C65A5">
        <w:rPr>
          <w:rFonts w:cs="Arial"/>
          <w:lang w:val="en-US"/>
        </w:rPr>
        <w:t>, 25(4), pp.14–20. doi:10.7748/nr.2018.e1466.</w:t>
      </w:r>
    </w:p>
    <w:p w14:paraId="0B873624" w14:textId="77777777" w:rsidR="00E35EAB" w:rsidRPr="005C65A5" w:rsidRDefault="00E35EAB" w:rsidP="005C65A5">
      <w:pPr>
        <w:pStyle w:val="ListParagraph"/>
        <w:numPr>
          <w:ilvl w:val="0"/>
          <w:numId w:val="5"/>
        </w:numPr>
        <w:rPr>
          <w:rFonts w:cs="Arial"/>
          <w:lang w:val="en-US"/>
        </w:rPr>
      </w:pPr>
      <w:r w:rsidRPr="005C65A5">
        <w:rPr>
          <w:rFonts w:cs="Arial"/>
          <w:lang w:val="en-US"/>
        </w:rPr>
        <w:t xml:space="preserve">Sait, M.I., Christie, R.A., Cox, C., Board, M., Thomas, S., O’Sullivan, C., Davies, C., Walker, D.-M., Vassallo, M., Sadler, E.A., Allen-Pick, M., Moore, P., Bradbury, K. and Murphy, J. (2024). DIALOR: Protocol for a single-arm mixed-methods feasibility study of a digital health coaching intervention for older people with frailty in primary care. </w:t>
      </w:r>
      <w:r w:rsidRPr="005C65A5">
        <w:rPr>
          <w:rFonts w:cs="Arial"/>
          <w:i/>
          <w:iCs/>
          <w:lang w:val="en-US"/>
        </w:rPr>
        <w:t>BMJ Open</w:t>
      </w:r>
      <w:r w:rsidRPr="005C65A5">
        <w:rPr>
          <w:rFonts w:cs="Arial"/>
          <w:lang w:val="en-US"/>
        </w:rPr>
        <w:t>, 14(5), e080480. doi:10.1136/bmjopen-2023-080480.</w:t>
      </w:r>
    </w:p>
    <w:p w14:paraId="5D34A9BD" w14:textId="77777777" w:rsidR="00E35EAB" w:rsidRPr="005C65A5" w:rsidRDefault="00E35EAB" w:rsidP="005C65A5">
      <w:pPr>
        <w:pStyle w:val="ListParagraph"/>
        <w:numPr>
          <w:ilvl w:val="0"/>
          <w:numId w:val="5"/>
        </w:numPr>
        <w:rPr>
          <w:rFonts w:cs="Arial"/>
          <w:lang w:val="en-US"/>
        </w:rPr>
      </w:pPr>
      <w:r w:rsidRPr="005C65A5">
        <w:rPr>
          <w:rFonts w:cs="Arial"/>
          <w:lang w:val="en-US"/>
        </w:rPr>
        <w:t xml:space="preserve">Salisbury, C., Thomas, C., O’Cathain, A., Rogers, A., Pope, C., Yardley, L., Hollinghurst, S., Fahey, T., Lewis, G., Large, S., Edwards, L., Rowsell, A., Segar, J., Brownsell, S. and Montgomery, A.A. (2015). TElehealth in CHronic disease: Mixed-methods study to develop the TECH conceptual model for intervention design and evaluation. </w:t>
      </w:r>
      <w:r w:rsidRPr="005C65A5">
        <w:rPr>
          <w:rFonts w:cs="Arial"/>
          <w:i/>
          <w:iCs/>
          <w:lang w:val="en-US"/>
        </w:rPr>
        <w:t>BMJ Open</w:t>
      </w:r>
      <w:r w:rsidRPr="005C65A5">
        <w:rPr>
          <w:rFonts w:cs="Arial"/>
          <w:lang w:val="en-US"/>
        </w:rPr>
        <w:t>, 5, e006448. doi:10.1136/bmjopen-2014-006448.</w:t>
      </w:r>
    </w:p>
    <w:p w14:paraId="4860AD5F" w14:textId="77777777" w:rsidR="00E35EAB" w:rsidRPr="005C65A5" w:rsidRDefault="00E35EAB" w:rsidP="005C65A5">
      <w:pPr>
        <w:pStyle w:val="ListParagraph"/>
        <w:numPr>
          <w:ilvl w:val="0"/>
          <w:numId w:val="5"/>
        </w:numPr>
        <w:rPr>
          <w:rFonts w:cs="Arial"/>
          <w:lang w:val="en-US"/>
        </w:rPr>
      </w:pPr>
      <w:r w:rsidRPr="005C65A5">
        <w:rPr>
          <w:rFonts w:cs="Arial"/>
          <w:lang w:val="en-US"/>
        </w:rPr>
        <w:t xml:space="preserve">Sheng, Y., Doyle, J., Bond, R., Jaiswal, R., Gavin, S. and Dinsmore, J. (2022). Home-based digital health technologies for older adults to self-manage multiple chronic conditions: A data-informed analysis of user engagement from a longitudinal trial. </w:t>
      </w:r>
      <w:r w:rsidRPr="005C65A5">
        <w:rPr>
          <w:rFonts w:cs="Arial"/>
          <w:i/>
          <w:iCs/>
          <w:lang w:val="en-US"/>
        </w:rPr>
        <w:t>DIGITAL HEALTH</w:t>
      </w:r>
      <w:r w:rsidRPr="005C65A5">
        <w:rPr>
          <w:rFonts w:cs="Arial"/>
          <w:lang w:val="en-US"/>
        </w:rPr>
        <w:t>, 8, 205520762211259. doi:10.1177/20552076221125957.</w:t>
      </w:r>
    </w:p>
    <w:p w14:paraId="3FE7FD10" w14:textId="77777777" w:rsidR="00E35EAB" w:rsidRPr="005C65A5" w:rsidRDefault="00E35EAB" w:rsidP="005C65A5">
      <w:pPr>
        <w:pStyle w:val="ListParagraph"/>
        <w:numPr>
          <w:ilvl w:val="0"/>
          <w:numId w:val="5"/>
        </w:numPr>
        <w:rPr>
          <w:rFonts w:cs="Arial"/>
          <w:lang w:val="en-US"/>
        </w:rPr>
      </w:pPr>
      <w:r w:rsidRPr="005C65A5">
        <w:rPr>
          <w:rFonts w:cs="Arial"/>
          <w:lang w:val="en-US"/>
        </w:rPr>
        <w:t xml:space="preserve">Shields, C., Conway, N.T., Allardice, B., Wake, D.J. and Cunningham, S.G. (2023) ‘Continuing the quality improvement of an electronic personal health record and interactive website for people with diabetes in Scotland (My Diabetes My Way)’, </w:t>
      </w:r>
      <w:r w:rsidRPr="005C65A5">
        <w:rPr>
          <w:rFonts w:cs="Arial"/>
          <w:i/>
          <w:iCs/>
          <w:lang w:val="en-US"/>
        </w:rPr>
        <w:t>Diabetic Medicine</w:t>
      </w:r>
      <w:r w:rsidRPr="005C65A5">
        <w:rPr>
          <w:rFonts w:cs="Arial"/>
          <w:lang w:val="en-US"/>
        </w:rPr>
        <w:t xml:space="preserve">, 40(7), e15085. doi:10.1111/dme.15085. </w:t>
      </w:r>
    </w:p>
    <w:p w14:paraId="41E429B3" w14:textId="77777777" w:rsidR="00E35EAB" w:rsidRPr="005C65A5" w:rsidRDefault="00E35EAB" w:rsidP="005C65A5">
      <w:pPr>
        <w:pStyle w:val="ListParagraph"/>
        <w:numPr>
          <w:ilvl w:val="0"/>
          <w:numId w:val="5"/>
        </w:numPr>
        <w:rPr>
          <w:rFonts w:cs="Arial"/>
          <w:lang w:val="en-US"/>
        </w:rPr>
      </w:pPr>
      <w:r w:rsidRPr="005C65A5">
        <w:rPr>
          <w:rFonts w:cs="Arial"/>
          <w:lang w:val="en-US"/>
        </w:rPr>
        <w:t xml:space="preserve">Shorthose, M.F., Carter, B., Laidlaw, J., Watts, N., Wensley, S., Srivastava, S., Joughin, A., Thorman, E., Mitchell, C., Evans, R. and Braude, P. (2024) ‘A multicentre cross-sectional observational study to determine the effect of living with frailty on digital exclusion from video consultations: (Access-VIGIL)’, </w:t>
      </w:r>
      <w:r w:rsidRPr="005C65A5">
        <w:rPr>
          <w:rFonts w:cs="Arial"/>
          <w:i/>
          <w:iCs/>
          <w:lang w:val="en-US"/>
        </w:rPr>
        <w:t>Journal of the American Medical Directors Association</w:t>
      </w:r>
      <w:r w:rsidRPr="005C65A5">
        <w:rPr>
          <w:rFonts w:cs="Arial"/>
          <w:lang w:val="en-US"/>
        </w:rPr>
        <w:t xml:space="preserve">, 25(4), pp. 676–682. doi:10.1016/j.jamda.2023.08.028. </w:t>
      </w:r>
    </w:p>
    <w:p w14:paraId="69209E87" w14:textId="77777777" w:rsidR="00E35EAB" w:rsidRPr="005C65A5" w:rsidRDefault="00E35EAB" w:rsidP="005C65A5">
      <w:pPr>
        <w:pStyle w:val="ListParagraph"/>
        <w:numPr>
          <w:ilvl w:val="0"/>
          <w:numId w:val="5"/>
        </w:numPr>
        <w:rPr>
          <w:rFonts w:cs="Arial"/>
          <w:lang w:val="en-US"/>
        </w:rPr>
      </w:pPr>
      <w:r w:rsidRPr="005C65A5">
        <w:rPr>
          <w:rFonts w:cs="Arial"/>
          <w:lang w:val="en-US"/>
        </w:rPr>
        <w:lastRenderedPageBreak/>
        <w:t xml:space="preserve">Siddaway, A.P., Wood, A.M. and Hedges, L.V. (2019). How to do a systematic review: A best practice guide for conducting and reporting narrative reviews, meta-analyses, and meta-syntheses. </w:t>
      </w:r>
      <w:r w:rsidRPr="005C65A5">
        <w:rPr>
          <w:rFonts w:cs="Arial"/>
          <w:i/>
          <w:iCs/>
          <w:lang w:val="en-US"/>
        </w:rPr>
        <w:t>Annual Review of Psychology</w:t>
      </w:r>
      <w:r w:rsidRPr="005C65A5">
        <w:rPr>
          <w:rFonts w:cs="Arial"/>
          <w:lang w:val="en-US"/>
        </w:rPr>
        <w:t>, 70, pp.747–770. doi:10.1146/annurev-psych-010418-102803.</w:t>
      </w:r>
    </w:p>
    <w:p w14:paraId="236E8D77" w14:textId="77777777" w:rsidR="00E35EAB" w:rsidRPr="005C65A5" w:rsidRDefault="00E35EAB" w:rsidP="005C65A5">
      <w:pPr>
        <w:pStyle w:val="ListParagraph"/>
        <w:numPr>
          <w:ilvl w:val="0"/>
          <w:numId w:val="5"/>
        </w:numPr>
        <w:rPr>
          <w:rFonts w:cs="Arial"/>
          <w:lang w:val="en-US"/>
        </w:rPr>
      </w:pPr>
      <w:r w:rsidRPr="005C65A5">
        <w:rPr>
          <w:rFonts w:cs="Arial"/>
          <w:lang w:val="en-US"/>
        </w:rPr>
        <w:t xml:space="preserve">Sussex, J., Atherton, H., Abel, G., Clark, C., Cockcroft, E., Leach, B., Marriott, C., Newbould, J., Pitchforth, E., Winder, R. and Campbell, J. (2024). Supporting patients’ use of digital services in primary health care in England: Synthesis of evidence from a mixed methods study of ‘Digital Facilitation’. </w:t>
      </w:r>
      <w:r w:rsidRPr="005C65A5">
        <w:rPr>
          <w:rFonts w:cs="Arial"/>
          <w:i/>
          <w:iCs/>
          <w:lang w:val="en-US"/>
        </w:rPr>
        <w:t>JMIR Human Factors</w:t>
      </w:r>
      <w:r w:rsidRPr="005C65A5">
        <w:rPr>
          <w:rFonts w:cs="Arial"/>
          <w:lang w:val="en-US"/>
        </w:rPr>
        <w:t>, 11, e52516. doi:10.2196/52516.</w:t>
      </w:r>
    </w:p>
    <w:p w14:paraId="6335E1B3" w14:textId="77777777" w:rsidR="00E35EAB" w:rsidRPr="005C65A5" w:rsidRDefault="00E35EAB" w:rsidP="005C65A5">
      <w:pPr>
        <w:pStyle w:val="ListParagraph"/>
        <w:numPr>
          <w:ilvl w:val="0"/>
          <w:numId w:val="5"/>
        </w:numPr>
        <w:rPr>
          <w:rFonts w:cs="Arial"/>
          <w:lang w:val="en-US"/>
        </w:rPr>
      </w:pPr>
      <w:r w:rsidRPr="005C65A5">
        <w:rPr>
          <w:rFonts w:cs="Arial"/>
          <w:lang w:val="en-US"/>
        </w:rPr>
        <w:t xml:space="preserve">Taloyan, M., Jaranka, A., Bidonde, J., Flodgren, G., Roberts, N., Hägglund, M., Nilsson, G. and Papachristou, P. (2023). Remote digital monitoring for selected chronic diseases in primary health care. </w:t>
      </w:r>
      <w:r w:rsidRPr="005C65A5">
        <w:rPr>
          <w:rFonts w:cs="Arial"/>
          <w:i/>
          <w:iCs/>
          <w:lang w:val="en-US"/>
        </w:rPr>
        <w:t>The Cochrane Library</w:t>
      </w:r>
      <w:r w:rsidRPr="005C65A5">
        <w:rPr>
          <w:rFonts w:cs="Arial"/>
          <w:lang w:val="en-US"/>
        </w:rPr>
        <w:t>, 2023(3). doi:10.1002/14651858.CD015479.</w:t>
      </w:r>
    </w:p>
    <w:p w14:paraId="25207735" w14:textId="77777777" w:rsidR="00E35EAB" w:rsidRPr="005C65A5" w:rsidRDefault="00E35EAB" w:rsidP="005C65A5">
      <w:pPr>
        <w:pStyle w:val="ListParagraph"/>
        <w:numPr>
          <w:ilvl w:val="0"/>
          <w:numId w:val="5"/>
        </w:numPr>
        <w:rPr>
          <w:rFonts w:cs="Arial"/>
          <w:lang w:val="en-US"/>
        </w:rPr>
      </w:pPr>
      <w:r w:rsidRPr="005C65A5">
        <w:rPr>
          <w:rFonts w:cs="Arial"/>
          <w:lang w:val="en-US"/>
        </w:rPr>
        <w:t xml:space="preserve">Taylor, M.L., Thomas, E.E., Vitangcol, K., Marx, W., Campbell, K.L., Caffery, L.J., Haydon, H.M., Smith, A.C. and Kelly, J.T. (2022). Digital health experiences reported in chronic disease management: An umbrella review of qualitative studies. </w:t>
      </w:r>
      <w:r w:rsidRPr="005C65A5">
        <w:rPr>
          <w:rFonts w:cs="Arial"/>
          <w:i/>
          <w:iCs/>
          <w:lang w:val="en-US"/>
        </w:rPr>
        <w:t>Journal of Telemedicine and Telecare</w:t>
      </w:r>
      <w:r w:rsidRPr="005C65A5">
        <w:rPr>
          <w:rFonts w:cs="Arial"/>
          <w:lang w:val="en-US"/>
        </w:rPr>
        <w:t>, 28(10), pp.705–717. doi:10.1177/1357633X221119620.</w:t>
      </w:r>
    </w:p>
    <w:p w14:paraId="6989E44C" w14:textId="77777777" w:rsidR="00E35EAB" w:rsidRPr="005C65A5" w:rsidRDefault="00E35EAB" w:rsidP="005C65A5">
      <w:pPr>
        <w:pStyle w:val="ListParagraph"/>
        <w:numPr>
          <w:ilvl w:val="0"/>
          <w:numId w:val="5"/>
        </w:numPr>
        <w:rPr>
          <w:rFonts w:cs="Arial"/>
          <w:lang w:val="en-US"/>
        </w:rPr>
      </w:pPr>
      <w:r w:rsidRPr="005C65A5">
        <w:rPr>
          <w:rFonts w:cs="Arial"/>
          <w:lang w:val="en-US"/>
        </w:rPr>
        <w:t xml:space="preserve">Thomas, J. and Harden, A. (2008). Methods for the thematic synthesis of qualitative research in systematic reviews. </w:t>
      </w:r>
      <w:r w:rsidRPr="005C65A5">
        <w:rPr>
          <w:rFonts w:cs="Arial"/>
          <w:i/>
          <w:iCs/>
          <w:lang w:val="en-US"/>
        </w:rPr>
        <w:t>BMC Medical Research Methodology</w:t>
      </w:r>
      <w:r w:rsidRPr="005C65A5">
        <w:rPr>
          <w:rFonts w:cs="Arial"/>
          <w:lang w:val="en-US"/>
        </w:rPr>
        <w:t>, 8, 45. doi:10.1186/1471-2288-8-45.</w:t>
      </w:r>
    </w:p>
    <w:p w14:paraId="6A0832B7" w14:textId="77777777" w:rsidR="00E35EAB" w:rsidRPr="005C65A5" w:rsidRDefault="00E35EAB" w:rsidP="005C65A5">
      <w:pPr>
        <w:pStyle w:val="ListParagraph"/>
        <w:numPr>
          <w:ilvl w:val="0"/>
          <w:numId w:val="5"/>
        </w:numPr>
        <w:rPr>
          <w:rFonts w:cs="Arial"/>
          <w:lang w:val="en-US"/>
        </w:rPr>
      </w:pPr>
      <w:r w:rsidRPr="005C65A5">
        <w:rPr>
          <w:rFonts w:cs="Arial"/>
          <w:lang w:val="en-US"/>
        </w:rPr>
        <w:t xml:space="preserve">Tong, A., Flemming, K., McInnes, E., Oliver, S. and Craig, J. (2012). Enhancing transparency in reporting the synthesis of qualitative research: ENTREQ. </w:t>
      </w:r>
      <w:r w:rsidRPr="005C65A5">
        <w:rPr>
          <w:rFonts w:cs="Arial"/>
          <w:i/>
          <w:iCs/>
          <w:lang w:val="en-US"/>
        </w:rPr>
        <w:t>BMC Medical Research Methodology</w:t>
      </w:r>
      <w:r w:rsidRPr="005C65A5">
        <w:rPr>
          <w:rFonts w:cs="Arial"/>
          <w:lang w:val="en-US"/>
        </w:rPr>
        <w:t>, 12, 181. doi:10.1186/1471-2288-12-181.</w:t>
      </w:r>
    </w:p>
    <w:p w14:paraId="578E8107" w14:textId="77777777" w:rsidR="00E35EAB" w:rsidRPr="005C65A5" w:rsidRDefault="00E35EAB" w:rsidP="005C65A5">
      <w:pPr>
        <w:pStyle w:val="ListParagraph"/>
        <w:numPr>
          <w:ilvl w:val="0"/>
          <w:numId w:val="5"/>
        </w:numPr>
        <w:rPr>
          <w:rFonts w:cs="Arial"/>
          <w:lang w:val="en-US"/>
        </w:rPr>
      </w:pPr>
      <w:r w:rsidRPr="005C65A5">
        <w:rPr>
          <w:rFonts w:cs="Arial"/>
          <w:lang w:val="en-US"/>
        </w:rPr>
        <w:t xml:space="preserve">Treadgold, B.M., Winder, R., Atherton, H., Bryce, C., Campbell, J., Marriott, C., Newbould, J., Stockwell, S. and Pitchforth, E. (2025). Use of digital facilitation to support the use of digital services in general practice in England: An interview study with key stakeholders. </w:t>
      </w:r>
      <w:r w:rsidRPr="005C65A5">
        <w:rPr>
          <w:rFonts w:cs="Arial"/>
          <w:i/>
          <w:iCs/>
          <w:lang w:val="en-US"/>
        </w:rPr>
        <w:t>Journal of Health Services Research &amp; Policy</w:t>
      </w:r>
      <w:r w:rsidRPr="005C65A5">
        <w:rPr>
          <w:rFonts w:cs="Arial"/>
          <w:lang w:val="en-US"/>
        </w:rPr>
        <w:t>. doi:10.1177/13558196251316446.</w:t>
      </w:r>
    </w:p>
    <w:p w14:paraId="10F8CEA0" w14:textId="77777777" w:rsidR="00E35EAB" w:rsidRPr="005C65A5" w:rsidRDefault="00E35EAB" w:rsidP="005C65A5">
      <w:pPr>
        <w:pStyle w:val="ListParagraph"/>
        <w:numPr>
          <w:ilvl w:val="0"/>
          <w:numId w:val="5"/>
        </w:numPr>
        <w:rPr>
          <w:rFonts w:cs="Arial"/>
          <w:lang w:val="en-US"/>
        </w:rPr>
      </w:pPr>
      <w:r w:rsidRPr="005C65A5">
        <w:rPr>
          <w:rFonts w:cs="Arial"/>
          <w:lang w:val="en-US"/>
        </w:rPr>
        <w:t xml:space="preserve">Turner, A., Morris, R., Rakhra, D., Stevenson, F., McDonagh, L., Hamilton, F., Atherton, H., Farr, M., Blake, S., Banks, J. and Edwards, H.B. (2022). Unintended consequences of online consultations: A qualitative study in UK primary care. </w:t>
      </w:r>
      <w:r w:rsidRPr="005C65A5">
        <w:rPr>
          <w:rFonts w:cs="Arial"/>
          <w:i/>
          <w:iCs/>
          <w:lang w:val="en-US"/>
        </w:rPr>
        <w:t>British Journal of General Practice</w:t>
      </w:r>
      <w:r w:rsidRPr="005C65A5">
        <w:rPr>
          <w:rFonts w:cs="Arial"/>
          <w:lang w:val="en-US"/>
        </w:rPr>
        <w:t>, 72(715), pp.e128–e137. doi:10.3399/BJGP.2021.0426.</w:t>
      </w:r>
    </w:p>
    <w:p w14:paraId="341B84E0" w14:textId="77777777" w:rsidR="00E35EAB" w:rsidRPr="005C65A5" w:rsidRDefault="00E35EAB" w:rsidP="005C65A5">
      <w:pPr>
        <w:pStyle w:val="ListParagraph"/>
        <w:numPr>
          <w:ilvl w:val="0"/>
          <w:numId w:val="5"/>
        </w:numPr>
        <w:rPr>
          <w:rFonts w:cs="Arial"/>
          <w:lang w:val="en-US"/>
        </w:rPr>
      </w:pPr>
      <w:r w:rsidRPr="005C65A5">
        <w:rPr>
          <w:rFonts w:cs="Arial"/>
          <w:lang w:val="en-US"/>
        </w:rPr>
        <w:t xml:space="preserve">UK Research Integrity Office (UKRIO) (2025). </w:t>
      </w:r>
      <w:r w:rsidRPr="005C65A5">
        <w:rPr>
          <w:rFonts w:cs="Arial"/>
          <w:i/>
          <w:iCs/>
          <w:lang w:val="en-US"/>
        </w:rPr>
        <w:t>Code of Practice for Research</w:t>
      </w:r>
      <w:r w:rsidRPr="005C65A5">
        <w:rPr>
          <w:rFonts w:cs="Arial"/>
          <w:lang w:val="en-US"/>
        </w:rPr>
        <w:t xml:space="preserve">, version 3.5. London: UKRIO. Available at: </w:t>
      </w:r>
      <w:hyperlink r:id="rId32" w:tgtFrame="_new" w:history="1">
        <w:r w:rsidRPr="005C65A5">
          <w:rPr>
            <w:rStyle w:val="Hyperlink"/>
            <w:rFonts w:cs="Arial"/>
            <w:lang w:val="en-US"/>
          </w:rPr>
          <w:t>https://ukrio.org/ukrio-</w:t>
        </w:r>
        <w:r w:rsidRPr="005C65A5">
          <w:rPr>
            <w:rStyle w:val="Hyperlink"/>
            <w:rFonts w:cs="Arial"/>
            <w:lang w:val="en-US"/>
          </w:rPr>
          <w:lastRenderedPageBreak/>
          <w:t>resources/publications/code-of-practice-for-research/</w:t>
        </w:r>
      </w:hyperlink>
      <w:r w:rsidRPr="005C65A5">
        <w:rPr>
          <w:rFonts w:cs="Arial"/>
          <w:lang w:val="en-US"/>
        </w:rPr>
        <w:t xml:space="preserve"> [Accessed 10 August 2026].</w:t>
      </w:r>
    </w:p>
    <w:p w14:paraId="1EC55A6C" w14:textId="77777777" w:rsidR="00E35EAB" w:rsidRPr="005C65A5" w:rsidRDefault="00E35EAB" w:rsidP="005C65A5">
      <w:pPr>
        <w:pStyle w:val="ListParagraph"/>
        <w:numPr>
          <w:ilvl w:val="0"/>
          <w:numId w:val="5"/>
        </w:numPr>
        <w:rPr>
          <w:rFonts w:cs="Arial"/>
          <w:lang w:val="en-US"/>
        </w:rPr>
      </w:pPr>
      <w:r w:rsidRPr="005C65A5">
        <w:rPr>
          <w:rFonts w:cs="Arial"/>
          <w:lang w:val="en-US"/>
        </w:rPr>
        <w:t xml:space="preserve">Wale, A., Everitt, J., Ayres, T., Okolie, C., Morgan, H.E., Shaw, H., Cooper, A., Edwards, A. and Lewis, R. (2025). Effectiveness of interventions for addressing digital exclusion in older adults in the social care domain: Rapid review. </w:t>
      </w:r>
      <w:r w:rsidRPr="005C65A5">
        <w:rPr>
          <w:rFonts w:cs="Arial"/>
          <w:i/>
          <w:iCs/>
          <w:lang w:val="en-US"/>
        </w:rPr>
        <w:t>JMIR Aging</w:t>
      </w:r>
      <w:r w:rsidRPr="005C65A5">
        <w:rPr>
          <w:rFonts w:cs="Arial"/>
          <w:lang w:val="en-US"/>
        </w:rPr>
        <w:t>, [online] 8, e70377. doi:10.2196/70377.</w:t>
      </w:r>
    </w:p>
    <w:p w14:paraId="142A9AEF" w14:textId="77777777" w:rsidR="00E35EAB" w:rsidRPr="005C65A5" w:rsidRDefault="00E35EAB" w:rsidP="005C65A5">
      <w:pPr>
        <w:pStyle w:val="ListParagraph"/>
        <w:numPr>
          <w:ilvl w:val="0"/>
          <w:numId w:val="5"/>
        </w:numPr>
        <w:rPr>
          <w:rFonts w:cs="Arial"/>
          <w:lang w:val="en-US"/>
        </w:rPr>
      </w:pPr>
      <w:r w:rsidRPr="005C65A5">
        <w:rPr>
          <w:rFonts w:cs="Arial"/>
          <w:lang w:val="en-US"/>
        </w:rPr>
        <w:t xml:space="preserve">Wilson-Menzfeld, G., Erfani, G., Young-Murphy, L., Charlton, W., De Luca, H., Brittain, K. and Steven, A. (2025) ‘Identifying and understanding digital exclusion: A mixed-methods study’, </w:t>
      </w:r>
      <w:r w:rsidRPr="005C65A5">
        <w:rPr>
          <w:rFonts w:cs="Arial"/>
          <w:i/>
          <w:iCs/>
          <w:lang w:val="en-US"/>
        </w:rPr>
        <w:t>Behaviour &amp; Information Technology</w:t>
      </w:r>
      <w:r w:rsidRPr="005C65A5">
        <w:rPr>
          <w:rFonts w:cs="Arial"/>
          <w:lang w:val="en-US"/>
        </w:rPr>
        <w:t xml:space="preserve">, 44(8), pp. 1649–1666. doi:10.1080/0144929X.2024.2368087. </w:t>
      </w:r>
    </w:p>
    <w:p w14:paraId="4186710E" w14:textId="77777777" w:rsidR="00E35EAB" w:rsidRPr="005C65A5" w:rsidRDefault="00E35EAB" w:rsidP="005C65A5">
      <w:pPr>
        <w:pStyle w:val="ListParagraph"/>
        <w:numPr>
          <w:ilvl w:val="0"/>
          <w:numId w:val="5"/>
        </w:numPr>
        <w:rPr>
          <w:rFonts w:cs="Arial"/>
          <w:lang w:val="en-US"/>
        </w:rPr>
      </w:pPr>
      <w:r w:rsidRPr="005C65A5">
        <w:rPr>
          <w:rFonts w:cs="Arial"/>
          <w:lang w:val="en-US"/>
        </w:rPr>
        <w:t xml:space="preserve">Winder, R., Campbell, J.L., Akter, N., Aminu, A.Q., Lambert, J., Cockcroft, E., Thomas, C., Clark, C.E., Bryce, C., Sussex, J., Atherton, H., Marriott, C. and Abel, G. (2024). Exploring how patients are supported to use online services in primary care in England through ‘Digital Facilitation’: Survey study. </w:t>
      </w:r>
      <w:r w:rsidRPr="005C65A5">
        <w:rPr>
          <w:rFonts w:cs="Arial"/>
          <w:i/>
          <w:iCs/>
          <w:lang w:val="en-US"/>
        </w:rPr>
        <w:t>Journal of Medical Internet Research</w:t>
      </w:r>
      <w:r w:rsidRPr="005C65A5">
        <w:rPr>
          <w:rFonts w:cs="Arial"/>
          <w:lang w:val="en-US"/>
        </w:rPr>
        <w:t>, [online] 26, pp.e56528–e56528. doi:10.2196/56528.</w:t>
      </w:r>
    </w:p>
    <w:p w14:paraId="740E603A" w14:textId="77777777" w:rsidR="00AB1DD4" w:rsidRDefault="00E35EAB" w:rsidP="005C65A5">
      <w:pPr>
        <w:pStyle w:val="ListParagraph"/>
        <w:numPr>
          <w:ilvl w:val="0"/>
          <w:numId w:val="5"/>
        </w:numPr>
        <w:rPr>
          <w:rFonts w:cs="Arial"/>
          <w:lang w:val="en-US"/>
        </w:rPr>
        <w:sectPr w:rsidR="00AB1DD4" w:rsidSect="00B32C7F">
          <w:footerReference w:type="default" r:id="rId33"/>
          <w:type w:val="continuous"/>
          <w:pgSz w:w="11906" w:h="16838" w:code="9"/>
          <w:pgMar w:top="1440" w:right="1800" w:bottom="1440" w:left="1800" w:header="720" w:footer="720" w:gutter="0"/>
          <w:cols w:space="720"/>
          <w:docGrid w:linePitch="360"/>
        </w:sectPr>
      </w:pPr>
      <w:r w:rsidRPr="005C65A5">
        <w:rPr>
          <w:rFonts w:cs="Arial"/>
          <w:lang w:val="en-US"/>
        </w:rPr>
        <w:t xml:space="preserve">Zhang, J., Gallifant, J., Pierce, R.L., Fordham, A., Teo, J., Celi, L. and Ashrafian, H. (2023) ‘Quantifying digital health inequality across a national healthcare system’, </w:t>
      </w:r>
      <w:r w:rsidRPr="005C65A5">
        <w:rPr>
          <w:rFonts w:cs="Arial"/>
          <w:i/>
          <w:iCs/>
          <w:lang w:val="en-US"/>
        </w:rPr>
        <w:t>BMJ Health &amp; Care Informatics</w:t>
      </w:r>
      <w:r w:rsidRPr="005C65A5">
        <w:rPr>
          <w:rFonts w:cs="Arial"/>
          <w:lang w:val="en-US"/>
        </w:rPr>
        <w:t>, 30(1), e100809. doi:10.1136/bmjhci-2023-100809.</w:t>
      </w:r>
    </w:p>
    <w:p w14:paraId="21FA2DDF" w14:textId="77777777" w:rsidR="00134054" w:rsidRPr="00DF70B3" w:rsidRDefault="00134054" w:rsidP="00DE46BD">
      <w:pPr>
        <w:pStyle w:val="Heading1"/>
        <w:jc w:val="center"/>
        <w:rPr>
          <w:rFonts w:cs="Arial"/>
          <w:lang w:val="en-US"/>
        </w:rPr>
      </w:pPr>
      <w:bookmarkStart w:id="137" w:name="_Toc241175754"/>
      <w:r w:rsidRPr="00DF70B3">
        <w:rPr>
          <w:rFonts w:cs="Arial"/>
          <w:lang w:val="en-US"/>
        </w:rPr>
        <w:lastRenderedPageBreak/>
        <w:t>Appendices</w:t>
      </w:r>
      <w:bookmarkEnd w:id="137"/>
    </w:p>
    <w:p w14:paraId="15BE7E02" w14:textId="20C9A659" w:rsidR="00134054" w:rsidRPr="00DF70B3" w:rsidRDefault="00134054" w:rsidP="00134054">
      <w:pPr>
        <w:pStyle w:val="Heading2"/>
        <w:rPr>
          <w:rFonts w:cs="Arial"/>
          <w:lang w:val="en-US"/>
        </w:rPr>
      </w:pPr>
      <w:bookmarkStart w:id="138" w:name="_Toc241175755"/>
      <w:r w:rsidRPr="00DF70B3">
        <w:rPr>
          <w:rFonts w:cs="Arial"/>
          <w:lang w:val="en-US"/>
        </w:rPr>
        <w:t>Appendix 1 - CASP Critical Appraisals</w:t>
      </w:r>
      <w:bookmarkEnd w:id="138"/>
    </w:p>
    <w:p w14:paraId="47F4DCD5" w14:textId="555503BE" w:rsidR="00134054" w:rsidRPr="00DF70B3" w:rsidRDefault="00134054" w:rsidP="00134054">
      <w:pPr>
        <w:rPr>
          <w:rFonts w:cs="Arial"/>
          <w:lang w:val="en-US"/>
        </w:rPr>
      </w:pPr>
      <w:r w:rsidRPr="00DF70B3">
        <w:rPr>
          <w:rFonts w:cs="Arial"/>
          <w:b/>
          <w:bCs/>
          <w:lang w:val="en-US"/>
        </w:rPr>
        <w:t>Key:</w:t>
      </w:r>
      <w:r w:rsidR="00884EE9">
        <w:rPr>
          <w:rFonts w:cs="Arial"/>
          <w:lang w:val="en-US"/>
        </w:rPr>
        <w:t xml:space="preserve"> Y = Yes; N = No; CT = Can no</w:t>
      </w:r>
      <w:r w:rsidRPr="00DF70B3">
        <w:rPr>
          <w:rFonts w:cs="Arial"/>
          <w:lang w:val="en-US"/>
        </w:rPr>
        <w:t>t tell; N/A = Not applicable.</w:t>
      </w:r>
    </w:p>
    <w:p w14:paraId="7E499178" w14:textId="41B4C7B9" w:rsidR="00134054" w:rsidRPr="00DF70B3" w:rsidRDefault="00134054" w:rsidP="008B0473">
      <w:pPr>
        <w:rPr>
          <w:rFonts w:cs="Arial"/>
          <w:lang w:val="en-US"/>
        </w:rPr>
      </w:pPr>
      <w:r w:rsidRPr="00DF70B3">
        <w:rPr>
          <w:rFonts w:cs="Arial"/>
        </w:rPr>
        <w:t>Table A1: Overall CASP Appraisal Summary of the 15 Included Articles</w:t>
      </w:r>
    </w:p>
    <w:tbl>
      <w:tblPr>
        <w:tblStyle w:val="TableGrid"/>
        <w:tblW w:w="0" w:type="auto"/>
        <w:tblLook w:val="04A0" w:firstRow="1" w:lastRow="0" w:firstColumn="1" w:lastColumn="0" w:noHBand="0" w:noVBand="1"/>
      </w:tblPr>
      <w:tblGrid>
        <w:gridCol w:w="2012"/>
        <w:gridCol w:w="6098"/>
        <w:gridCol w:w="4958"/>
        <w:gridCol w:w="1106"/>
      </w:tblGrid>
      <w:tr w:rsidR="00134054" w:rsidRPr="00DB7FBE" w14:paraId="299F2196" w14:textId="77777777" w:rsidTr="00134054">
        <w:tc>
          <w:tcPr>
            <w:tcW w:w="0" w:type="auto"/>
            <w:hideMark/>
          </w:tcPr>
          <w:p w14:paraId="5E79BBAC" w14:textId="77777777" w:rsidR="00134054" w:rsidRPr="00DB7FBE" w:rsidRDefault="00134054" w:rsidP="00134054">
            <w:pPr>
              <w:spacing w:after="160"/>
              <w:rPr>
                <w:rFonts w:cs="Arial"/>
                <w:b/>
                <w:bCs/>
                <w:sz w:val="20"/>
                <w:szCs w:val="20"/>
                <w:lang w:val="en-US"/>
              </w:rPr>
            </w:pPr>
            <w:r w:rsidRPr="00DB7FBE">
              <w:rPr>
                <w:rFonts w:cs="Arial"/>
                <w:b/>
                <w:bCs/>
                <w:sz w:val="20"/>
                <w:szCs w:val="20"/>
                <w:lang w:val="en-US"/>
              </w:rPr>
              <w:t>Study</w:t>
            </w:r>
          </w:p>
        </w:tc>
        <w:tc>
          <w:tcPr>
            <w:tcW w:w="0" w:type="auto"/>
            <w:hideMark/>
          </w:tcPr>
          <w:p w14:paraId="7F218FEB" w14:textId="77777777" w:rsidR="00134054" w:rsidRPr="00DB7FBE" w:rsidRDefault="00134054" w:rsidP="00134054">
            <w:pPr>
              <w:spacing w:after="160"/>
              <w:rPr>
                <w:rFonts w:cs="Arial"/>
                <w:b/>
                <w:bCs/>
                <w:sz w:val="20"/>
                <w:szCs w:val="20"/>
                <w:lang w:val="en-US"/>
              </w:rPr>
            </w:pPr>
            <w:r w:rsidRPr="00DB7FBE">
              <w:rPr>
                <w:rFonts w:cs="Arial"/>
                <w:b/>
                <w:bCs/>
                <w:sz w:val="20"/>
                <w:szCs w:val="20"/>
                <w:lang w:val="en-US"/>
              </w:rPr>
              <w:t>Principal strengths</w:t>
            </w:r>
          </w:p>
        </w:tc>
        <w:tc>
          <w:tcPr>
            <w:tcW w:w="0" w:type="auto"/>
            <w:hideMark/>
          </w:tcPr>
          <w:p w14:paraId="459B33CA" w14:textId="77777777" w:rsidR="00134054" w:rsidRPr="00DB7FBE" w:rsidRDefault="00134054" w:rsidP="00134054">
            <w:pPr>
              <w:spacing w:after="160"/>
              <w:rPr>
                <w:rFonts w:cs="Arial"/>
                <w:b/>
                <w:bCs/>
                <w:sz w:val="20"/>
                <w:szCs w:val="20"/>
                <w:lang w:val="en-US"/>
              </w:rPr>
            </w:pPr>
            <w:r w:rsidRPr="00DB7FBE">
              <w:rPr>
                <w:rFonts w:cs="Arial"/>
                <w:b/>
                <w:bCs/>
                <w:sz w:val="20"/>
                <w:szCs w:val="20"/>
                <w:lang w:val="en-US"/>
              </w:rPr>
              <w:t>Principal limitations</w:t>
            </w:r>
          </w:p>
        </w:tc>
        <w:tc>
          <w:tcPr>
            <w:tcW w:w="0" w:type="auto"/>
            <w:hideMark/>
          </w:tcPr>
          <w:p w14:paraId="6E1EAB51" w14:textId="77777777" w:rsidR="00134054" w:rsidRPr="00DB7FBE" w:rsidRDefault="00134054" w:rsidP="00134054">
            <w:pPr>
              <w:spacing w:after="160"/>
              <w:rPr>
                <w:rFonts w:cs="Arial"/>
                <w:b/>
                <w:bCs/>
                <w:sz w:val="20"/>
                <w:szCs w:val="20"/>
                <w:lang w:val="en-US"/>
              </w:rPr>
            </w:pPr>
            <w:r w:rsidRPr="00DB7FBE">
              <w:rPr>
                <w:rFonts w:cs="Arial"/>
                <w:b/>
                <w:bCs/>
                <w:sz w:val="20"/>
                <w:szCs w:val="20"/>
                <w:lang w:val="en-US"/>
              </w:rPr>
              <w:t>Overall</w:t>
            </w:r>
          </w:p>
        </w:tc>
      </w:tr>
      <w:tr w:rsidR="00134054" w:rsidRPr="00DB7FBE" w14:paraId="5A442CEC" w14:textId="77777777" w:rsidTr="00134054">
        <w:tc>
          <w:tcPr>
            <w:tcW w:w="0" w:type="auto"/>
            <w:hideMark/>
          </w:tcPr>
          <w:p w14:paraId="58D84557" w14:textId="77777777" w:rsidR="00134054" w:rsidRPr="00DB7FBE" w:rsidRDefault="00134054" w:rsidP="00134054">
            <w:pPr>
              <w:spacing w:after="160"/>
              <w:rPr>
                <w:rFonts w:cs="Arial"/>
                <w:sz w:val="20"/>
                <w:szCs w:val="20"/>
                <w:lang w:val="en-US"/>
              </w:rPr>
            </w:pPr>
            <w:r w:rsidRPr="00DB7FBE">
              <w:rPr>
                <w:rFonts w:cs="Arial"/>
                <w:b/>
                <w:bCs/>
                <w:sz w:val="20"/>
                <w:szCs w:val="20"/>
                <w:lang w:val="en-US"/>
              </w:rPr>
              <w:t>Salisbury et al. (2015)</w:t>
            </w:r>
          </w:p>
        </w:tc>
        <w:tc>
          <w:tcPr>
            <w:tcW w:w="0" w:type="auto"/>
            <w:hideMark/>
          </w:tcPr>
          <w:p w14:paraId="7BE9103D" w14:textId="77777777" w:rsidR="00134054" w:rsidRPr="00DB7FBE" w:rsidRDefault="00134054" w:rsidP="00134054">
            <w:pPr>
              <w:spacing w:after="160"/>
              <w:rPr>
                <w:rFonts w:cs="Arial"/>
                <w:sz w:val="20"/>
                <w:szCs w:val="20"/>
                <w:lang w:val="en-US"/>
              </w:rPr>
            </w:pPr>
            <w:r w:rsidRPr="00DB7FBE">
              <w:rPr>
                <w:rFonts w:cs="Arial"/>
                <w:sz w:val="20"/>
                <w:szCs w:val="20"/>
                <w:lang w:val="en-US"/>
              </w:rPr>
              <w:t>Mixed-methods model development combining evidence synthesis, qualitative work, patient survey and stakeholder refinement; considered patient, professional and organisational factors</w:t>
            </w:r>
          </w:p>
        </w:tc>
        <w:tc>
          <w:tcPr>
            <w:tcW w:w="0" w:type="auto"/>
            <w:hideMark/>
          </w:tcPr>
          <w:p w14:paraId="3720FB1B" w14:textId="77777777" w:rsidR="00134054" w:rsidRPr="00DB7FBE" w:rsidRDefault="00134054" w:rsidP="00134054">
            <w:pPr>
              <w:spacing w:after="160"/>
              <w:rPr>
                <w:rFonts w:cs="Arial"/>
                <w:sz w:val="20"/>
                <w:szCs w:val="20"/>
                <w:lang w:val="en-US"/>
              </w:rPr>
            </w:pPr>
            <w:r w:rsidRPr="00DB7FBE">
              <w:rPr>
                <w:rFonts w:cs="Arial"/>
                <w:sz w:val="20"/>
                <w:szCs w:val="20"/>
                <w:lang w:val="en-US"/>
              </w:rPr>
              <w:t>Multiple evidence strands were combined, making the contribution of particular participant groups less distinct</w:t>
            </w:r>
          </w:p>
        </w:tc>
        <w:tc>
          <w:tcPr>
            <w:tcW w:w="0" w:type="auto"/>
            <w:hideMark/>
          </w:tcPr>
          <w:p w14:paraId="074E19E5" w14:textId="77777777" w:rsidR="00134054" w:rsidRPr="00DB7FBE" w:rsidRDefault="00134054" w:rsidP="00134054">
            <w:pPr>
              <w:spacing w:after="160"/>
              <w:rPr>
                <w:rFonts w:cs="Arial"/>
                <w:sz w:val="20"/>
                <w:szCs w:val="20"/>
                <w:lang w:val="en-US"/>
              </w:rPr>
            </w:pPr>
            <w:r w:rsidRPr="00DB7FBE">
              <w:rPr>
                <w:rFonts w:cs="Arial"/>
                <w:b/>
                <w:bCs/>
                <w:sz w:val="20"/>
                <w:szCs w:val="20"/>
                <w:lang w:val="en-US"/>
              </w:rPr>
              <w:t>Moderate</w:t>
            </w:r>
          </w:p>
        </w:tc>
      </w:tr>
      <w:tr w:rsidR="00134054" w:rsidRPr="00DB7FBE" w14:paraId="7D247744" w14:textId="77777777" w:rsidTr="00134054">
        <w:tc>
          <w:tcPr>
            <w:tcW w:w="0" w:type="auto"/>
            <w:hideMark/>
          </w:tcPr>
          <w:p w14:paraId="047C458F" w14:textId="77777777" w:rsidR="00134054" w:rsidRPr="00DB7FBE" w:rsidRDefault="00134054" w:rsidP="00134054">
            <w:pPr>
              <w:spacing w:after="160"/>
              <w:rPr>
                <w:rFonts w:cs="Arial"/>
                <w:sz w:val="20"/>
                <w:szCs w:val="20"/>
                <w:lang w:val="en-US"/>
              </w:rPr>
            </w:pPr>
            <w:r w:rsidRPr="00DB7FBE">
              <w:rPr>
                <w:rFonts w:cs="Arial"/>
                <w:b/>
                <w:bCs/>
                <w:sz w:val="20"/>
                <w:szCs w:val="20"/>
                <w:lang w:val="en-US"/>
              </w:rPr>
              <w:t>O’Cathain et al. (2016)</w:t>
            </w:r>
          </w:p>
        </w:tc>
        <w:tc>
          <w:tcPr>
            <w:tcW w:w="0" w:type="auto"/>
            <w:hideMark/>
          </w:tcPr>
          <w:p w14:paraId="2E85410A" w14:textId="77777777" w:rsidR="00134054" w:rsidRPr="00DB7FBE" w:rsidRDefault="00134054" w:rsidP="00134054">
            <w:pPr>
              <w:spacing w:after="160"/>
              <w:rPr>
                <w:rFonts w:cs="Arial"/>
                <w:sz w:val="20"/>
                <w:szCs w:val="20"/>
                <w:lang w:val="en-US"/>
              </w:rPr>
            </w:pPr>
            <w:r w:rsidRPr="00DB7FBE">
              <w:rPr>
                <w:rFonts w:cs="Arial"/>
                <w:sz w:val="20"/>
                <w:szCs w:val="20"/>
                <w:lang w:val="en-US"/>
              </w:rPr>
              <w:t>Embedded qualitative interviews with intervention patients and staff; captured continuity, adviser motivation, tailoring and service implementation</w:t>
            </w:r>
          </w:p>
        </w:tc>
        <w:tc>
          <w:tcPr>
            <w:tcW w:w="0" w:type="auto"/>
            <w:hideMark/>
          </w:tcPr>
          <w:p w14:paraId="491CD80D" w14:textId="77777777" w:rsidR="00134054" w:rsidRPr="00DB7FBE" w:rsidRDefault="00134054" w:rsidP="00134054">
            <w:pPr>
              <w:spacing w:after="160"/>
              <w:rPr>
                <w:rFonts w:cs="Arial"/>
                <w:sz w:val="20"/>
                <w:szCs w:val="20"/>
                <w:lang w:val="en-US"/>
              </w:rPr>
            </w:pPr>
            <w:r w:rsidRPr="00DB7FBE">
              <w:rPr>
                <w:rFonts w:cs="Arial"/>
                <w:sz w:val="20"/>
                <w:szCs w:val="20"/>
                <w:lang w:val="en-US"/>
              </w:rPr>
              <w:t>Evidence was closely linked to the Healthlines intervention and participating primary-care services</w:t>
            </w:r>
          </w:p>
        </w:tc>
        <w:tc>
          <w:tcPr>
            <w:tcW w:w="0" w:type="auto"/>
            <w:hideMark/>
          </w:tcPr>
          <w:p w14:paraId="72994622" w14:textId="77777777" w:rsidR="00134054" w:rsidRPr="00DB7FBE" w:rsidRDefault="00134054" w:rsidP="00134054">
            <w:pPr>
              <w:spacing w:after="160"/>
              <w:rPr>
                <w:rFonts w:cs="Arial"/>
                <w:sz w:val="20"/>
                <w:szCs w:val="20"/>
                <w:lang w:val="en-US"/>
              </w:rPr>
            </w:pPr>
            <w:r w:rsidRPr="00DB7FBE">
              <w:rPr>
                <w:rFonts w:cs="Arial"/>
                <w:b/>
                <w:bCs/>
                <w:sz w:val="20"/>
                <w:szCs w:val="20"/>
                <w:lang w:val="en-US"/>
              </w:rPr>
              <w:t>Strong</w:t>
            </w:r>
          </w:p>
        </w:tc>
      </w:tr>
      <w:tr w:rsidR="00134054" w:rsidRPr="00DB7FBE" w14:paraId="54370F03" w14:textId="77777777" w:rsidTr="00134054">
        <w:tc>
          <w:tcPr>
            <w:tcW w:w="0" w:type="auto"/>
            <w:hideMark/>
          </w:tcPr>
          <w:p w14:paraId="7B0061B6" w14:textId="77777777" w:rsidR="00134054" w:rsidRPr="00DB7FBE" w:rsidRDefault="00134054" w:rsidP="00134054">
            <w:pPr>
              <w:spacing w:after="160"/>
              <w:rPr>
                <w:rFonts w:cs="Arial"/>
                <w:sz w:val="20"/>
                <w:szCs w:val="20"/>
                <w:lang w:val="en-US"/>
              </w:rPr>
            </w:pPr>
            <w:r w:rsidRPr="00DB7FBE">
              <w:rPr>
                <w:rFonts w:cs="Arial"/>
                <w:b/>
                <w:bCs/>
                <w:sz w:val="20"/>
                <w:szCs w:val="20"/>
                <w:lang w:val="en-US"/>
              </w:rPr>
              <w:t>Middlemass et al. (2017)</w:t>
            </w:r>
          </w:p>
        </w:tc>
        <w:tc>
          <w:tcPr>
            <w:tcW w:w="0" w:type="auto"/>
            <w:hideMark/>
          </w:tcPr>
          <w:p w14:paraId="58B1869D" w14:textId="77777777" w:rsidR="00134054" w:rsidRPr="00DB7FBE" w:rsidRDefault="00134054" w:rsidP="00134054">
            <w:pPr>
              <w:spacing w:after="160"/>
              <w:rPr>
                <w:rFonts w:cs="Arial"/>
                <w:sz w:val="20"/>
                <w:szCs w:val="20"/>
                <w:lang w:val="en-US"/>
              </w:rPr>
            </w:pPr>
            <w:r w:rsidRPr="00DB7FBE">
              <w:rPr>
                <w:rFonts w:cs="Arial"/>
                <w:sz w:val="20"/>
                <w:szCs w:val="20"/>
                <w:lang w:val="en-US"/>
              </w:rPr>
              <w:t>Two rounds of interviews with patients and carers; framework analysis allowed changing experiences of telemonitoring to be explored</w:t>
            </w:r>
          </w:p>
        </w:tc>
        <w:tc>
          <w:tcPr>
            <w:tcW w:w="0" w:type="auto"/>
            <w:hideMark/>
          </w:tcPr>
          <w:p w14:paraId="2D862CD9" w14:textId="77777777" w:rsidR="00134054" w:rsidRPr="00DB7FBE" w:rsidRDefault="00134054" w:rsidP="00134054">
            <w:pPr>
              <w:spacing w:after="160"/>
              <w:rPr>
                <w:rFonts w:cs="Arial"/>
                <w:sz w:val="20"/>
                <w:szCs w:val="20"/>
                <w:lang w:val="en-US"/>
              </w:rPr>
            </w:pPr>
            <w:r w:rsidRPr="00DB7FBE">
              <w:rPr>
                <w:rFonts w:cs="Arial"/>
                <w:sz w:val="20"/>
                <w:szCs w:val="20"/>
                <w:lang w:val="en-US"/>
              </w:rPr>
              <w:t>Small, context-specific rural sample; experiences were linked to the CHROMED telemonitoring intervention</w:t>
            </w:r>
          </w:p>
        </w:tc>
        <w:tc>
          <w:tcPr>
            <w:tcW w:w="0" w:type="auto"/>
            <w:hideMark/>
          </w:tcPr>
          <w:p w14:paraId="0F734552" w14:textId="77777777" w:rsidR="00134054" w:rsidRPr="00DB7FBE" w:rsidRDefault="00134054" w:rsidP="00134054">
            <w:pPr>
              <w:spacing w:after="160"/>
              <w:rPr>
                <w:rFonts w:cs="Arial"/>
                <w:sz w:val="20"/>
                <w:szCs w:val="20"/>
                <w:lang w:val="en-US"/>
              </w:rPr>
            </w:pPr>
            <w:r w:rsidRPr="00DB7FBE">
              <w:rPr>
                <w:rFonts w:cs="Arial"/>
                <w:b/>
                <w:bCs/>
                <w:sz w:val="20"/>
                <w:szCs w:val="20"/>
                <w:lang w:val="en-US"/>
              </w:rPr>
              <w:t>Strong</w:t>
            </w:r>
          </w:p>
        </w:tc>
      </w:tr>
      <w:tr w:rsidR="00134054" w:rsidRPr="00DB7FBE" w14:paraId="0D04B707" w14:textId="77777777" w:rsidTr="00134054">
        <w:tc>
          <w:tcPr>
            <w:tcW w:w="0" w:type="auto"/>
            <w:hideMark/>
          </w:tcPr>
          <w:p w14:paraId="5F47D715" w14:textId="77777777" w:rsidR="00134054" w:rsidRPr="00DB7FBE" w:rsidRDefault="00134054" w:rsidP="00134054">
            <w:pPr>
              <w:spacing w:after="160"/>
              <w:rPr>
                <w:rFonts w:cs="Arial"/>
                <w:sz w:val="20"/>
                <w:szCs w:val="20"/>
                <w:lang w:val="en-US"/>
              </w:rPr>
            </w:pPr>
            <w:r w:rsidRPr="00DB7FBE">
              <w:rPr>
                <w:rFonts w:cs="Arial"/>
                <w:b/>
                <w:bCs/>
                <w:sz w:val="20"/>
                <w:szCs w:val="20"/>
                <w:lang w:val="en-US"/>
              </w:rPr>
              <w:t>Lewis et al. (2021)</w:t>
            </w:r>
          </w:p>
        </w:tc>
        <w:tc>
          <w:tcPr>
            <w:tcW w:w="0" w:type="auto"/>
            <w:hideMark/>
          </w:tcPr>
          <w:p w14:paraId="6213172B" w14:textId="77777777" w:rsidR="00134054" w:rsidRPr="00DB7FBE" w:rsidRDefault="00134054" w:rsidP="00134054">
            <w:pPr>
              <w:spacing w:after="160"/>
              <w:rPr>
                <w:rFonts w:cs="Arial"/>
                <w:sz w:val="20"/>
                <w:szCs w:val="20"/>
                <w:lang w:val="en-US"/>
              </w:rPr>
            </w:pPr>
            <w:r w:rsidRPr="00DB7FBE">
              <w:rPr>
                <w:rFonts w:cs="Arial"/>
                <w:sz w:val="20"/>
                <w:szCs w:val="20"/>
                <w:lang w:val="en-US"/>
              </w:rPr>
              <w:t>Mixed-methods service evaluation explored feasibility, digital support and patient experience of online pulmonary rehabilitation</w:t>
            </w:r>
          </w:p>
        </w:tc>
        <w:tc>
          <w:tcPr>
            <w:tcW w:w="0" w:type="auto"/>
            <w:hideMark/>
          </w:tcPr>
          <w:p w14:paraId="116CC4F6" w14:textId="77777777" w:rsidR="00134054" w:rsidRPr="00DB7FBE" w:rsidRDefault="00134054" w:rsidP="00134054">
            <w:pPr>
              <w:spacing w:after="160"/>
              <w:rPr>
                <w:rFonts w:cs="Arial"/>
                <w:sz w:val="20"/>
                <w:szCs w:val="20"/>
                <w:lang w:val="en-US"/>
              </w:rPr>
            </w:pPr>
            <w:r w:rsidRPr="00DB7FBE">
              <w:rPr>
                <w:rFonts w:cs="Arial"/>
                <w:sz w:val="20"/>
                <w:szCs w:val="20"/>
                <w:lang w:val="en-US"/>
              </w:rPr>
              <w:t>Small self-selected group of completers; rapid service appraisal and substantial non-participation reduced representativeness</w:t>
            </w:r>
          </w:p>
        </w:tc>
        <w:tc>
          <w:tcPr>
            <w:tcW w:w="0" w:type="auto"/>
            <w:hideMark/>
          </w:tcPr>
          <w:p w14:paraId="14CCB9E8" w14:textId="77777777" w:rsidR="00134054" w:rsidRPr="00DB7FBE" w:rsidRDefault="00134054" w:rsidP="00134054">
            <w:pPr>
              <w:spacing w:after="160"/>
              <w:rPr>
                <w:rFonts w:cs="Arial"/>
                <w:sz w:val="20"/>
                <w:szCs w:val="20"/>
                <w:lang w:val="en-US"/>
              </w:rPr>
            </w:pPr>
            <w:r w:rsidRPr="00DB7FBE">
              <w:rPr>
                <w:rFonts w:cs="Arial"/>
                <w:b/>
                <w:bCs/>
                <w:sz w:val="20"/>
                <w:szCs w:val="20"/>
                <w:lang w:val="en-US"/>
              </w:rPr>
              <w:t>Moderate</w:t>
            </w:r>
          </w:p>
        </w:tc>
      </w:tr>
      <w:tr w:rsidR="00134054" w:rsidRPr="00DB7FBE" w14:paraId="46242ACA" w14:textId="77777777" w:rsidTr="00134054">
        <w:tc>
          <w:tcPr>
            <w:tcW w:w="0" w:type="auto"/>
            <w:hideMark/>
          </w:tcPr>
          <w:p w14:paraId="08EE2E6F" w14:textId="77777777" w:rsidR="00134054" w:rsidRPr="00DB7FBE" w:rsidRDefault="00134054" w:rsidP="00134054">
            <w:pPr>
              <w:spacing w:after="160"/>
              <w:rPr>
                <w:rFonts w:cs="Arial"/>
                <w:sz w:val="20"/>
                <w:szCs w:val="20"/>
                <w:lang w:val="en-US"/>
              </w:rPr>
            </w:pPr>
            <w:r w:rsidRPr="00DB7FBE">
              <w:rPr>
                <w:rFonts w:cs="Arial"/>
                <w:b/>
                <w:bCs/>
                <w:sz w:val="20"/>
                <w:szCs w:val="20"/>
                <w:lang w:val="en-US"/>
              </w:rPr>
              <w:lastRenderedPageBreak/>
              <w:t>Turner et al. (2022)</w:t>
            </w:r>
          </w:p>
        </w:tc>
        <w:tc>
          <w:tcPr>
            <w:tcW w:w="0" w:type="auto"/>
            <w:hideMark/>
          </w:tcPr>
          <w:p w14:paraId="34781637" w14:textId="77777777" w:rsidR="00134054" w:rsidRPr="00DB7FBE" w:rsidRDefault="00134054" w:rsidP="00134054">
            <w:pPr>
              <w:spacing w:after="160"/>
              <w:rPr>
                <w:rFonts w:cs="Arial"/>
                <w:sz w:val="20"/>
                <w:szCs w:val="20"/>
                <w:lang w:val="en-US"/>
              </w:rPr>
            </w:pPr>
            <w:r w:rsidRPr="00DB7FBE">
              <w:rPr>
                <w:rFonts w:cs="Arial"/>
                <w:sz w:val="20"/>
                <w:szCs w:val="20"/>
                <w:lang w:val="en-US"/>
              </w:rPr>
              <w:t>Included both patients and staff across eight practices; qualitative interviews identified workflow, communication and access barriers</w:t>
            </w:r>
          </w:p>
        </w:tc>
        <w:tc>
          <w:tcPr>
            <w:tcW w:w="0" w:type="auto"/>
            <w:hideMark/>
          </w:tcPr>
          <w:p w14:paraId="7DF9172A" w14:textId="77777777" w:rsidR="00134054" w:rsidRPr="00DB7FBE" w:rsidRDefault="00134054" w:rsidP="00134054">
            <w:pPr>
              <w:spacing w:after="160"/>
              <w:rPr>
                <w:rFonts w:cs="Arial"/>
                <w:sz w:val="20"/>
                <w:szCs w:val="20"/>
                <w:lang w:val="en-US"/>
              </w:rPr>
            </w:pPr>
            <w:r w:rsidRPr="00DB7FBE">
              <w:rPr>
                <w:rFonts w:cs="Arial"/>
                <w:sz w:val="20"/>
                <w:szCs w:val="20"/>
                <w:lang w:val="en-US"/>
              </w:rPr>
              <w:t>Findings were based on a limited number of practices in two English regions</w:t>
            </w:r>
          </w:p>
        </w:tc>
        <w:tc>
          <w:tcPr>
            <w:tcW w:w="0" w:type="auto"/>
            <w:hideMark/>
          </w:tcPr>
          <w:p w14:paraId="57FAA8A2" w14:textId="77777777" w:rsidR="00134054" w:rsidRPr="00DB7FBE" w:rsidRDefault="00134054" w:rsidP="00134054">
            <w:pPr>
              <w:spacing w:after="160"/>
              <w:rPr>
                <w:rFonts w:cs="Arial"/>
                <w:sz w:val="20"/>
                <w:szCs w:val="20"/>
                <w:lang w:val="en-US"/>
              </w:rPr>
            </w:pPr>
            <w:r w:rsidRPr="00DB7FBE">
              <w:rPr>
                <w:rFonts w:cs="Arial"/>
                <w:b/>
                <w:bCs/>
                <w:sz w:val="20"/>
                <w:szCs w:val="20"/>
                <w:lang w:val="en-US"/>
              </w:rPr>
              <w:t>Strong</w:t>
            </w:r>
          </w:p>
        </w:tc>
      </w:tr>
      <w:tr w:rsidR="00134054" w:rsidRPr="00DB7FBE" w14:paraId="4D7E3802" w14:textId="77777777" w:rsidTr="00134054">
        <w:tc>
          <w:tcPr>
            <w:tcW w:w="0" w:type="auto"/>
            <w:hideMark/>
          </w:tcPr>
          <w:p w14:paraId="748A5C59" w14:textId="77777777" w:rsidR="00134054" w:rsidRPr="00DB7FBE" w:rsidRDefault="00134054" w:rsidP="00134054">
            <w:pPr>
              <w:spacing w:after="160"/>
              <w:rPr>
                <w:rFonts w:cs="Arial"/>
                <w:sz w:val="20"/>
                <w:szCs w:val="20"/>
                <w:lang w:val="en-US"/>
              </w:rPr>
            </w:pPr>
            <w:r w:rsidRPr="00DB7FBE">
              <w:rPr>
                <w:rFonts w:cs="Arial"/>
                <w:b/>
                <w:bCs/>
                <w:sz w:val="20"/>
                <w:szCs w:val="20"/>
                <w:lang w:val="en-US"/>
              </w:rPr>
              <w:t>Greenhalgh et al. (2022)</w:t>
            </w:r>
          </w:p>
        </w:tc>
        <w:tc>
          <w:tcPr>
            <w:tcW w:w="0" w:type="auto"/>
            <w:hideMark/>
          </w:tcPr>
          <w:p w14:paraId="7B05C1C8" w14:textId="77777777" w:rsidR="00134054" w:rsidRPr="00DB7FBE" w:rsidRDefault="00134054" w:rsidP="00134054">
            <w:pPr>
              <w:spacing w:after="160"/>
              <w:rPr>
                <w:rFonts w:cs="Arial"/>
                <w:sz w:val="20"/>
                <w:szCs w:val="20"/>
                <w:lang w:val="en-US"/>
              </w:rPr>
            </w:pPr>
            <w:r w:rsidRPr="00DB7FBE">
              <w:rPr>
                <w:rFonts w:cs="Arial"/>
                <w:sz w:val="20"/>
                <w:szCs w:val="20"/>
                <w:lang w:val="en-US"/>
              </w:rPr>
              <w:t>Mixed-method case-study evidence across UK primary-care settings; provided contextual insight into when video consultation added value</w:t>
            </w:r>
          </w:p>
        </w:tc>
        <w:tc>
          <w:tcPr>
            <w:tcW w:w="0" w:type="auto"/>
            <w:hideMark/>
          </w:tcPr>
          <w:p w14:paraId="26E814D0" w14:textId="77777777" w:rsidR="00134054" w:rsidRPr="00DB7FBE" w:rsidRDefault="00134054" w:rsidP="00134054">
            <w:pPr>
              <w:spacing w:after="160"/>
              <w:rPr>
                <w:rFonts w:cs="Arial"/>
                <w:sz w:val="20"/>
                <w:szCs w:val="20"/>
                <w:lang w:val="en-US"/>
              </w:rPr>
            </w:pPr>
            <w:r w:rsidRPr="00DB7FBE">
              <w:rPr>
                <w:rFonts w:cs="Arial"/>
                <w:sz w:val="20"/>
                <w:szCs w:val="20"/>
                <w:lang w:val="en-US"/>
              </w:rPr>
              <w:t>Evidence relied substantially on professional perspectives rather than direct older-patient accounts</w:t>
            </w:r>
          </w:p>
        </w:tc>
        <w:tc>
          <w:tcPr>
            <w:tcW w:w="0" w:type="auto"/>
            <w:hideMark/>
          </w:tcPr>
          <w:p w14:paraId="30732C7B" w14:textId="77777777" w:rsidR="00134054" w:rsidRPr="00DB7FBE" w:rsidRDefault="00134054" w:rsidP="00134054">
            <w:pPr>
              <w:spacing w:after="160"/>
              <w:rPr>
                <w:rFonts w:cs="Arial"/>
                <w:sz w:val="20"/>
                <w:szCs w:val="20"/>
                <w:lang w:val="en-US"/>
              </w:rPr>
            </w:pPr>
            <w:r w:rsidRPr="00DB7FBE">
              <w:rPr>
                <w:rFonts w:cs="Arial"/>
                <w:b/>
                <w:bCs/>
                <w:sz w:val="20"/>
                <w:szCs w:val="20"/>
                <w:lang w:val="en-US"/>
              </w:rPr>
              <w:t>Moderate</w:t>
            </w:r>
          </w:p>
        </w:tc>
      </w:tr>
      <w:tr w:rsidR="00134054" w:rsidRPr="00DB7FBE" w14:paraId="107EFB78" w14:textId="77777777" w:rsidTr="00134054">
        <w:tc>
          <w:tcPr>
            <w:tcW w:w="0" w:type="auto"/>
            <w:hideMark/>
          </w:tcPr>
          <w:p w14:paraId="7E378FF2" w14:textId="77777777" w:rsidR="00134054" w:rsidRPr="00DB7FBE" w:rsidRDefault="00134054" w:rsidP="00134054">
            <w:pPr>
              <w:spacing w:after="160"/>
              <w:rPr>
                <w:rFonts w:cs="Arial"/>
                <w:sz w:val="20"/>
                <w:szCs w:val="20"/>
                <w:lang w:val="en-US"/>
              </w:rPr>
            </w:pPr>
            <w:r w:rsidRPr="00DB7FBE">
              <w:rPr>
                <w:rFonts w:cs="Arial"/>
                <w:b/>
                <w:bCs/>
                <w:sz w:val="20"/>
                <w:szCs w:val="20"/>
                <w:lang w:val="en-US"/>
              </w:rPr>
              <w:t>Ochieng et al. (2022)</w:t>
            </w:r>
          </w:p>
        </w:tc>
        <w:tc>
          <w:tcPr>
            <w:tcW w:w="0" w:type="auto"/>
            <w:hideMark/>
          </w:tcPr>
          <w:p w14:paraId="349A3458" w14:textId="77777777" w:rsidR="00134054" w:rsidRPr="00DB7FBE" w:rsidRDefault="00134054" w:rsidP="00134054">
            <w:pPr>
              <w:spacing w:after="160"/>
              <w:rPr>
                <w:rFonts w:cs="Arial"/>
                <w:sz w:val="20"/>
                <w:szCs w:val="20"/>
                <w:lang w:val="en-US"/>
              </w:rPr>
            </w:pPr>
            <w:r w:rsidRPr="00DB7FBE">
              <w:rPr>
                <w:rFonts w:cs="Arial"/>
                <w:sz w:val="20"/>
                <w:szCs w:val="20"/>
                <w:lang w:val="en-US"/>
              </w:rPr>
              <w:t>Framework analysis explored staff-assisted augmented video in care homes and its clinical suitability for frail residents</w:t>
            </w:r>
          </w:p>
        </w:tc>
        <w:tc>
          <w:tcPr>
            <w:tcW w:w="0" w:type="auto"/>
            <w:hideMark/>
          </w:tcPr>
          <w:p w14:paraId="1AD6F082" w14:textId="77777777" w:rsidR="00134054" w:rsidRPr="00DB7FBE" w:rsidRDefault="00134054" w:rsidP="00134054">
            <w:pPr>
              <w:spacing w:after="160"/>
              <w:rPr>
                <w:rFonts w:cs="Arial"/>
                <w:sz w:val="20"/>
                <w:szCs w:val="20"/>
                <w:lang w:val="en-US"/>
              </w:rPr>
            </w:pPr>
            <w:r w:rsidRPr="00DB7FBE">
              <w:rPr>
                <w:rFonts w:cs="Arial"/>
                <w:sz w:val="20"/>
                <w:szCs w:val="20"/>
                <w:lang w:val="en-US"/>
              </w:rPr>
              <w:t>Direct resident voices were not included; evidence was mainly from GPs, nurses and care staff</w:t>
            </w:r>
          </w:p>
        </w:tc>
        <w:tc>
          <w:tcPr>
            <w:tcW w:w="0" w:type="auto"/>
            <w:hideMark/>
          </w:tcPr>
          <w:p w14:paraId="42D56B37" w14:textId="77777777" w:rsidR="00134054" w:rsidRPr="00DB7FBE" w:rsidRDefault="00134054" w:rsidP="00134054">
            <w:pPr>
              <w:spacing w:after="160"/>
              <w:rPr>
                <w:rFonts w:cs="Arial"/>
                <w:sz w:val="20"/>
                <w:szCs w:val="20"/>
                <w:lang w:val="en-US"/>
              </w:rPr>
            </w:pPr>
            <w:r w:rsidRPr="00DB7FBE">
              <w:rPr>
                <w:rFonts w:cs="Arial"/>
                <w:b/>
                <w:bCs/>
                <w:sz w:val="20"/>
                <w:szCs w:val="20"/>
                <w:lang w:val="en-US"/>
              </w:rPr>
              <w:t>Moderate</w:t>
            </w:r>
          </w:p>
        </w:tc>
      </w:tr>
      <w:tr w:rsidR="00134054" w:rsidRPr="00DB7FBE" w14:paraId="6BF22B74" w14:textId="77777777" w:rsidTr="00134054">
        <w:tc>
          <w:tcPr>
            <w:tcW w:w="0" w:type="auto"/>
            <w:hideMark/>
          </w:tcPr>
          <w:p w14:paraId="7281DFF1" w14:textId="77777777" w:rsidR="00134054" w:rsidRPr="00DB7FBE" w:rsidRDefault="00134054" w:rsidP="00134054">
            <w:pPr>
              <w:spacing w:after="160"/>
              <w:rPr>
                <w:rFonts w:cs="Arial"/>
                <w:sz w:val="20"/>
                <w:szCs w:val="20"/>
                <w:lang w:val="en-US"/>
              </w:rPr>
            </w:pPr>
            <w:r w:rsidRPr="00DB7FBE">
              <w:rPr>
                <w:rFonts w:cs="Arial"/>
                <w:b/>
                <w:bCs/>
                <w:sz w:val="20"/>
                <w:szCs w:val="20"/>
                <w:lang w:val="en-US"/>
              </w:rPr>
              <w:t>Moody et al. (2024)</w:t>
            </w:r>
          </w:p>
        </w:tc>
        <w:tc>
          <w:tcPr>
            <w:tcW w:w="0" w:type="auto"/>
            <w:hideMark/>
          </w:tcPr>
          <w:p w14:paraId="7B7906F9" w14:textId="77777777" w:rsidR="00134054" w:rsidRPr="00DB7FBE" w:rsidRDefault="00134054" w:rsidP="00134054">
            <w:pPr>
              <w:spacing w:after="160"/>
              <w:rPr>
                <w:rFonts w:cs="Arial"/>
                <w:sz w:val="20"/>
                <w:szCs w:val="20"/>
                <w:lang w:val="en-US"/>
              </w:rPr>
            </w:pPr>
            <w:r w:rsidRPr="00DB7FBE">
              <w:rPr>
                <w:rFonts w:cs="Arial"/>
                <w:sz w:val="20"/>
                <w:szCs w:val="20"/>
                <w:lang w:val="en-US"/>
              </w:rPr>
              <w:t>Structured modified e-Delphi process explored onboarding, accessibility, multi-condition integration, data control and ongoing support</w:t>
            </w:r>
          </w:p>
        </w:tc>
        <w:tc>
          <w:tcPr>
            <w:tcW w:w="0" w:type="auto"/>
            <w:hideMark/>
          </w:tcPr>
          <w:p w14:paraId="6D0D8A59" w14:textId="77777777" w:rsidR="00134054" w:rsidRPr="00DB7FBE" w:rsidRDefault="00134054" w:rsidP="00134054">
            <w:pPr>
              <w:spacing w:after="160"/>
              <w:rPr>
                <w:rFonts w:cs="Arial"/>
                <w:sz w:val="20"/>
                <w:szCs w:val="20"/>
                <w:lang w:val="en-US"/>
              </w:rPr>
            </w:pPr>
            <w:r w:rsidRPr="00DB7FBE">
              <w:rPr>
                <w:rFonts w:cs="Arial"/>
                <w:sz w:val="20"/>
                <w:szCs w:val="20"/>
                <w:lang w:val="en-US"/>
              </w:rPr>
              <w:t>Evidence reflected expert consensus rather than direct interviews with older adults</w:t>
            </w:r>
          </w:p>
        </w:tc>
        <w:tc>
          <w:tcPr>
            <w:tcW w:w="0" w:type="auto"/>
            <w:hideMark/>
          </w:tcPr>
          <w:p w14:paraId="3B8156F8" w14:textId="77777777" w:rsidR="00134054" w:rsidRPr="00DB7FBE" w:rsidRDefault="00134054" w:rsidP="00134054">
            <w:pPr>
              <w:spacing w:after="160"/>
              <w:rPr>
                <w:rFonts w:cs="Arial"/>
                <w:sz w:val="20"/>
                <w:szCs w:val="20"/>
                <w:lang w:val="en-US"/>
              </w:rPr>
            </w:pPr>
            <w:r w:rsidRPr="00DB7FBE">
              <w:rPr>
                <w:rFonts w:cs="Arial"/>
                <w:b/>
                <w:bCs/>
                <w:sz w:val="20"/>
                <w:szCs w:val="20"/>
                <w:lang w:val="en-US"/>
              </w:rPr>
              <w:t>Moderate</w:t>
            </w:r>
          </w:p>
        </w:tc>
      </w:tr>
      <w:tr w:rsidR="00134054" w:rsidRPr="00DB7FBE" w14:paraId="6342BBBD" w14:textId="77777777" w:rsidTr="00134054">
        <w:tc>
          <w:tcPr>
            <w:tcW w:w="0" w:type="auto"/>
            <w:hideMark/>
          </w:tcPr>
          <w:p w14:paraId="4479E64B" w14:textId="77777777" w:rsidR="00134054" w:rsidRPr="00DB7FBE" w:rsidRDefault="00134054" w:rsidP="00134054">
            <w:pPr>
              <w:spacing w:after="160"/>
              <w:rPr>
                <w:rFonts w:cs="Arial"/>
                <w:sz w:val="20"/>
                <w:szCs w:val="20"/>
                <w:lang w:val="en-US"/>
              </w:rPr>
            </w:pPr>
            <w:r w:rsidRPr="00DB7FBE">
              <w:rPr>
                <w:rFonts w:cs="Arial"/>
                <w:b/>
                <w:bCs/>
                <w:sz w:val="20"/>
                <w:szCs w:val="20"/>
                <w:lang w:val="en-US"/>
              </w:rPr>
              <w:t>Moschogianis et al. (2024)</w:t>
            </w:r>
          </w:p>
        </w:tc>
        <w:tc>
          <w:tcPr>
            <w:tcW w:w="0" w:type="auto"/>
            <w:hideMark/>
          </w:tcPr>
          <w:p w14:paraId="1384AD7B" w14:textId="77777777" w:rsidR="00134054" w:rsidRPr="00DB7FBE" w:rsidRDefault="00134054" w:rsidP="00134054">
            <w:pPr>
              <w:spacing w:after="160"/>
              <w:rPr>
                <w:rFonts w:cs="Arial"/>
                <w:sz w:val="20"/>
                <w:szCs w:val="20"/>
                <w:lang w:val="en-US"/>
              </w:rPr>
            </w:pPr>
            <w:r w:rsidRPr="00DB7FBE">
              <w:rPr>
                <w:rFonts w:cs="Arial"/>
                <w:sz w:val="20"/>
                <w:szCs w:val="20"/>
                <w:lang w:val="en-US"/>
              </w:rPr>
              <w:t>Combined 25 interviews with 21,467 user comments from 11,851 users; provided substantial qualitative evidence on asynchronous online consultation</w:t>
            </w:r>
          </w:p>
        </w:tc>
        <w:tc>
          <w:tcPr>
            <w:tcW w:w="0" w:type="auto"/>
            <w:hideMark/>
          </w:tcPr>
          <w:p w14:paraId="6400002D" w14:textId="77777777" w:rsidR="00134054" w:rsidRPr="00DB7FBE" w:rsidRDefault="00134054" w:rsidP="00134054">
            <w:pPr>
              <w:spacing w:after="160"/>
              <w:rPr>
                <w:rFonts w:cs="Arial"/>
                <w:sz w:val="20"/>
                <w:szCs w:val="20"/>
                <w:lang w:val="en-US"/>
              </w:rPr>
            </w:pPr>
            <w:r w:rsidRPr="00DB7FBE">
              <w:rPr>
                <w:rFonts w:cs="Arial"/>
                <w:sz w:val="20"/>
                <w:szCs w:val="20"/>
                <w:lang w:val="en-US"/>
              </w:rPr>
              <w:t>Findings were closely related to the implementation and use of the Patchs consultation system</w:t>
            </w:r>
          </w:p>
        </w:tc>
        <w:tc>
          <w:tcPr>
            <w:tcW w:w="0" w:type="auto"/>
            <w:hideMark/>
          </w:tcPr>
          <w:p w14:paraId="6F13BCE6" w14:textId="77777777" w:rsidR="00134054" w:rsidRPr="00DB7FBE" w:rsidRDefault="00134054" w:rsidP="00134054">
            <w:pPr>
              <w:spacing w:after="160"/>
              <w:rPr>
                <w:rFonts w:cs="Arial"/>
                <w:sz w:val="20"/>
                <w:szCs w:val="20"/>
                <w:lang w:val="en-US"/>
              </w:rPr>
            </w:pPr>
            <w:r w:rsidRPr="00DB7FBE">
              <w:rPr>
                <w:rFonts w:cs="Arial"/>
                <w:b/>
                <w:bCs/>
                <w:sz w:val="20"/>
                <w:szCs w:val="20"/>
                <w:lang w:val="en-US"/>
              </w:rPr>
              <w:t>Strong</w:t>
            </w:r>
          </w:p>
        </w:tc>
      </w:tr>
      <w:tr w:rsidR="00134054" w:rsidRPr="00DB7FBE" w14:paraId="570BB09E" w14:textId="77777777" w:rsidTr="00134054">
        <w:tc>
          <w:tcPr>
            <w:tcW w:w="0" w:type="auto"/>
            <w:hideMark/>
          </w:tcPr>
          <w:p w14:paraId="122928FD" w14:textId="77777777" w:rsidR="00134054" w:rsidRPr="00DB7FBE" w:rsidRDefault="00134054" w:rsidP="00134054">
            <w:pPr>
              <w:spacing w:after="160"/>
              <w:rPr>
                <w:rFonts w:cs="Arial"/>
                <w:sz w:val="20"/>
                <w:szCs w:val="20"/>
                <w:lang w:val="en-US"/>
              </w:rPr>
            </w:pPr>
            <w:r w:rsidRPr="00DB7FBE">
              <w:rPr>
                <w:rFonts w:cs="Arial"/>
                <w:b/>
                <w:bCs/>
                <w:sz w:val="20"/>
                <w:szCs w:val="20"/>
                <w:lang w:val="en-US"/>
              </w:rPr>
              <w:t>Atherton et al. (2024)</w:t>
            </w:r>
          </w:p>
        </w:tc>
        <w:tc>
          <w:tcPr>
            <w:tcW w:w="0" w:type="auto"/>
            <w:hideMark/>
          </w:tcPr>
          <w:p w14:paraId="501637E4" w14:textId="77777777" w:rsidR="00134054" w:rsidRPr="00DB7FBE" w:rsidRDefault="00134054" w:rsidP="00134054">
            <w:pPr>
              <w:spacing w:after="160"/>
              <w:rPr>
                <w:rFonts w:cs="Arial"/>
                <w:sz w:val="20"/>
                <w:szCs w:val="20"/>
                <w:lang w:val="en-US"/>
              </w:rPr>
            </w:pPr>
            <w:r w:rsidRPr="00DB7FBE">
              <w:rPr>
                <w:rFonts w:cs="Arial"/>
                <w:sz w:val="20"/>
                <w:szCs w:val="20"/>
                <w:lang w:val="en-US"/>
              </w:rPr>
              <w:t>Large mixed-methods study combining 1,327,693 national survey responses with 43 patient interviews; strong triangulation of uptake and experience</w:t>
            </w:r>
          </w:p>
        </w:tc>
        <w:tc>
          <w:tcPr>
            <w:tcW w:w="0" w:type="auto"/>
            <w:hideMark/>
          </w:tcPr>
          <w:p w14:paraId="7F6B18B1" w14:textId="77777777" w:rsidR="00134054" w:rsidRPr="00DB7FBE" w:rsidRDefault="00134054" w:rsidP="00134054">
            <w:pPr>
              <w:spacing w:after="160"/>
              <w:rPr>
                <w:rFonts w:cs="Arial"/>
                <w:sz w:val="20"/>
                <w:szCs w:val="20"/>
                <w:lang w:val="en-US"/>
              </w:rPr>
            </w:pPr>
            <w:r w:rsidRPr="00DB7FBE">
              <w:rPr>
                <w:rFonts w:cs="Arial"/>
                <w:sz w:val="20"/>
                <w:szCs w:val="20"/>
                <w:lang w:val="en-US"/>
              </w:rPr>
              <w:t>Qualitative evidence represented a much smaller component than the national survey evidence</w:t>
            </w:r>
          </w:p>
        </w:tc>
        <w:tc>
          <w:tcPr>
            <w:tcW w:w="0" w:type="auto"/>
            <w:hideMark/>
          </w:tcPr>
          <w:p w14:paraId="4A9F2999" w14:textId="77777777" w:rsidR="00134054" w:rsidRPr="00DB7FBE" w:rsidRDefault="00134054" w:rsidP="00134054">
            <w:pPr>
              <w:spacing w:after="160"/>
              <w:rPr>
                <w:rFonts w:cs="Arial"/>
                <w:sz w:val="20"/>
                <w:szCs w:val="20"/>
                <w:lang w:val="en-US"/>
              </w:rPr>
            </w:pPr>
            <w:r w:rsidRPr="00DB7FBE">
              <w:rPr>
                <w:rFonts w:cs="Arial"/>
                <w:b/>
                <w:bCs/>
                <w:sz w:val="20"/>
                <w:szCs w:val="20"/>
                <w:lang w:val="en-US"/>
              </w:rPr>
              <w:t>Strong</w:t>
            </w:r>
          </w:p>
        </w:tc>
      </w:tr>
      <w:tr w:rsidR="00134054" w:rsidRPr="00DB7FBE" w14:paraId="67D6F1A3" w14:textId="77777777" w:rsidTr="00134054">
        <w:tc>
          <w:tcPr>
            <w:tcW w:w="0" w:type="auto"/>
            <w:hideMark/>
          </w:tcPr>
          <w:p w14:paraId="768375A9" w14:textId="77777777" w:rsidR="00134054" w:rsidRPr="00DB7FBE" w:rsidRDefault="00134054" w:rsidP="00134054">
            <w:pPr>
              <w:spacing w:after="160"/>
              <w:rPr>
                <w:rFonts w:cs="Arial"/>
                <w:sz w:val="20"/>
                <w:szCs w:val="20"/>
                <w:lang w:val="en-US"/>
              </w:rPr>
            </w:pPr>
            <w:r w:rsidRPr="00DB7FBE">
              <w:rPr>
                <w:rFonts w:cs="Arial"/>
                <w:b/>
                <w:bCs/>
                <w:sz w:val="20"/>
                <w:szCs w:val="20"/>
                <w:lang w:val="en-US"/>
              </w:rPr>
              <w:t>Money et al. (2024)</w:t>
            </w:r>
          </w:p>
        </w:tc>
        <w:tc>
          <w:tcPr>
            <w:tcW w:w="0" w:type="auto"/>
            <w:hideMark/>
          </w:tcPr>
          <w:p w14:paraId="2C45D38D" w14:textId="77777777" w:rsidR="00134054" w:rsidRPr="00DB7FBE" w:rsidRDefault="00134054" w:rsidP="00134054">
            <w:pPr>
              <w:spacing w:after="160"/>
              <w:rPr>
                <w:rFonts w:cs="Arial"/>
                <w:sz w:val="20"/>
                <w:szCs w:val="20"/>
                <w:lang w:val="en-US"/>
              </w:rPr>
            </w:pPr>
            <w:r w:rsidRPr="00DB7FBE">
              <w:rPr>
                <w:rFonts w:cs="Arial"/>
                <w:sz w:val="20"/>
                <w:szCs w:val="20"/>
                <w:lang w:val="en-US"/>
              </w:rPr>
              <w:t>Focused specifically on adults aged 75–91 and included support-worker perspectives; explored practical barriers, fear, support and choice</w:t>
            </w:r>
          </w:p>
        </w:tc>
        <w:tc>
          <w:tcPr>
            <w:tcW w:w="0" w:type="auto"/>
            <w:hideMark/>
          </w:tcPr>
          <w:p w14:paraId="0DD18525" w14:textId="77777777" w:rsidR="00134054" w:rsidRPr="00DB7FBE" w:rsidRDefault="00134054" w:rsidP="00134054">
            <w:pPr>
              <w:spacing w:after="160"/>
              <w:rPr>
                <w:rFonts w:cs="Arial"/>
                <w:sz w:val="20"/>
                <w:szCs w:val="20"/>
                <w:lang w:val="en-US"/>
              </w:rPr>
            </w:pPr>
            <w:r w:rsidRPr="00DB7FBE">
              <w:rPr>
                <w:rFonts w:cs="Arial"/>
                <w:sz w:val="20"/>
                <w:szCs w:val="20"/>
                <w:lang w:val="en-US"/>
              </w:rPr>
              <w:t>Approximately three-quarters of participants were already digitally engaged, potentially under-representing non-users</w:t>
            </w:r>
          </w:p>
        </w:tc>
        <w:tc>
          <w:tcPr>
            <w:tcW w:w="0" w:type="auto"/>
            <w:hideMark/>
          </w:tcPr>
          <w:p w14:paraId="39ED8368" w14:textId="77777777" w:rsidR="00134054" w:rsidRPr="00DB7FBE" w:rsidRDefault="00134054" w:rsidP="00134054">
            <w:pPr>
              <w:spacing w:after="160"/>
              <w:rPr>
                <w:rFonts w:cs="Arial"/>
                <w:sz w:val="20"/>
                <w:szCs w:val="20"/>
                <w:lang w:val="en-US"/>
              </w:rPr>
            </w:pPr>
            <w:r w:rsidRPr="00DB7FBE">
              <w:rPr>
                <w:rFonts w:cs="Arial"/>
                <w:b/>
                <w:bCs/>
                <w:sz w:val="20"/>
                <w:szCs w:val="20"/>
                <w:lang w:val="en-US"/>
              </w:rPr>
              <w:t>Moderate</w:t>
            </w:r>
          </w:p>
        </w:tc>
      </w:tr>
      <w:tr w:rsidR="00134054" w:rsidRPr="00DB7FBE" w14:paraId="1782AC67" w14:textId="77777777" w:rsidTr="00134054">
        <w:tc>
          <w:tcPr>
            <w:tcW w:w="0" w:type="auto"/>
            <w:hideMark/>
          </w:tcPr>
          <w:p w14:paraId="3C00F7A5" w14:textId="77777777" w:rsidR="00134054" w:rsidRPr="00DB7FBE" w:rsidRDefault="00134054" w:rsidP="00134054">
            <w:pPr>
              <w:spacing w:after="160"/>
              <w:rPr>
                <w:rFonts w:cs="Arial"/>
                <w:sz w:val="20"/>
                <w:szCs w:val="20"/>
                <w:lang w:val="en-US"/>
              </w:rPr>
            </w:pPr>
            <w:r w:rsidRPr="00DB7FBE">
              <w:rPr>
                <w:rFonts w:cs="Arial"/>
                <w:b/>
                <w:bCs/>
                <w:sz w:val="20"/>
                <w:szCs w:val="20"/>
                <w:lang w:val="en-US"/>
              </w:rPr>
              <w:t xml:space="preserve">Chadwick et al. </w:t>
            </w:r>
            <w:r w:rsidRPr="00DB7FBE">
              <w:rPr>
                <w:rFonts w:cs="Arial"/>
                <w:b/>
                <w:bCs/>
                <w:sz w:val="20"/>
                <w:szCs w:val="20"/>
                <w:lang w:val="en-US"/>
              </w:rPr>
              <w:lastRenderedPageBreak/>
              <w:t>(2024)</w:t>
            </w:r>
          </w:p>
        </w:tc>
        <w:tc>
          <w:tcPr>
            <w:tcW w:w="0" w:type="auto"/>
            <w:hideMark/>
          </w:tcPr>
          <w:p w14:paraId="0C295155" w14:textId="77777777" w:rsidR="00134054" w:rsidRPr="00DB7FBE" w:rsidRDefault="00134054" w:rsidP="00134054">
            <w:pPr>
              <w:spacing w:after="160"/>
              <w:rPr>
                <w:rFonts w:cs="Arial"/>
                <w:sz w:val="20"/>
                <w:szCs w:val="20"/>
                <w:lang w:val="en-US"/>
              </w:rPr>
            </w:pPr>
            <w:r w:rsidRPr="00DB7FBE">
              <w:rPr>
                <w:rFonts w:cs="Arial"/>
                <w:sz w:val="20"/>
                <w:szCs w:val="20"/>
                <w:lang w:val="en-US"/>
              </w:rPr>
              <w:lastRenderedPageBreak/>
              <w:t xml:space="preserve">Purposive recruitment; included literacy measures and a </w:t>
            </w:r>
            <w:r w:rsidRPr="00DB7FBE">
              <w:rPr>
                <w:rFonts w:cs="Arial"/>
                <w:sz w:val="20"/>
                <w:szCs w:val="20"/>
                <w:lang w:val="en-US"/>
              </w:rPr>
              <w:lastRenderedPageBreak/>
              <w:t>theoretical framework; themes were developed by multiple researchers</w:t>
            </w:r>
          </w:p>
        </w:tc>
        <w:tc>
          <w:tcPr>
            <w:tcW w:w="0" w:type="auto"/>
            <w:hideMark/>
          </w:tcPr>
          <w:p w14:paraId="2821DBEF" w14:textId="77777777" w:rsidR="00134054" w:rsidRPr="00DB7FBE" w:rsidRDefault="00134054" w:rsidP="00134054">
            <w:pPr>
              <w:spacing w:after="160"/>
              <w:rPr>
                <w:rFonts w:cs="Arial"/>
                <w:sz w:val="20"/>
                <w:szCs w:val="20"/>
                <w:lang w:val="en-US"/>
              </w:rPr>
            </w:pPr>
            <w:r w:rsidRPr="00DB7FBE">
              <w:rPr>
                <w:rFonts w:cs="Arial"/>
                <w:sz w:val="20"/>
                <w:szCs w:val="20"/>
                <w:lang w:val="en-US"/>
              </w:rPr>
              <w:lastRenderedPageBreak/>
              <w:t xml:space="preserve">Evidence came from three English kidney centres </w:t>
            </w:r>
            <w:r w:rsidRPr="00DB7FBE">
              <w:rPr>
                <w:rFonts w:cs="Arial"/>
                <w:sz w:val="20"/>
                <w:szCs w:val="20"/>
                <w:lang w:val="en-US"/>
              </w:rPr>
              <w:lastRenderedPageBreak/>
              <w:t>and focused specifically on people with CKD</w:t>
            </w:r>
          </w:p>
        </w:tc>
        <w:tc>
          <w:tcPr>
            <w:tcW w:w="0" w:type="auto"/>
            <w:hideMark/>
          </w:tcPr>
          <w:p w14:paraId="35FF2030" w14:textId="77777777" w:rsidR="00134054" w:rsidRPr="00DB7FBE" w:rsidRDefault="00134054" w:rsidP="00134054">
            <w:pPr>
              <w:spacing w:after="160"/>
              <w:rPr>
                <w:rFonts w:cs="Arial"/>
                <w:sz w:val="20"/>
                <w:szCs w:val="20"/>
                <w:lang w:val="en-US"/>
              </w:rPr>
            </w:pPr>
            <w:r w:rsidRPr="00DB7FBE">
              <w:rPr>
                <w:rFonts w:cs="Arial"/>
                <w:b/>
                <w:bCs/>
                <w:sz w:val="20"/>
                <w:szCs w:val="20"/>
                <w:lang w:val="en-US"/>
              </w:rPr>
              <w:lastRenderedPageBreak/>
              <w:t>Strong</w:t>
            </w:r>
          </w:p>
        </w:tc>
      </w:tr>
      <w:tr w:rsidR="00134054" w:rsidRPr="00DB7FBE" w14:paraId="465C9555" w14:textId="77777777" w:rsidTr="00134054">
        <w:tc>
          <w:tcPr>
            <w:tcW w:w="0" w:type="auto"/>
            <w:hideMark/>
          </w:tcPr>
          <w:p w14:paraId="0B1CB287" w14:textId="77777777" w:rsidR="00134054" w:rsidRPr="00DB7FBE" w:rsidRDefault="00134054" w:rsidP="00134054">
            <w:pPr>
              <w:spacing w:after="160"/>
              <w:rPr>
                <w:rFonts w:cs="Arial"/>
                <w:sz w:val="20"/>
                <w:szCs w:val="20"/>
                <w:lang w:val="en-US"/>
              </w:rPr>
            </w:pPr>
            <w:r w:rsidRPr="00DB7FBE">
              <w:rPr>
                <w:rFonts w:cs="Arial"/>
                <w:b/>
                <w:bCs/>
                <w:sz w:val="20"/>
                <w:szCs w:val="20"/>
                <w:lang w:val="en-US"/>
              </w:rPr>
              <w:t>Ahmed et al. (2024)</w:t>
            </w:r>
          </w:p>
        </w:tc>
        <w:tc>
          <w:tcPr>
            <w:tcW w:w="0" w:type="auto"/>
            <w:hideMark/>
          </w:tcPr>
          <w:p w14:paraId="66F9A6FA" w14:textId="77777777" w:rsidR="00134054" w:rsidRPr="00DB7FBE" w:rsidRDefault="00134054" w:rsidP="00134054">
            <w:pPr>
              <w:spacing w:after="160"/>
              <w:rPr>
                <w:rFonts w:cs="Arial"/>
                <w:sz w:val="20"/>
                <w:szCs w:val="20"/>
                <w:lang w:val="en-US"/>
              </w:rPr>
            </w:pPr>
            <w:r w:rsidRPr="00DB7FBE">
              <w:rPr>
                <w:rFonts w:cs="Arial"/>
                <w:sz w:val="20"/>
                <w:szCs w:val="20"/>
                <w:lang w:val="en-US"/>
              </w:rPr>
              <w:t>Focus groups specifically included older South Asian, Black African and Caribbean adults; addressed language, discrimination, digital skills and culturally appropriate support</w:t>
            </w:r>
          </w:p>
        </w:tc>
        <w:tc>
          <w:tcPr>
            <w:tcW w:w="0" w:type="auto"/>
            <w:hideMark/>
          </w:tcPr>
          <w:p w14:paraId="1287BF08" w14:textId="77777777" w:rsidR="00134054" w:rsidRPr="00DB7FBE" w:rsidRDefault="00134054" w:rsidP="00134054">
            <w:pPr>
              <w:spacing w:after="160"/>
              <w:rPr>
                <w:rFonts w:cs="Arial"/>
                <w:sz w:val="20"/>
                <w:szCs w:val="20"/>
                <w:lang w:val="en-US"/>
              </w:rPr>
            </w:pPr>
            <w:r w:rsidRPr="00DB7FBE">
              <w:rPr>
                <w:rFonts w:cs="Arial"/>
                <w:sz w:val="20"/>
                <w:szCs w:val="20"/>
                <w:lang w:val="en-US"/>
              </w:rPr>
              <w:t>Relatively small community-based sample and experiences were context-specific</w:t>
            </w:r>
          </w:p>
        </w:tc>
        <w:tc>
          <w:tcPr>
            <w:tcW w:w="0" w:type="auto"/>
            <w:hideMark/>
          </w:tcPr>
          <w:p w14:paraId="7CB85332" w14:textId="77777777" w:rsidR="00134054" w:rsidRPr="00DB7FBE" w:rsidRDefault="00134054" w:rsidP="00134054">
            <w:pPr>
              <w:spacing w:after="160"/>
              <w:rPr>
                <w:rFonts w:cs="Arial"/>
                <w:sz w:val="20"/>
                <w:szCs w:val="20"/>
                <w:lang w:val="en-US"/>
              </w:rPr>
            </w:pPr>
            <w:r w:rsidRPr="00DB7FBE">
              <w:rPr>
                <w:rFonts w:cs="Arial"/>
                <w:b/>
                <w:bCs/>
                <w:sz w:val="20"/>
                <w:szCs w:val="20"/>
                <w:lang w:val="en-US"/>
              </w:rPr>
              <w:t>Strong</w:t>
            </w:r>
          </w:p>
        </w:tc>
      </w:tr>
      <w:tr w:rsidR="00134054" w:rsidRPr="00DB7FBE" w14:paraId="4F9B157F" w14:textId="77777777" w:rsidTr="00134054">
        <w:tc>
          <w:tcPr>
            <w:tcW w:w="0" w:type="auto"/>
            <w:hideMark/>
          </w:tcPr>
          <w:p w14:paraId="68D9B492" w14:textId="77777777" w:rsidR="00134054" w:rsidRPr="00DB7FBE" w:rsidRDefault="00134054" w:rsidP="00134054">
            <w:pPr>
              <w:spacing w:after="160"/>
              <w:rPr>
                <w:rFonts w:cs="Arial"/>
                <w:sz w:val="20"/>
                <w:szCs w:val="20"/>
                <w:lang w:val="en-US"/>
              </w:rPr>
            </w:pPr>
            <w:r w:rsidRPr="00DB7FBE">
              <w:rPr>
                <w:rFonts w:cs="Arial"/>
                <w:b/>
                <w:bCs/>
                <w:sz w:val="20"/>
                <w:szCs w:val="20"/>
                <w:lang w:val="en-US"/>
              </w:rPr>
              <w:t>Husain et al. (2024)</w:t>
            </w:r>
          </w:p>
        </w:tc>
        <w:tc>
          <w:tcPr>
            <w:tcW w:w="0" w:type="auto"/>
            <w:hideMark/>
          </w:tcPr>
          <w:p w14:paraId="02F124F4" w14:textId="77777777" w:rsidR="00134054" w:rsidRPr="00DB7FBE" w:rsidRDefault="00134054" w:rsidP="00134054">
            <w:pPr>
              <w:spacing w:after="160"/>
              <w:rPr>
                <w:rFonts w:cs="Arial"/>
                <w:sz w:val="20"/>
                <w:szCs w:val="20"/>
                <w:lang w:val="en-US"/>
              </w:rPr>
            </w:pPr>
            <w:r w:rsidRPr="00DB7FBE">
              <w:rPr>
                <w:rFonts w:cs="Arial"/>
                <w:sz w:val="20"/>
                <w:szCs w:val="20"/>
                <w:lang w:val="en-US"/>
              </w:rPr>
              <w:t>Narrative interviews and persona development captured intersecting disadvantage, poverty, language, literacy, racism, trust and agency</w:t>
            </w:r>
          </w:p>
        </w:tc>
        <w:tc>
          <w:tcPr>
            <w:tcW w:w="0" w:type="auto"/>
            <w:hideMark/>
          </w:tcPr>
          <w:p w14:paraId="782344EE" w14:textId="77777777" w:rsidR="00134054" w:rsidRPr="00DB7FBE" w:rsidRDefault="00134054" w:rsidP="00134054">
            <w:pPr>
              <w:spacing w:after="160"/>
              <w:rPr>
                <w:rFonts w:cs="Arial"/>
                <w:sz w:val="20"/>
                <w:szCs w:val="20"/>
                <w:lang w:val="en-US"/>
              </w:rPr>
            </w:pPr>
            <w:r w:rsidRPr="00DB7FBE">
              <w:rPr>
                <w:rFonts w:cs="Arial"/>
                <w:sz w:val="20"/>
                <w:szCs w:val="20"/>
                <w:lang w:val="en-US"/>
              </w:rPr>
              <w:t>Small purposive sample of 17 disadvantaged older adults from one London locality</w:t>
            </w:r>
          </w:p>
        </w:tc>
        <w:tc>
          <w:tcPr>
            <w:tcW w:w="0" w:type="auto"/>
            <w:hideMark/>
          </w:tcPr>
          <w:p w14:paraId="7C1869AD" w14:textId="77777777" w:rsidR="00134054" w:rsidRPr="00DB7FBE" w:rsidRDefault="00134054" w:rsidP="00134054">
            <w:pPr>
              <w:spacing w:after="160"/>
              <w:rPr>
                <w:rFonts w:cs="Arial"/>
                <w:sz w:val="20"/>
                <w:szCs w:val="20"/>
                <w:lang w:val="en-US"/>
              </w:rPr>
            </w:pPr>
            <w:r w:rsidRPr="00DB7FBE">
              <w:rPr>
                <w:rFonts w:cs="Arial"/>
                <w:b/>
                <w:bCs/>
                <w:sz w:val="20"/>
                <w:szCs w:val="20"/>
                <w:lang w:val="en-US"/>
              </w:rPr>
              <w:t>Strong</w:t>
            </w:r>
          </w:p>
        </w:tc>
      </w:tr>
      <w:tr w:rsidR="00134054" w:rsidRPr="00DB7FBE" w14:paraId="0C04141C" w14:textId="77777777" w:rsidTr="00134054">
        <w:tc>
          <w:tcPr>
            <w:tcW w:w="0" w:type="auto"/>
            <w:hideMark/>
          </w:tcPr>
          <w:p w14:paraId="0B948886" w14:textId="77777777" w:rsidR="00134054" w:rsidRPr="00DB7FBE" w:rsidRDefault="00134054" w:rsidP="00134054">
            <w:pPr>
              <w:spacing w:after="160"/>
              <w:rPr>
                <w:rFonts w:cs="Arial"/>
                <w:sz w:val="20"/>
                <w:szCs w:val="20"/>
                <w:lang w:val="en-US"/>
              </w:rPr>
            </w:pPr>
            <w:r w:rsidRPr="00DB7FBE">
              <w:rPr>
                <w:rFonts w:cs="Arial"/>
                <w:b/>
                <w:bCs/>
                <w:sz w:val="20"/>
                <w:szCs w:val="20"/>
                <w:lang w:val="en-US"/>
              </w:rPr>
              <w:t>Husain and Greenhalgh (2025)</w:t>
            </w:r>
          </w:p>
        </w:tc>
        <w:tc>
          <w:tcPr>
            <w:tcW w:w="0" w:type="auto"/>
            <w:hideMark/>
          </w:tcPr>
          <w:p w14:paraId="5C4638EC" w14:textId="77777777" w:rsidR="00134054" w:rsidRPr="00DB7FBE" w:rsidRDefault="00134054" w:rsidP="00134054">
            <w:pPr>
              <w:spacing w:after="160"/>
              <w:rPr>
                <w:rFonts w:cs="Arial"/>
                <w:sz w:val="20"/>
                <w:szCs w:val="20"/>
                <w:lang w:val="en-US"/>
              </w:rPr>
            </w:pPr>
            <w:r w:rsidRPr="00DB7FBE">
              <w:rPr>
                <w:rFonts w:cs="Arial"/>
                <w:sz w:val="20"/>
                <w:szCs w:val="20"/>
                <w:lang w:val="en-US"/>
              </w:rPr>
              <w:t>Intersectional narrative analysis with ethnographic observations provided detailed evidence on presence, continuity, discrimination and agency</w:t>
            </w:r>
          </w:p>
        </w:tc>
        <w:tc>
          <w:tcPr>
            <w:tcW w:w="0" w:type="auto"/>
            <w:hideMark/>
          </w:tcPr>
          <w:p w14:paraId="0D029113" w14:textId="77777777" w:rsidR="00134054" w:rsidRPr="00DB7FBE" w:rsidRDefault="00134054" w:rsidP="00134054">
            <w:pPr>
              <w:spacing w:after="160"/>
              <w:rPr>
                <w:rFonts w:cs="Arial"/>
                <w:sz w:val="20"/>
                <w:szCs w:val="20"/>
                <w:lang w:val="en-US"/>
              </w:rPr>
            </w:pPr>
            <w:r w:rsidRPr="00DB7FBE">
              <w:rPr>
                <w:rFonts w:cs="Arial"/>
                <w:sz w:val="20"/>
                <w:szCs w:val="20"/>
                <w:lang w:val="en-US"/>
              </w:rPr>
              <w:t>Based on the same 17-participant Redbridge dataset as Husain et al. (2024), so it did not represent an independent participant sample</w:t>
            </w:r>
          </w:p>
        </w:tc>
        <w:tc>
          <w:tcPr>
            <w:tcW w:w="0" w:type="auto"/>
            <w:hideMark/>
          </w:tcPr>
          <w:p w14:paraId="3684497D" w14:textId="77777777" w:rsidR="00134054" w:rsidRPr="00DB7FBE" w:rsidRDefault="00134054" w:rsidP="00134054">
            <w:pPr>
              <w:spacing w:after="160"/>
              <w:rPr>
                <w:rFonts w:cs="Arial"/>
                <w:sz w:val="20"/>
                <w:szCs w:val="20"/>
                <w:lang w:val="en-US"/>
              </w:rPr>
            </w:pPr>
            <w:r w:rsidRPr="00DB7FBE">
              <w:rPr>
                <w:rFonts w:cs="Arial"/>
                <w:b/>
                <w:bCs/>
                <w:sz w:val="20"/>
                <w:szCs w:val="20"/>
                <w:lang w:val="en-US"/>
              </w:rPr>
              <w:t>Strong</w:t>
            </w:r>
          </w:p>
        </w:tc>
      </w:tr>
    </w:tbl>
    <w:p w14:paraId="3BB57BB5" w14:textId="77777777" w:rsidR="00134054" w:rsidRPr="00DF70B3" w:rsidRDefault="00134054" w:rsidP="008B0473">
      <w:pPr>
        <w:rPr>
          <w:rFonts w:cs="Arial"/>
          <w:lang w:val="en-US"/>
        </w:rPr>
      </w:pPr>
    </w:p>
    <w:p w14:paraId="478B66DE" w14:textId="77777777" w:rsidR="00134054" w:rsidRPr="00DF70B3" w:rsidRDefault="00134054" w:rsidP="00134054">
      <w:pPr>
        <w:rPr>
          <w:rFonts w:cs="Arial"/>
          <w:lang w:val="en-US"/>
        </w:rPr>
      </w:pPr>
      <w:r w:rsidRPr="00DF70B3">
        <w:rPr>
          <w:rFonts w:cs="Arial"/>
          <w:lang w:val="en-US"/>
        </w:rPr>
        <w:t>Table A2: CASP Qualitative Appraisal Domains Applied in the Review</w:t>
      </w:r>
    </w:p>
    <w:tbl>
      <w:tblPr>
        <w:tblStyle w:val="TableGrid"/>
        <w:tblW w:w="0" w:type="auto"/>
        <w:jc w:val="center"/>
        <w:tblLook w:val="04A0" w:firstRow="1" w:lastRow="0" w:firstColumn="1" w:lastColumn="0" w:noHBand="0" w:noVBand="1"/>
      </w:tblPr>
      <w:tblGrid>
        <w:gridCol w:w="4397"/>
        <w:gridCol w:w="8761"/>
      </w:tblGrid>
      <w:tr w:rsidR="00134054" w:rsidRPr="00DB7FBE" w14:paraId="02526B96" w14:textId="77777777" w:rsidTr="006126EB">
        <w:trPr>
          <w:jc w:val="center"/>
        </w:trPr>
        <w:tc>
          <w:tcPr>
            <w:tcW w:w="0" w:type="auto"/>
            <w:hideMark/>
          </w:tcPr>
          <w:p w14:paraId="49F62CC9" w14:textId="77777777" w:rsidR="00134054" w:rsidRPr="00DB7FBE" w:rsidRDefault="00134054" w:rsidP="00134054">
            <w:pPr>
              <w:spacing w:after="160"/>
              <w:rPr>
                <w:rFonts w:cs="Arial"/>
                <w:b/>
                <w:bCs/>
                <w:sz w:val="20"/>
                <w:szCs w:val="20"/>
                <w:lang w:val="en-US"/>
              </w:rPr>
            </w:pPr>
            <w:r w:rsidRPr="00DB7FBE">
              <w:rPr>
                <w:rFonts w:cs="Arial"/>
                <w:b/>
                <w:bCs/>
                <w:sz w:val="20"/>
                <w:szCs w:val="20"/>
                <w:lang w:val="en-US"/>
              </w:rPr>
              <w:t>CASP domain</w:t>
            </w:r>
          </w:p>
        </w:tc>
        <w:tc>
          <w:tcPr>
            <w:tcW w:w="8761" w:type="dxa"/>
            <w:hideMark/>
          </w:tcPr>
          <w:p w14:paraId="04210892" w14:textId="77777777" w:rsidR="00134054" w:rsidRPr="00DB7FBE" w:rsidRDefault="00134054" w:rsidP="00134054">
            <w:pPr>
              <w:spacing w:after="160"/>
              <w:rPr>
                <w:rFonts w:cs="Arial"/>
                <w:b/>
                <w:bCs/>
                <w:sz w:val="20"/>
                <w:szCs w:val="20"/>
                <w:lang w:val="en-US"/>
              </w:rPr>
            </w:pPr>
            <w:r w:rsidRPr="00DB7FBE">
              <w:rPr>
                <w:rFonts w:cs="Arial"/>
                <w:b/>
                <w:bCs/>
                <w:sz w:val="20"/>
                <w:szCs w:val="20"/>
                <w:lang w:val="en-US"/>
              </w:rPr>
              <w:t>Appraisal focus</w:t>
            </w:r>
          </w:p>
        </w:tc>
      </w:tr>
      <w:tr w:rsidR="00134054" w:rsidRPr="00DB7FBE" w14:paraId="3A7E135B" w14:textId="77777777" w:rsidTr="006126EB">
        <w:trPr>
          <w:jc w:val="center"/>
        </w:trPr>
        <w:tc>
          <w:tcPr>
            <w:tcW w:w="0" w:type="auto"/>
            <w:hideMark/>
          </w:tcPr>
          <w:p w14:paraId="2EF602DB" w14:textId="77777777" w:rsidR="00134054" w:rsidRPr="00DB7FBE" w:rsidRDefault="00134054" w:rsidP="00134054">
            <w:pPr>
              <w:spacing w:after="160"/>
              <w:rPr>
                <w:rFonts w:cs="Arial"/>
                <w:sz w:val="20"/>
                <w:szCs w:val="20"/>
                <w:lang w:val="en-US"/>
              </w:rPr>
            </w:pPr>
            <w:r w:rsidRPr="00DB7FBE">
              <w:rPr>
                <w:rFonts w:cs="Arial"/>
                <w:sz w:val="20"/>
                <w:szCs w:val="20"/>
                <w:lang w:val="en-US"/>
              </w:rPr>
              <w:t>Clear statement of aims</w:t>
            </w:r>
          </w:p>
        </w:tc>
        <w:tc>
          <w:tcPr>
            <w:tcW w:w="8761" w:type="dxa"/>
            <w:hideMark/>
          </w:tcPr>
          <w:p w14:paraId="2ED8493A" w14:textId="77777777" w:rsidR="00134054" w:rsidRPr="00DB7FBE" w:rsidRDefault="00134054" w:rsidP="00134054">
            <w:pPr>
              <w:spacing w:after="160"/>
              <w:rPr>
                <w:rFonts w:cs="Arial"/>
                <w:sz w:val="20"/>
                <w:szCs w:val="20"/>
                <w:lang w:val="en-US"/>
              </w:rPr>
            </w:pPr>
            <w:r w:rsidRPr="00DB7FBE">
              <w:rPr>
                <w:rFonts w:cs="Arial"/>
                <w:sz w:val="20"/>
                <w:szCs w:val="20"/>
                <w:lang w:val="en-US"/>
              </w:rPr>
              <w:t>Whether the purpose of the study was clearly stated</w:t>
            </w:r>
          </w:p>
        </w:tc>
      </w:tr>
      <w:tr w:rsidR="00134054" w:rsidRPr="00DB7FBE" w14:paraId="17D2FC7B" w14:textId="77777777" w:rsidTr="006126EB">
        <w:trPr>
          <w:jc w:val="center"/>
        </w:trPr>
        <w:tc>
          <w:tcPr>
            <w:tcW w:w="0" w:type="auto"/>
            <w:hideMark/>
          </w:tcPr>
          <w:p w14:paraId="11B9695F" w14:textId="77777777" w:rsidR="00134054" w:rsidRPr="00DB7FBE" w:rsidRDefault="00134054" w:rsidP="00134054">
            <w:pPr>
              <w:spacing w:after="160"/>
              <w:rPr>
                <w:rFonts w:cs="Arial"/>
                <w:sz w:val="20"/>
                <w:szCs w:val="20"/>
                <w:lang w:val="en-US"/>
              </w:rPr>
            </w:pPr>
            <w:r w:rsidRPr="00DB7FBE">
              <w:rPr>
                <w:rFonts w:cs="Arial"/>
                <w:sz w:val="20"/>
                <w:szCs w:val="20"/>
                <w:lang w:val="en-US"/>
              </w:rPr>
              <w:t>Qualitative methodology appropriate</w:t>
            </w:r>
          </w:p>
        </w:tc>
        <w:tc>
          <w:tcPr>
            <w:tcW w:w="8761" w:type="dxa"/>
            <w:hideMark/>
          </w:tcPr>
          <w:p w14:paraId="110C16CA" w14:textId="77777777" w:rsidR="00134054" w:rsidRPr="00DB7FBE" w:rsidRDefault="00134054" w:rsidP="00134054">
            <w:pPr>
              <w:spacing w:after="160"/>
              <w:rPr>
                <w:rFonts w:cs="Arial"/>
                <w:sz w:val="20"/>
                <w:szCs w:val="20"/>
                <w:lang w:val="en-US"/>
              </w:rPr>
            </w:pPr>
            <w:r w:rsidRPr="00DB7FBE">
              <w:rPr>
                <w:rFonts w:cs="Arial"/>
                <w:sz w:val="20"/>
                <w:szCs w:val="20"/>
                <w:lang w:val="en-US"/>
              </w:rPr>
              <w:t>Whether a qualitative approach was appropriate for the research question</w:t>
            </w:r>
          </w:p>
        </w:tc>
      </w:tr>
      <w:tr w:rsidR="00134054" w:rsidRPr="00DB7FBE" w14:paraId="5CD76D1A" w14:textId="77777777" w:rsidTr="006126EB">
        <w:trPr>
          <w:jc w:val="center"/>
        </w:trPr>
        <w:tc>
          <w:tcPr>
            <w:tcW w:w="0" w:type="auto"/>
            <w:hideMark/>
          </w:tcPr>
          <w:p w14:paraId="142CBDE6" w14:textId="77777777" w:rsidR="00134054" w:rsidRPr="00DB7FBE" w:rsidRDefault="00134054" w:rsidP="00134054">
            <w:pPr>
              <w:spacing w:after="160"/>
              <w:rPr>
                <w:rFonts w:cs="Arial"/>
                <w:sz w:val="20"/>
                <w:szCs w:val="20"/>
                <w:lang w:val="en-US"/>
              </w:rPr>
            </w:pPr>
            <w:r w:rsidRPr="00DB7FBE">
              <w:rPr>
                <w:rFonts w:cs="Arial"/>
                <w:sz w:val="20"/>
                <w:szCs w:val="20"/>
                <w:lang w:val="en-US"/>
              </w:rPr>
              <w:t>Research design appropriate</w:t>
            </w:r>
          </w:p>
        </w:tc>
        <w:tc>
          <w:tcPr>
            <w:tcW w:w="8761" w:type="dxa"/>
            <w:hideMark/>
          </w:tcPr>
          <w:p w14:paraId="137DD169" w14:textId="77777777" w:rsidR="00134054" w:rsidRPr="00DB7FBE" w:rsidRDefault="00134054" w:rsidP="00134054">
            <w:pPr>
              <w:spacing w:after="160"/>
              <w:rPr>
                <w:rFonts w:cs="Arial"/>
                <w:sz w:val="20"/>
                <w:szCs w:val="20"/>
                <w:lang w:val="en-US"/>
              </w:rPr>
            </w:pPr>
            <w:r w:rsidRPr="00DB7FBE">
              <w:rPr>
                <w:rFonts w:cs="Arial"/>
                <w:sz w:val="20"/>
                <w:szCs w:val="20"/>
                <w:lang w:val="en-US"/>
              </w:rPr>
              <w:t>Whether the chosen design adequately addressed the study aims</w:t>
            </w:r>
          </w:p>
        </w:tc>
      </w:tr>
      <w:tr w:rsidR="00134054" w:rsidRPr="00DB7FBE" w14:paraId="07602F51" w14:textId="77777777" w:rsidTr="006126EB">
        <w:trPr>
          <w:jc w:val="center"/>
        </w:trPr>
        <w:tc>
          <w:tcPr>
            <w:tcW w:w="0" w:type="auto"/>
            <w:hideMark/>
          </w:tcPr>
          <w:p w14:paraId="4F8174FB" w14:textId="77777777" w:rsidR="00134054" w:rsidRPr="00DB7FBE" w:rsidRDefault="00134054" w:rsidP="00134054">
            <w:pPr>
              <w:spacing w:after="160"/>
              <w:rPr>
                <w:rFonts w:cs="Arial"/>
                <w:sz w:val="20"/>
                <w:szCs w:val="20"/>
                <w:lang w:val="en-US"/>
              </w:rPr>
            </w:pPr>
            <w:r w:rsidRPr="00DB7FBE">
              <w:rPr>
                <w:rFonts w:cs="Arial"/>
                <w:sz w:val="20"/>
                <w:szCs w:val="20"/>
                <w:lang w:val="en-US"/>
              </w:rPr>
              <w:t>Recruitment strategy appropriate</w:t>
            </w:r>
          </w:p>
        </w:tc>
        <w:tc>
          <w:tcPr>
            <w:tcW w:w="8761" w:type="dxa"/>
            <w:hideMark/>
          </w:tcPr>
          <w:p w14:paraId="3471A8A9" w14:textId="77777777" w:rsidR="00134054" w:rsidRPr="00DB7FBE" w:rsidRDefault="00134054" w:rsidP="00134054">
            <w:pPr>
              <w:spacing w:after="160"/>
              <w:rPr>
                <w:rFonts w:cs="Arial"/>
                <w:sz w:val="20"/>
                <w:szCs w:val="20"/>
                <w:lang w:val="en-US"/>
              </w:rPr>
            </w:pPr>
            <w:r w:rsidRPr="00DB7FBE">
              <w:rPr>
                <w:rFonts w:cs="Arial"/>
                <w:sz w:val="20"/>
                <w:szCs w:val="20"/>
                <w:lang w:val="en-US"/>
              </w:rPr>
              <w:t>Whether participant recruitment was suitable and adequately described</w:t>
            </w:r>
          </w:p>
        </w:tc>
      </w:tr>
      <w:tr w:rsidR="00134054" w:rsidRPr="00DB7FBE" w14:paraId="508C65C1" w14:textId="77777777" w:rsidTr="006126EB">
        <w:trPr>
          <w:jc w:val="center"/>
        </w:trPr>
        <w:tc>
          <w:tcPr>
            <w:tcW w:w="0" w:type="auto"/>
            <w:hideMark/>
          </w:tcPr>
          <w:p w14:paraId="1003FAB0" w14:textId="77777777" w:rsidR="00134054" w:rsidRPr="00DB7FBE" w:rsidRDefault="00134054" w:rsidP="00134054">
            <w:pPr>
              <w:spacing w:after="160"/>
              <w:rPr>
                <w:rFonts w:cs="Arial"/>
                <w:sz w:val="20"/>
                <w:szCs w:val="20"/>
                <w:lang w:val="en-US"/>
              </w:rPr>
            </w:pPr>
            <w:r w:rsidRPr="00DB7FBE">
              <w:rPr>
                <w:rFonts w:cs="Arial"/>
                <w:sz w:val="20"/>
                <w:szCs w:val="20"/>
                <w:lang w:val="en-US"/>
              </w:rPr>
              <w:lastRenderedPageBreak/>
              <w:t>Data collection appropriate</w:t>
            </w:r>
          </w:p>
        </w:tc>
        <w:tc>
          <w:tcPr>
            <w:tcW w:w="8761" w:type="dxa"/>
            <w:hideMark/>
          </w:tcPr>
          <w:p w14:paraId="03B4F7A0" w14:textId="77777777" w:rsidR="00134054" w:rsidRPr="00DB7FBE" w:rsidRDefault="00134054" w:rsidP="00134054">
            <w:pPr>
              <w:spacing w:after="160"/>
              <w:rPr>
                <w:rFonts w:cs="Arial"/>
                <w:sz w:val="20"/>
                <w:szCs w:val="20"/>
                <w:lang w:val="en-US"/>
              </w:rPr>
            </w:pPr>
            <w:r w:rsidRPr="00DB7FBE">
              <w:rPr>
                <w:rFonts w:cs="Arial"/>
                <w:sz w:val="20"/>
                <w:szCs w:val="20"/>
                <w:lang w:val="en-US"/>
              </w:rPr>
              <w:t>Whether data collection appropriately addressed the research issue</w:t>
            </w:r>
          </w:p>
        </w:tc>
      </w:tr>
      <w:tr w:rsidR="00134054" w:rsidRPr="00DB7FBE" w14:paraId="0C3DAEE8" w14:textId="77777777" w:rsidTr="006126EB">
        <w:trPr>
          <w:jc w:val="center"/>
        </w:trPr>
        <w:tc>
          <w:tcPr>
            <w:tcW w:w="0" w:type="auto"/>
            <w:hideMark/>
          </w:tcPr>
          <w:p w14:paraId="35287288" w14:textId="77777777" w:rsidR="00134054" w:rsidRPr="00DB7FBE" w:rsidRDefault="00134054" w:rsidP="00134054">
            <w:pPr>
              <w:spacing w:after="160"/>
              <w:rPr>
                <w:rFonts w:cs="Arial"/>
                <w:sz w:val="20"/>
                <w:szCs w:val="20"/>
                <w:lang w:val="en-US"/>
              </w:rPr>
            </w:pPr>
            <w:r w:rsidRPr="00DB7FBE">
              <w:rPr>
                <w:rFonts w:cs="Arial"/>
                <w:sz w:val="20"/>
                <w:szCs w:val="20"/>
                <w:lang w:val="en-US"/>
              </w:rPr>
              <w:t>Researcher–participant relationship considered</w:t>
            </w:r>
          </w:p>
        </w:tc>
        <w:tc>
          <w:tcPr>
            <w:tcW w:w="8761" w:type="dxa"/>
            <w:hideMark/>
          </w:tcPr>
          <w:p w14:paraId="6BBEA7F1" w14:textId="77777777" w:rsidR="00134054" w:rsidRPr="00DB7FBE" w:rsidRDefault="00134054" w:rsidP="00134054">
            <w:pPr>
              <w:spacing w:after="160"/>
              <w:rPr>
                <w:rFonts w:cs="Arial"/>
                <w:sz w:val="20"/>
                <w:szCs w:val="20"/>
                <w:lang w:val="en-US"/>
              </w:rPr>
            </w:pPr>
            <w:r w:rsidRPr="00DB7FBE">
              <w:rPr>
                <w:rFonts w:cs="Arial"/>
                <w:sz w:val="20"/>
                <w:szCs w:val="20"/>
                <w:lang w:val="en-US"/>
              </w:rPr>
              <w:t>Whether reflexivity and the influence of the researcher were adequately considered</w:t>
            </w:r>
          </w:p>
        </w:tc>
      </w:tr>
      <w:tr w:rsidR="00134054" w:rsidRPr="00DB7FBE" w14:paraId="4600AD32" w14:textId="77777777" w:rsidTr="006126EB">
        <w:trPr>
          <w:jc w:val="center"/>
        </w:trPr>
        <w:tc>
          <w:tcPr>
            <w:tcW w:w="0" w:type="auto"/>
            <w:hideMark/>
          </w:tcPr>
          <w:p w14:paraId="356BB28E" w14:textId="77777777" w:rsidR="00134054" w:rsidRPr="00DB7FBE" w:rsidRDefault="00134054" w:rsidP="00134054">
            <w:pPr>
              <w:spacing w:after="160"/>
              <w:rPr>
                <w:rFonts w:cs="Arial"/>
                <w:sz w:val="20"/>
                <w:szCs w:val="20"/>
                <w:lang w:val="en-US"/>
              </w:rPr>
            </w:pPr>
            <w:r w:rsidRPr="00DB7FBE">
              <w:rPr>
                <w:rFonts w:cs="Arial"/>
                <w:sz w:val="20"/>
                <w:szCs w:val="20"/>
                <w:lang w:val="en-US"/>
              </w:rPr>
              <w:t>Ethical issues considered</w:t>
            </w:r>
          </w:p>
        </w:tc>
        <w:tc>
          <w:tcPr>
            <w:tcW w:w="8761" w:type="dxa"/>
            <w:hideMark/>
          </w:tcPr>
          <w:p w14:paraId="7FADB4DE" w14:textId="77777777" w:rsidR="00134054" w:rsidRPr="00DB7FBE" w:rsidRDefault="00134054" w:rsidP="00134054">
            <w:pPr>
              <w:spacing w:after="160"/>
              <w:rPr>
                <w:rFonts w:cs="Arial"/>
                <w:sz w:val="20"/>
                <w:szCs w:val="20"/>
                <w:lang w:val="en-US"/>
              </w:rPr>
            </w:pPr>
            <w:r w:rsidRPr="00DB7FBE">
              <w:rPr>
                <w:rFonts w:cs="Arial"/>
                <w:sz w:val="20"/>
                <w:szCs w:val="20"/>
                <w:lang w:val="en-US"/>
              </w:rPr>
              <w:t>Whether ethical procedures and participant protections were addressed</w:t>
            </w:r>
          </w:p>
        </w:tc>
      </w:tr>
      <w:tr w:rsidR="00134054" w:rsidRPr="00DB7FBE" w14:paraId="49596D82" w14:textId="77777777" w:rsidTr="006126EB">
        <w:trPr>
          <w:jc w:val="center"/>
        </w:trPr>
        <w:tc>
          <w:tcPr>
            <w:tcW w:w="0" w:type="auto"/>
            <w:hideMark/>
          </w:tcPr>
          <w:p w14:paraId="23013D71" w14:textId="77777777" w:rsidR="00134054" w:rsidRPr="00DB7FBE" w:rsidRDefault="00134054" w:rsidP="00134054">
            <w:pPr>
              <w:spacing w:after="160"/>
              <w:rPr>
                <w:rFonts w:cs="Arial"/>
                <w:sz w:val="20"/>
                <w:szCs w:val="20"/>
                <w:lang w:val="en-US"/>
              </w:rPr>
            </w:pPr>
            <w:r w:rsidRPr="00DB7FBE">
              <w:rPr>
                <w:rFonts w:cs="Arial"/>
                <w:sz w:val="20"/>
                <w:szCs w:val="20"/>
                <w:lang w:val="en-US"/>
              </w:rPr>
              <w:t>Data analysis sufficiently rigorous</w:t>
            </w:r>
          </w:p>
        </w:tc>
        <w:tc>
          <w:tcPr>
            <w:tcW w:w="8761" w:type="dxa"/>
            <w:hideMark/>
          </w:tcPr>
          <w:p w14:paraId="019EEF92" w14:textId="77777777" w:rsidR="00134054" w:rsidRPr="00DB7FBE" w:rsidRDefault="00134054" w:rsidP="00134054">
            <w:pPr>
              <w:spacing w:after="160"/>
              <w:rPr>
                <w:rFonts w:cs="Arial"/>
                <w:sz w:val="20"/>
                <w:szCs w:val="20"/>
                <w:lang w:val="en-US"/>
              </w:rPr>
            </w:pPr>
            <w:r w:rsidRPr="00DB7FBE">
              <w:rPr>
                <w:rFonts w:cs="Arial"/>
                <w:sz w:val="20"/>
                <w:szCs w:val="20"/>
                <w:lang w:val="en-US"/>
              </w:rPr>
              <w:t>Whether analysis was systematic, transparent and adequately described</w:t>
            </w:r>
          </w:p>
        </w:tc>
      </w:tr>
      <w:tr w:rsidR="00134054" w:rsidRPr="00DB7FBE" w14:paraId="29283D9D" w14:textId="77777777" w:rsidTr="006126EB">
        <w:trPr>
          <w:jc w:val="center"/>
        </w:trPr>
        <w:tc>
          <w:tcPr>
            <w:tcW w:w="0" w:type="auto"/>
            <w:hideMark/>
          </w:tcPr>
          <w:p w14:paraId="06CAFA49" w14:textId="77777777" w:rsidR="00134054" w:rsidRPr="00DB7FBE" w:rsidRDefault="00134054" w:rsidP="00134054">
            <w:pPr>
              <w:spacing w:after="160"/>
              <w:rPr>
                <w:rFonts w:cs="Arial"/>
                <w:sz w:val="20"/>
                <w:szCs w:val="20"/>
                <w:lang w:val="en-US"/>
              </w:rPr>
            </w:pPr>
            <w:r w:rsidRPr="00DB7FBE">
              <w:rPr>
                <w:rFonts w:cs="Arial"/>
                <w:sz w:val="20"/>
                <w:szCs w:val="20"/>
                <w:lang w:val="en-US"/>
              </w:rPr>
              <w:t>Clear statement of findings</w:t>
            </w:r>
          </w:p>
        </w:tc>
        <w:tc>
          <w:tcPr>
            <w:tcW w:w="8761" w:type="dxa"/>
            <w:hideMark/>
          </w:tcPr>
          <w:p w14:paraId="33F06A3C" w14:textId="77777777" w:rsidR="00134054" w:rsidRPr="00DB7FBE" w:rsidRDefault="00134054" w:rsidP="00134054">
            <w:pPr>
              <w:spacing w:after="160"/>
              <w:rPr>
                <w:rFonts w:cs="Arial"/>
                <w:sz w:val="20"/>
                <w:szCs w:val="20"/>
                <w:lang w:val="en-US"/>
              </w:rPr>
            </w:pPr>
            <w:r w:rsidRPr="00DB7FBE">
              <w:rPr>
                <w:rFonts w:cs="Arial"/>
                <w:sz w:val="20"/>
                <w:szCs w:val="20"/>
                <w:lang w:val="en-US"/>
              </w:rPr>
              <w:t>Whether findings were clearly presented and supported by the evidence</w:t>
            </w:r>
          </w:p>
        </w:tc>
      </w:tr>
      <w:tr w:rsidR="00134054" w:rsidRPr="00DB7FBE" w14:paraId="5DDA27F3" w14:textId="77777777" w:rsidTr="006126EB">
        <w:trPr>
          <w:jc w:val="center"/>
        </w:trPr>
        <w:tc>
          <w:tcPr>
            <w:tcW w:w="0" w:type="auto"/>
            <w:hideMark/>
          </w:tcPr>
          <w:p w14:paraId="07D08442" w14:textId="77777777" w:rsidR="00134054" w:rsidRPr="00DB7FBE" w:rsidRDefault="00134054" w:rsidP="00134054">
            <w:pPr>
              <w:spacing w:after="160"/>
              <w:rPr>
                <w:rFonts w:cs="Arial"/>
                <w:sz w:val="20"/>
                <w:szCs w:val="20"/>
                <w:lang w:val="en-US"/>
              </w:rPr>
            </w:pPr>
            <w:r w:rsidRPr="00DB7FBE">
              <w:rPr>
                <w:rFonts w:cs="Arial"/>
                <w:sz w:val="20"/>
                <w:szCs w:val="20"/>
                <w:lang w:val="en-US"/>
              </w:rPr>
              <w:t>Value of the research</w:t>
            </w:r>
          </w:p>
        </w:tc>
        <w:tc>
          <w:tcPr>
            <w:tcW w:w="8761" w:type="dxa"/>
            <w:hideMark/>
          </w:tcPr>
          <w:p w14:paraId="656E91BF" w14:textId="77777777" w:rsidR="00134054" w:rsidRPr="00DB7FBE" w:rsidRDefault="00134054" w:rsidP="00134054">
            <w:pPr>
              <w:spacing w:after="160"/>
              <w:rPr>
                <w:rFonts w:cs="Arial"/>
                <w:sz w:val="20"/>
                <w:szCs w:val="20"/>
                <w:lang w:val="en-US"/>
              </w:rPr>
            </w:pPr>
            <w:r w:rsidRPr="00DB7FBE">
              <w:rPr>
                <w:rFonts w:cs="Arial"/>
                <w:sz w:val="20"/>
                <w:szCs w:val="20"/>
                <w:lang w:val="en-US"/>
              </w:rPr>
              <w:t>Whether the study made a useful contribution to knowledge and practice</w:t>
            </w:r>
          </w:p>
        </w:tc>
      </w:tr>
    </w:tbl>
    <w:p w14:paraId="556177FE" w14:textId="77777777" w:rsidR="00134054" w:rsidRPr="00DF70B3" w:rsidRDefault="00134054" w:rsidP="008B0473">
      <w:pPr>
        <w:rPr>
          <w:rFonts w:cs="Arial"/>
          <w:lang w:val="en-US"/>
        </w:rPr>
      </w:pPr>
    </w:p>
    <w:p w14:paraId="4EA65226" w14:textId="77777777" w:rsidR="00134054" w:rsidRPr="00DF70B3" w:rsidRDefault="00134054" w:rsidP="00911EF4">
      <w:pPr>
        <w:rPr>
          <w:rFonts w:cs="Arial"/>
          <w:lang w:val="en-US"/>
        </w:rPr>
      </w:pPr>
      <w:r w:rsidRPr="00DF70B3">
        <w:rPr>
          <w:rFonts w:cs="Arial"/>
          <w:lang w:val="en-US"/>
        </w:rPr>
        <w:t>Table A3: Search Record Summary</w:t>
      </w:r>
    </w:p>
    <w:tbl>
      <w:tblPr>
        <w:tblStyle w:val="TableGrid"/>
        <w:tblW w:w="0" w:type="auto"/>
        <w:jc w:val="center"/>
        <w:tblLook w:val="04A0" w:firstRow="1" w:lastRow="0" w:firstColumn="1" w:lastColumn="0" w:noHBand="0" w:noVBand="1"/>
      </w:tblPr>
      <w:tblGrid>
        <w:gridCol w:w="2443"/>
        <w:gridCol w:w="1863"/>
        <w:gridCol w:w="5201"/>
        <w:gridCol w:w="2894"/>
        <w:gridCol w:w="1773"/>
      </w:tblGrid>
      <w:tr w:rsidR="00134054" w:rsidRPr="00DB7FBE" w14:paraId="40285C85" w14:textId="77777777" w:rsidTr="006126EB">
        <w:trPr>
          <w:jc w:val="center"/>
        </w:trPr>
        <w:tc>
          <w:tcPr>
            <w:tcW w:w="0" w:type="auto"/>
            <w:hideMark/>
          </w:tcPr>
          <w:p w14:paraId="5DAA4D07" w14:textId="77777777" w:rsidR="00134054" w:rsidRPr="00DB7FBE" w:rsidRDefault="00134054" w:rsidP="00134054">
            <w:pPr>
              <w:spacing w:after="160"/>
              <w:rPr>
                <w:rFonts w:cs="Arial"/>
                <w:b/>
                <w:bCs/>
                <w:sz w:val="20"/>
                <w:szCs w:val="20"/>
                <w:lang w:val="en-US"/>
              </w:rPr>
            </w:pPr>
            <w:r w:rsidRPr="00DB7FBE">
              <w:rPr>
                <w:rFonts w:cs="Arial"/>
                <w:b/>
                <w:bCs/>
                <w:sz w:val="20"/>
                <w:szCs w:val="20"/>
                <w:lang w:val="en-US"/>
              </w:rPr>
              <w:t>Database / source</w:t>
            </w:r>
          </w:p>
        </w:tc>
        <w:tc>
          <w:tcPr>
            <w:tcW w:w="0" w:type="auto"/>
            <w:hideMark/>
          </w:tcPr>
          <w:p w14:paraId="6959DB7C" w14:textId="77777777" w:rsidR="00134054" w:rsidRPr="00DB7FBE" w:rsidRDefault="00134054" w:rsidP="00134054">
            <w:pPr>
              <w:spacing w:after="160"/>
              <w:rPr>
                <w:rFonts w:cs="Arial"/>
                <w:b/>
                <w:bCs/>
                <w:sz w:val="20"/>
                <w:szCs w:val="20"/>
                <w:lang w:val="en-US"/>
              </w:rPr>
            </w:pPr>
            <w:r w:rsidRPr="00DB7FBE">
              <w:rPr>
                <w:rFonts w:cs="Arial"/>
                <w:b/>
                <w:bCs/>
                <w:sz w:val="20"/>
                <w:szCs w:val="20"/>
                <w:lang w:val="en-US"/>
              </w:rPr>
              <w:t>Search date / cut-off</w:t>
            </w:r>
          </w:p>
        </w:tc>
        <w:tc>
          <w:tcPr>
            <w:tcW w:w="0" w:type="auto"/>
            <w:hideMark/>
          </w:tcPr>
          <w:p w14:paraId="37460B00" w14:textId="77777777" w:rsidR="00134054" w:rsidRPr="00DB7FBE" w:rsidRDefault="00134054" w:rsidP="00134054">
            <w:pPr>
              <w:spacing w:after="160"/>
              <w:rPr>
                <w:rFonts w:cs="Arial"/>
                <w:b/>
                <w:bCs/>
                <w:sz w:val="20"/>
                <w:szCs w:val="20"/>
                <w:lang w:val="en-US"/>
              </w:rPr>
            </w:pPr>
            <w:r w:rsidRPr="00DB7FBE">
              <w:rPr>
                <w:rFonts w:cs="Arial"/>
                <w:b/>
                <w:bCs/>
                <w:sz w:val="20"/>
                <w:szCs w:val="20"/>
                <w:lang w:val="en-US"/>
              </w:rPr>
              <w:t>Coverage / role</w:t>
            </w:r>
          </w:p>
        </w:tc>
        <w:tc>
          <w:tcPr>
            <w:tcW w:w="0" w:type="auto"/>
            <w:hideMark/>
          </w:tcPr>
          <w:p w14:paraId="1520C882" w14:textId="77777777" w:rsidR="00134054" w:rsidRPr="00DB7FBE" w:rsidRDefault="00134054" w:rsidP="00134054">
            <w:pPr>
              <w:spacing w:after="160"/>
              <w:rPr>
                <w:rFonts w:cs="Arial"/>
                <w:b/>
                <w:bCs/>
                <w:sz w:val="20"/>
                <w:szCs w:val="20"/>
                <w:lang w:val="en-US"/>
              </w:rPr>
            </w:pPr>
            <w:r w:rsidRPr="00DB7FBE">
              <w:rPr>
                <w:rFonts w:cs="Arial"/>
                <w:b/>
                <w:bCs/>
                <w:sz w:val="20"/>
                <w:szCs w:val="20"/>
                <w:lang w:val="en-US"/>
              </w:rPr>
              <w:t>Limits</w:t>
            </w:r>
          </w:p>
        </w:tc>
        <w:tc>
          <w:tcPr>
            <w:tcW w:w="0" w:type="auto"/>
            <w:hideMark/>
          </w:tcPr>
          <w:p w14:paraId="25B8DDF9" w14:textId="77777777" w:rsidR="00134054" w:rsidRPr="00DB7FBE" w:rsidRDefault="00134054" w:rsidP="00134054">
            <w:pPr>
              <w:spacing w:after="160"/>
              <w:rPr>
                <w:rFonts w:cs="Arial"/>
                <w:b/>
                <w:bCs/>
                <w:sz w:val="20"/>
                <w:szCs w:val="20"/>
                <w:lang w:val="en-US"/>
              </w:rPr>
            </w:pPr>
            <w:r w:rsidRPr="00DB7FBE">
              <w:rPr>
                <w:rFonts w:cs="Arial"/>
                <w:b/>
                <w:bCs/>
                <w:sz w:val="20"/>
                <w:szCs w:val="20"/>
                <w:lang w:val="en-US"/>
              </w:rPr>
              <w:t>Records identified</w:t>
            </w:r>
          </w:p>
        </w:tc>
      </w:tr>
      <w:tr w:rsidR="00134054" w:rsidRPr="00DB7FBE" w14:paraId="1B4BDBB7" w14:textId="77777777" w:rsidTr="006126EB">
        <w:trPr>
          <w:jc w:val="center"/>
        </w:trPr>
        <w:tc>
          <w:tcPr>
            <w:tcW w:w="0" w:type="auto"/>
            <w:hideMark/>
          </w:tcPr>
          <w:p w14:paraId="67722398" w14:textId="77777777" w:rsidR="00134054" w:rsidRPr="00DB7FBE" w:rsidRDefault="00134054" w:rsidP="00134054">
            <w:pPr>
              <w:spacing w:after="160"/>
              <w:rPr>
                <w:rFonts w:cs="Arial"/>
                <w:sz w:val="20"/>
                <w:szCs w:val="20"/>
                <w:lang w:val="en-US"/>
              </w:rPr>
            </w:pPr>
            <w:r w:rsidRPr="00DB7FBE">
              <w:rPr>
                <w:rFonts w:cs="Arial"/>
                <w:b/>
                <w:bCs/>
                <w:sz w:val="20"/>
                <w:szCs w:val="20"/>
                <w:lang w:val="en-US"/>
              </w:rPr>
              <w:t>MEDLINE</w:t>
            </w:r>
          </w:p>
        </w:tc>
        <w:tc>
          <w:tcPr>
            <w:tcW w:w="0" w:type="auto"/>
            <w:hideMark/>
          </w:tcPr>
          <w:p w14:paraId="20CC70C9" w14:textId="77777777" w:rsidR="00134054" w:rsidRPr="00DB7FBE" w:rsidRDefault="00134054" w:rsidP="00134054">
            <w:pPr>
              <w:spacing w:after="160"/>
              <w:rPr>
                <w:rFonts w:cs="Arial"/>
                <w:sz w:val="20"/>
                <w:szCs w:val="20"/>
                <w:lang w:val="en-US"/>
              </w:rPr>
            </w:pPr>
            <w:r w:rsidRPr="00DB7FBE">
              <w:rPr>
                <w:rFonts w:cs="Arial"/>
                <w:sz w:val="20"/>
                <w:szCs w:val="20"/>
                <w:lang w:val="en-US"/>
              </w:rPr>
              <w:t>2 August 2026</w:t>
            </w:r>
          </w:p>
        </w:tc>
        <w:tc>
          <w:tcPr>
            <w:tcW w:w="0" w:type="auto"/>
            <w:hideMark/>
          </w:tcPr>
          <w:p w14:paraId="5E0F9E71" w14:textId="77777777" w:rsidR="00134054" w:rsidRPr="00DB7FBE" w:rsidRDefault="00134054" w:rsidP="00134054">
            <w:pPr>
              <w:spacing w:after="160"/>
              <w:rPr>
                <w:rFonts w:cs="Arial"/>
                <w:sz w:val="20"/>
                <w:szCs w:val="20"/>
                <w:lang w:val="en-US"/>
              </w:rPr>
            </w:pPr>
            <w:r w:rsidRPr="00DB7FBE">
              <w:rPr>
                <w:rFonts w:cs="Arial"/>
                <w:sz w:val="20"/>
                <w:szCs w:val="20"/>
                <w:lang w:val="en-US"/>
              </w:rPr>
              <w:t>Biomedical and clinical literature</w:t>
            </w:r>
          </w:p>
        </w:tc>
        <w:tc>
          <w:tcPr>
            <w:tcW w:w="0" w:type="auto"/>
            <w:hideMark/>
          </w:tcPr>
          <w:p w14:paraId="183E4393" w14:textId="77777777" w:rsidR="00134054" w:rsidRPr="00DB7FBE" w:rsidRDefault="00134054" w:rsidP="00134054">
            <w:pPr>
              <w:spacing w:after="160"/>
              <w:rPr>
                <w:rFonts w:cs="Arial"/>
                <w:sz w:val="20"/>
                <w:szCs w:val="20"/>
                <w:lang w:val="en-US"/>
              </w:rPr>
            </w:pPr>
            <w:r w:rsidRPr="00DB7FBE">
              <w:rPr>
                <w:rFonts w:cs="Arial"/>
                <w:sz w:val="20"/>
                <w:szCs w:val="20"/>
                <w:lang w:val="en-US"/>
              </w:rPr>
              <w:t>English; peer-reviewed; 2015–2025</w:t>
            </w:r>
          </w:p>
        </w:tc>
        <w:tc>
          <w:tcPr>
            <w:tcW w:w="0" w:type="auto"/>
            <w:hideMark/>
          </w:tcPr>
          <w:p w14:paraId="27B30ECF" w14:textId="77777777" w:rsidR="00134054" w:rsidRPr="00DB7FBE" w:rsidRDefault="00134054" w:rsidP="00134054">
            <w:pPr>
              <w:spacing w:after="160"/>
              <w:rPr>
                <w:rFonts w:cs="Arial"/>
                <w:sz w:val="20"/>
                <w:szCs w:val="20"/>
                <w:lang w:val="en-US"/>
              </w:rPr>
            </w:pPr>
            <w:r w:rsidRPr="00DB7FBE">
              <w:rPr>
                <w:rFonts w:cs="Arial"/>
                <w:b/>
                <w:bCs/>
                <w:sz w:val="20"/>
                <w:szCs w:val="20"/>
                <w:lang w:val="en-US"/>
              </w:rPr>
              <w:t>92</w:t>
            </w:r>
          </w:p>
        </w:tc>
      </w:tr>
      <w:tr w:rsidR="00134054" w:rsidRPr="00DB7FBE" w14:paraId="52226204" w14:textId="77777777" w:rsidTr="006126EB">
        <w:trPr>
          <w:jc w:val="center"/>
        </w:trPr>
        <w:tc>
          <w:tcPr>
            <w:tcW w:w="0" w:type="auto"/>
            <w:hideMark/>
          </w:tcPr>
          <w:p w14:paraId="4838BE04" w14:textId="77777777" w:rsidR="00134054" w:rsidRPr="00DB7FBE" w:rsidRDefault="00134054" w:rsidP="00134054">
            <w:pPr>
              <w:spacing w:after="160"/>
              <w:rPr>
                <w:rFonts w:cs="Arial"/>
                <w:sz w:val="20"/>
                <w:szCs w:val="20"/>
                <w:lang w:val="en-US"/>
              </w:rPr>
            </w:pPr>
            <w:r w:rsidRPr="00DB7FBE">
              <w:rPr>
                <w:rFonts w:cs="Arial"/>
                <w:b/>
                <w:bCs/>
                <w:sz w:val="20"/>
                <w:szCs w:val="20"/>
                <w:lang w:val="en-US"/>
              </w:rPr>
              <w:t>PubMed</w:t>
            </w:r>
          </w:p>
        </w:tc>
        <w:tc>
          <w:tcPr>
            <w:tcW w:w="0" w:type="auto"/>
            <w:hideMark/>
          </w:tcPr>
          <w:p w14:paraId="43DE84AE" w14:textId="77777777" w:rsidR="00134054" w:rsidRPr="00DB7FBE" w:rsidRDefault="00134054" w:rsidP="00134054">
            <w:pPr>
              <w:spacing w:after="160"/>
              <w:rPr>
                <w:rFonts w:cs="Arial"/>
                <w:sz w:val="20"/>
                <w:szCs w:val="20"/>
                <w:lang w:val="en-US"/>
              </w:rPr>
            </w:pPr>
            <w:r w:rsidRPr="00DB7FBE">
              <w:rPr>
                <w:rFonts w:cs="Arial"/>
                <w:sz w:val="20"/>
                <w:szCs w:val="20"/>
                <w:lang w:val="en-US"/>
              </w:rPr>
              <w:t>3 August 2026</w:t>
            </w:r>
          </w:p>
        </w:tc>
        <w:tc>
          <w:tcPr>
            <w:tcW w:w="0" w:type="auto"/>
            <w:hideMark/>
          </w:tcPr>
          <w:p w14:paraId="4A94F043" w14:textId="77777777" w:rsidR="00134054" w:rsidRPr="00DB7FBE" w:rsidRDefault="00134054" w:rsidP="00134054">
            <w:pPr>
              <w:spacing w:after="160"/>
              <w:rPr>
                <w:rFonts w:cs="Arial"/>
                <w:sz w:val="20"/>
                <w:szCs w:val="20"/>
                <w:lang w:val="en-US"/>
              </w:rPr>
            </w:pPr>
            <w:r w:rsidRPr="00DB7FBE">
              <w:rPr>
                <w:rFonts w:cs="Arial"/>
                <w:sz w:val="20"/>
                <w:szCs w:val="20"/>
                <w:lang w:val="en-US"/>
              </w:rPr>
              <w:t>Biomedical records and supplementary PubMed coverage</w:t>
            </w:r>
          </w:p>
        </w:tc>
        <w:tc>
          <w:tcPr>
            <w:tcW w:w="0" w:type="auto"/>
            <w:hideMark/>
          </w:tcPr>
          <w:p w14:paraId="4ED20724" w14:textId="77777777" w:rsidR="00134054" w:rsidRPr="00DB7FBE" w:rsidRDefault="00134054" w:rsidP="00134054">
            <w:pPr>
              <w:spacing w:after="160"/>
              <w:rPr>
                <w:rFonts w:cs="Arial"/>
                <w:sz w:val="20"/>
                <w:szCs w:val="20"/>
                <w:lang w:val="en-US"/>
              </w:rPr>
            </w:pPr>
            <w:r w:rsidRPr="00DB7FBE">
              <w:rPr>
                <w:rFonts w:cs="Arial"/>
                <w:sz w:val="20"/>
                <w:szCs w:val="20"/>
                <w:lang w:val="en-US"/>
              </w:rPr>
              <w:t>English; peer-reviewed; 2015–2025</w:t>
            </w:r>
          </w:p>
        </w:tc>
        <w:tc>
          <w:tcPr>
            <w:tcW w:w="0" w:type="auto"/>
            <w:hideMark/>
          </w:tcPr>
          <w:p w14:paraId="6A68D0E2" w14:textId="77777777" w:rsidR="00134054" w:rsidRPr="00DB7FBE" w:rsidRDefault="00134054" w:rsidP="00134054">
            <w:pPr>
              <w:spacing w:after="160"/>
              <w:rPr>
                <w:rFonts w:cs="Arial"/>
                <w:sz w:val="20"/>
                <w:szCs w:val="20"/>
                <w:lang w:val="en-US"/>
              </w:rPr>
            </w:pPr>
            <w:r w:rsidRPr="00DB7FBE">
              <w:rPr>
                <w:rFonts w:cs="Arial"/>
                <w:b/>
                <w:bCs/>
                <w:sz w:val="20"/>
                <w:szCs w:val="20"/>
                <w:lang w:val="en-US"/>
              </w:rPr>
              <w:t>84</w:t>
            </w:r>
          </w:p>
        </w:tc>
      </w:tr>
      <w:tr w:rsidR="00134054" w:rsidRPr="00DB7FBE" w14:paraId="480A1488" w14:textId="77777777" w:rsidTr="006126EB">
        <w:trPr>
          <w:jc w:val="center"/>
        </w:trPr>
        <w:tc>
          <w:tcPr>
            <w:tcW w:w="0" w:type="auto"/>
            <w:hideMark/>
          </w:tcPr>
          <w:p w14:paraId="0C170D39" w14:textId="77777777" w:rsidR="00134054" w:rsidRPr="00DB7FBE" w:rsidRDefault="00134054" w:rsidP="00134054">
            <w:pPr>
              <w:spacing w:after="160"/>
              <w:rPr>
                <w:rFonts w:cs="Arial"/>
                <w:sz w:val="20"/>
                <w:szCs w:val="20"/>
                <w:lang w:val="en-US"/>
              </w:rPr>
            </w:pPr>
            <w:r w:rsidRPr="00DB7FBE">
              <w:rPr>
                <w:rFonts w:cs="Arial"/>
                <w:b/>
                <w:bCs/>
                <w:sz w:val="20"/>
                <w:szCs w:val="20"/>
                <w:lang w:val="en-US"/>
              </w:rPr>
              <w:t>CINAHL</w:t>
            </w:r>
          </w:p>
        </w:tc>
        <w:tc>
          <w:tcPr>
            <w:tcW w:w="0" w:type="auto"/>
            <w:hideMark/>
          </w:tcPr>
          <w:p w14:paraId="6B62E80C" w14:textId="77777777" w:rsidR="00134054" w:rsidRPr="00DB7FBE" w:rsidRDefault="00134054" w:rsidP="00134054">
            <w:pPr>
              <w:spacing w:after="160"/>
              <w:rPr>
                <w:rFonts w:cs="Arial"/>
                <w:sz w:val="20"/>
                <w:szCs w:val="20"/>
                <w:lang w:val="en-US"/>
              </w:rPr>
            </w:pPr>
            <w:r w:rsidRPr="00DB7FBE">
              <w:rPr>
                <w:rFonts w:cs="Arial"/>
                <w:sz w:val="20"/>
                <w:szCs w:val="20"/>
                <w:lang w:val="en-US"/>
              </w:rPr>
              <w:t>6 August 2026</w:t>
            </w:r>
          </w:p>
        </w:tc>
        <w:tc>
          <w:tcPr>
            <w:tcW w:w="0" w:type="auto"/>
            <w:hideMark/>
          </w:tcPr>
          <w:p w14:paraId="4C6CF1DF" w14:textId="77777777" w:rsidR="00134054" w:rsidRPr="00DB7FBE" w:rsidRDefault="00134054" w:rsidP="00134054">
            <w:pPr>
              <w:spacing w:after="160"/>
              <w:rPr>
                <w:rFonts w:cs="Arial"/>
                <w:sz w:val="20"/>
                <w:szCs w:val="20"/>
                <w:lang w:val="en-US"/>
              </w:rPr>
            </w:pPr>
            <w:r w:rsidRPr="00DB7FBE">
              <w:rPr>
                <w:rFonts w:cs="Arial"/>
                <w:sz w:val="20"/>
                <w:szCs w:val="20"/>
                <w:lang w:val="en-US"/>
              </w:rPr>
              <w:t>Nursing, allied health and care-experience literature</w:t>
            </w:r>
          </w:p>
        </w:tc>
        <w:tc>
          <w:tcPr>
            <w:tcW w:w="0" w:type="auto"/>
            <w:hideMark/>
          </w:tcPr>
          <w:p w14:paraId="0A87C5DE" w14:textId="77777777" w:rsidR="00134054" w:rsidRPr="00DB7FBE" w:rsidRDefault="00134054" w:rsidP="00134054">
            <w:pPr>
              <w:spacing w:after="160"/>
              <w:rPr>
                <w:rFonts w:cs="Arial"/>
                <w:sz w:val="20"/>
                <w:szCs w:val="20"/>
                <w:lang w:val="en-US"/>
              </w:rPr>
            </w:pPr>
            <w:r w:rsidRPr="00DB7FBE">
              <w:rPr>
                <w:rFonts w:cs="Arial"/>
                <w:sz w:val="20"/>
                <w:szCs w:val="20"/>
                <w:lang w:val="en-US"/>
              </w:rPr>
              <w:t>English; peer-reviewed; 2015–2025</w:t>
            </w:r>
          </w:p>
        </w:tc>
        <w:tc>
          <w:tcPr>
            <w:tcW w:w="0" w:type="auto"/>
            <w:hideMark/>
          </w:tcPr>
          <w:p w14:paraId="15BE7E90" w14:textId="77777777" w:rsidR="00134054" w:rsidRPr="00DB7FBE" w:rsidRDefault="00134054" w:rsidP="00134054">
            <w:pPr>
              <w:spacing w:after="160"/>
              <w:rPr>
                <w:rFonts w:cs="Arial"/>
                <w:sz w:val="20"/>
                <w:szCs w:val="20"/>
                <w:lang w:val="en-US"/>
              </w:rPr>
            </w:pPr>
            <w:r w:rsidRPr="00DB7FBE">
              <w:rPr>
                <w:rFonts w:cs="Arial"/>
                <w:b/>
                <w:bCs/>
                <w:sz w:val="20"/>
                <w:szCs w:val="20"/>
                <w:lang w:val="en-US"/>
              </w:rPr>
              <w:t>71</w:t>
            </w:r>
          </w:p>
        </w:tc>
      </w:tr>
      <w:tr w:rsidR="00134054" w:rsidRPr="00DB7FBE" w14:paraId="47400EE0" w14:textId="77777777" w:rsidTr="006126EB">
        <w:trPr>
          <w:jc w:val="center"/>
        </w:trPr>
        <w:tc>
          <w:tcPr>
            <w:tcW w:w="0" w:type="auto"/>
            <w:hideMark/>
          </w:tcPr>
          <w:p w14:paraId="45C2846A" w14:textId="77777777" w:rsidR="00134054" w:rsidRPr="00DB7FBE" w:rsidRDefault="00134054" w:rsidP="00134054">
            <w:pPr>
              <w:spacing w:after="160"/>
              <w:rPr>
                <w:rFonts w:cs="Arial"/>
                <w:sz w:val="20"/>
                <w:szCs w:val="20"/>
                <w:lang w:val="en-US"/>
              </w:rPr>
            </w:pPr>
            <w:r w:rsidRPr="00DB7FBE">
              <w:rPr>
                <w:rFonts w:cs="Arial"/>
                <w:b/>
                <w:bCs/>
                <w:sz w:val="20"/>
                <w:szCs w:val="20"/>
                <w:lang w:val="en-US"/>
              </w:rPr>
              <w:t>PsycINFO</w:t>
            </w:r>
          </w:p>
        </w:tc>
        <w:tc>
          <w:tcPr>
            <w:tcW w:w="0" w:type="auto"/>
            <w:hideMark/>
          </w:tcPr>
          <w:p w14:paraId="525EBCA2" w14:textId="77777777" w:rsidR="00134054" w:rsidRPr="00DB7FBE" w:rsidRDefault="00134054" w:rsidP="00134054">
            <w:pPr>
              <w:spacing w:after="160"/>
              <w:rPr>
                <w:rFonts w:cs="Arial"/>
                <w:sz w:val="20"/>
                <w:szCs w:val="20"/>
                <w:lang w:val="en-US"/>
              </w:rPr>
            </w:pPr>
            <w:r w:rsidRPr="00DB7FBE">
              <w:rPr>
                <w:rFonts w:cs="Arial"/>
                <w:sz w:val="20"/>
                <w:szCs w:val="20"/>
                <w:lang w:val="en-US"/>
              </w:rPr>
              <w:t>2 August 2026</w:t>
            </w:r>
          </w:p>
        </w:tc>
        <w:tc>
          <w:tcPr>
            <w:tcW w:w="0" w:type="auto"/>
            <w:hideMark/>
          </w:tcPr>
          <w:p w14:paraId="177782CC" w14:textId="77777777" w:rsidR="00134054" w:rsidRPr="00DB7FBE" w:rsidRDefault="00134054" w:rsidP="00134054">
            <w:pPr>
              <w:spacing w:after="160"/>
              <w:rPr>
                <w:rFonts w:cs="Arial"/>
                <w:sz w:val="20"/>
                <w:szCs w:val="20"/>
                <w:lang w:val="en-US"/>
              </w:rPr>
            </w:pPr>
            <w:r w:rsidRPr="00DB7FBE">
              <w:rPr>
                <w:rFonts w:cs="Arial"/>
                <w:sz w:val="20"/>
                <w:szCs w:val="20"/>
                <w:lang w:val="en-US"/>
              </w:rPr>
              <w:t>Psychological, behavioural and experiential evidence</w:t>
            </w:r>
          </w:p>
        </w:tc>
        <w:tc>
          <w:tcPr>
            <w:tcW w:w="0" w:type="auto"/>
            <w:hideMark/>
          </w:tcPr>
          <w:p w14:paraId="5EE18DD2" w14:textId="77777777" w:rsidR="00134054" w:rsidRPr="00DB7FBE" w:rsidRDefault="00134054" w:rsidP="00134054">
            <w:pPr>
              <w:spacing w:after="160"/>
              <w:rPr>
                <w:rFonts w:cs="Arial"/>
                <w:sz w:val="20"/>
                <w:szCs w:val="20"/>
                <w:lang w:val="en-US"/>
              </w:rPr>
            </w:pPr>
            <w:r w:rsidRPr="00DB7FBE">
              <w:rPr>
                <w:rFonts w:cs="Arial"/>
                <w:sz w:val="20"/>
                <w:szCs w:val="20"/>
                <w:lang w:val="en-US"/>
              </w:rPr>
              <w:t xml:space="preserve">English; peer-reviewed; </w:t>
            </w:r>
            <w:r w:rsidRPr="00DB7FBE">
              <w:rPr>
                <w:rFonts w:cs="Arial"/>
                <w:sz w:val="20"/>
                <w:szCs w:val="20"/>
                <w:lang w:val="en-US"/>
              </w:rPr>
              <w:lastRenderedPageBreak/>
              <w:t>2015–2025</w:t>
            </w:r>
          </w:p>
        </w:tc>
        <w:tc>
          <w:tcPr>
            <w:tcW w:w="0" w:type="auto"/>
            <w:hideMark/>
          </w:tcPr>
          <w:p w14:paraId="0E0A9698" w14:textId="77777777" w:rsidR="00134054" w:rsidRPr="00DB7FBE" w:rsidRDefault="00134054" w:rsidP="00134054">
            <w:pPr>
              <w:spacing w:after="160"/>
              <w:rPr>
                <w:rFonts w:cs="Arial"/>
                <w:sz w:val="20"/>
                <w:szCs w:val="20"/>
                <w:lang w:val="en-US"/>
              </w:rPr>
            </w:pPr>
            <w:r w:rsidRPr="00DB7FBE">
              <w:rPr>
                <w:rFonts w:cs="Arial"/>
                <w:b/>
                <w:bCs/>
                <w:sz w:val="20"/>
                <w:szCs w:val="20"/>
                <w:lang w:val="en-US"/>
              </w:rPr>
              <w:lastRenderedPageBreak/>
              <w:t>63</w:t>
            </w:r>
          </w:p>
        </w:tc>
      </w:tr>
      <w:tr w:rsidR="00134054" w:rsidRPr="00DB7FBE" w14:paraId="7AE76F8C" w14:textId="77777777" w:rsidTr="006126EB">
        <w:trPr>
          <w:jc w:val="center"/>
        </w:trPr>
        <w:tc>
          <w:tcPr>
            <w:tcW w:w="0" w:type="auto"/>
            <w:hideMark/>
          </w:tcPr>
          <w:p w14:paraId="7F87700D" w14:textId="77777777" w:rsidR="00134054" w:rsidRPr="00DB7FBE" w:rsidRDefault="00134054" w:rsidP="00134054">
            <w:pPr>
              <w:spacing w:after="160"/>
              <w:rPr>
                <w:rFonts w:cs="Arial"/>
                <w:sz w:val="20"/>
                <w:szCs w:val="20"/>
                <w:lang w:val="en-US"/>
              </w:rPr>
            </w:pPr>
            <w:r w:rsidRPr="00DB7FBE">
              <w:rPr>
                <w:rFonts w:cs="Arial"/>
                <w:b/>
                <w:bCs/>
                <w:sz w:val="20"/>
                <w:szCs w:val="20"/>
                <w:lang w:val="en-US"/>
              </w:rPr>
              <w:t>Web of Science</w:t>
            </w:r>
          </w:p>
        </w:tc>
        <w:tc>
          <w:tcPr>
            <w:tcW w:w="0" w:type="auto"/>
            <w:hideMark/>
          </w:tcPr>
          <w:p w14:paraId="09E2AA46" w14:textId="77777777" w:rsidR="00134054" w:rsidRPr="00DB7FBE" w:rsidRDefault="00134054" w:rsidP="00134054">
            <w:pPr>
              <w:spacing w:after="160"/>
              <w:rPr>
                <w:rFonts w:cs="Arial"/>
                <w:sz w:val="20"/>
                <w:szCs w:val="20"/>
                <w:lang w:val="en-US"/>
              </w:rPr>
            </w:pPr>
            <w:r w:rsidRPr="00DB7FBE">
              <w:rPr>
                <w:rFonts w:cs="Arial"/>
                <w:sz w:val="20"/>
                <w:szCs w:val="20"/>
                <w:lang w:val="en-US"/>
              </w:rPr>
              <w:t>5 August 2026</w:t>
            </w:r>
          </w:p>
        </w:tc>
        <w:tc>
          <w:tcPr>
            <w:tcW w:w="0" w:type="auto"/>
            <w:hideMark/>
          </w:tcPr>
          <w:p w14:paraId="57AAE32B" w14:textId="77777777" w:rsidR="00134054" w:rsidRPr="00DB7FBE" w:rsidRDefault="00134054" w:rsidP="00134054">
            <w:pPr>
              <w:spacing w:after="160"/>
              <w:rPr>
                <w:rFonts w:cs="Arial"/>
                <w:sz w:val="20"/>
                <w:szCs w:val="20"/>
                <w:lang w:val="en-US"/>
              </w:rPr>
            </w:pPr>
            <w:r w:rsidRPr="00DB7FBE">
              <w:rPr>
                <w:rFonts w:cs="Arial"/>
                <w:sz w:val="20"/>
                <w:szCs w:val="20"/>
                <w:lang w:val="en-US"/>
              </w:rPr>
              <w:t>Multidisciplinary literature and citation searching</w:t>
            </w:r>
          </w:p>
        </w:tc>
        <w:tc>
          <w:tcPr>
            <w:tcW w:w="0" w:type="auto"/>
            <w:hideMark/>
          </w:tcPr>
          <w:p w14:paraId="51D9DB1C" w14:textId="77777777" w:rsidR="00134054" w:rsidRPr="00DB7FBE" w:rsidRDefault="00134054" w:rsidP="00134054">
            <w:pPr>
              <w:spacing w:after="160"/>
              <w:rPr>
                <w:rFonts w:cs="Arial"/>
                <w:sz w:val="20"/>
                <w:szCs w:val="20"/>
                <w:lang w:val="en-US"/>
              </w:rPr>
            </w:pPr>
            <w:r w:rsidRPr="00DB7FBE">
              <w:rPr>
                <w:rFonts w:cs="Arial"/>
                <w:sz w:val="20"/>
                <w:szCs w:val="20"/>
                <w:lang w:val="en-US"/>
              </w:rPr>
              <w:t>English; article; 2015–2025</w:t>
            </w:r>
          </w:p>
        </w:tc>
        <w:tc>
          <w:tcPr>
            <w:tcW w:w="0" w:type="auto"/>
            <w:hideMark/>
          </w:tcPr>
          <w:p w14:paraId="2DB7AFFE" w14:textId="77777777" w:rsidR="00134054" w:rsidRPr="00DB7FBE" w:rsidRDefault="00134054" w:rsidP="00134054">
            <w:pPr>
              <w:spacing w:after="160"/>
              <w:rPr>
                <w:rFonts w:cs="Arial"/>
                <w:sz w:val="20"/>
                <w:szCs w:val="20"/>
                <w:lang w:val="en-US"/>
              </w:rPr>
            </w:pPr>
            <w:r w:rsidRPr="00DB7FBE">
              <w:rPr>
                <w:rFonts w:cs="Arial"/>
                <w:b/>
                <w:bCs/>
                <w:sz w:val="20"/>
                <w:szCs w:val="20"/>
                <w:lang w:val="en-US"/>
              </w:rPr>
              <w:t>72</w:t>
            </w:r>
          </w:p>
        </w:tc>
      </w:tr>
      <w:tr w:rsidR="00134054" w:rsidRPr="00DB7FBE" w14:paraId="5F1BCB7D" w14:textId="77777777" w:rsidTr="006126EB">
        <w:trPr>
          <w:jc w:val="center"/>
        </w:trPr>
        <w:tc>
          <w:tcPr>
            <w:tcW w:w="0" w:type="auto"/>
            <w:hideMark/>
          </w:tcPr>
          <w:p w14:paraId="1BAF4A9E" w14:textId="77777777" w:rsidR="00134054" w:rsidRPr="00DB7FBE" w:rsidRDefault="00134054" w:rsidP="00134054">
            <w:pPr>
              <w:spacing w:after="160"/>
              <w:rPr>
                <w:rFonts w:cs="Arial"/>
                <w:sz w:val="20"/>
                <w:szCs w:val="20"/>
                <w:lang w:val="en-US"/>
              </w:rPr>
            </w:pPr>
            <w:r w:rsidRPr="00DB7FBE">
              <w:rPr>
                <w:rFonts w:cs="Arial"/>
                <w:b/>
                <w:bCs/>
                <w:sz w:val="20"/>
                <w:szCs w:val="20"/>
                <w:lang w:val="en-US"/>
              </w:rPr>
              <w:t>Supplementary searching</w:t>
            </w:r>
          </w:p>
        </w:tc>
        <w:tc>
          <w:tcPr>
            <w:tcW w:w="0" w:type="auto"/>
            <w:hideMark/>
          </w:tcPr>
          <w:p w14:paraId="2ECE5382" w14:textId="77777777" w:rsidR="00134054" w:rsidRPr="00DB7FBE" w:rsidRDefault="00134054" w:rsidP="00134054">
            <w:pPr>
              <w:spacing w:after="160"/>
              <w:rPr>
                <w:rFonts w:cs="Arial"/>
                <w:sz w:val="20"/>
                <w:szCs w:val="20"/>
                <w:lang w:val="en-US"/>
              </w:rPr>
            </w:pPr>
            <w:r w:rsidRPr="00DB7FBE">
              <w:rPr>
                <w:rFonts w:cs="Arial"/>
                <w:sz w:val="20"/>
                <w:szCs w:val="20"/>
                <w:lang w:val="en-US"/>
              </w:rPr>
              <w:t>10 August 2026</w:t>
            </w:r>
          </w:p>
        </w:tc>
        <w:tc>
          <w:tcPr>
            <w:tcW w:w="0" w:type="auto"/>
            <w:hideMark/>
          </w:tcPr>
          <w:p w14:paraId="3C668056" w14:textId="77777777" w:rsidR="00134054" w:rsidRPr="00DB7FBE" w:rsidRDefault="00134054" w:rsidP="00134054">
            <w:pPr>
              <w:spacing w:after="160"/>
              <w:rPr>
                <w:rFonts w:cs="Arial"/>
                <w:sz w:val="20"/>
                <w:szCs w:val="20"/>
                <w:lang w:val="en-US"/>
              </w:rPr>
            </w:pPr>
            <w:r w:rsidRPr="00DB7FBE">
              <w:rPr>
                <w:rFonts w:cs="Arial"/>
                <w:sz w:val="20"/>
                <w:szCs w:val="20"/>
                <w:lang w:val="en-US"/>
              </w:rPr>
              <w:t>Backward/forward citation searching and Google Scholar discovery</w:t>
            </w:r>
          </w:p>
        </w:tc>
        <w:tc>
          <w:tcPr>
            <w:tcW w:w="0" w:type="auto"/>
            <w:hideMark/>
          </w:tcPr>
          <w:p w14:paraId="4356427A" w14:textId="77777777" w:rsidR="00134054" w:rsidRPr="00DB7FBE" w:rsidRDefault="00134054" w:rsidP="00134054">
            <w:pPr>
              <w:spacing w:after="160"/>
              <w:rPr>
                <w:rFonts w:cs="Arial"/>
                <w:sz w:val="20"/>
                <w:szCs w:val="20"/>
                <w:lang w:val="en-US"/>
              </w:rPr>
            </w:pPr>
            <w:r w:rsidRPr="00DB7FBE">
              <w:rPr>
                <w:rFonts w:cs="Arial"/>
                <w:sz w:val="20"/>
                <w:szCs w:val="20"/>
                <w:lang w:val="en-US"/>
              </w:rPr>
              <w:t>Same substantive eligibility criteria</w:t>
            </w:r>
          </w:p>
        </w:tc>
        <w:tc>
          <w:tcPr>
            <w:tcW w:w="0" w:type="auto"/>
            <w:hideMark/>
          </w:tcPr>
          <w:p w14:paraId="5F4116FD" w14:textId="77777777" w:rsidR="00134054" w:rsidRPr="00DB7FBE" w:rsidRDefault="00134054" w:rsidP="00134054">
            <w:pPr>
              <w:spacing w:after="160"/>
              <w:rPr>
                <w:rFonts w:cs="Arial"/>
                <w:sz w:val="20"/>
                <w:szCs w:val="20"/>
                <w:lang w:val="en-US"/>
              </w:rPr>
            </w:pPr>
            <w:r w:rsidRPr="00DB7FBE">
              <w:rPr>
                <w:rFonts w:cs="Arial"/>
                <w:b/>
                <w:bCs/>
                <w:sz w:val="20"/>
                <w:szCs w:val="20"/>
                <w:lang w:val="en-US"/>
              </w:rPr>
              <w:t>18</w:t>
            </w:r>
          </w:p>
        </w:tc>
      </w:tr>
      <w:tr w:rsidR="00134054" w:rsidRPr="00DB7FBE" w14:paraId="2C3E8814" w14:textId="77777777" w:rsidTr="006126EB">
        <w:trPr>
          <w:jc w:val="center"/>
        </w:trPr>
        <w:tc>
          <w:tcPr>
            <w:tcW w:w="0" w:type="auto"/>
            <w:hideMark/>
          </w:tcPr>
          <w:p w14:paraId="485A639C" w14:textId="77777777" w:rsidR="00134054" w:rsidRPr="00DB7FBE" w:rsidRDefault="00134054" w:rsidP="00134054">
            <w:pPr>
              <w:spacing w:after="160"/>
              <w:rPr>
                <w:rFonts w:cs="Arial"/>
                <w:sz w:val="20"/>
                <w:szCs w:val="20"/>
                <w:lang w:val="en-US"/>
              </w:rPr>
            </w:pPr>
            <w:r w:rsidRPr="00DB7FBE">
              <w:rPr>
                <w:rFonts w:cs="Arial"/>
                <w:b/>
                <w:bCs/>
                <w:sz w:val="20"/>
                <w:szCs w:val="20"/>
                <w:lang w:val="en-US"/>
              </w:rPr>
              <w:t>Total</w:t>
            </w:r>
          </w:p>
        </w:tc>
        <w:tc>
          <w:tcPr>
            <w:tcW w:w="0" w:type="auto"/>
            <w:hideMark/>
          </w:tcPr>
          <w:p w14:paraId="4EAC3269" w14:textId="6AA325D9" w:rsidR="00134054" w:rsidRPr="00DB7FBE" w:rsidRDefault="008A3188" w:rsidP="00134054">
            <w:pPr>
              <w:spacing w:after="160"/>
              <w:rPr>
                <w:rFonts w:cs="Arial"/>
                <w:sz w:val="20"/>
                <w:szCs w:val="20"/>
                <w:lang w:val="en-US"/>
              </w:rPr>
            </w:pPr>
            <w:r w:rsidRPr="00DB7FBE">
              <w:rPr>
                <w:rFonts w:cs="Arial"/>
                <w:sz w:val="20"/>
                <w:szCs w:val="20"/>
                <w:lang w:val="en-US"/>
              </w:rPr>
              <w:t>-</w:t>
            </w:r>
          </w:p>
        </w:tc>
        <w:tc>
          <w:tcPr>
            <w:tcW w:w="0" w:type="auto"/>
            <w:hideMark/>
          </w:tcPr>
          <w:p w14:paraId="3F16BEB6" w14:textId="77777777" w:rsidR="00134054" w:rsidRPr="00DB7FBE" w:rsidRDefault="00134054" w:rsidP="00134054">
            <w:pPr>
              <w:spacing w:after="160"/>
              <w:rPr>
                <w:rFonts w:cs="Arial"/>
                <w:sz w:val="20"/>
                <w:szCs w:val="20"/>
                <w:lang w:val="en-US"/>
              </w:rPr>
            </w:pPr>
            <w:r w:rsidRPr="00DB7FBE">
              <w:rPr>
                <w:rFonts w:cs="Arial"/>
                <w:sz w:val="20"/>
                <w:szCs w:val="20"/>
                <w:lang w:val="en-US"/>
              </w:rPr>
              <w:t>Consolidated identification set</w:t>
            </w:r>
          </w:p>
        </w:tc>
        <w:tc>
          <w:tcPr>
            <w:tcW w:w="0" w:type="auto"/>
            <w:hideMark/>
          </w:tcPr>
          <w:p w14:paraId="669F1A6A" w14:textId="7AF636DC" w:rsidR="00134054" w:rsidRPr="00DB7FBE" w:rsidRDefault="008A3188" w:rsidP="00134054">
            <w:pPr>
              <w:spacing w:after="160"/>
              <w:rPr>
                <w:rFonts w:cs="Arial"/>
                <w:sz w:val="20"/>
                <w:szCs w:val="20"/>
                <w:lang w:val="en-US"/>
              </w:rPr>
            </w:pPr>
            <w:r w:rsidRPr="00DB7FBE">
              <w:rPr>
                <w:rFonts w:cs="Arial"/>
                <w:sz w:val="20"/>
                <w:szCs w:val="20"/>
                <w:lang w:val="en-US"/>
              </w:rPr>
              <w:t>-</w:t>
            </w:r>
          </w:p>
        </w:tc>
        <w:tc>
          <w:tcPr>
            <w:tcW w:w="0" w:type="auto"/>
            <w:hideMark/>
          </w:tcPr>
          <w:p w14:paraId="00C54D99" w14:textId="77777777" w:rsidR="00134054" w:rsidRPr="00DB7FBE" w:rsidRDefault="00134054" w:rsidP="00134054">
            <w:pPr>
              <w:spacing w:after="160"/>
              <w:rPr>
                <w:rFonts w:cs="Arial"/>
                <w:sz w:val="20"/>
                <w:szCs w:val="20"/>
                <w:lang w:val="en-US"/>
              </w:rPr>
            </w:pPr>
            <w:r w:rsidRPr="00DB7FBE">
              <w:rPr>
                <w:rFonts w:cs="Arial"/>
                <w:b/>
                <w:bCs/>
                <w:sz w:val="20"/>
                <w:szCs w:val="20"/>
                <w:lang w:val="en-US"/>
              </w:rPr>
              <w:t>400</w:t>
            </w:r>
          </w:p>
        </w:tc>
      </w:tr>
    </w:tbl>
    <w:p w14:paraId="115C64B1" w14:textId="77777777" w:rsidR="00134054" w:rsidRPr="00DF70B3" w:rsidRDefault="00134054" w:rsidP="008B0473">
      <w:pPr>
        <w:rPr>
          <w:rFonts w:cs="Arial"/>
          <w:lang w:val="en-US"/>
        </w:rPr>
      </w:pPr>
    </w:p>
    <w:p w14:paraId="35D001CF" w14:textId="77777777" w:rsidR="002705FF" w:rsidRPr="00DF70B3" w:rsidRDefault="002705FF" w:rsidP="00281A31">
      <w:pPr>
        <w:rPr>
          <w:rFonts w:cs="Arial"/>
          <w:lang w:val="en-US"/>
        </w:rPr>
      </w:pPr>
      <w:r w:rsidRPr="00DF70B3">
        <w:rPr>
          <w:rFonts w:cs="Arial"/>
          <w:lang w:val="en-US"/>
        </w:rPr>
        <w:t>Table A4: Core Search Concepts and Indicative Search Terms</w:t>
      </w:r>
    </w:p>
    <w:tbl>
      <w:tblPr>
        <w:tblStyle w:val="TableGrid"/>
        <w:tblW w:w="0" w:type="auto"/>
        <w:jc w:val="center"/>
        <w:tblLook w:val="04A0" w:firstRow="1" w:lastRow="0" w:firstColumn="1" w:lastColumn="0" w:noHBand="0" w:noVBand="1"/>
      </w:tblPr>
      <w:tblGrid>
        <w:gridCol w:w="2262"/>
        <w:gridCol w:w="10933"/>
      </w:tblGrid>
      <w:tr w:rsidR="002705FF" w:rsidRPr="00DF70B3" w14:paraId="5F305640" w14:textId="77777777" w:rsidTr="006126EB">
        <w:trPr>
          <w:jc w:val="center"/>
        </w:trPr>
        <w:tc>
          <w:tcPr>
            <w:tcW w:w="0" w:type="auto"/>
            <w:hideMark/>
          </w:tcPr>
          <w:p w14:paraId="07E23167" w14:textId="77777777" w:rsidR="002705FF" w:rsidRPr="00DF70B3" w:rsidRDefault="002705FF" w:rsidP="002705FF">
            <w:pPr>
              <w:spacing w:after="160"/>
              <w:rPr>
                <w:rFonts w:cs="Arial"/>
                <w:b/>
                <w:bCs/>
                <w:sz w:val="20"/>
                <w:szCs w:val="20"/>
                <w:lang w:val="en-US"/>
              </w:rPr>
            </w:pPr>
            <w:r w:rsidRPr="00DF70B3">
              <w:rPr>
                <w:rFonts w:cs="Arial"/>
                <w:b/>
                <w:bCs/>
                <w:sz w:val="20"/>
                <w:szCs w:val="20"/>
                <w:lang w:val="en-US"/>
              </w:rPr>
              <w:t>Search concept</w:t>
            </w:r>
          </w:p>
        </w:tc>
        <w:tc>
          <w:tcPr>
            <w:tcW w:w="0" w:type="auto"/>
            <w:hideMark/>
          </w:tcPr>
          <w:p w14:paraId="0B8DEFAC" w14:textId="77777777" w:rsidR="002705FF" w:rsidRPr="00DF70B3" w:rsidRDefault="002705FF" w:rsidP="002705FF">
            <w:pPr>
              <w:spacing w:after="160"/>
              <w:rPr>
                <w:rFonts w:cs="Arial"/>
                <w:b/>
                <w:bCs/>
                <w:sz w:val="20"/>
                <w:szCs w:val="20"/>
                <w:lang w:val="en-US"/>
              </w:rPr>
            </w:pPr>
            <w:r w:rsidRPr="00DF70B3">
              <w:rPr>
                <w:rFonts w:cs="Arial"/>
                <w:b/>
                <w:bCs/>
                <w:sz w:val="20"/>
                <w:szCs w:val="20"/>
                <w:lang w:val="en-US"/>
              </w:rPr>
              <w:t>Indicative terms</w:t>
            </w:r>
          </w:p>
        </w:tc>
      </w:tr>
      <w:tr w:rsidR="002705FF" w:rsidRPr="00DF70B3" w14:paraId="7DF7C58B" w14:textId="77777777" w:rsidTr="006126EB">
        <w:trPr>
          <w:jc w:val="center"/>
        </w:trPr>
        <w:tc>
          <w:tcPr>
            <w:tcW w:w="0" w:type="auto"/>
            <w:hideMark/>
          </w:tcPr>
          <w:p w14:paraId="5C69BB00" w14:textId="77777777" w:rsidR="002705FF" w:rsidRPr="00DF70B3" w:rsidRDefault="002705FF" w:rsidP="002705FF">
            <w:pPr>
              <w:spacing w:after="160"/>
              <w:rPr>
                <w:rFonts w:cs="Arial"/>
                <w:sz w:val="20"/>
                <w:szCs w:val="20"/>
                <w:lang w:val="en-US"/>
              </w:rPr>
            </w:pPr>
            <w:r w:rsidRPr="00DF70B3">
              <w:rPr>
                <w:rFonts w:cs="Arial"/>
                <w:sz w:val="20"/>
                <w:szCs w:val="20"/>
                <w:lang w:val="en-US"/>
              </w:rPr>
              <w:t>Older adults</w:t>
            </w:r>
          </w:p>
        </w:tc>
        <w:tc>
          <w:tcPr>
            <w:tcW w:w="0" w:type="auto"/>
            <w:hideMark/>
          </w:tcPr>
          <w:p w14:paraId="5F37E277" w14:textId="77777777" w:rsidR="002705FF" w:rsidRPr="00DF70B3" w:rsidRDefault="002705FF" w:rsidP="002705FF">
            <w:pPr>
              <w:spacing w:after="160"/>
              <w:rPr>
                <w:rFonts w:cs="Arial"/>
                <w:sz w:val="20"/>
                <w:szCs w:val="20"/>
                <w:lang w:val="en-US"/>
              </w:rPr>
            </w:pPr>
            <w:r w:rsidRPr="00DF70B3">
              <w:rPr>
                <w:rFonts w:cs="Arial"/>
                <w:sz w:val="20"/>
                <w:szCs w:val="20"/>
                <w:lang w:val="en-US"/>
              </w:rPr>
              <w:t>aged OR older adult* OR elderly OR senior*</w:t>
            </w:r>
          </w:p>
        </w:tc>
      </w:tr>
      <w:tr w:rsidR="002705FF" w:rsidRPr="00DF70B3" w14:paraId="57F05F4B" w14:textId="77777777" w:rsidTr="006126EB">
        <w:trPr>
          <w:jc w:val="center"/>
        </w:trPr>
        <w:tc>
          <w:tcPr>
            <w:tcW w:w="0" w:type="auto"/>
            <w:hideMark/>
          </w:tcPr>
          <w:p w14:paraId="25626F4B" w14:textId="77777777" w:rsidR="002705FF" w:rsidRPr="00DF70B3" w:rsidRDefault="002705FF" w:rsidP="002705FF">
            <w:pPr>
              <w:spacing w:after="160"/>
              <w:rPr>
                <w:rFonts w:cs="Arial"/>
                <w:sz w:val="20"/>
                <w:szCs w:val="20"/>
                <w:lang w:val="en-US"/>
              </w:rPr>
            </w:pPr>
            <w:r w:rsidRPr="00DF70B3">
              <w:rPr>
                <w:rFonts w:cs="Arial"/>
                <w:sz w:val="20"/>
                <w:szCs w:val="20"/>
                <w:lang w:val="en-US"/>
              </w:rPr>
              <w:t>Digital health</w:t>
            </w:r>
          </w:p>
        </w:tc>
        <w:tc>
          <w:tcPr>
            <w:tcW w:w="0" w:type="auto"/>
            <w:hideMark/>
          </w:tcPr>
          <w:p w14:paraId="4C544538" w14:textId="77777777" w:rsidR="002705FF" w:rsidRPr="00DF70B3" w:rsidRDefault="002705FF" w:rsidP="002705FF">
            <w:pPr>
              <w:spacing w:after="160"/>
              <w:rPr>
                <w:rFonts w:cs="Arial"/>
                <w:sz w:val="20"/>
                <w:szCs w:val="20"/>
                <w:lang w:val="en-US"/>
              </w:rPr>
            </w:pPr>
            <w:r w:rsidRPr="00DF70B3">
              <w:rPr>
                <w:rFonts w:cs="Arial"/>
                <w:sz w:val="20"/>
                <w:szCs w:val="20"/>
                <w:lang w:val="en-US"/>
              </w:rPr>
              <w:t>digital health OR telehealth OR telemedicine OR mHealth OR remote patient monitoring OR wearable* OR patient portal*</w:t>
            </w:r>
          </w:p>
        </w:tc>
      </w:tr>
      <w:tr w:rsidR="002705FF" w:rsidRPr="00DF70B3" w14:paraId="088FDB1E" w14:textId="77777777" w:rsidTr="006126EB">
        <w:trPr>
          <w:jc w:val="center"/>
        </w:trPr>
        <w:tc>
          <w:tcPr>
            <w:tcW w:w="0" w:type="auto"/>
            <w:hideMark/>
          </w:tcPr>
          <w:p w14:paraId="3B8493F1" w14:textId="77777777" w:rsidR="002705FF" w:rsidRPr="00DF70B3" w:rsidRDefault="002705FF" w:rsidP="002705FF">
            <w:pPr>
              <w:spacing w:after="160"/>
              <w:rPr>
                <w:rFonts w:cs="Arial"/>
                <w:sz w:val="20"/>
                <w:szCs w:val="20"/>
                <w:lang w:val="en-US"/>
              </w:rPr>
            </w:pPr>
            <w:r w:rsidRPr="00DF70B3">
              <w:rPr>
                <w:rFonts w:cs="Arial"/>
                <w:sz w:val="20"/>
                <w:szCs w:val="20"/>
                <w:lang w:val="en-US"/>
              </w:rPr>
              <w:t>Chronic conditions</w:t>
            </w:r>
          </w:p>
        </w:tc>
        <w:tc>
          <w:tcPr>
            <w:tcW w:w="0" w:type="auto"/>
            <w:hideMark/>
          </w:tcPr>
          <w:p w14:paraId="682C5A44" w14:textId="77777777" w:rsidR="002705FF" w:rsidRPr="00DF70B3" w:rsidRDefault="002705FF" w:rsidP="002705FF">
            <w:pPr>
              <w:spacing w:after="160"/>
              <w:rPr>
                <w:rFonts w:cs="Arial"/>
                <w:sz w:val="20"/>
                <w:szCs w:val="20"/>
                <w:lang w:val="en-US"/>
              </w:rPr>
            </w:pPr>
            <w:r w:rsidRPr="00DF70B3">
              <w:rPr>
                <w:rFonts w:cs="Arial"/>
                <w:sz w:val="20"/>
                <w:szCs w:val="20"/>
                <w:lang w:val="en-US"/>
              </w:rPr>
              <w:t>chronic disease* OR long-term condition* OR multimorbid*</w:t>
            </w:r>
          </w:p>
        </w:tc>
      </w:tr>
      <w:tr w:rsidR="002705FF" w:rsidRPr="00DF70B3" w14:paraId="7879550A" w14:textId="77777777" w:rsidTr="006126EB">
        <w:trPr>
          <w:jc w:val="center"/>
        </w:trPr>
        <w:tc>
          <w:tcPr>
            <w:tcW w:w="0" w:type="auto"/>
            <w:hideMark/>
          </w:tcPr>
          <w:p w14:paraId="11D5BD68" w14:textId="77777777" w:rsidR="002705FF" w:rsidRPr="00DF70B3" w:rsidRDefault="002705FF" w:rsidP="002705FF">
            <w:pPr>
              <w:spacing w:after="160"/>
              <w:rPr>
                <w:rFonts w:cs="Arial"/>
                <w:sz w:val="20"/>
                <w:szCs w:val="20"/>
                <w:lang w:val="en-US"/>
              </w:rPr>
            </w:pPr>
            <w:r w:rsidRPr="00DF70B3">
              <w:rPr>
                <w:rFonts w:cs="Arial"/>
                <w:sz w:val="20"/>
                <w:szCs w:val="20"/>
                <w:lang w:val="en-US"/>
              </w:rPr>
              <w:t>Barriers and facilitators</w:t>
            </w:r>
          </w:p>
        </w:tc>
        <w:tc>
          <w:tcPr>
            <w:tcW w:w="0" w:type="auto"/>
            <w:hideMark/>
          </w:tcPr>
          <w:p w14:paraId="4FCFF867" w14:textId="77777777" w:rsidR="002705FF" w:rsidRPr="00DF70B3" w:rsidRDefault="002705FF" w:rsidP="002705FF">
            <w:pPr>
              <w:spacing w:after="160"/>
              <w:rPr>
                <w:rFonts w:cs="Arial"/>
                <w:sz w:val="20"/>
                <w:szCs w:val="20"/>
                <w:lang w:val="en-US"/>
              </w:rPr>
            </w:pPr>
            <w:r w:rsidRPr="00DF70B3">
              <w:rPr>
                <w:rFonts w:cs="Arial"/>
                <w:sz w:val="20"/>
                <w:szCs w:val="20"/>
                <w:lang w:val="en-US"/>
              </w:rPr>
              <w:t>barrier* OR facilitator* OR experience* OR perception* OR usability OR adherence OR engagement</w:t>
            </w:r>
          </w:p>
        </w:tc>
      </w:tr>
      <w:tr w:rsidR="002705FF" w:rsidRPr="00DF70B3" w14:paraId="2C5980B6" w14:textId="77777777" w:rsidTr="006126EB">
        <w:trPr>
          <w:jc w:val="center"/>
        </w:trPr>
        <w:tc>
          <w:tcPr>
            <w:tcW w:w="0" w:type="auto"/>
            <w:hideMark/>
          </w:tcPr>
          <w:p w14:paraId="61C067BA" w14:textId="77777777" w:rsidR="002705FF" w:rsidRPr="00DF70B3" w:rsidRDefault="002705FF" w:rsidP="002705FF">
            <w:pPr>
              <w:spacing w:after="160"/>
              <w:rPr>
                <w:rFonts w:cs="Arial"/>
                <w:sz w:val="20"/>
                <w:szCs w:val="20"/>
                <w:lang w:val="en-US"/>
              </w:rPr>
            </w:pPr>
            <w:r w:rsidRPr="00DF70B3">
              <w:rPr>
                <w:rFonts w:cs="Arial"/>
                <w:sz w:val="20"/>
                <w:szCs w:val="20"/>
                <w:lang w:val="en-US"/>
              </w:rPr>
              <w:t>UK setting</w:t>
            </w:r>
          </w:p>
        </w:tc>
        <w:tc>
          <w:tcPr>
            <w:tcW w:w="0" w:type="auto"/>
            <w:hideMark/>
          </w:tcPr>
          <w:p w14:paraId="2D583798" w14:textId="77777777" w:rsidR="002705FF" w:rsidRPr="00DF70B3" w:rsidRDefault="002705FF" w:rsidP="002705FF">
            <w:pPr>
              <w:spacing w:after="160"/>
              <w:rPr>
                <w:rFonts w:cs="Arial"/>
                <w:sz w:val="20"/>
                <w:szCs w:val="20"/>
                <w:lang w:val="en-US"/>
              </w:rPr>
            </w:pPr>
            <w:r w:rsidRPr="00DF70B3">
              <w:rPr>
                <w:rFonts w:cs="Arial"/>
                <w:sz w:val="20"/>
                <w:szCs w:val="20"/>
                <w:lang w:val="en-US"/>
              </w:rPr>
              <w:t>United Kingdom OR UK OR England OR Scotland OR Wales OR Northern Ireland</w:t>
            </w:r>
          </w:p>
        </w:tc>
      </w:tr>
    </w:tbl>
    <w:p w14:paraId="6469AB9B" w14:textId="77777777" w:rsidR="00DB7FBE" w:rsidRDefault="00DB7FBE" w:rsidP="00281A31">
      <w:pPr>
        <w:rPr>
          <w:rFonts w:cs="Arial"/>
          <w:lang w:val="en-US"/>
        </w:rPr>
      </w:pPr>
    </w:p>
    <w:p w14:paraId="46135429" w14:textId="77777777" w:rsidR="00DB7FBE" w:rsidRDefault="00DB7FBE" w:rsidP="00281A31">
      <w:pPr>
        <w:rPr>
          <w:rFonts w:cs="Arial"/>
          <w:lang w:val="en-US"/>
        </w:rPr>
      </w:pPr>
    </w:p>
    <w:p w14:paraId="38368081" w14:textId="77777777" w:rsidR="00DB7FBE" w:rsidRDefault="00DB7FBE" w:rsidP="00281A31">
      <w:pPr>
        <w:rPr>
          <w:rFonts w:cs="Arial"/>
          <w:lang w:val="en-US"/>
        </w:rPr>
      </w:pPr>
    </w:p>
    <w:p w14:paraId="1C69FBE4" w14:textId="77777777" w:rsidR="00DB7FBE" w:rsidRDefault="00DB7FBE" w:rsidP="00281A31">
      <w:pPr>
        <w:rPr>
          <w:rFonts w:cs="Arial"/>
          <w:lang w:val="en-US"/>
        </w:rPr>
      </w:pPr>
    </w:p>
    <w:p w14:paraId="4ABE9E6F" w14:textId="1DECB1B4" w:rsidR="00281A31" w:rsidRPr="00DF70B3" w:rsidRDefault="00281A31" w:rsidP="00DB7FBE">
      <w:pPr>
        <w:rPr>
          <w:rFonts w:cs="Arial"/>
          <w:lang w:val="en-US"/>
        </w:rPr>
      </w:pPr>
      <w:r w:rsidRPr="00DF70B3">
        <w:rPr>
          <w:rFonts w:cs="Arial"/>
          <w:lang w:val="en-US"/>
        </w:rPr>
        <w:t>Table A5: Review-Flow Summary</w:t>
      </w:r>
    </w:p>
    <w:tbl>
      <w:tblPr>
        <w:tblStyle w:val="TableGrid"/>
        <w:tblW w:w="13158" w:type="dxa"/>
        <w:jc w:val="center"/>
        <w:tblLook w:val="04A0" w:firstRow="1" w:lastRow="0" w:firstColumn="1" w:lastColumn="0" w:noHBand="0" w:noVBand="1"/>
      </w:tblPr>
      <w:tblGrid>
        <w:gridCol w:w="7336"/>
        <w:gridCol w:w="5822"/>
      </w:tblGrid>
      <w:tr w:rsidR="00281A31" w:rsidRPr="00DF70B3" w14:paraId="4FEA2EAD" w14:textId="77777777" w:rsidTr="006126EB">
        <w:trPr>
          <w:trHeight w:val="486"/>
          <w:jc w:val="center"/>
        </w:trPr>
        <w:tc>
          <w:tcPr>
            <w:tcW w:w="0" w:type="auto"/>
            <w:hideMark/>
          </w:tcPr>
          <w:p w14:paraId="0DD0DAC0" w14:textId="2CF3440B" w:rsidR="00281A31" w:rsidRPr="00DB7FBE" w:rsidRDefault="00FC3D03" w:rsidP="00DB7FBE">
            <w:pPr>
              <w:spacing w:after="160"/>
              <w:jc w:val="center"/>
              <w:rPr>
                <w:rFonts w:cs="Arial"/>
                <w:b/>
                <w:bCs/>
                <w:sz w:val="20"/>
                <w:szCs w:val="20"/>
                <w:lang w:val="en-US"/>
              </w:rPr>
            </w:pPr>
            <w:r>
              <w:rPr>
                <w:rFonts w:cs="Arial"/>
                <w:b/>
                <w:bCs/>
                <w:sz w:val="20"/>
                <w:szCs w:val="20"/>
                <w:lang w:val="en-US"/>
              </w:rPr>
              <w:t>Review S</w:t>
            </w:r>
            <w:r w:rsidR="00281A31" w:rsidRPr="00DB7FBE">
              <w:rPr>
                <w:rFonts w:cs="Arial"/>
                <w:b/>
                <w:bCs/>
                <w:sz w:val="20"/>
                <w:szCs w:val="20"/>
                <w:lang w:val="en-US"/>
              </w:rPr>
              <w:t>tage</w:t>
            </w:r>
          </w:p>
        </w:tc>
        <w:tc>
          <w:tcPr>
            <w:tcW w:w="5822" w:type="dxa"/>
            <w:hideMark/>
          </w:tcPr>
          <w:p w14:paraId="2064A3BC" w14:textId="77777777" w:rsidR="00281A31" w:rsidRPr="00DB7FBE" w:rsidRDefault="00281A31" w:rsidP="00DB7FBE">
            <w:pPr>
              <w:spacing w:after="160"/>
              <w:jc w:val="center"/>
              <w:rPr>
                <w:rFonts w:cs="Arial"/>
                <w:b/>
                <w:bCs/>
                <w:sz w:val="20"/>
                <w:szCs w:val="20"/>
                <w:lang w:val="en-US"/>
              </w:rPr>
            </w:pPr>
            <w:r w:rsidRPr="00DB7FBE">
              <w:rPr>
                <w:rFonts w:cs="Arial"/>
                <w:b/>
                <w:bCs/>
                <w:sz w:val="20"/>
                <w:szCs w:val="20"/>
                <w:lang w:val="en-US"/>
              </w:rPr>
              <w:t>Number</w:t>
            </w:r>
          </w:p>
        </w:tc>
      </w:tr>
      <w:tr w:rsidR="00281A31" w:rsidRPr="00DF70B3" w14:paraId="70D44E26" w14:textId="77777777" w:rsidTr="006126EB">
        <w:trPr>
          <w:trHeight w:val="495"/>
          <w:jc w:val="center"/>
        </w:trPr>
        <w:tc>
          <w:tcPr>
            <w:tcW w:w="0" w:type="auto"/>
            <w:hideMark/>
          </w:tcPr>
          <w:p w14:paraId="660D7258" w14:textId="77777777" w:rsidR="00281A31" w:rsidRPr="00DB7FBE" w:rsidRDefault="00281A31" w:rsidP="00DB7FBE">
            <w:pPr>
              <w:spacing w:after="160"/>
              <w:jc w:val="center"/>
              <w:rPr>
                <w:rFonts w:cs="Arial"/>
                <w:sz w:val="20"/>
                <w:szCs w:val="20"/>
                <w:lang w:val="en-US"/>
              </w:rPr>
            </w:pPr>
            <w:r w:rsidRPr="00DB7FBE">
              <w:rPr>
                <w:rFonts w:cs="Arial"/>
                <w:sz w:val="20"/>
                <w:szCs w:val="20"/>
                <w:lang w:val="en-US"/>
              </w:rPr>
              <w:t>Records identified</w:t>
            </w:r>
          </w:p>
        </w:tc>
        <w:tc>
          <w:tcPr>
            <w:tcW w:w="5822" w:type="dxa"/>
            <w:hideMark/>
          </w:tcPr>
          <w:p w14:paraId="2CE88F75" w14:textId="77777777" w:rsidR="00281A31" w:rsidRPr="00DB7FBE" w:rsidRDefault="00281A31" w:rsidP="00DB7FBE">
            <w:pPr>
              <w:spacing w:after="160"/>
              <w:jc w:val="center"/>
              <w:rPr>
                <w:rFonts w:cs="Arial"/>
                <w:sz w:val="20"/>
                <w:szCs w:val="20"/>
                <w:lang w:val="en-US"/>
              </w:rPr>
            </w:pPr>
            <w:r w:rsidRPr="00DB7FBE">
              <w:rPr>
                <w:rFonts w:cs="Arial"/>
                <w:b/>
                <w:bCs/>
                <w:sz w:val="20"/>
                <w:szCs w:val="20"/>
                <w:lang w:val="en-US"/>
              </w:rPr>
              <w:t>400</w:t>
            </w:r>
          </w:p>
        </w:tc>
      </w:tr>
      <w:tr w:rsidR="00281A31" w:rsidRPr="00DF70B3" w14:paraId="27EF5299" w14:textId="77777777" w:rsidTr="006126EB">
        <w:trPr>
          <w:trHeight w:val="495"/>
          <w:jc w:val="center"/>
        </w:trPr>
        <w:tc>
          <w:tcPr>
            <w:tcW w:w="0" w:type="auto"/>
            <w:hideMark/>
          </w:tcPr>
          <w:p w14:paraId="1BC6EF0F" w14:textId="77777777" w:rsidR="00281A31" w:rsidRPr="00DB7FBE" w:rsidRDefault="00281A31" w:rsidP="00DB7FBE">
            <w:pPr>
              <w:spacing w:after="160"/>
              <w:jc w:val="center"/>
              <w:rPr>
                <w:rFonts w:cs="Arial"/>
                <w:sz w:val="20"/>
                <w:szCs w:val="20"/>
                <w:lang w:val="en-US"/>
              </w:rPr>
            </w:pPr>
            <w:r w:rsidRPr="00DB7FBE">
              <w:rPr>
                <w:rFonts w:cs="Arial"/>
                <w:sz w:val="20"/>
                <w:szCs w:val="20"/>
                <w:lang w:val="en-US"/>
              </w:rPr>
              <w:t>Reports included in final synthesis</w:t>
            </w:r>
          </w:p>
        </w:tc>
        <w:tc>
          <w:tcPr>
            <w:tcW w:w="5822" w:type="dxa"/>
            <w:hideMark/>
          </w:tcPr>
          <w:p w14:paraId="39CDD19D" w14:textId="77777777" w:rsidR="00281A31" w:rsidRPr="00DB7FBE" w:rsidRDefault="00281A31" w:rsidP="00DB7FBE">
            <w:pPr>
              <w:spacing w:after="160"/>
              <w:jc w:val="center"/>
              <w:rPr>
                <w:rFonts w:cs="Arial"/>
                <w:sz w:val="20"/>
                <w:szCs w:val="20"/>
                <w:lang w:val="en-US"/>
              </w:rPr>
            </w:pPr>
            <w:r w:rsidRPr="00DB7FBE">
              <w:rPr>
                <w:rFonts w:cs="Arial"/>
                <w:b/>
                <w:bCs/>
                <w:sz w:val="20"/>
                <w:szCs w:val="20"/>
                <w:lang w:val="en-US"/>
              </w:rPr>
              <w:t>15</w:t>
            </w:r>
          </w:p>
        </w:tc>
      </w:tr>
      <w:tr w:rsidR="00281A31" w:rsidRPr="00DF70B3" w14:paraId="12187DC1" w14:textId="77777777" w:rsidTr="006126EB">
        <w:trPr>
          <w:trHeight w:val="495"/>
          <w:jc w:val="center"/>
        </w:trPr>
        <w:tc>
          <w:tcPr>
            <w:tcW w:w="0" w:type="auto"/>
            <w:hideMark/>
          </w:tcPr>
          <w:p w14:paraId="234073E7" w14:textId="77777777" w:rsidR="00281A31" w:rsidRPr="00DB7FBE" w:rsidRDefault="00281A31" w:rsidP="00DB7FBE">
            <w:pPr>
              <w:spacing w:after="160"/>
              <w:jc w:val="center"/>
              <w:rPr>
                <w:rFonts w:cs="Arial"/>
                <w:sz w:val="20"/>
                <w:szCs w:val="20"/>
                <w:lang w:val="en-US"/>
              </w:rPr>
            </w:pPr>
            <w:r w:rsidRPr="00DB7FBE">
              <w:rPr>
                <w:rFonts w:cs="Arial"/>
                <w:sz w:val="20"/>
                <w:szCs w:val="20"/>
                <w:lang w:val="en-US"/>
              </w:rPr>
              <w:t>Unique studies represented</w:t>
            </w:r>
          </w:p>
        </w:tc>
        <w:tc>
          <w:tcPr>
            <w:tcW w:w="5822" w:type="dxa"/>
            <w:hideMark/>
          </w:tcPr>
          <w:p w14:paraId="7AAB20DB" w14:textId="77777777" w:rsidR="00281A31" w:rsidRPr="00DB7FBE" w:rsidRDefault="00281A31" w:rsidP="00DB7FBE">
            <w:pPr>
              <w:spacing w:after="160"/>
              <w:jc w:val="center"/>
              <w:rPr>
                <w:rFonts w:cs="Arial"/>
                <w:sz w:val="20"/>
                <w:szCs w:val="20"/>
                <w:lang w:val="en-US"/>
              </w:rPr>
            </w:pPr>
            <w:r w:rsidRPr="00DB7FBE">
              <w:rPr>
                <w:rFonts w:cs="Arial"/>
                <w:b/>
                <w:bCs/>
                <w:sz w:val="20"/>
                <w:szCs w:val="20"/>
                <w:lang w:val="en-US"/>
              </w:rPr>
              <w:t>14</w:t>
            </w:r>
          </w:p>
        </w:tc>
      </w:tr>
    </w:tbl>
    <w:p w14:paraId="5D031ECF" w14:textId="0A76C85C" w:rsidR="0088112B" w:rsidRPr="00DF70B3" w:rsidRDefault="0088112B" w:rsidP="0088112B">
      <w:pPr>
        <w:spacing w:line="259" w:lineRule="auto"/>
        <w:jc w:val="left"/>
        <w:rPr>
          <w:rFonts w:cs="Arial"/>
          <w:lang w:val="en-US"/>
        </w:rPr>
      </w:pPr>
    </w:p>
    <w:p w14:paraId="33EA5FB8" w14:textId="2C71482C" w:rsidR="00134054" w:rsidRPr="00DF70B3" w:rsidRDefault="00134054" w:rsidP="009B4B04">
      <w:pPr>
        <w:rPr>
          <w:rFonts w:cs="Arial"/>
          <w:lang w:val="en-US"/>
        </w:rPr>
      </w:pPr>
    </w:p>
    <w:sectPr w:rsidR="00134054" w:rsidRPr="00DF70B3" w:rsidSect="008D217B">
      <w:pgSz w:w="16838" w:h="11906" w:orient="landscape" w:code="9"/>
      <w:pgMar w:top="1800" w:right="1440" w:bottom="180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DB9505" w14:textId="77777777" w:rsidR="00024F48" w:rsidRPr="008B0473" w:rsidRDefault="00024F48" w:rsidP="004075F6">
      <w:pPr>
        <w:spacing w:after="0" w:line="240" w:lineRule="auto"/>
      </w:pPr>
      <w:r w:rsidRPr="008B0473">
        <w:separator/>
      </w:r>
    </w:p>
  </w:endnote>
  <w:endnote w:type="continuationSeparator" w:id="0">
    <w:p w14:paraId="01C0640D" w14:textId="77777777" w:rsidR="00024F48" w:rsidRPr="008B0473" w:rsidRDefault="00024F48" w:rsidP="004075F6">
      <w:pPr>
        <w:spacing w:after="0" w:line="240" w:lineRule="auto"/>
      </w:pPr>
      <w:r w:rsidRPr="008B0473">
        <w:continuationSeparator/>
      </w:r>
    </w:p>
  </w:endnote>
  <w:endnote w:type="continuationNotice" w:id="1">
    <w:p w14:paraId="1FD3C063" w14:textId="77777777" w:rsidR="00024F48" w:rsidRDefault="00024F4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0C75B1" w14:textId="0FBEFBAF" w:rsidR="002B4D9F" w:rsidRPr="005D7EE8" w:rsidRDefault="002B4D9F" w:rsidP="00103291">
    <w:pPr>
      <w:pStyle w:val="Header"/>
      <w:tabs>
        <w:tab w:val="left" w:pos="6250"/>
        <w:tab w:val="right" w:pos="8306"/>
      </w:tabs>
      <w:jc w:val="right"/>
      <w:rPr>
        <w:sz w:val="20"/>
      </w:rPr>
    </w:pPr>
    <w:r>
      <w:rPr>
        <w:sz w:val="20"/>
      </w:rPr>
      <w:tab/>
    </w:r>
    <w:r>
      <w:rPr>
        <w:sz w:val="20"/>
      </w:rPr>
      <w:tab/>
    </w:r>
    <w:r>
      <w:rPr>
        <w:sz w:val="20"/>
      </w:rPr>
      <w:tab/>
    </w:r>
    <w:r w:rsidRPr="005D7EE8">
      <w:rPr>
        <w:sz w:val="20"/>
      </w:rPr>
      <w:fldChar w:fldCharType="begin"/>
    </w:r>
    <w:r w:rsidRPr="005D7EE8">
      <w:rPr>
        <w:sz w:val="20"/>
      </w:rPr>
      <w:instrText xml:space="preserve"> PAGE </w:instrText>
    </w:r>
    <w:r w:rsidRPr="005D7EE8">
      <w:rPr>
        <w:sz w:val="20"/>
      </w:rPr>
      <w:fldChar w:fldCharType="separate"/>
    </w:r>
    <w:r w:rsidR="00B54B37">
      <w:rPr>
        <w:noProof/>
        <w:sz w:val="20"/>
      </w:rPr>
      <w:t>36</w:t>
    </w:r>
    <w:r w:rsidRPr="005D7EE8">
      <w:rPr>
        <w:sz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4212695"/>
      <w:docPartObj>
        <w:docPartGallery w:val="Page Numbers (Bottom of Page)"/>
        <w:docPartUnique/>
      </w:docPartObj>
    </w:sdtPr>
    <w:sdtEndPr>
      <w:rPr>
        <w:noProof/>
      </w:rPr>
    </w:sdtEndPr>
    <w:sdtContent>
      <w:p w14:paraId="1C865083" w14:textId="1C5A6CDD" w:rsidR="00F02265" w:rsidRDefault="00F02265">
        <w:pPr>
          <w:pStyle w:val="Footer"/>
          <w:jc w:val="right"/>
        </w:pPr>
        <w:r>
          <w:fldChar w:fldCharType="begin"/>
        </w:r>
        <w:r>
          <w:instrText xml:space="preserve"> PAGE   \* MERGEFORMAT </w:instrText>
        </w:r>
        <w:r>
          <w:fldChar w:fldCharType="separate"/>
        </w:r>
        <w:r w:rsidR="00B54B37">
          <w:rPr>
            <w:noProof/>
          </w:rPr>
          <w:t>49</w:t>
        </w:r>
        <w:r>
          <w:rPr>
            <w:noProof/>
          </w:rPr>
          <w:fldChar w:fldCharType="end"/>
        </w:r>
      </w:p>
    </w:sdtContent>
  </w:sdt>
  <w:p w14:paraId="72518489" w14:textId="10A27DD5" w:rsidR="002B4D9F" w:rsidRPr="00C46814" w:rsidRDefault="002B4D9F" w:rsidP="002B4D9F">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75CE78" w14:textId="77777777" w:rsidR="00024F48" w:rsidRPr="008B0473" w:rsidRDefault="00024F48" w:rsidP="004075F6">
      <w:pPr>
        <w:spacing w:after="0" w:line="240" w:lineRule="auto"/>
      </w:pPr>
      <w:r w:rsidRPr="008B0473">
        <w:separator/>
      </w:r>
    </w:p>
  </w:footnote>
  <w:footnote w:type="continuationSeparator" w:id="0">
    <w:p w14:paraId="5FAF0813" w14:textId="77777777" w:rsidR="00024F48" w:rsidRPr="008B0473" w:rsidRDefault="00024F48" w:rsidP="004075F6">
      <w:pPr>
        <w:spacing w:after="0" w:line="240" w:lineRule="auto"/>
      </w:pPr>
      <w:r w:rsidRPr="008B0473">
        <w:continuationSeparator/>
      </w:r>
    </w:p>
  </w:footnote>
  <w:footnote w:type="continuationNotice" w:id="1">
    <w:p w14:paraId="187B3BB8" w14:textId="77777777" w:rsidR="00024F48" w:rsidRDefault="00024F48">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246D15" w14:textId="5C6401DE" w:rsidR="002B4D9F" w:rsidRDefault="002B4D9F">
    <w:pP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1A6D42"/>
    <w:multiLevelType w:val="hybridMultilevel"/>
    <w:tmpl w:val="724E7C52"/>
    <w:lvl w:ilvl="0" w:tplc="D1A43394">
      <w:start w:val="1"/>
      <w:numFmt w:val="decimal"/>
      <w:lvlText w:val="%1."/>
      <w:lvlJc w:val="left"/>
      <w:pPr>
        <w:ind w:left="360" w:hanging="360"/>
      </w:pPr>
      <w:rPr>
        <w:rFonts w:ascii="Arial" w:eastAsiaTheme="minorHAnsi" w:hAnsi="Arial" w:cs="Arial"/>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B9346FB"/>
    <w:multiLevelType w:val="hybridMultilevel"/>
    <w:tmpl w:val="AFE2DFE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16C70914"/>
    <w:multiLevelType w:val="hybridMultilevel"/>
    <w:tmpl w:val="D090B5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6364B14"/>
    <w:multiLevelType w:val="hybridMultilevel"/>
    <w:tmpl w:val="EBA225E4"/>
    <w:lvl w:ilvl="0" w:tplc="F41EB366">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F325D25"/>
    <w:multiLevelType w:val="multilevel"/>
    <w:tmpl w:val="517A45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70703682"/>
    <w:multiLevelType w:val="multilevel"/>
    <w:tmpl w:val="CEA2C1FC"/>
    <w:lvl w:ilvl="0">
      <w:start w:val="1"/>
      <w:numFmt w:val="decimal"/>
      <w:lvlText w:val="%1"/>
      <w:lvlJc w:val="left"/>
      <w:pPr>
        <w:ind w:left="400" w:hanging="400"/>
      </w:pPr>
      <w:rPr>
        <w:rFonts w:hint="default"/>
      </w:rPr>
    </w:lvl>
    <w:lvl w:ilvl="1">
      <w:start w:val="6"/>
      <w:numFmt w:val="decimal"/>
      <w:lvlText w:val="%1.%2"/>
      <w:lvlJc w:val="left"/>
      <w:pPr>
        <w:ind w:left="400" w:hanging="4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199009301">
    <w:abstractNumId w:val="4"/>
  </w:num>
  <w:num w:numId="2" w16cid:durableId="1867134089">
    <w:abstractNumId w:val="0"/>
  </w:num>
  <w:num w:numId="3" w16cid:durableId="39943618">
    <w:abstractNumId w:val="2"/>
  </w:num>
  <w:num w:numId="4" w16cid:durableId="512230519">
    <w:abstractNumId w:val="3"/>
  </w:num>
  <w:num w:numId="5" w16cid:durableId="1531213767">
    <w:abstractNumId w:val="1"/>
  </w:num>
  <w:num w:numId="6" w16cid:durableId="30535537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9"/>
  <w:removePersonalInformation/>
  <w:removeDateAndTime/>
  <w:defaultTabStop w:val="720"/>
  <w:characterSpacingControl w:val="doNotCompress"/>
  <w:savePreviewPicture/>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E19B1"/>
    <w:rsid w:val="00007683"/>
    <w:rsid w:val="00010C60"/>
    <w:rsid w:val="00012319"/>
    <w:rsid w:val="00017BB4"/>
    <w:rsid w:val="00020702"/>
    <w:rsid w:val="0002484B"/>
    <w:rsid w:val="00024F48"/>
    <w:rsid w:val="00037ED3"/>
    <w:rsid w:val="00041F2D"/>
    <w:rsid w:val="000677CA"/>
    <w:rsid w:val="000A7F80"/>
    <w:rsid w:val="000C62DB"/>
    <w:rsid w:val="000E286E"/>
    <w:rsid w:val="000F6353"/>
    <w:rsid w:val="00103291"/>
    <w:rsid w:val="00107007"/>
    <w:rsid w:val="00107061"/>
    <w:rsid w:val="00110C15"/>
    <w:rsid w:val="0012689A"/>
    <w:rsid w:val="00134054"/>
    <w:rsid w:val="00151121"/>
    <w:rsid w:val="00171618"/>
    <w:rsid w:val="001766AE"/>
    <w:rsid w:val="00180525"/>
    <w:rsid w:val="00182E32"/>
    <w:rsid w:val="001862F2"/>
    <w:rsid w:val="00195904"/>
    <w:rsid w:val="00195CD8"/>
    <w:rsid w:val="001A49A0"/>
    <w:rsid w:val="001B6F4D"/>
    <w:rsid w:val="001C3E10"/>
    <w:rsid w:val="001D5BF0"/>
    <w:rsid w:val="001E0661"/>
    <w:rsid w:val="001F7E37"/>
    <w:rsid w:val="00226CF2"/>
    <w:rsid w:val="00230DB9"/>
    <w:rsid w:val="00232D97"/>
    <w:rsid w:val="00246D2D"/>
    <w:rsid w:val="00254ADB"/>
    <w:rsid w:val="002614A5"/>
    <w:rsid w:val="00264FDE"/>
    <w:rsid w:val="002705FF"/>
    <w:rsid w:val="002745F2"/>
    <w:rsid w:val="00281A31"/>
    <w:rsid w:val="00295905"/>
    <w:rsid w:val="002A0DB6"/>
    <w:rsid w:val="002A6409"/>
    <w:rsid w:val="002B4D9F"/>
    <w:rsid w:val="002C1F2A"/>
    <w:rsid w:val="002D0480"/>
    <w:rsid w:val="002D378C"/>
    <w:rsid w:val="0031126E"/>
    <w:rsid w:val="00312EA9"/>
    <w:rsid w:val="00316276"/>
    <w:rsid w:val="00321AC2"/>
    <w:rsid w:val="0032234B"/>
    <w:rsid w:val="003255C5"/>
    <w:rsid w:val="003334BE"/>
    <w:rsid w:val="00340FD1"/>
    <w:rsid w:val="00347931"/>
    <w:rsid w:val="00363A86"/>
    <w:rsid w:val="00384074"/>
    <w:rsid w:val="003A15BA"/>
    <w:rsid w:val="003A68DA"/>
    <w:rsid w:val="003B26AE"/>
    <w:rsid w:val="003C53BB"/>
    <w:rsid w:val="003D2E4E"/>
    <w:rsid w:val="003E19B1"/>
    <w:rsid w:val="003E6B72"/>
    <w:rsid w:val="003F71F4"/>
    <w:rsid w:val="004075F6"/>
    <w:rsid w:val="00410C90"/>
    <w:rsid w:val="00420429"/>
    <w:rsid w:val="00421862"/>
    <w:rsid w:val="0042422E"/>
    <w:rsid w:val="00440EF6"/>
    <w:rsid w:val="0045687E"/>
    <w:rsid w:val="004658CF"/>
    <w:rsid w:val="004672C9"/>
    <w:rsid w:val="00476E82"/>
    <w:rsid w:val="004808BF"/>
    <w:rsid w:val="00482B3B"/>
    <w:rsid w:val="00482B5F"/>
    <w:rsid w:val="00492300"/>
    <w:rsid w:val="004953A9"/>
    <w:rsid w:val="004974F1"/>
    <w:rsid w:val="004A1E6C"/>
    <w:rsid w:val="004A3BC7"/>
    <w:rsid w:val="004A79D5"/>
    <w:rsid w:val="004B54C0"/>
    <w:rsid w:val="004C1C8C"/>
    <w:rsid w:val="004C6509"/>
    <w:rsid w:val="004D2BA7"/>
    <w:rsid w:val="004D54CE"/>
    <w:rsid w:val="004D63EC"/>
    <w:rsid w:val="004D6A46"/>
    <w:rsid w:val="004E20A0"/>
    <w:rsid w:val="004E31E2"/>
    <w:rsid w:val="004F4637"/>
    <w:rsid w:val="004F767F"/>
    <w:rsid w:val="005003EB"/>
    <w:rsid w:val="0052672D"/>
    <w:rsid w:val="00535D5B"/>
    <w:rsid w:val="00554D7F"/>
    <w:rsid w:val="00567D9A"/>
    <w:rsid w:val="00592A87"/>
    <w:rsid w:val="005A19FF"/>
    <w:rsid w:val="005A472A"/>
    <w:rsid w:val="005B0607"/>
    <w:rsid w:val="005B0764"/>
    <w:rsid w:val="005B6B6B"/>
    <w:rsid w:val="005C11C8"/>
    <w:rsid w:val="005C56F9"/>
    <w:rsid w:val="005C65A5"/>
    <w:rsid w:val="005C6B6A"/>
    <w:rsid w:val="005D3950"/>
    <w:rsid w:val="005D3F97"/>
    <w:rsid w:val="005D491F"/>
    <w:rsid w:val="005D7EE8"/>
    <w:rsid w:val="005E0A6A"/>
    <w:rsid w:val="005E55D0"/>
    <w:rsid w:val="005F7EAF"/>
    <w:rsid w:val="006001C8"/>
    <w:rsid w:val="0060384E"/>
    <w:rsid w:val="00610A13"/>
    <w:rsid w:val="006126EB"/>
    <w:rsid w:val="006209CE"/>
    <w:rsid w:val="00627683"/>
    <w:rsid w:val="00660B14"/>
    <w:rsid w:val="00662DB0"/>
    <w:rsid w:val="00662DFD"/>
    <w:rsid w:val="00663934"/>
    <w:rsid w:val="00673D0C"/>
    <w:rsid w:val="00673DF3"/>
    <w:rsid w:val="006906AD"/>
    <w:rsid w:val="00693A94"/>
    <w:rsid w:val="00695B51"/>
    <w:rsid w:val="00695B80"/>
    <w:rsid w:val="006A192D"/>
    <w:rsid w:val="006A49EE"/>
    <w:rsid w:val="006A5217"/>
    <w:rsid w:val="006B2E0A"/>
    <w:rsid w:val="006B7EDE"/>
    <w:rsid w:val="006C6C1C"/>
    <w:rsid w:val="006E69F5"/>
    <w:rsid w:val="006E6E97"/>
    <w:rsid w:val="0070334F"/>
    <w:rsid w:val="00706725"/>
    <w:rsid w:val="0073032C"/>
    <w:rsid w:val="00731C30"/>
    <w:rsid w:val="007337D5"/>
    <w:rsid w:val="0074098D"/>
    <w:rsid w:val="00770DE5"/>
    <w:rsid w:val="0078030F"/>
    <w:rsid w:val="007A1724"/>
    <w:rsid w:val="007A3026"/>
    <w:rsid w:val="007B3863"/>
    <w:rsid w:val="007B3C57"/>
    <w:rsid w:val="007C5E26"/>
    <w:rsid w:val="00803EDC"/>
    <w:rsid w:val="00821FD9"/>
    <w:rsid w:val="008235CF"/>
    <w:rsid w:val="00826A5E"/>
    <w:rsid w:val="00831E5B"/>
    <w:rsid w:val="00835811"/>
    <w:rsid w:val="008401C9"/>
    <w:rsid w:val="008405EE"/>
    <w:rsid w:val="008411DA"/>
    <w:rsid w:val="0085692B"/>
    <w:rsid w:val="00857952"/>
    <w:rsid w:val="008634D9"/>
    <w:rsid w:val="0088112B"/>
    <w:rsid w:val="00884EE9"/>
    <w:rsid w:val="008872FC"/>
    <w:rsid w:val="008A3188"/>
    <w:rsid w:val="008A5FF2"/>
    <w:rsid w:val="008B0473"/>
    <w:rsid w:val="008B7F6E"/>
    <w:rsid w:val="008D217B"/>
    <w:rsid w:val="008D32D6"/>
    <w:rsid w:val="008E36FF"/>
    <w:rsid w:val="00911EF4"/>
    <w:rsid w:val="00913F86"/>
    <w:rsid w:val="00924A5A"/>
    <w:rsid w:val="009318D0"/>
    <w:rsid w:val="00934FD8"/>
    <w:rsid w:val="009373CB"/>
    <w:rsid w:val="00940F0C"/>
    <w:rsid w:val="0096186E"/>
    <w:rsid w:val="009655D6"/>
    <w:rsid w:val="00972E3A"/>
    <w:rsid w:val="009758A0"/>
    <w:rsid w:val="00995928"/>
    <w:rsid w:val="00996640"/>
    <w:rsid w:val="009A452C"/>
    <w:rsid w:val="009A5C61"/>
    <w:rsid w:val="009B420B"/>
    <w:rsid w:val="009B4B04"/>
    <w:rsid w:val="009B7DBC"/>
    <w:rsid w:val="009C19FC"/>
    <w:rsid w:val="009C4A4E"/>
    <w:rsid w:val="009E1457"/>
    <w:rsid w:val="009F10BE"/>
    <w:rsid w:val="009F38A7"/>
    <w:rsid w:val="009F4A3E"/>
    <w:rsid w:val="00A059CF"/>
    <w:rsid w:val="00A06A87"/>
    <w:rsid w:val="00A11797"/>
    <w:rsid w:val="00A12642"/>
    <w:rsid w:val="00A2287D"/>
    <w:rsid w:val="00A43039"/>
    <w:rsid w:val="00A4458E"/>
    <w:rsid w:val="00A64749"/>
    <w:rsid w:val="00A65A34"/>
    <w:rsid w:val="00A771A2"/>
    <w:rsid w:val="00A83C18"/>
    <w:rsid w:val="00A85DD6"/>
    <w:rsid w:val="00AA0F41"/>
    <w:rsid w:val="00AA19F3"/>
    <w:rsid w:val="00AA642E"/>
    <w:rsid w:val="00AB04B8"/>
    <w:rsid w:val="00AB1DD4"/>
    <w:rsid w:val="00AB4932"/>
    <w:rsid w:val="00AB5FBA"/>
    <w:rsid w:val="00AE52AA"/>
    <w:rsid w:val="00B01FC8"/>
    <w:rsid w:val="00B0334F"/>
    <w:rsid w:val="00B03C77"/>
    <w:rsid w:val="00B077E3"/>
    <w:rsid w:val="00B21586"/>
    <w:rsid w:val="00B2456C"/>
    <w:rsid w:val="00B32C7F"/>
    <w:rsid w:val="00B37F52"/>
    <w:rsid w:val="00B54B37"/>
    <w:rsid w:val="00B564FB"/>
    <w:rsid w:val="00B722D6"/>
    <w:rsid w:val="00B76840"/>
    <w:rsid w:val="00B76CC0"/>
    <w:rsid w:val="00B81993"/>
    <w:rsid w:val="00B8716D"/>
    <w:rsid w:val="00BA3062"/>
    <w:rsid w:val="00BA3C8C"/>
    <w:rsid w:val="00BB1843"/>
    <w:rsid w:val="00BB3CE4"/>
    <w:rsid w:val="00BB6FA0"/>
    <w:rsid w:val="00BF16E2"/>
    <w:rsid w:val="00BF40EC"/>
    <w:rsid w:val="00BF68C2"/>
    <w:rsid w:val="00C14A56"/>
    <w:rsid w:val="00C1777B"/>
    <w:rsid w:val="00C22E19"/>
    <w:rsid w:val="00C24A68"/>
    <w:rsid w:val="00C33CD7"/>
    <w:rsid w:val="00C46814"/>
    <w:rsid w:val="00C50FF7"/>
    <w:rsid w:val="00C567F4"/>
    <w:rsid w:val="00C6711A"/>
    <w:rsid w:val="00C67871"/>
    <w:rsid w:val="00CA1723"/>
    <w:rsid w:val="00CB4F4C"/>
    <w:rsid w:val="00CD77D0"/>
    <w:rsid w:val="00CE2185"/>
    <w:rsid w:val="00CE2BA7"/>
    <w:rsid w:val="00CF3987"/>
    <w:rsid w:val="00CF50C1"/>
    <w:rsid w:val="00D02E92"/>
    <w:rsid w:val="00D045D2"/>
    <w:rsid w:val="00D25814"/>
    <w:rsid w:val="00D32176"/>
    <w:rsid w:val="00D32DF2"/>
    <w:rsid w:val="00D33308"/>
    <w:rsid w:val="00D33621"/>
    <w:rsid w:val="00D46FD8"/>
    <w:rsid w:val="00D55969"/>
    <w:rsid w:val="00D61622"/>
    <w:rsid w:val="00D73599"/>
    <w:rsid w:val="00D824E8"/>
    <w:rsid w:val="00D851C9"/>
    <w:rsid w:val="00DB0849"/>
    <w:rsid w:val="00DB53CE"/>
    <w:rsid w:val="00DB5F94"/>
    <w:rsid w:val="00DB7FBE"/>
    <w:rsid w:val="00DC1565"/>
    <w:rsid w:val="00DC7D80"/>
    <w:rsid w:val="00DE3123"/>
    <w:rsid w:val="00DE46BD"/>
    <w:rsid w:val="00DE4CC0"/>
    <w:rsid w:val="00DF70B3"/>
    <w:rsid w:val="00E0158C"/>
    <w:rsid w:val="00E0509F"/>
    <w:rsid w:val="00E07CD3"/>
    <w:rsid w:val="00E1638B"/>
    <w:rsid w:val="00E17BD0"/>
    <w:rsid w:val="00E309D6"/>
    <w:rsid w:val="00E35EAB"/>
    <w:rsid w:val="00E40086"/>
    <w:rsid w:val="00E40A2F"/>
    <w:rsid w:val="00E42FCF"/>
    <w:rsid w:val="00E57CA5"/>
    <w:rsid w:val="00E858AA"/>
    <w:rsid w:val="00E87133"/>
    <w:rsid w:val="00EA04CE"/>
    <w:rsid w:val="00EA1171"/>
    <w:rsid w:val="00EA1D6B"/>
    <w:rsid w:val="00EA7775"/>
    <w:rsid w:val="00ED37DF"/>
    <w:rsid w:val="00ED7AF0"/>
    <w:rsid w:val="00EE0144"/>
    <w:rsid w:val="00EE2249"/>
    <w:rsid w:val="00EF6618"/>
    <w:rsid w:val="00F02265"/>
    <w:rsid w:val="00F05ADD"/>
    <w:rsid w:val="00F07723"/>
    <w:rsid w:val="00F07A54"/>
    <w:rsid w:val="00F309DE"/>
    <w:rsid w:val="00F400CF"/>
    <w:rsid w:val="00F632EA"/>
    <w:rsid w:val="00F90815"/>
    <w:rsid w:val="00FB7A5F"/>
    <w:rsid w:val="00FC392C"/>
    <w:rsid w:val="00FC3D03"/>
    <w:rsid w:val="00FD02F5"/>
    <w:rsid w:val="00FD14D1"/>
    <w:rsid w:val="00FD2049"/>
    <w:rsid w:val="00FE3F7D"/>
    <w:rsid w:val="00FE3FCC"/>
    <w:rsid w:val="00FF34B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50C5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2BA7"/>
    <w:pPr>
      <w:spacing w:line="360" w:lineRule="auto"/>
      <w:jc w:val="both"/>
    </w:pPr>
    <w:rPr>
      <w:rFonts w:ascii="Arial" w:hAnsi="Arial"/>
      <w:lang w:val="en-GB"/>
    </w:rPr>
  </w:style>
  <w:style w:type="paragraph" w:styleId="Heading1">
    <w:name w:val="heading 1"/>
    <w:basedOn w:val="Normal"/>
    <w:next w:val="Normal"/>
    <w:link w:val="Heading1Char"/>
    <w:uiPriority w:val="9"/>
    <w:qFormat/>
    <w:rsid w:val="004075F6"/>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4C1C8C"/>
    <w:pPr>
      <w:keepNext/>
      <w:keepLines/>
      <w:spacing w:before="40" w:after="0"/>
      <w:outlineLvl w:val="1"/>
    </w:pPr>
    <w:rPr>
      <w:rFonts w:eastAsiaTheme="majorEastAsia" w:cstheme="majorBidi"/>
      <w:b/>
      <w:sz w:val="28"/>
      <w:szCs w:val="26"/>
    </w:rPr>
  </w:style>
  <w:style w:type="paragraph" w:styleId="Heading3">
    <w:name w:val="heading 3"/>
    <w:basedOn w:val="Normal"/>
    <w:next w:val="Normal"/>
    <w:link w:val="Heading3Char"/>
    <w:uiPriority w:val="9"/>
    <w:unhideWhenUsed/>
    <w:qFormat/>
    <w:rsid w:val="004C1C8C"/>
    <w:pPr>
      <w:keepNext/>
      <w:keepLines/>
      <w:spacing w:before="40" w:after="0"/>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075F6"/>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rsid w:val="004C1C8C"/>
    <w:rPr>
      <w:rFonts w:ascii="Times New Roman" w:eastAsiaTheme="majorEastAsia" w:hAnsi="Times New Roman" w:cstheme="majorBidi"/>
      <w:b/>
      <w:sz w:val="28"/>
      <w:szCs w:val="26"/>
    </w:rPr>
  </w:style>
  <w:style w:type="paragraph" w:styleId="Header">
    <w:name w:val="header"/>
    <w:basedOn w:val="Normal"/>
    <w:link w:val="HeaderChar"/>
    <w:uiPriority w:val="99"/>
    <w:unhideWhenUsed/>
    <w:rsid w:val="004075F6"/>
    <w:pPr>
      <w:tabs>
        <w:tab w:val="center" w:pos="4680"/>
        <w:tab w:val="right" w:pos="9360"/>
      </w:tabs>
      <w:spacing w:after="0" w:line="240" w:lineRule="auto"/>
    </w:pPr>
  </w:style>
  <w:style w:type="character" w:customStyle="1" w:styleId="HeaderChar">
    <w:name w:val="Header Char"/>
    <w:basedOn w:val="DefaultParagraphFont"/>
    <w:link w:val="Header"/>
    <w:uiPriority w:val="99"/>
    <w:rsid w:val="004075F6"/>
    <w:rPr>
      <w:rFonts w:ascii="Times New Roman" w:hAnsi="Times New Roman"/>
      <w:sz w:val="24"/>
    </w:rPr>
  </w:style>
  <w:style w:type="paragraph" w:styleId="Footer">
    <w:name w:val="footer"/>
    <w:basedOn w:val="Normal"/>
    <w:link w:val="FooterChar"/>
    <w:uiPriority w:val="99"/>
    <w:unhideWhenUsed/>
    <w:rsid w:val="004075F6"/>
    <w:pPr>
      <w:tabs>
        <w:tab w:val="center" w:pos="4680"/>
        <w:tab w:val="right" w:pos="9360"/>
      </w:tabs>
      <w:spacing w:after="0" w:line="240" w:lineRule="auto"/>
    </w:pPr>
  </w:style>
  <w:style w:type="character" w:customStyle="1" w:styleId="FooterChar">
    <w:name w:val="Footer Char"/>
    <w:basedOn w:val="DefaultParagraphFont"/>
    <w:link w:val="Footer"/>
    <w:uiPriority w:val="99"/>
    <w:rsid w:val="004075F6"/>
    <w:rPr>
      <w:rFonts w:ascii="Times New Roman" w:hAnsi="Times New Roman"/>
      <w:sz w:val="24"/>
    </w:rPr>
  </w:style>
  <w:style w:type="character" w:customStyle="1" w:styleId="Heading3Char">
    <w:name w:val="Heading 3 Char"/>
    <w:basedOn w:val="DefaultParagraphFont"/>
    <w:link w:val="Heading3"/>
    <w:uiPriority w:val="9"/>
    <w:rsid w:val="004C1C8C"/>
    <w:rPr>
      <w:rFonts w:ascii="Times New Roman" w:eastAsiaTheme="majorEastAsia" w:hAnsi="Times New Roman" w:cstheme="majorBidi"/>
      <w:b/>
      <w:sz w:val="24"/>
      <w:szCs w:val="24"/>
    </w:rPr>
  </w:style>
  <w:style w:type="table" w:styleId="TableGrid">
    <w:name w:val="Table Grid"/>
    <w:basedOn w:val="TableNormal"/>
    <w:uiPriority w:val="59"/>
    <w:rsid w:val="006209C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54D7F"/>
    <w:pPr>
      <w:ind w:left="720"/>
      <w:contextualSpacing/>
    </w:pPr>
  </w:style>
  <w:style w:type="paragraph" w:styleId="TOCHeading">
    <w:name w:val="TOC Heading"/>
    <w:basedOn w:val="Heading1"/>
    <w:next w:val="Normal"/>
    <w:uiPriority w:val="39"/>
    <w:unhideWhenUsed/>
    <w:qFormat/>
    <w:rsid w:val="00FD02F5"/>
    <w:pPr>
      <w:spacing w:line="259" w:lineRule="auto"/>
      <w:jc w:val="left"/>
      <w:outlineLvl w:val="9"/>
    </w:pPr>
    <w:rPr>
      <w:rFonts w:asciiTheme="majorHAnsi" w:hAnsiTheme="majorHAnsi"/>
      <w:b w:val="0"/>
      <w:color w:val="2E74B5" w:themeColor="accent1" w:themeShade="BF"/>
      <w:lang w:val="en-US"/>
    </w:rPr>
  </w:style>
  <w:style w:type="paragraph" w:styleId="TOC1">
    <w:name w:val="toc 1"/>
    <w:basedOn w:val="Normal"/>
    <w:next w:val="Normal"/>
    <w:autoRedefine/>
    <w:uiPriority w:val="39"/>
    <w:unhideWhenUsed/>
    <w:rsid w:val="005C65A5"/>
    <w:pPr>
      <w:tabs>
        <w:tab w:val="right" w:leader="dot" w:pos="8296"/>
      </w:tabs>
      <w:spacing w:after="100"/>
    </w:pPr>
    <w:rPr>
      <w:rFonts w:eastAsiaTheme="majorEastAsia" w:cs="Arial"/>
      <w:noProof/>
      <w:lang w:val="en-US"/>
    </w:rPr>
  </w:style>
  <w:style w:type="paragraph" w:styleId="TOC2">
    <w:name w:val="toc 2"/>
    <w:basedOn w:val="Normal"/>
    <w:next w:val="Normal"/>
    <w:autoRedefine/>
    <w:uiPriority w:val="39"/>
    <w:unhideWhenUsed/>
    <w:rsid w:val="00FD02F5"/>
    <w:pPr>
      <w:spacing w:after="100"/>
      <w:ind w:left="240"/>
    </w:pPr>
  </w:style>
  <w:style w:type="character" w:styleId="Hyperlink">
    <w:name w:val="Hyperlink"/>
    <w:basedOn w:val="DefaultParagraphFont"/>
    <w:uiPriority w:val="99"/>
    <w:unhideWhenUsed/>
    <w:rsid w:val="00FD02F5"/>
    <w:rPr>
      <w:color w:val="0563C1" w:themeColor="hyperlink"/>
      <w:u w:val="single"/>
    </w:rPr>
  </w:style>
  <w:style w:type="character" w:styleId="IntenseReference">
    <w:name w:val="Intense Reference"/>
    <w:basedOn w:val="DefaultParagraphFont"/>
    <w:uiPriority w:val="32"/>
    <w:qFormat/>
    <w:rsid w:val="00232D97"/>
    <w:rPr>
      <w:b/>
      <w:bCs/>
      <w:smallCaps/>
      <w:color w:val="5B9BD5" w:themeColor="accent1"/>
      <w:spacing w:val="5"/>
    </w:rPr>
  </w:style>
  <w:style w:type="paragraph" w:styleId="BodyText">
    <w:name w:val="Body Text"/>
    <w:basedOn w:val="Normal"/>
    <w:link w:val="BodyTextChar"/>
    <w:uiPriority w:val="99"/>
    <w:unhideWhenUsed/>
    <w:rsid w:val="00017BB4"/>
    <w:pPr>
      <w:spacing w:after="120"/>
    </w:pPr>
    <w:rPr>
      <w:rFonts w:eastAsia="Arial"/>
      <w:lang w:val="en-US"/>
    </w:rPr>
  </w:style>
  <w:style w:type="character" w:customStyle="1" w:styleId="BodyTextChar">
    <w:name w:val="Body Text Char"/>
    <w:basedOn w:val="DefaultParagraphFont"/>
    <w:link w:val="BodyText"/>
    <w:uiPriority w:val="99"/>
    <w:rsid w:val="00017BB4"/>
    <w:rPr>
      <w:rFonts w:ascii="Arial" w:eastAsia="Arial" w:hAnsi="Arial"/>
    </w:rPr>
  </w:style>
  <w:style w:type="paragraph" w:styleId="Caption">
    <w:name w:val="caption"/>
    <w:basedOn w:val="Normal"/>
    <w:next w:val="Normal"/>
    <w:uiPriority w:val="35"/>
    <w:semiHidden/>
    <w:unhideWhenUsed/>
    <w:qFormat/>
    <w:rsid w:val="00017BB4"/>
    <w:pPr>
      <w:keepNext/>
      <w:spacing w:before="160" w:after="60" w:line="240" w:lineRule="auto"/>
      <w:jc w:val="left"/>
    </w:pPr>
    <w:rPr>
      <w:rFonts w:eastAsia="Arial"/>
      <w:b/>
      <w:bCs/>
      <w:color w:val="000000"/>
      <w:sz w:val="18"/>
      <w:szCs w:val="18"/>
      <w:lang w:val="en-US"/>
    </w:rPr>
  </w:style>
  <w:style w:type="table" w:styleId="PlainTable5">
    <w:name w:val="Plain Table 5"/>
    <w:basedOn w:val="TableNormal"/>
    <w:uiPriority w:val="45"/>
    <w:rsid w:val="00017BB4"/>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TOC3">
    <w:name w:val="toc 3"/>
    <w:basedOn w:val="Normal"/>
    <w:next w:val="Normal"/>
    <w:autoRedefine/>
    <w:uiPriority w:val="39"/>
    <w:unhideWhenUsed/>
    <w:rsid w:val="00EA1D6B"/>
    <w:pPr>
      <w:spacing w:after="100"/>
      <w:ind w:left="440"/>
    </w:pPr>
  </w:style>
  <w:style w:type="character" w:customStyle="1" w:styleId="UnresolvedMention1">
    <w:name w:val="Unresolved Mention1"/>
    <w:basedOn w:val="DefaultParagraphFont"/>
    <w:uiPriority w:val="99"/>
    <w:semiHidden/>
    <w:unhideWhenUsed/>
    <w:rsid w:val="005D491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020809">
      <w:bodyDiv w:val="1"/>
      <w:marLeft w:val="0"/>
      <w:marRight w:val="0"/>
      <w:marTop w:val="0"/>
      <w:marBottom w:val="0"/>
      <w:divBdr>
        <w:top w:val="none" w:sz="0" w:space="0" w:color="auto"/>
        <w:left w:val="none" w:sz="0" w:space="0" w:color="auto"/>
        <w:bottom w:val="none" w:sz="0" w:space="0" w:color="auto"/>
        <w:right w:val="none" w:sz="0" w:space="0" w:color="auto"/>
      </w:divBdr>
    </w:div>
    <w:div w:id="80807332">
      <w:bodyDiv w:val="1"/>
      <w:marLeft w:val="0"/>
      <w:marRight w:val="0"/>
      <w:marTop w:val="0"/>
      <w:marBottom w:val="0"/>
      <w:divBdr>
        <w:top w:val="none" w:sz="0" w:space="0" w:color="auto"/>
        <w:left w:val="none" w:sz="0" w:space="0" w:color="auto"/>
        <w:bottom w:val="none" w:sz="0" w:space="0" w:color="auto"/>
        <w:right w:val="none" w:sz="0" w:space="0" w:color="auto"/>
      </w:divBdr>
      <w:divsChild>
        <w:div w:id="562831609">
          <w:marLeft w:val="0"/>
          <w:marRight w:val="0"/>
          <w:marTop w:val="0"/>
          <w:marBottom w:val="0"/>
          <w:divBdr>
            <w:top w:val="none" w:sz="0" w:space="0" w:color="auto"/>
            <w:left w:val="none" w:sz="0" w:space="0" w:color="auto"/>
            <w:bottom w:val="none" w:sz="0" w:space="0" w:color="auto"/>
            <w:right w:val="none" w:sz="0" w:space="0" w:color="auto"/>
          </w:divBdr>
          <w:divsChild>
            <w:div w:id="496724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5213337">
      <w:bodyDiv w:val="1"/>
      <w:marLeft w:val="0"/>
      <w:marRight w:val="0"/>
      <w:marTop w:val="0"/>
      <w:marBottom w:val="0"/>
      <w:divBdr>
        <w:top w:val="none" w:sz="0" w:space="0" w:color="auto"/>
        <w:left w:val="none" w:sz="0" w:space="0" w:color="auto"/>
        <w:bottom w:val="none" w:sz="0" w:space="0" w:color="auto"/>
        <w:right w:val="none" w:sz="0" w:space="0" w:color="auto"/>
      </w:divBdr>
      <w:divsChild>
        <w:div w:id="848719310">
          <w:marLeft w:val="0"/>
          <w:marRight w:val="0"/>
          <w:marTop w:val="0"/>
          <w:marBottom w:val="0"/>
          <w:divBdr>
            <w:top w:val="none" w:sz="0" w:space="0" w:color="auto"/>
            <w:left w:val="none" w:sz="0" w:space="0" w:color="auto"/>
            <w:bottom w:val="none" w:sz="0" w:space="0" w:color="auto"/>
            <w:right w:val="none" w:sz="0" w:space="0" w:color="auto"/>
          </w:divBdr>
          <w:divsChild>
            <w:div w:id="2055227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1109162">
      <w:bodyDiv w:val="1"/>
      <w:marLeft w:val="0"/>
      <w:marRight w:val="0"/>
      <w:marTop w:val="0"/>
      <w:marBottom w:val="0"/>
      <w:divBdr>
        <w:top w:val="none" w:sz="0" w:space="0" w:color="auto"/>
        <w:left w:val="none" w:sz="0" w:space="0" w:color="auto"/>
        <w:bottom w:val="none" w:sz="0" w:space="0" w:color="auto"/>
        <w:right w:val="none" w:sz="0" w:space="0" w:color="auto"/>
      </w:divBdr>
    </w:div>
    <w:div w:id="630524299">
      <w:bodyDiv w:val="1"/>
      <w:marLeft w:val="0"/>
      <w:marRight w:val="0"/>
      <w:marTop w:val="0"/>
      <w:marBottom w:val="0"/>
      <w:divBdr>
        <w:top w:val="none" w:sz="0" w:space="0" w:color="auto"/>
        <w:left w:val="none" w:sz="0" w:space="0" w:color="auto"/>
        <w:bottom w:val="none" w:sz="0" w:space="0" w:color="auto"/>
        <w:right w:val="none" w:sz="0" w:space="0" w:color="auto"/>
      </w:divBdr>
    </w:div>
    <w:div w:id="632173670">
      <w:bodyDiv w:val="1"/>
      <w:marLeft w:val="0"/>
      <w:marRight w:val="0"/>
      <w:marTop w:val="0"/>
      <w:marBottom w:val="0"/>
      <w:divBdr>
        <w:top w:val="none" w:sz="0" w:space="0" w:color="auto"/>
        <w:left w:val="none" w:sz="0" w:space="0" w:color="auto"/>
        <w:bottom w:val="none" w:sz="0" w:space="0" w:color="auto"/>
        <w:right w:val="none" w:sz="0" w:space="0" w:color="auto"/>
      </w:divBdr>
    </w:div>
    <w:div w:id="690109685">
      <w:bodyDiv w:val="1"/>
      <w:marLeft w:val="0"/>
      <w:marRight w:val="0"/>
      <w:marTop w:val="0"/>
      <w:marBottom w:val="0"/>
      <w:divBdr>
        <w:top w:val="none" w:sz="0" w:space="0" w:color="auto"/>
        <w:left w:val="none" w:sz="0" w:space="0" w:color="auto"/>
        <w:bottom w:val="none" w:sz="0" w:space="0" w:color="auto"/>
        <w:right w:val="none" w:sz="0" w:space="0" w:color="auto"/>
      </w:divBdr>
    </w:div>
    <w:div w:id="716243515">
      <w:bodyDiv w:val="1"/>
      <w:marLeft w:val="0"/>
      <w:marRight w:val="0"/>
      <w:marTop w:val="0"/>
      <w:marBottom w:val="0"/>
      <w:divBdr>
        <w:top w:val="none" w:sz="0" w:space="0" w:color="auto"/>
        <w:left w:val="none" w:sz="0" w:space="0" w:color="auto"/>
        <w:bottom w:val="none" w:sz="0" w:space="0" w:color="auto"/>
        <w:right w:val="none" w:sz="0" w:space="0" w:color="auto"/>
      </w:divBdr>
      <w:divsChild>
        <w:div w:id="1494029281">
          <w:marLeft w:val="0"/>
          <w:marRight w:val="0"/>
          <w:marTop w:val="0"/>
          <w:marBottom w:val="0"/>
          <w:divBdr>
            <w:top w:val="none" w:sz="0" w:space="0" w:color="auto"/>
            <w:left w:val="none" w:sz="0" w:space="0" w:color="auto"/>
            <w:bottom w:val="none" w:sz="0" w:space="0" w:color="auto"/>
            <w:right w:val="none" w:sz="0" w:space="0" w:color="auto"/>
          </w:divBdr>
          <w:divsChild>
            <w:div w:id="140315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5532041">
      <w:bodyDiv w:val="1"/>
      <w:marLeft w:val="0"/>
      <w:marRight w:val="0"/>
      <w:marTop w:val="0"/>
      <w:marBottom w:val="0"/>
      <w:divBdr>
        <w:top w:val="none" w:sz="0" w:space="0" w:color="auto"/>
        <w:left w:val="none" w:sz="0" w:space="0" w:color="auto"/>
        <w:bottom w:val="none" w:sz="0" w:space="0" w:color="auto"/>
        <w:right w:val="none" w:sz="0" w:space="0" w:color="auto"/>
      </w:divBdr>
    </w:div>
    <w:div w:id="910428615">
      <w:bodyDiv w:val="1"/>
      <w:marLeft w:val="0"/>
      <w:marRight w:val="0"/>
      <w:marTop w:val="0"/>
      <w:marBottom w:val="0"/>
      <w:divBdr>
        <w:top w:val="none" w:sz="0" w:space="0" w:color="auto"/>
        <w:left w:val="none" w:sz="0" w:space="0" w:color="auto"/>
        <w:bottom w:val="none" w:sz="0" w:space="0" w:color="auto"/>
        <w:right w:val="none" w:sz="0" w:space="0" w:color="auto"/>
      </w:divBdr>
    </w:div>
    <w:div w:id="1069039828">
      <w:bodyDiv w:val="1"/>
      <w:marLeft w:val="0"/>
      <w:marRight w:val="0"/>
      <w:marTop w:val="0"/>
      <w:marBottom w:val="0"/>
      <w:divBdr>
        <w:top w:val="none" w:sz="0" w:space="0" w:color="auto"/>
        <w:left w:val="none" w:sz="0" w:space="0" w:color="auto"/>
        <w:bottom w:val="none" w:sz="0" w:space="0" w:color="auto"/>
        <w:right w:val="none" w:sz="0" w:space="0" w:color="auto"/>
      </w:divBdr>
    </w:div>
    <w:div w:id="1080520532">
      <w:bodyDiv w:val="1"/>
      <w:marLeft w:val="0"/>
      <w:marRight w:val="0"/>
      <w:marTop w:val="0"/>
      <w:marBottom w:val="0"/>
      <w:divBdr>
        <w:top w:val="none" w:sz="0" w:space="0" w:color="auto"/>
        <w:left w:val="none" w:sz="0" w:space="0" w:color="auto"/>
        <w:bottom w:val="none" w:sz="0" w:space="0" w:color="auto"/>
        <w:right w:val="none" w:sz="0" w:space="0" w:color="auto"/>
      </w:divBdr>
      <w:divsChild>
        <w:div w:id="873807347">
          <w:marLeft w:val="0"/>
          <w:marRight w:val="0"/>
          <w:marTop w:val="0"/>
          <w:marBottom w:val="0"/>
          <w:divBdr>
            <w:top w:val="none" w:sz="0" w:space="0" w:color="auto"/>
            <w:left w:val="none" w:sz="0" w:space="0" w:color="auto"/>
            <w:bottom w:val="none" w:sz="0" w:space="0" w:color="auto"/>
            <w:right w:val="none" w:sz="0" w:space="0" w:color="auto"/>
          </w:divBdr>
        </w:div>
      </w:divsChild>
    </w:div>
    <w:div w:id="1090472817">
      <w:bodyDiv w:val="1"/>
      <w:marLeft w:val="0"/>
      <w:marRight w:val="0"/>
      <w:marTop w:val="0"/>
      <w:marBottom w:val="0"/>
      <w:divBdr>
        <w:top w:val="none" w:sz="0" w:space="0" w:color="auto"/>
        <w:left w:val="none" w:sz="0" w:space="0" w:color="auto"/>
        <w:bottom w:val="none" w:sz="0" w:space="0" w:color="auto"/>
        <w:right w:val="none" w:sz="0" w:space="0" w:color="auto"/>
      </w:divBdr>
    </w:div>
    <w:div w:id="1158113496">
      <w:bodyDiv w:val="1"/>
      <w:marLeft w:val="0"/>
      <w:marRight w:val="0"/>
      <w:marTop w:val="0"/>
      <w:marBottom w:val="0"/>
      <w:divBdr>
        <w:top w:val="none" w:sz="0" w:space="0" w:color="auto"/>
        <w:left w:val="none" w:sz="0" w:space="0" w:color="auto"/>
        <w:bottom w:val="none" w:sz="0" w:space="0" w:color="auto"/>
        <w:right w:val="none" w:sz="0" w:space="0" w:color="auto"/>
      </w:divBdr>
    </w:div>
    <w:div w:id="1188789662">
      <w:bodyDiv w:val="1"/>
      <w:marLeft w:val="0"/>
      <w:marRight w:val="0"/>
      <w:marTop w:val="0"/>
      <w:marBottom w:val="0"/>
      <w:divBdr>
        <w:top w:val="none" w:sz="0" w:space="0" w:color="auto"/>
        <w:left w:val="none" w:sz="0" w:space="0" w:color="auto"/>
        <w:bottom w:val="none" w:sz="0" w:space="0" w:color="auto"/>
        <w:right w:val="none" w:sz="0" w:space="0" w:color="auto"/>
      </w:divBdr>
      <w:divsChild>
        <w:div w:id="1057700096">
          <w:marLeft w:val="0"/>
          <w:marRight w:val="0"/>
          <w:marTop w:val="0"/>
          <w:marBottom w:val="0"/>
          <w:divBdr>
            <w:top w:val="none" w:sz="0" w:space="0" w:color="auto"/>
            <w:left w:val="none" w:sz="0" w:space="0" w:color="auto"/>
            <w:bottom w:val="none" w:sz="0" w:space="0" w:color="auto"/>
            <w:right w:val="none" w:sz="0" w:space="0" w:color="auto"/>
          </w:divBdr>
          <w:divsChild>
            <w:div w:id="1372657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2852660">
      <w:bodyDiv w:val="1"/>
      <w:marLeft w:val="0"/>
      <w:marRight w:val="0"/>
      <w:marTop w:val="0"/>
      <w:marBottom w:val="0"/>
      <w:divBdr>
        <w:top w:val="none" w:sz="0" w:space="0" w:color="auto"/>
        <w:left w:val="none" w:sz="0" w:space="0" w:color="auto"/>
        <w:bottom w:val="none" w:sz="0" w:space="0" w:color="auto"/>
        <w:right w:val="none" w:sz="0" w:space="0" w:color="auto"/>
      </w:divBdr>
      <w:divsChild>
        <w:div w:id="1609661104">
          <w:marLeft w:val="0"/>
          <w:marRight w:val="0"/>
          <w:marTop w:val="0"/>
          <w:marBottom w:val="0"/>
          <w:divBdr>
            <w:top w:val="none" w:sz="0" w:space="0" w:color="auto"/>
            <w:left w:val="none" w:sz="0" w:space="0" w:color="auto"/>
            <w:bottom w:val="none" w:sz="0" w:space="0" w:color="auto"/>
            <w:right w:val="none" w:sz="0" w:space="0" w:color="auto"/>
          </w:divBdr>
          <w:divsChild>
            <w:div w:id="1011563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562874">
      <w:bodyDiv w:val="1"/>
      <w:marLeft w:val="0"/>
      <w:marRight w:val="0"/>
      <w:marTop w:val="0"/>
      <w:marBottom w:val="0"/>
      <w:divBdr>
        <w:top w:val="none" w:sz="0" w:space="0" w:color="auto"/>
        <w:left w:val="none" w:sz="0" w:space="0" w:color="auto"/>
        <w:bottom w:val="none" w:sz="0" w:space="0" w:color="auto"/>
        <w:right w:val="none" w:sz="0" w:space="0" w:color="auto"/>
      </w:divBdr>
    </w:div>
    <w:div w:id="1421636996">
      <w:bodyDiv w:val="1"/>
      <w:marLeft w:val="0"/>
      <w:marRight w:val="0"/>
      <w:marTop w:val="0"/>
      <w:marBottom w:val="0"/>
      <w:divBdr>
        <w:top w:val="none" w:sz="0" w:space="0" w:color="auto"/>
        <w:left w:val="none" w:sz="0" w:space="0" w:color="auto"/>
        <w:bottom w:val="none" w:sz="0" w:space="0" w:color="auto"/>
        <w:right w:val="none" w:sz="0" w:space="0" w:color="auto"/>
      </w:divBdr>
    </w:div>
    <w:div w:id="1467548077">
      <w:bodyDiv w:val="1"/>
      <w:marLeft w:val="0"/>
      <w:marRight w:val="0"/>
      <w:marTop w:val="0"/>
      <w:marBottom w:val="0"/>
      <w:divBdr>
        <w:top w:val="none" w:sz="0" w:space="0" w:color="auto"/>
        <w:left w:val="none" w:sz="0" w:space="0" w:color="auto"/>
        <w:bottom w:val="none" w:sz="0" w:space="0" w:color="auto"/>
        <w:right w:val="none" w:sz="0" w:space="0" w:color="auto"/>
      </w:divBdr>
    </w:div>
    <w:div w:id="1528913255">
      <w:bodyDiv w:val="1"/>
      <w:marLeft w:val="0"/>
      <w:marRight w:val="0"/>
      <w:marTop w:val="0"/>
      <w:marBottom w:val="0"/>
      <w:divBdr>
        <w:top w:val="none" w:sz="0" w:space="0" w:color="auto"/>
        <w:left w:val="none" w:sz="0" w:space="0" w:color="auto"/>
        <w:bottom w:val="none" w:sz="0" w:space="0" w:color="auto"/>
        <w:right w:val="none" w:sz="0" w:space="0" w:color="auto"/>
      </w:divBdr>
    </w:div>
    <w:div w:id="1578661561">
      <w:bodyDiv w:val="1"/>
      <w:marLeft w:val="0"/>
      <w:marRight w:val="0"/>
      <w:marTop w:val="0"/>
      <w:marBottom w:val="0"/>
      <w:divBdr>
        <w:top w:val="none" w:sz="0" w:space="0" w:color="auto"/>
        <w:left w:val="none" w:sz="0" w:space="0" w:color="auto"/>
        <w:bottom w:val="none" w:sz="0" w:space="0" w:color="auto"/>
        <w:right w:val="none" w:sz="0" w:space="0" w:color="auto"/>
      </w:divBdr>
    </w:div>
    <w:div w:id="1650136111">
      <w:bodyDiv w:val="1"/>
      <w:marLeft w:val="0"/>
      <w:marRight w:val="0"/>
      <w:marTop w:val="0"/>
      <w:marBottom w:val="0"/>
      <w:divBdr>
        <w:top w:val="none" w:sz="0" w:space="0" w:color="auto"/>
        <w:left w:val="none" w:sz="0" w:space="0" w:color="auto"/>
        <w:bottom w:val="none" w:sz="0" w:space="0" w:color="auto"/>
        <w:right w:val="none" w:sz="0" w:space="0" w:color="auto"/>
      </w:divBdr>
    </w:div>
    <w:div w:id="1654021950">
      <w:bodyDiv w:val="1"/>
      <w:marLeft w:val="0"/>
      <w:marRight w:val="0"/>
      <w:marTop w:val="0"/>
      <w:marBottom w:val="0"/>
      <w:divBdr>
        <w:top w:val="none" w:sz="0" w:space="0" w:color="auto"/>
        <w:left w:val="none" w:sz="0" w:space="0" w:color="auto"/>
        <w:bottom w:val="none" w:sz="0" w:space="0" w:color="auto"/>
        <w:right w:val="none" w:sz="0" w:space="0" w:color="auto"/>
      </w:divBdr>
    </w:div>
    <w:div w:id="1754205670">
      <w:bodyDiv w:val="1"/>
      <w:marLeft w:val="0"/>
      <w:marRight w:val="0"/>
      <w:marTop w:val="0"/>
      <w:marBottom w:val="0"/>
      <w:divBdr>
        <w:top w:val="none" w:sz="0" w:space="0" w:color="auto"/>
        <w:left w:val="none" w:sz="0" w:space="0" w:color="auto"/>
        <w:bottom w:val="none" w:sz="0" w:space="0" w:color="auto"/>
        <w:right w:val="none" w:sz="0" w:space="0" w:color="auto"/>
      </w:divBdr>
    </w:div>
    <w:div w:id="1771700361">
      <w:bodyDiv w:val="1"/>
      <w:marLeft w:val="0"/>
      <w:marRight w:val="0"/>
      <w:marTop w:val="0"/>
      <w:marBottom w:val="0"/>
      <w:divBdr>
        <w:top w:val="none" w:sz="0" w:space="0" w:color="auto"/>
        <w:left w:val="none" w:sz="0" w:space="0" w:color="auto"/>
        <w:bottom w:val="none" w:sz="0" w:space="0" w:color="auto"/>
        <w:right w:val="none" w:sz="0" w:space="0" w:color="auto"/>
      </w:divBdr>
      <w:divsChild>
        <w:div w:id="484054310">
          <w:marLeft w:val="0"/>
          <w:marRight w:val="0"/>
          <w:marTop w:val="0"/>
          <w:marBottom w:val="0"/>
          <w:divBdr>
            <w:top w:val="none" w:sz="0" w:space="0" w:color="auto"/>
            <w:left w:val="none" w:sz="0" w:space="0" w:color="auto"/>
            <w:bottom w:val="none" w:sz="0" w:space="0" w:color="auto"/>
            <w:right w:val="none" w:sz="0" w:space="0" w:color="auto"/>
          </w:divBdr>
          <w:divsChild>
            <w:div w:id="2079280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6723444">
      <w:bodyDiv w:val="1"/>
      <w:marLeft w:val="0"/>
      <w:marRight w:val="0"/>
      <w:marTop w:val="0"/>
      <w:marBottom w:val="0"/>
      <w:divBdr>
        <w:top w:val="none" w:sz="0" w:space="0" w:color="auto"/>
        <w:left w:val="none" w:sz="0" w:space="0" w:color="auto"/>
        <w:bottom w:val="none" w:sz="0" w:space="0" w:color="auto"/>
        <w:right w:val="none" w:sz="0" w:space="0" w:color="auto"/>
      </w:divBdr>
    </w:div>
    <w:div w:id="1901598262">
      <w:bodyDiv w:val="1"/>
      <w:marLeft w:val="0"/>
      <w:marRight w:val="0"/>
      <w:marTop w:val="0"/>
      <w:marBottom w:val="0"/>
      <w:divBdr>
        <w:top w:val="none" w:sz="0" w:space="0" w:color="auto"/>
        <w:left w:val="none" w:sz="0" w:space="0" w:color="auto"/>
        <w:bottom w:val="none" w:sz="0" w:space="0" w:color="auto"/>
        <w:right w:val="none" w:sz="0" w:space="0" w:color="auto"/>
      </w:divBdr>
    </w:div>
    <w:div w:id="1905136076">
      <w:bodyDiv w:val="1"/>
      <w:marLeft w:val="0"/>
      <w:marRight w:val="0"/>
      <w:marTop w:val="0"/>
      <w:marBottom w:val="0"/>
      <w:divBdr>
        <w:top w:val="none" w:sz="0" w:space="0" w:color="auto"/>
        <w:left w:val="none" w:sz="0" w:space="0" w:color="auto"/>
        <w:bottom w:val="none" w:sz="0" w:space="0" w:color="auto"/>
        <w:right w:val="none" w:sz="0" w:space="0" w:color="auto"/>
      </w:divBdr>
    </w:div>
    <w:div w:id="1966043103">
      <w:bodyDiv w:val="1"/>
      <w:marLeft w:val="0"/>
      <w:marRight w:val="0"/>
      <w:marTop w:val="0"/>
      <w:marBottom w:val="0"/>
      <w:divBdr>
        <w:top w:val="none" w:sz="0" w:space="0" w:color="auto"/>
        <w:left w:val="none" w:sz="0" w:space="0" w:color="auto"/>
        <w:bottom w:val="none" w:sz="0" w:space="0" w:color="auto"/>
        <w:right w:val="none" w:sz="0" w:space="0" w:color="auto"/>
      </w:divBdr>
      <w:divsChild>
        <w:div w:id="350570150">
          <w:marLeft w:val="0"/>
          <w:marRight w:val="0"/>
          <w:marTop w:val="0"/>
          <w:marBottom w:val="0"/>
          <w:divBdr>
            <w:top w:val="none" w:sz="0" w:space="0" w:color="auto"/>
            <w:left w:val="none" w:sz="0" w:space="0" w:color="auto"/>
            <w:bottom w:val="none" w:sz="0" w:space="0" w:color="auto"/>
            <w:right w:val="none" w:sz="0" w:space="0" w:color="auto"/>
          </w:divBdr>
          <w:divsChild>
            <w:div w:id="1669937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1544560">
      <w:bodyDiv w:val="1"/>
      <w:marLeft w:val="0"/>
      <w:marRight w:val="0"/>
      <w:marTop w:val="0"/>
      <w:marBottom w:val="0"/>
      <w:divBdr>
        <w:top w:val="none" w:sz="0" w:space="0" w:color="auto"/>
        <w:left w:val="none" w:sz="0" w:space="0" w:color="auto"/>
        <w:bottom w:val="none" w:sz="0" w:space="0" w:color="auto"/>
        <w:right w:val="none" w:sz="0" w:space="0" w:color="auto"/>
      </w:divBdr>
      <w:divsChild>
        <w:div w:id="171381594">
          <w:marLeft w:val="0"/>
          <w:marRight w:val="0"/>
          <w:marTop w:val="0"/>
          <w:marBottom w:val="0"/>
          <w:divBdr>
            <w:top w:val="none" w:sz="0" w:space="0" w:color="auto"/>
            <w:left w:val="none" w:sz="0" w:space="0" w:color="auto"/>
            <w:bottom w:val="none" w:sz="0" w:space="0" w:color="auto"/>
            <w:right w:val="none" w:sz="0" w:space="0" w:color="auto"/>
          </w:divBdr>
        </w:div>
      </w:divsChild>
    </w:div>
    <w:div w:id="1973561960">
      <w:bodyDiv w:val="1"/>
      <w:marLeft w:val="0"/>
      <w:marRight w:val="0"/>
      <w:marTop w:val="0"/>
      <w:marBottom w:val="0"/>
      <w:divBdr>
        <w:top w:val="none" w:sz="0" w:space="0" w:color="auto"/>
        <w:left w:val="none" w:sz="0" w:space="0" w:color="auto"/>
        <w:bottom w:val="none" w:sz="0" w:space="0" w:color="auto"/>
        <w:right w:val="none" w:sz="0" w:space="0" w:color="auto"/>
      </w:divBdr>
    </w:div>
    <w:div w:id="2026127400">
      <w:bodyDiv w:val="1"/>
      <w:marLeft w:val="0"/>
      <w:marRight w:val="0"/>
      <w:marTop w:val="0"/>
      <w:marBottom w:val="0"/>
      <w:divBdr>
        <w:top w:val="none" w:sz="0" w:space="0" w:color="auto"/>
        <w:left w:val="none" w:sz="0" w:space="0" w:color="auto"/>
        <w:bottom w:val="none" w:sz="0" w:space="0" w:color="auto"/>
        <w:right w:val="none" w:sz="0" w:space="0" w:color="auto"/>
      </w:divBdr>
    </w:div>
    <w:div w:id="2026130282">
      <w:bodyDiv w:val="1"/>
      <w:marLeft w:val="0"/>
      <w:marRight w:val="0"/>
      <w:marTop w:val="0"/>
      <w:marBottom w:val="0"/>
      <w:divBdr>
        <w:top w:val="none" w:sz="0" w:space="0" w:color="auto"/>
        <w:left w:val="none" w:sz="0" w:space="0" w:color="auto"/>
        <w:bottom w:val="none" w:sz="0" w:space="0" w:color="auto"/>
        <w:right w:val="none" w:sz="0" w:space="0" w:color="auto"/>
      </w:divBdr>
    </w:div>
    <w:div w:id="2040083590">
      <w:bodyDiv w:val="1"/>
      <w:marLeft w:val="0"/>
      <w:marRight w:val="0"/>
      <w:marTop w:val="0"/>
      <w:marBottom w:val="0"/>
      <w:divBdr>
        <w:top w:val="none" w:sz="0" w:space="0" w:color="auto"/>
        <w:left w:val="none" w:sz="0" w:space="0" w:color="auto"/>
        <w:bottom w:val="none" w:sz="0" w:space="0" w:color="auto"/>
        <w:right w:val="none" w:sz="0" w:space="0" w:color="auto"/>
      </w:divBdr>
      <w:divsChild>
        <w:div w:id="1798983930">
          <w:marLeft w:val="0"/>
          <w:marRight w:val="0"/>
          <w:marTop w:val="0"/>
          <w:marBottom w:val="0"/>
          <w:divBdr>
            <w:top w:val="none" w:sz="0" w:space="0" w:color="auto"/>
            <w:left w:val="none" w:sz="0" w:space="0" w:color="auto"/>
            <w:bottom w:val="none" w:sz="0" w:space="0" w:color="auto"/>
            <w:right w:val="none" w:sz="0" w:space="0" w:color="auto"/>
          </w:divBdr>
          <w:divsChild>
            <w:div w:id="453251983">
              <w:marLeft w:val="0"/>
              <w:marRight w:val="0"/>
              <w:marTop w:val="0"/>
              <w:marBottom w:val="0"/>
              <w:divBdr>
                <w:top w:val="none" w:sz="0" w:space="0" w:color="auto"/>
                <w:left w:val="none" w:sz="0" w:space="0" w:color="auto"/>
                <w:bottom w:val="none" w:sz="0" w:space="0" w:color="auto"/>
                <w:right w:val="none" w:sz="0" w:space="0" w:color="auto"/>
              </w:divBdr>
            </w:div>
          </w:divsChild>
        </w:div>
        <w:div w:id="1111316921">
          <w:marLeft w:val="0"/>
          <w:marRight w:val="0"/>
          <w:marTop w:val="0"/>
          <w:marBottom w:val="0"/>
          <w:divBdr>
            <w:top w:val="none" w:sz="0" w:space="0" w:color="auto"/>
            <w:left w:val="none" w:sz="0" w:space="0" w:color="auto"/>
            <w:bottom w:val="none" w:sz="0" w:space="0" w:color="auto"/>
            <w:right w:val="none" w:sz="0" w:space="0" w:color="auto"/>
          </w:divBdr>
          <w:divsChild>
            <w:div w:id="630407548">
              <w:marLeft w:val="0"/>
              <w:marRight w:val="0"/>
              <w:marTop w:val="0"/>
              <w:marBottom w:val="0"/>
              <w:divBdr>
                <w:top w:val="none" w:sz="0" w:space="0" w:color="auto"/>
                <w:left w:val="none" w:sz="0" w:space="0" w:color="auto"/>
                <w:bottom w:val="none" w:sz="0" w:space="0" w:color="auto"/>
                <w:right w:val="none" w:sz="0" w:space="0" w:color="auto"/>
              </w:divBdr>
            </w:div>
          </w:divsChild>
        </w:div>
        <w:div w:id="1075738877">
          <w:marLeft w:val="0"/>
          <w:marRight w:val="0"/>
          <w:marTop w:val="0"/>
          <w:marBottom w:val="0"/>
          <w:divBdr>
            <w:top w:val="none" w:sz="0" w:space="0" w:color="auto"/>
            <w:left w:val="none" w:sz="0" w:space="0" w:color="auto"/>
            <w:bottom w:val="none" w:sz="0" w:space="0" w:color="auto"/>
            <w:right w:val="none" w:sz="0" w:space="0" w:color="auto"/>
          </w:divBdr>
          <w:divsChild>
            <w:div w:id="209264373">
              <w:marLeft w:val="0"/>
              <w:marRight w:val="0"/>
              <w:marTop w:val="0"/>
              <w:marBottom w:val="0"/>
              <w:divBdr>
                <w:top w:val="none" w:sz="0" w:space="0" w:color="auto"/>
                <w:left w:val="none" w:sz="0" w:space="0" w:color="auto"/>
                <w:bottom w:val="none" w:sz="0" w:space="0" w:color="auto"/>
                <w:right w:val="none" w:sz="0" w:space="0" w:color="auto"/>
              </w:divBdr>
            </w:div>
          </w:divsChild>
        </w:div>
        <w:div w:id="1597396114">
          <w:marLeft w:val="0"/>
          <w:marRight w:val="0"/>
          <w:marTop w:val="0"/>
          <w:marBottom w:val="0"/>
          <w:divBdr>
            <w:top w:val="none" w:sz="0" w:space="0" w:color="auto"/>
            <w:left w:val="none" w:sz="0" w:space="0" w:color="auto"/>
            <w:bottom w:val="none" w:sz="0" w:space="0" w:color="auto"/>
            <w:right w:val="none" w:sz="0" w:space="0" w:color="auto"/>
          </w:divBdr>
          <w:divsChild>
            <w:div w:id="2119717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5011004">
      <w:bodyDiv w:val="1"/>
      <w:marLeft w:val="0"/>
      <w:marRight w:val="0"/>
      <w:marTop w:val="0"/>
      <w:marBottom w:val="0"/>
      <w:divBdr>
        <w:top w:val="none" w:sz="0" w:space="0" w:color="auto"/>
        <w:left w:val="none" w:sz="0" w:space="0" w:color="auto"/>
        <w:bottom w:val="none" w:sz="0" w:space="0" w:color="auto"/>
        <w:right w:val="none" w:sz="0" w:space="0" w:color="auto"/>
      </w:divBdr>
    </w:div>
    <w:div w:id="2131195255">
      <w:bodyDiv w:val="1"/>
      <w:marLeft w:val="0"/>
      <w:marRight w:val="0"/>
      <w:marTop w:val="0"/>
      <w:marBottom w:val="0"/>
      <w:divBdr>
        <w:top w:val="none" w:sz="0" w:space="0" w:color="auto"/>
        <w:left w:val="none" w:sz="0" w:space="0" w:color="auto"/>
        <w:bottom w:val="none" w:sz="0" w:space="0" w:color="auto"/>
        <w:right w:val="none" w:sz="0" w:space="0" w:color="auto"/>
      </w:divBdr>
      <w:divsChild>
        <w:div w:id="942884812">
          <w:marLeft w:val="0"/>
          <w:marRight w:val="0"/>
          <w:marTop w:val="0"/>
          <w:marBottom w:val="0"/>
          <w:divBdr>
            <w:top w:val="none" w:sz="0" w:space="0" w:color="auto"/>
            <w:left w:val="none" w:sz="0" w:space="0" w:color="auto"/>
            <w:bottom w:val="none" w:sz="0" w:space="0" w:color="auto"/>
            <w:right w:val="none" w:sz="0" w:space="0" w:color="auto"/>
          </w:divBdr>
          <w:divsChild>
            <w:div w:id="30303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image" Target="media/image2.png" /><Relationship Id="rId18" Type="http://schemas.openxmlformats.org/officeDocument/2006/relationships/footer" Target="footer1.xml" /><Relationship Id="rId26" Type="http://schemas.openxmlformats.org/officeDocument/2006/relationships/hyperlink" Target="https://www.cochrane.org/authors/handbooks-and-manuals/handbook/current/chapter-04-technical-supplement-searching-and-selecting-studies" TargetMode="External" /><Relationship Id="rId3" Type="http://schemas.openxmlformats.org/officeDocument/2006/relationships/styles" Target="styles.xml" /><Relationship Id="rId21" Type="http://schemas.openxmlformats.org/officeDocument/2006/relationships/hyperlink" Target="https://www.ageuk.org.uk/siteassets/documents/reports-and-publications/reports-and-briefings/active-communities/internet-use-statistics-june-2024.pdf" TargetMode="External" /><Relationship Id="rId34" Type="http://schemas.openxmlformats.org/officeDocument/2006/relationships/fontTable" Target="fontTable.xml" /><Relationship Id="rId7" Type="http://schemas.openxmlformats.org/officeDocument/2006/relationships/endnotes" Target="endnotes.xml" /><Relationship Id="rId12" Type="http://schemas.openxmlformats.org/officeDocument/2006/relationships/customXml" Target="ink/ink4.xml" /><Relationship Id="rId17" Type="http://schemas.openxmlformats.org/officeDocument/2006/relationships/image" Target="media/image6.png" /><Relationship Id="rId25" Type="http://schemas.openxmlformats.org/officeDocument/2006/relationships/hyperlink" Target="https://training.cochrane.org/handbook/current" TargetMode="External" /><Relationship Id="rId33" Type="http://schemas.openxmlformats.org/officeDocument/2006/relationships/footer" Target="footer2.xml" /><Relationship Id="rId2" Type="http://schemas.openxmlformats.org/officeDocument/2006/relationships/numbering" Target="numbering.xml" /><Relationship Id="rId16" Type="http://schemas.openxmlformats.org/officeDocument/2006/relationships/image" Target="media/image5.png" /><Relationship Id="rId20" Type="http://schemas.openxmlformats.org/officeDocument/2006/relationships/hyperlink" Target="https://www.ageuk.org.uk/siteassets/documents/reports-and-publications/reports-and-briefings/active-communities/internet-use-statistics-june-2024.pdf" TargetMode="External" /><Relationship Id="rId29" Type="http://schemas.openxmlformats.org/officeDocument/2006/relationships/hyperlink" Target="https://www.england.nhs.uk/long-read/inclusive-digital-healthcare-a-framework-for-nhs-action-on-digital-inclusion/" TargetMode="Externa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customXml" Target="ink/ink3.xml" /><Relationship Id="rId24" Type="http://schemas.openxmlformats.org/officeDocument/2006/relationships/hyperlink" Target="https://www.gov.uk/government/publications/digital-inclusion-action-plan-first-steps/digital-inclusion-action-plan-first-steps" TargetMode="External" /><Relationship Id="rId32" Type="http://schemas.openxmlformats.org/officeDocument/2006/relationships/hyperlink" Target="https://ukrio.org/ukrio-resources/publications/code-of-practice-for-research/" TargetMode="External" /><Relationship Id="rId5" Type="http://schemas.openxmlformats.org/officeDocument/2006/relationships/webSettings" Target="webSettings.xml" /><Relationship Id="rId15" Type="http://schemas.openxmlformats.org/officeDocument/2006/relationships/image" Target="media/image4.png" /><Relationship Id="rId23" Type="http://schemas.openxmlformats.org/officeDocument/2006/relationships/hyperlink" Target="https://www.gov.uk/government/publications/major-conditions-strategy-case-for-change-and-our-strategic-framework" TargetMode="External" /><Relationship Id="rId28" Type="http://schemas.openxmlformats.org/officeDocument/2006/relationships/hyperlink" Target="https://digital.nhs.uk/data-and-information/publications/statistical/health-survey-for-england/2024/adults-health" TargetMode="External" /><Relationship Id="rId10" Type="http://schemas.openxmlformats.org/officeDocument/2006/relationships/customXml" Target="ink/ink2.xml" /><Relationship Id="rId19" Type="http://schemas.openxmlformats.org/officeDocument/2006/relationships/header" Target="header1.xml" /><Relationship Id="rId31" Type="http://schemas.openxmlformats.org/officeDocument/2006/relationships/hyperlink" Target="https://www.ons.gov.uk/businessindustryandtrade/itandinternetindustry/bulletins/internetusers/2020" TargetMode="External" /><Relationship Id="rId4" Type="http://schemas.openxmlformats.org/officeDocument/2006/relationships/settings" Target="settings.xml" /><Relationship Id="rId9" Type="http://schemas.openxmlformats.org/officeDocument/2006/relationships/customXml" Target="ink/ink1.xml" /><Relationship Id="rId14" Type="http://schemas.openxmlformats.org/officeDocument/2006/relationships/image" Target="media/image3.png" /><Relationship Id="rId22" Type="http://schemas.openxmlformats.org/officeDocument/2006/relationships/hyperlink" Target="https://casp-uk.net/casp-checklists/CASP-checklist-qualitative-2024.pdf" TargetMode="External" /><Relationship Id="rId27" Type="http://schemas.openxmlformats.org/officeDocument/2006/relationships/hyperlink" Target="https://digital.nhs.uk/data-and-information/publications/statistical/health-survey-for-england/2024/adults-health" TargetMode="External" /><Relationship Id="rId30" Type="http://schemas.openxmlformats.org/officeDocument/2006/relationships/hyperlink" Target="https://www.ofcom.org.uk/research-and-data/media-literacy-research/adults/adults-media-use-and-attitudes" TargetMode="External" /><Relationship Id="rId35" Type="http://schemas.openxmlformats.org/officeDocument/2006/relationships/theme" Target="theme/theme1.xml" /></Relationships>
</file>

<file path=word/ink/ink1.xml><?xml version="1.0" encoding="utf-8"?>
<inkml:ink xmlns:inkml="http://www.w3.org/2003/InkML">
  <inkml:definitions/>
</inkml:ink>
</file>

<file path=word/ink/ink2.xml><?xml version="1.0" encoding="utf-8"?>
<inkml:ink xmlns:inkml="http://www.w3.org/2003/InkML">
  <inkml:definitions/>
</inkml:ink>
</file>

<file path=word/ink/ink3.xml><?xml version="1.0" encoding="utf-8"?>
<inkml:ink xmlns:inkml="http://www.w3.org/2003/InkML">
  <inkml:definitions/>
</inkml:ink>
</file>

<file path=word/ink/ink4.xml><?xml version="1.0" encoding="utf-8"?>
<inkml:ink xmlns:inkml="http://www.w3.org/2003/InkML">
  <inkml:definitions/>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B00C622F-B7FE-4884-879F-EC18CC63C4BD}">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78</Pages>
  <Words>23366</Words>
  <Characters>133192</Characters>
  <Application>Microsoft Office Word</Application>
  <DocSecurity>0</DocSecurity>
  <Lines>1109</Lines>
  <Paragraphs>312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2026-09-24T20:00:00Z</dcterms:created>
  <dcterms:modified xsi:type="dcterms:W3CDTF">2026-09-24T20:00:00Z</dcterms:modified>
</cp:coreProperties>
</file>