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F54350" w14:textId="77777777" w:rsidR="007F3666" w:rsidRPr="00B50B18" w:rsidRDefault="00EF7F63" w:rsidP="00C90320">
      <w:pPr>
        <w:jc w:val="center"/>
        <w:rPr>
          <w:rFonts w:ascii="Times New Roman" w:hAnsi="Times New Roman" w:cs="Times New Roman"/>
          <w:b/>
          <w:sz w:val="28"/>
          <w:szCs w:val="28"/>
          <w:u w:val="single"/>
        </w:rPr>
      </w:pPr>
      <w:bookmarkStart w:id="0" w:name="_Hlk503185233"/>
      <w:r w:rsidRPr="00B50B18">
        <w:rPr>
          <w:rFonts w:ascii="Times New Roman" w:hAnsi="Times New Roman" w:cs="Times New Roman"/>
          <w:b/>
          <w:sz w:val="28"/>
          <w:szCs w:val="28"/>
          <w:u w:val="single"/>
        </w:rPr>
        <w:t xml:space="preserve">Image and </w:t>
      </w:r>
      <w:r w:rsidR="005220D6" w:rsidRPr="00B50B18">
        <w:rPr>
          <w:rFonts w:ascii="Times New Roman" w:hAnsi="Times New Roman" w:cs="Times New Roman"/>
          <w:b/>
          <w:sz w:val="28"/>
          <w:szCs w:val="28"/>
          <w:u w:val="single"/>
        </w:rPr>
        <w:t>Authority in the Coinage of Augustus</w:t>
      </w:r>
    </w:p>
    <w:bookmarkEnd w:id="0"/>
    <w:p w14:paraId="7624498C" w14:textId="77777777" w:rsidR="005220D6" w:rsidRPr="005220D6" w:rsidRDefault="005220D6" w:rsidP="005220D6">
      <w:pPr>
        <w:rPr>
          <w:rFonts w:ascii="Times New Roman" w:hAnsi="Times New Roman" w:cs="Times New Roman"/>
          <w:sz w:val="24"/>
        </w:rPr>
      </w:pPr>
    </w:p>
    <w:p w14:paraId="58F17B9B" w14:textId="0598B46B" w:rsidR="00B50B18" w:rsidRDefault="00233E68" w:rsidP="00B50B18">
      <w:pPr>
        <w:spacing w:line="360" w:lineRule="auto"/>
        <w:rPr>
          <w:rFonts w:ascii="Times New Roman" w:hAnsi="Times New Roman" w:cs="Times New Roman"/>
          <w:sz w:val="24"/>
        </w:rPr>
      </w:pPr>
      <w:r>
        <w:rPr>
          <w:rFonts w:ascii="Times New Roman" w:hAnsi="Times New Roman" w:cs="Times New Roman"/>
          <w:sz w:val="24"/>
        </w:rPr>
        <w:t xml:space="preserve">There are two types </w:t>
      </w:r>
      <w:r w:rsidR="00141196">
        <w:rPr>
          <w:rFonts w:ascii="Times New Roman" w:hAnsi="Times New Roman" w:cs="Times New Roman"/>
          <w:sz w:val="24"/>
        </w:rPr>
        <w:t>of authority seen in the coins of the Augustan era and further.</w:t>
      </w:r>
      <w:r w:rsidR="005A098A">
        <w:rPr>
          <w:rStyle w:val="FootnoteReference"/>
          <w:rFonts w:ascii="Times New Roman" w:hAnsi="Times New Roman" w:cs="Times New Roman"/>
          <w:sz w:val="24"/>
        </w:rPr>
        <w:footnoteReference w:id="1"/>
      </w:r>
      <w:r w:rsidR="00141196">
        <w:rPr>
          <w:rFonts w:ascii="Times New Roman" w:hAnsi="Times New Roman" w:cs="Times New Roman"/>
          <w:sz w:val="24"/>
        </w:rPr>
        <w:t xml:space="preserve"> The first is the legal authority it carries as it is marked as an official coin of the state.</w:t>
      </w:r>
      <w:r w:rsidR="005A098A">
        <w:rPr>
          <w:rStyle w:val="FootnoteReference"/>
          <w:rFonts w:ascii="Times New Roman" w:hAnsi="Times New Roman" w:cs="Times New Roman"/>
          <w:sz w:val="24"/>
        </w:rPr>
        <w:footnoteReference w:id="2"/>
      </w:r>
      <w:r w:rsidR="00141196">
        <w:rPr>
          <w:rFonts w:ascii="Times New Roman" w:hAnsi="Times New Roman" w:cs="Times New Roman"/>
          <w:sz w:val="24"/>
        </w:rPr>
        <w:t xml:space="preserve"> The second is the charismatic quality it bears depending on the image of the emperor.</w:t>
      </w:r>
      <w:r w:rsidR="005A098A">
        <w:rPr>
          <w:rStyle w:val="FootnoteReference"/>
          <w:rFonts w:ascii="Times New Roman" w:hAnsi="Times New Roman" w:cs="Times New Roman"/>
          <w:sz w:val="24"/>
        </w:rPr>
        <w:footnoteReference w:id="3"/>
      </w:r>
      <w:r w:rsidR="00141196">
        <w:rPr>
          <w:rFonts w:ascii="Times New Roman" w:hAnsi="Times New Roman" w:cs="Times New Roman"/>
          <w:sz w:val="24"/>
        </w:rPr>
        <w:t xml:space="preserve"> For example, an image of the </w:t>
      </w:r>
      <w:r w:rsidR="00B50B18">
        <w:rPr>
          <w:rFonts w:ascii="Times New Roman" w:hAnsi="Times New Roman" w:cs="Times New Roman"/>
          <w:sz w:val="24"/>
        </w:rPr>
        <w:t>E</w:t>
      </w:r>
      <w:r w:rsidR="00141196">
        <w:rPr>
          <w:rFonts w:ascii="Times New Roman" w:hAnsi="Times New Roman" w:cs="Times New Roman"/>
          <w:sz w:val="24"/>
        </w:rPr>
        <w:t>mperor Nero would be rejected</w:t>
      </w:r>
      <w:r w:rsidR="00663F9E">
        <w:rPr>
          <w:rFonts w:ascii="Times New Roman" w:hAnsi="Times New Roman" w:cs="Times New Roman"/>
          <w:sz w:val="24"/>
        </w:rPr>
        <w:t xml:space="preserve"> due to the negative associations with an unpopular emperor</w:t>
      </w:r>
      <w:r w:rsidR="00141196">
        <w:rPr>
          <w:rFonts w:ascii="Times New Roman" w:hAnsi="Times New Roman" w:cs="Times New Roman"/>
          <w:sz w:val="24"/>
        </w:rPr>
        <w:t>.</w:t>
      </w:r>
      <w:r w:rsidR="005A098A">
        <w:rPr>
          <w:rStyle w:val="FootnoteReference"/>
          <w:rFonts w:ascii="Times New Roman" w:hAnsi="Times New Roman" w:cs="Times New Roman"/>
          <w:sz w:val="24"/>
        </w:rPr>
        <w:footnoteReference w:id="4"/>
      </w:r>
      <w:r w:rsidR="003F0B4C">
        <w:rPr>
          <w:rFonts w:ascii="Times New Roman" w:hAnsi="Times New Roman" w:cs="Times New Roman"/>
          <w:sz w:val="24"/>
        </w:rPr>
        <w:t xml:space="preserve"> The</w:t>
      </w:r>
      <w:r w:rsidR="00061AB5">
        <w:rPr>
          <w:rFonts w:ascii="Times New Roman" w:hAnsi="Times New Roman" w:cs="Times New Roman"/>
          <w:sz w:val="24"/>
        </w:rPr>
        <w:t xml:space="preserve"> two</w:t>
      </w:r>
      <w:r w:rsidR="003F0B4C">
        <w:rPr>
          <w:rFonts w:ascii="Times New Roman" w:hAnsi="Times New Roman" w:cs="Times New Roman"/>
          <w:sz w:val="24"/>
        </w:rPr>
        <w:t xml:space="preserve"> functions are stated by</w:t>
      </w:r>
      <w:r w:rsidR="00030994">
        <w:rPr>
          <w:rFonts w:ascii="Times New Roman" w:hAnsi="Times New Roman" w:cs="Times New Roman"/>
          <w:sz w:val="24"/>
        </w:rPr>
        <w:t xml:space="preserve"> the Greek philosopher</w:t>
      </w:r>
      <w:r w:rsidR="003F0B4C">
        <w:rPr>
          <w:rFonts w:ascii="Times New Roman" w:hAnsi="Times New Roman" w:cs="Times New Roman"/>
          <w:sz w:val="24"/>
        </w:rPr>
        <w:t xml:space="preserve"> Epictetus in the beginning of the article.</w:t>
      </w:r>
      <w:r w:rsidR="005A098A">
        <w:rPr>
          <w:rStyle w:val="FootnoteReference"/>
          <w:rFonts w:ascii="Times New Roman" w:hAnsi="Times New Roman" w:cs="Times New Roman"/>
          <w:sz w:val="24"/>
        </w:rPr>
        <w:footnoteReference w:id="5"/>
      </w:r>
      <w:r w:rsidR="00141196">
        <w:rPr>
          <w:rFonts w:ascii="Times New Roman" w:hAnsi="Times New Roman" w:cs="Times New Roman"/>
          <w:sz w:val="24"/>
        </w:rPr>
        <w:t xml:space="preserve"> These are the two starting points to the </w:t>
      </w:r>
      <w:r w:rsidR="00AE1C41">
        <w:rPr>
          <w:rFonts w:ascii="Times New Roman" w:hAnsi="Times New Roman" w:cs="Times New Roman"/>
          <w:sz w:val="24"/>
        </w:rPr>
        <w:t xml:space="preserve">1986 </w:t>
      </w:r>
      <w:r w:rsidR="00141196">
        <w:rPr>
          <w:rFonts w:ascii="Times New Roman" w:hAnsi="Times New Roman" w:cs="Times New Roman"/>
          <w:sz w:val="24"/>
        </w:rPr>
        <w:t>article</w:t>
      </w:r>
      <w:r w:rsidR="007B080D">
        <w:rPr>
          <w:rFonts w:ascii="Times New Roman" w:hAnsi="Times New Roman" w:cs="Times New Roman"/>
          <w:sz w:val="24"/>
        </w:rPr>
        <w:t xml:space="preserve"> by Andrew Wallace Hadrill</w:t>
      </w:r>
      <w:r w:rsidR="00141196">
        <w:rPr>
          <w:rFonts w:ascii="Times New Roman" w:hAnsi="Times New Roman" w:cs="Times New Roman"/>
          <w:sz w:val="24"/>
        </w:rPr>
        <w:t xml:space="preserve"> </w:t>
      </w:r>
      <w:r w:rsidR="00AE0440">
        <w:rPr>
          <w:rFonts w:ascii="Times New Roman" w:hAnsi="Times New Roman" w:cs="Times New Roman"/>
          <w:sz w:val="24"/>
        </w:rPr>
        <w:t xml:space="preserve">concerning the </w:t>
      </w:r>
      <w:r w:rsidR="00455A06">
        <w:rPr>
          <w:rFonts w:ascii="Times New Roman" w:hAnsi="Times New Roman" w:cs="Times New Roman"/>
          <w:sz w:val="24"/>
        </w:rPr>
        <w:t>image and authority on Roman coinage during the time of the emperor Augustus.</w:t>
      </w:r>
      <w:r w:rsidR="00127A8C">
        <w:rPr>
          <w:rStyle w:val="FootnoteReference"/>
          <w:rFonts w:ascii="Times New Roman" w:hAnsi="Times New Roman" w:cs="Times New Roman"/>
          <w:sz w:val="24"/>
        </w:rPr>
        <w:footnoteReference w:id="6"/>
      </w:r>
      <w:r w:rsidR="00663F9E">
        <w:rPr>
          <w:rFonts w:ascii="Times New Roman" w:hAnsi="Times New Roman" w:cs="Times New Roman"/>
          <w:sz w:val="24"/>
        </w:rPr>
        <w:t xml:space="preserve"> </w:t>
      </w:r>
      <w:r w:rsidR="00455A06">
        <w:rPr>
          <w:rFonts w:ascii="Times New Roman" w:hAnsi="Times New Roman" w:cs="Times New Roman"/>
          <w:sz w:val="24"/>
        </w:rPr>
        <w:t xml:space="preserve"> </w:t>
      </w:r>
      <w:r w:rsidR="000157AE">
        <w:rPr>
          <w:rFonts w:ascii="Times New Roman" w:hAnsi="Times New Roman" w:cs="Times New Roman"/>
          <w:sz w:val="24"/>
        </w:rPr>
        <w:t xml:space="preserve">His </w:t>
      </w:r>
      <w:r w:rsidR="00061AB5">
        <w:rPr>
          <w:rFonts w:ascii="Times New Roman" w:hAnsi="Times New Roman" w:cs="Times New Roman"/>
          <w:sz w:val="24"/>
        </w:rPr>
        <w:t>a</w:t>
      </w:r>
      <w:r w:rsidR="00CA6525">
        <w:rPr>
          <w:rFonts w:ascii="Times New Roman" w:hAnsi="Times New Roman" w:cs="Times New Roman"/>
          <w:sz w:val="24"/>
        </w:rPr>
        <w:t xml:space="preserve">rticle is divided into three different sections </w:t>
      </w:r>
      <w:r w:rsidR="002E3348">
        <w:rPr>
          <w:rFonts w:ascii="Times New Roman" w:hAnsi="Times New Roman" w:cs="Times New Roman"/>
          <w:sz w:val="24"/>
        </w:rPr>
        <w:t>which detail the function of the coin including the image portrayed on the coin and the reasons behind their changing patterns.</w:t>
      </w:r>
      <w:r w:rsidR="00127A8C">
        <w:rPr>
          <w:rStyle w:val="FootnoteReference"/>
          <w:rFonts w:ascii="Times New Roman" w:hAnsi="Times New Roman" w:cs="Times New Roman"/>
          <w:sz w:val="24"/>
        </w:rPr>
        <w:footnoteReference w:id="7"/>
      </w:r>
      <w:r w:rsidR="002E3348">
        <w:rPr>
          <w:rFonts w:ascii="Times New Roman" w:hAnsi="Times New Roman" w:cs="Times New Roman"/>
          <w:sz w:val="24"/>
        </w:rPr>
        <w:t xml:space="preserve"> </w:t>
      </w:r>
      <w:r w:rsidR="00073199">
        <w:rPr>
          <w:rFonts w:ascii="Times New Roman" w:hAnsi="Times New Roman" w:cs="Times New Roman"/>
          <w:sz w:val="24"/>
        </w:rPr>
        <w:t xml:space="preserve">His first section </w:t>
      </w:r>
      <w:r w:rsidR="001531B9">
        <w:rPr>
          <w:rFonts w:ascii="Times New Roman" w:hAnsi="Times New Roman" w:cs="Times New Roman"/>
          <w:sz w:val="24"/>
        </w:rPr>
        <w:t>is an argument concerning the functions of both the obverse and reverse of the Roman coins.</w:t>
      </w:r>
      <w:r w:rsidR="00127A8C">
        <w:rPr>
          <w:rStyle w:val="FootnoteReference"/>
          <w:rFonts w:ascii="Times New Roman" w:hAnsi="Times New Roman" w:cs="Times New Roman"/>
          <w:sz w:val="24"/>
        </w:rPr>
        <w:footnoteReference w:id="8"/>
      </w:r>
      <w:r w:rsidR="001531B9">
        <w:rPr>
          <w:rFonts w:ascii="Times New Roman" w:hAnsi="Times New Roman" w:cs="Times New Roman"/>
          <w:sz w:val="24"/>
        </w:rPr>
        <w:t xml:space="preserve"> </w:t>
      </w:r>
      <w:r w:rsidR="00663F9E">
        <w:rPr>
          <w:rFonts w:ascii="Times New Roman" w:hAnsi="Times New Roman" w:cs="Times New Roman"/>
          <w:sz w:val="24"/>
        </w:rPr>
        <w:t>Hadrill observes how the obverse was a stamp of authority and advertisement due to the image of the emperors head.</w:t>
      </w:r>
      <w:r w:rsidR="00127A8C">
        <w:rPr>
          <w:rStyle w:val="FootnoteReference"/>
          <w:rFonts w:ascii="Times New Roman" w:hAnsi="Times New Roman" w:cs="Times New Roman"/>
          <w:sz w:val="24"/>
        </w:rPr>
        <w:footnoteReference w:id="9"/>
      </w:r>
      <w:r w:rsidR="00663F9E">
        <w:rPr>
          <w:rFonts w:ascii="Times New Roman" w:hAnsi="Times New Roman" w:cs="Times New Roman"/>
          <w:sz w:val="24"/>
        </w:rPr>
        <w:t xml:space="preserve"> However, the reverse highlights the reason for the emperor’s due respect.</w:t>
      </w:r>
      <w:r w:rsidR="00127A8C">
        <w:rPr>
          <w:rStyle w:val="FootnoteReference"/>
          <w:rFonts w:ascii="Times New Roman" w:hAnsi="Times New Roman" w:cs="Times New Roman"/>
          <w:sz w:val="24"/>
        </w:rPr>
        <w:footnoteReference w:id="10"/>
      </w:r>
      <w:r w:rsidR="00663F9E">
        <w:rPr>
          <w:rFonts w:ascii="Times New Roman" w:hAnsi="Times New Roman" w:cs="Times New Roman"/>
          <w:sz w:val="24"/>
        </w:rPr>
        <w:t xml:space="preserve"> It shows they all serve a function of displaying the virtues and morals of the emperor which the user should share.</w:t>
      </w:r>
      <w:r w:rsidR="00127A8C">
        <w:rPr>
          <w:rStyle w:val="FootnoteReference"/>
          <w:rFonts w:ascii="Times New Roman" w:hAnsi="Times New Roman" w:cs="Times New Roman"/>
          <w:sz w:val="24"/>
        </w:rPr>
        <w:footnoteReference w:id="11"/>
      </w:r>
    </w:p>
    <w:p w14:paraId="0069D95F" w14:textId="00202DE5" w:rsidR="000F627C" w:rsidRDefault="00663F9E" w:rsidP="00B50B18">
      <w:pPr>
        <w:spacing w:line="360" w:lineRule="auto"/>
        <w:rPr>
          <w:rFonts w:ascii="Times New Roman" w:hAnsi="Times New Roman" w:cs="Times New Roman"/>
          <w:sz w:val="24"/>
        </w:rPr>
      </w:pPr>
      <w:r>
        <w:rPr>
          <w:rFonts w:ascii="Times New Roman" w:hAnsi="Times New Roman" w:cs="Times New Roman"/>
          <w:sz w:val="24"/>
        </w:rPr>
        <w:t xml:space="preserve"> The second section concerns </w:t>
      </w:r>
      <w:r w:rsidR="004F0633">
        <w:rPr>
          <w:rFonts w:ascii="Times New Roman" w:hAnsi="Times New Roman" w:cs="Times New Roman"/>
          <w:sz w:val="24"/>
        </w:rPr>
        <w:t>the connection of the head images and symbols of authority.</w:t>
      </w:r>
      <w:r w:rsidR="00127A8C">
        <w:rPr>
          <w:rStyle w:val="FootnoteReference"/>
          <w:rFonts w:ascii="Times New Roman" w:hAnsi="Times New Roman" w:cs="Times New Roman"/>
          <w:sz w:val="24"/>
        </w:rPr>
        <w:footnoteReference w:id="12"/>
      </w:r>
      <w:r w:rsidR="004F0633">
        <w:rPr>
          <w:rFonts w:ascii="Times New Roman" w:hAnsi="Times New Roman" w:cs="Times New Roman"/>
          <w:sz w:val="24"/>
        </w:rPr>
        <w:t xml:space="preserve"> </w:t>
      </w:r>
      <w:r w:rsidR="0028726A">
        <w:rPr>
          <w:rFonts w:ascii="Times New Roman" w:hAnsi="Times New Roman" w:cs="Times New Roman"/>
          <w:sz w:val="24"/>
        </w:rPr>
        <w:t xml:space="preserve">This section argues how </w:t>
      </w:r>
      <w:r w:rsidR="005F33E9">
        <w:rPr>
          <w:rFonts w:ascii="Times New Roman" w:hAnsi="Times New Roman" w:cs="Times New Roman"/>
          <w:sz w:val="24"/>
        </w:rPr>
        <w:t xml:space="preserve">coins underwent change following Octavians victory at the battle of </w:t>
      </w:r>
      <w:r w:rsidR="005F33E9">
        <w:rPr>
          <w:rFonts w:ascii="Times New Roman" w:hAnsi="Times New Roman" w:cs="Times New Roman"/>
          <w:sz w:val="24"/>
        </w:rPr>
        <w:lastRenderedPageBreak/>
        <w:t>Actium.</w:t>
      </w:r>
      <w:r w:rsidR="00127A8C">
        <w:rPr>
          <w:rStyle w:val="FootnoteReference"/>
          <w:rFonts w:ascii="Times New Roman" w:hAnsi="Times New Roman" w:cs="Times New Roman"/>
          <w:sz w:val="24"/>
        </w:rPr>
        <w:footnoteReference w:id="13"/>
      </w:r>
      <w:r w:rsidR="005F33E9">
        <w:rPr>
          <w:rFonts w:ascii="Times New Roman" w:hAnsi="Times New Roman" w:cs="Times New Roman"/>
          <w:sz w:val="24"/>
        </w:rPr>
        <w:t xml:space="preserve"> The obverse and reverse of a coin shows the personal and individual values of the state as seen in a coin following Actium with Octavians portrait on the obverse.</w:t>
      </w:r>
      <w:r w:rsidR="00320B9C">
        <w:rPr>
          <w:rStyle w:val="FootnoteReference"/>
          <w:rFonts w:ascii="Times New Roman" w:hAnsi="Times New Roman" w:cs="Times New Roman"/>
          <w:sz w:val="24"/>
        </w:rPr>
        <w:footnoteReference w:id="14"/>
      </w:r>
      <w:r w:rsidR="005F33E9">
        <w:rPr>
          <w:rFonts w:ascii="Times New Roman" w:hAnsi="Times New Roman" w:cs="Times New Roman"/>
          <w:sz w:val="24"/>
        </w:rPr>
        <w:t xml:space="preserve"> However, the reverse shows him in the guise of an equestrian statue.</w:t>
      </w:r>
      <w:r w:rsidR="00320B9C">
        <w:rPr>
          <w:rStyle w:val="FootnoteReference"/>
          <w:rFonts w:ascii="Times New Roman" w:hAnsi="Times New Roman" w:cs="Times New Roman"/>
          <w:sz w:val="24"/>
        </w:rPr>
        <w:footnoteReference w:id="15"/>
      </w:r>
      <w:r w:rsidR="005F33E9">
        <w:rPr>
          <w:rFonts w:ascii="Times New Roman" w:hAnsi="Times New Roman" w:cs="Times New Roman"/>
          <w:sz w:val="24"/>
        </w:rPr>
        <w:t xml:space="preserve"> The val</w:t>
      </w:r>
      <w:r w:rsidR="00320B9C">
        <w:rPr>
          <w:rFonts w:ascii="Times New Roman" w:hAnsi="Times New Roman" w:cs="Times New Roman"/>
          <w:sz w:val="24"/>
        </w:rPr>
        <w:t>u</w:t>
      </w:r>
      <w:r w:rsidR="005F33E9">
        <w:rPr>
          <w:rFonts w:ascii="Times New Roman" w:hAnsi="Times New Roman" w:cs="Times New Roman"/>
          <w:sz w:val="24"/>
        </w:rPr>
        <w:t xml:space="preserve">e of the coin is enlarged due to the statements made in the emperors benefit </w:t>
      </w:r>
      <w:r w:rsidR="006D75D6">
        <w:rPr>
          <w:rFonts w:ascii="Times New Roman" w:hAnsi="Times New Roman" w:cs="Times New Roman"/>
          <w:sz w:val="24"/>
        </w:rPr>
        <w:t>such as the portrayal of the emperor with the badge, honours and personal deities.</w:t>
      </w:r>
      <w:r w:rsidR="00320B9C">
        <w:rPr>
          <w:rStyle w:val="FootnoteReference"/>
          <w:rFonts w:ascii="Times New Roman" w:hAnsi="Times New Roman" w:cs="Times New Roman"/>
          <w:sz w:val="24"/>
        </w:rPr>
        <w:footnoteReference w:id="16"/>
      </w:r>
      <w:r w:rsidR="006D75D6">
        <w:rPr>
          <w:rFonts w:ascii="Times New Roman" w:hAnsi="Times New Roman" w:cs="Times New Roman"/>
          <w:sz w:val="24"/>
        </w:rPr>
        <w:t xml:space="preserve"> </w:t>
      </w:r>
      <w:r w:rsidR="00E40B32">
        <w:rPr>
          <w:rFonts w:ascii="Times New Roman" w:hAnsi="Times New Roman" w:cs="Times New Roman"/>
          <w:sz w:val="24"/>
        </w:rPr>
        <w:t xml:space="preserve">The third section </w:t>
      </w:r>
      <w:r w:rsidR="003100B3">
        <w:rPr>
          <w:rFonts w:ascii="Times New Roman" w:hAnsi="Times New Roman" w:cs="Times New Roman"/>
          <w:sz w:val="24"/>
        </w:rPr>
        <w:t xml:space="preserve">details the emperor and the </w:t>
      </w:r>
      <w:r w:rsidR="00AE1C41">
        <w:rPr>
          <w:rFonts w:ascii="Times New Roman" w:hAnsi="Times New Roman" w:cs="Times New Roman"/>
          <w:sz w:val="24"/>
        </w:rPr>
        <w:t>S</w:t>
      </w:r>
      <w:r w:rsidR="003100B3">
        <w:rPr>
          <w:rFonts w:ascii="Times New Roman" w:hAnsi="Times New Roman" w:cs="Times New Roman"/>
          <w:sz w:val="24"/>
        </w:rPr>
        <w:t>enate and their connection to the coinage of the era.</w:t>
      </w:r>
      <w:r w:rsidR="00320B9C">
        <w:rPr>
          <w:rStyle w:val="FootnoteReference"/>
          <w:rFonts w:ascii="Times New Roman" w:hAnsi="Times New Roman" w:cs="Times New Roman"/>
          <w:sz w:val="24"/>
        </w:rPr>
        <w:footnoteReference w:id="17"/>
      </w:r>
      <w:r w:rsidR="003100B3">
        <w:rPr>
          <w:rFonts w:ascii="Times New Roman" w:hAnsi="Times New Roman" w:cs="Times New Roman"/>
          <w:sz w:val="24"/>
        </w:rPr>
        <w:t xml:space="preserve"> Hadrill </w:t>
      </w:r>
      <w:r w:rsidR="004E17CA">
        <w:rPr>
          <w:rFonts w:ascii="Times New Roman" w:hAnsi="Times New Roman" w:cs="Times New Roman"/>
          <w:sz w:val="24"/>
        </w:rPr>
        <w:t>states how the effect of a ruling autocracy is to absorb the full potential of the coins therefore both obverse and reverse becomes images of the emperor.</w:t>
      </w:r>
      <w:r w:rsidR="00320B9C">
        <w:rPr>
          <w:rStyle w:val="FootnoteReference"/>
          <w:rFonts w:ascii="Times New Roman" w:hAnsi="Times New Roman" w:cs="Times New Roman"/>
          <w:sz w:val="24"/>
        </w:rPr>
        <w:footnoteReference w:id="18"/>
      </w:r>
      <w:r w:rsidR="004E17CA">
        <w:rPr>
          <w:rFonts w:ascii="Times New Roman" w:hAnsi="Times New Roman" w:cs="Times New Roman"/>
          <w:sz w:val="24"/>
        </w:rPr>
        <w:t xml:space="preserve"> </w:t>
      </w:r>
      <w:r w:rsidR="00320B9C">
        <w:rPr>
          <w:rFonts w:ascii="Times New Roman" w:hAnsi="Times New Roman" w:cs="Times New Roman"/>
          <w:sz w:val="24"/>
        </w:rPr>
        <w:t>Also,</w:t>
      </w:r>
      <w:r w:rsidR="00191733">
        <w:rPr>
          <w:rFonts w:ascii="Times New Roman" w:hAnsi="Times New Roman" w:cs="Times New Roman"/>
          <w:sz w:val="24"/>
        </w:rPr>
        <w:t xml:space="preserve"> there were five or six colleges of moneyers that issued coins in both silver and gold.</w:t>
      </w:r>
      <w:r w:rsidR="00541D27">
        <w:rPr>
          <w:rStyle w:val="FootnoteReference"/>
          <w:rFonts w:ascii="Times New Roman" w:hAnsi="Times New Roman" w:cs="Times New Roman"/>
          <w:sz w:val="24"/>
        </w:rPr>
        <w:footnoteReference w:id="19"/>
      </w:r>
      <w:r w:rsidR="00191733">
        <w:rPr>
          <w:rFonts w:ascii="Times New Roman" w:hAnsi="Times New Roman" w:cs="Times New Roman"/>
          <w:sz w:val="24"/>
        </w:rPr>
        <w:t xml:space="preserve"> This was an evolution in perception as it changed what was thought to be possible under Augustus.</w:t>
      </w:r>
      <w:r w:rsidR="00541D27">
        <w:rPr>
          <w:rStyle w:val="FootnoteReference"/>
          <w:rFonts w:ascii="Times New Roman" w:hAnsi="Times New Roman" w:cs="Times New Roman"/>
          <w:sz w:val="24"/>
        </w:rPr>
        <w:footnoteReference w:id="20"/>
      </w:r>
      <w:r w:rsidR="00191733">
        <w:rPr>
          <w:rFonts w:ascii="Times New Roman" w:hAnsi="Times New Roman" w:cs="Times New Roman"/>
          <w:sz w:val="24"/>
        </w:rPr>
        <w:t xml:space="preserve"> This section also states how deities were chosen on the obverse for personal reasons of the moneyer but the reverse </w:t>
      </w:r>
      <w:r w:rsidR="000D742E">
        <w:rPr>
          <w:rFonts w:ascii="Times New Roman" w:hAnsi="Times New Roman" w:cs="Times New Roman"/>
          <w:sz w:val="24"/>
        </w:rPr>
        <w:t>celebrated Caesar with an imperial image and deity.</w:t>
      </w:r>
      <w:r w:rsidR="00541D27">
        <w:rPr>
          <w:rStyle w:val="FootnoteReference"/>
          <w:rFonts w:ascii="Times New Roman" w:hAnsi="Times New Roman" w:cs="Times New Roman"/>
          <w:sz w:val="24"/>
        </w:rPr>
        <w:footnoteReference w:id="21"/>
      </w:r>
      <w:r w:rsidR="000D742E">
        <w:rPr>
          <w:rFonts w:ascii="Times New Roman" w:hAnsi="Times New Roman" w:cs="Times New Roman"/>
          <w:sz w:val="24"/>
        </w:rPr>
        <w:t xml:space="preserve"> </w:t>
      </w:r>
      <w:r w:rsidR="0015651E">
        <w:rPr>
          <w:rFonts w:ascii="Times New Roman" w:hAnsi="Times New Roman" w:cs="Times New Roman"/>
          <w:sz w:val="24"/>
        </w:rPr>
        <w:t>The overall argument of the article is the portrayal of the emperor’s image on the coins of the Augustan era as well as the political and economic function of the coins in general.</w:t>
      </w:r>
      <w:r w:rsidR="00541D27">
        <w:rPr>
          <w:rStyle w:val="FootnoteReference"/>
          <w:rFonts w:ascii="Times New Roman" w:hAnsi="Times New Roman" w:cs="Times New Roman"/>
          <w:sz w:val="24"/>
        </w:rPr>
        <w:footnoteReference w:id="22"/>
      </w:r>
      <w:r w:rsidR="0015651E">
        <w:rPr>
          <w:rFonts w:ascii="Times New Roman" w:hAnsi="Times New Roman" w:cs="Times New Roman"/>
          <w:sz w:val="24"/>
        </w:rPr>
        <w:t xml:space="preserve"> </w:t>
      </w:r>
      <w:r w:rsidR="00AE64BE">
        <w:rPr>
          <w:rFonts w:ascii="Times New Roman" w:hAnsi="Times New Roman" w:cs="Times New Roman"/>
          <w:sz w:val="24"/>
        </w:rPr>
        <w:t xml:space="preserve">The </w:t>
      </w:r>
      <w:r w:rsidR="00790775">
        <w:rPr>
          <w:rFonts w:ascii="Times New Roman" w:hAnsi="Times New Roman" w:cs="Times New Roman"/>
          <w:sz w:val="24"/>
        </w:rPr>
        <w:t>argument</w:t>
      </w:r>
      <w:r w:rsidR="00AE64BE">
        <w:rPr>
          <w:rFonts w:ascii="Times New Roman" w:hAnsi="Times New Roman" w:cs="Times New Roman"/>
          <w:sz w:val="24"/>
        </w:rPr>
        <w:t xml:space="preserve">s put forward in each section by Andrew Wallace Hadrill are </w:t>
      </w:r>
      <w:r w:rsidR="00320B9C">
        <w:rPr>
          <w:rFonts w:ascii="Times New Roman" w:hAnsi="Times New Roman" w:cs="Times New Roman"/>
          <w:sz w:val="24"/>
        </w:rPr>
        <w:t xml:space="preserve">predominantly </w:t>
      </w:r>
      <w:r w:rsidR="00AE64BE">
        <w:rPr>
          <w:rFonts w:ascii="Times New Roman" w:hAnsi="Times New Roman" w:cs="Times New Roman"/>
          <w:sz w:val="24"/>
        </w:rPr>
        <w:t>accurate in their des</w:t>
      </w:r>
      <w:r w:rsidR="00790775">
        <w:rPr>
          <w:rFonts w:ascii="Times New Roman" w:hAnsi="Times New Roman" w:cs="Times New Roman"/>
          <w:sz w:val="24"/>
        </w:rPr>
        <w:t xml:space="preserve">criptions and information on the coinage under Augustus. This includes their changing obverse and reverse functions and images. </w:t>
      </w:r>
      <w:r w:rsidR="009E3A3F">
        <w:rPr>
          <w:rFonts w:ascii="Times New Roman" w:hAnsi="Times New Roman" w:cs="Times New Roman"/>
          <w:sz w:val="24"/>
        </w:rPr>
        <w:t xml:space="preserve">The following paragraphs will be a reply to this article presenting evidence in agreement with </w:t>
      </w:r>
      <w:r w:rsidR="000F627C">
        <w:rPr>
          <w:rFonts w:ascii="Times New Roman" w:hAnsi="Times New Roman" w:cs="Times New Roman"/>
          <w:sz w:val="24"/>
        </w:rPr>
        <w:t>Hadrill’s arguments</w:t>
      </w:r>
      <w:r w:rsidR="009E3A3F">
        <w:rPr>
          <w:rFonts w:ascii="Times New Roman" w:hAnsi="Times New Roman" w:cs="Times New Roman"/>
          <w:sz w:val="24"/>
        </w:rPr>
        <w:t xml:space="preserve"> on Augustan coinage. </w:t>
      </w:r>
    </w:p>
    <w:p w14:paraId="692678DE" w14:textId="766C6D7B" w:rsidR="00C90320" w:rsidRDefault="00A1447B" w:rsidP="00B50B18">
      <w:pPr>
        <w:spacing w:line="360" w:lineRule="auto"/>
        <w:rPr>
          <w:rFonts w:ascii="Times New Roman" w:hAnsi="Times New Roman" w:cs="Times New Roman"/>
          <w:sz w:val="24"/>
        </w:rPr>
      </w:pPr>
      <w:r>
        <w:rPr>
          <w:rFonts w:ascii="Times New Roman" w:hAnsi="Times New Roman" w:cs="Times New Roman"/>
          <w:sz w:val="24"/>
        </w:rPr>
        <w:t xml:space="preserve">In the first section of the article, Andrew </w:t>
      </w:r>
      <w:r w:rsidR="00E97AFC">
        <w:rPr>
          <w:rFonts w:ascii="Times New Roman" w:hAnsi="Times New Roman" w:cs="Times New Roman"/>
          <w:sz w:val="24"/>
        </w:rPr>
        <w:t>Wallace Hadrill states how the emperors head is a symbol of the power of the state as well as its quality.</w:t>
      </w:r>
      <w:r w:rsidR="00541D27">
        <w:rPr>
          <w:rStyle w:val="FootnoteReference"/>
          <w:rFonts w:ascii="Times New Roman" w:hAnsi="Times New Roman" w:cs="Times New Roman"/>
          <w:sz w:val="24"/>
        </w:rPr>
        <w:footnoteReference w:id="23"/>
      </w:r>
      <w:r w:rsidR="00E97AFC">
        <w:rPr>
          <w:rFonts w:ascii="Times New Roman" w:hAnsi="Times New Roman" w:cs="Times New Roman"/>
          <w:sz w:val="24"/>
        </w:rPr>
        <w:t xml:space="preserve"> This is true </w:t>
      </w:r>
      <w:r w:rsidR="009E7D1C">
        <w:rPr>
          <w:rFonts w:ascii="Times New Roman" w:hAnsi="Times New Roman" w:cs="Times New Roman"/>
          <w:sz w:val="24"/>
        </w:rPr>
        <w:t>in terms of</w:t>
      </w:r>
      <w:r w:rsidR="00E97AFC">
        <w:rPr>
          <w:rFonts w:ascii="Times New Roman" w:hAnsi="Times New Roman" w:cs="Times New Roman"/>
          <w:sz w:val="24"/>
        </w:rPr>
        <w:t xml:space="preserve"> the portrait image of the individual</w:t>
      </w:r>
      <w:r w:rsidR="009E7D1C">
        <w:rPr>
          <w:rFonts w:ascii="Times New Roman" w:hAnsi="Times New Roman" w:cs="Times New Roman"/>
          <w:sz w:val="24"/>
        </w:rPr>
        <w:t xml:space="preserve"> emperor</w:t>
      </w:r>
      <w:r w:rsidR="00E97AFC">
        <w:rPr>
          <w:rFonts w:ascii="Times New Roman" w:hAnsi="Times New Roman" w:cs="Times New Roman"/>
          <w:sz w:val="24"/>
        </w:rPr>
        <w:t xml:space="preserve"> on the coin is seen as a representation in terms of the power of the state</w:t>
      </w:r>
      <w:r w:rsidR="009E7D1C">
        <w:rPr>
          <w:rFonts w:ascii="Times New Roman" w:hAnsi="Times New Roman" w:cs="Times New Roman"/>
          <w:sz w:val="24"/>
        </w:rPr>
        <w:t xml:space="preserve"> as well as their values</w:t>
      </w:r>
      <w:r w:rsidR="00E97AFC">
        <w:rPr>
          <w:rFonts w:ascii="Times New Roman" w:hAnsi="Times New Roman" w:cs="Times New Roman"/>
          <w:sz w:val="24"/>
        </w:rPr>
        <w:t>.</w:t>
      </w:r>
      <w:r w:rsidR="00541D27">
        <w:rPr>
          <w:rStyle w:val="FootnoteReference"/>
          <w:rFonts w:ascii="Times New Roman" w:hAnsi="Times New Roman" w:cs="Times New Roman"/>
          <w:sz w:val="24"/>
        </w:rPr>
        <w:footnoteReference w:id="24"/>
      </w:r>
      <w:r w:rsidR="003175ED">
        <w:rPr>
          <w:rFonts w:ascii="Times New Roman" w:hAnsi="Times New Roman" w:cs="Times New Roman"/>
          <w:sz w:val="24"/>
        </w:rPr>
        <w:t xml:space="preserve"> However, certain coins were not valued by the user depending on the emperor depicted on the coin in terms of their popularity.</w:t>
      </w:r>
      <w:r w:rsidR="00747306">
        <w:rPr>
          <w:rStyle w:val="FootnoteReference"/>
          <w:rFonts w:ascii="Times New Roman" w:hAnsi="Times New Roman" w:cs="Times New Roman"/>
          <w:sz w:val="24"/>
        </w:rPr>
        <w:footnoteReference w:id="25"/>
      </w:r>
      <w:r w:rsidR="00E97AFC">
        <w:rPr>
          <w:rFonts w:ascii="Times New Roman" w:hAnsi="Times New Roman" w:cs="Times New Roman"/>
          <w:sz w:val="24"/>
        </w:rPr>
        <w:t xml:space="preserve"> This can be </w:t>
      </w:r>
      <w:r w:rsidR="00E97AFC">
        <w:rPr>
          <w:rFonts w:ascii="Times New Roman" w:hAnsi="Times New Roman" w:cs="Times New Roman"/>
          <w:sz w:val="24"/>
        </w:rPr>
        <w:lastRenderedPageBreak/>
        <w:t>seen also in a quote from the Greek Philosopher Epictetus.</w:t>
      </w:r>
      <w:r w:rsidR="0039369E">
        <w:rPr>
          <w:rStyle w:val="FootnoteReference"/>
          <w:rFonts w:ascii="Times New Roman" w:hAnsi="Times New Roman" w:cs="Times New Roman"/>
          <w:sz w:val="24"/>
        </w:rPr>
        <w:footnoteReference w:id="26"/>
      </w:r>
      <w:r w:rsidR="00E97AFC">
        <w:rPr>
          <w:rFonts w:ascii="Times New Roman" w:hAnsi="Times New Roman" w:cs="Times New Roman"/>
          <w:sz w:val="24"/>
        </w:rPr>
        <w:t xml:space="preserve"> Th</w:t>
      </w:r>
      <w:r w:rsidR="003175ED">
        <w:rPr>
          <w:rFonts w:ascii="Times New Roman" w:hAnsi="Times New Roman" w:cs="Times New Roman"/>
          <w:sz w:val="24"/>
        </w:rPr>
        <w:t>ese two</w:t>
      </w:r>
      <w:r w:rsidR="00E97AFC">
        <w:rPr>
          <w:rFonts w:ascii="Times New Roman" w:hAnsi="Times New Roman" w:cs="Times New Roman"/>
          <w:sz w:val="24"/>
        </w:rPr>
        <w:t xml:space="preserve"> quote</w:t>
      </w:r>
      <w:r w:rsidR="003175ED">
        <w:rPr>
          <w:rFonts w:ascii="Times New Roman" w:hAnsi="Times New Roman" w:cs="Times New Roman"/>
          <w:sz w:val="24"/>
        </w:rPr>
        <w:t>s</w:t>
      </w:r>
      <w:r w:rsidR="00E97AFC">
        <w:rPr>
          <w:rFonts w:ascii="Times New Roman" w:hAnsi="Times New Roman" w:cs="Times New Roman"/>
          <w:sz w:val="24"/>
        </w:rPr>
        <w:t xml:space="preserve"> as follows debate the perceived value of coins depending on the portrayed emperor as stated in Hadrill’s introduction:</w:t>
      </w:r>
    </w:p>
    <w:p w14:paraId="7F24AD51" w14:textId="64C3F2A8" w:rsidR="00E97AFC" w:rsidRDefault="00E97AFC" w:rsidP="00B50B18">
      <w:pPr>
        <w:spacing w:line="360" w:lineRule="auto"/>
        <w:jc w:val="center"/>
        <w:rPr>
          <w:rFonts w:ascii="Times New Roman" w:hAnsi="Times New Roman" w:cs="Times New Roman"/>
          <w:sz w:val="24"/>
        </w:rPr>
      </w:pPr>
      <w:r>
        <w:rPr>
          <w:rFonts w:ascii="Times New Roman" w:hAnsi="Times New Roman" w:cs="Times New Roman"/>
          <w:sz w:val="24"/>
        </w:rPr>
        <w:t xml:space="preserve">Just as it is </w:t>
      </w:r>
      <w:r w:rsidR="003175ED">
        <w:rPr>
          <w:rFonts w:ascii="Times New Roman" w:hAnsi="Times New Roman" w:cs="Times New Roman"/>
          <w:sz w:val="24"/>
        </w:rPr>
        <w:t>not open to the banker or the greengrocer to reject the value of Caesar’s coin, but he is obliged, whether he likes it or not, when you offer it, to hand it over for what he has for sale in exchange for it, so it is with the soul. The good on its appearance instantly attracts to itself, the bad repels. The soul will never reject the worth of something with the manifest appearance of goodness, no more than one would reject Caesar’s coin.</w:t>
      </w:r>
      <w:r w:rsidR="0039369E">
        <w:rPr>
          <w:rStyle w:val="FootnoteReference"/>
          <w:rFonts w:ascii="Times New Roman" w:hAnsi="Times New Roman" w:cs="Times New Roman"/>
          <w:sz w:val="24"/>
        </w:rPr>
        <w:footnoteReference w:id="27"/>
      </w:r>
    </w:p>
    <w:p w14:paraId="49B497B1" w14:textId="75FADB10" w:rsidR="003175ED" w:rsidRDefault="003175ED" w:rsidP="00B50B18">
      <w:pPr>
        <w:spacing w:line="360" w:lineRule="auto"/>
        <w:rPr>
          <w:rFonts w:ascii="Times New Roman" w:hAnsi="Times New Roman" w:cs="Times New Roman"/>
          <w:sz w:val="24"/>
        </w:rPr>
      </w:pPr>
      <w:r>
        <w:rPr>
          <w:rFonts w:ascii="Times New Roman" w:hAnsi="Times New Roman" w:cs="Times New Roman"/>
          <w:sz w:val="24"/>
        </w:rPr>
        <w:t xml:space="preserve">The quote </w:t>
      </w:r>
      <w:r w:rsidR="00871E4B">
        <w:rPr>
          <w:rFonts w:ascii="Times New Roman" w:hAnsi="Times New Roman" w:cs="Times New Roman"/>
          <w:sz w:val="24"/>
        </w:rPr>
        <w:t xml:space="preserve">on the </w:t>
      </w:r>
      <w:r w:rsidR="009E7D1C">
        <w:rPr>
          <w:rFonts w:ascii="Times New Roman" w:hAnsi="Times New Roman" w:cs="Times New Roman"/>
          <w:sz w:val="24"/>
        </w:rPr>
        <w:t xml:space="preserve">positive and </w:t>
      </w:r>
      <w:r w:rsidR="00871E4B">
        <w:rPr>
          <w:rFonts w:ascii="Times New Roman" w:hAnsi="Times New Roman" w:cs="Times New Roman"/>
          <w:sz w:val="24"/>
        </w:rPr>
        <w:t xml:space="preserve">negative portraiture on coins </w:t>
      </w:r>
      <w:r w:rsidR="009E7D1C">
        <w:rPr>
          <w:rFonts w:ascii="Times New Roman" w:hAnsi="Times New Roman" w:cs="Times New Roman"/>
          <w:sz w:val="24"/>
        </w:rPr>
        <w:t>from Epictetus continues below:</w:t>
      </w:r>
    </w:p>
    <w:p w14:paraId="33B2DDB7" w14:textId="284A168C" w:rsidR="009E7D1C" w:rsidRDefault="009E7D1C" w:rsidP="00B50B18">
      <w:pPr>
        <w:spacing w:before="100" w:beforeAutospacing="1" w:line="240" w:lineRule="auto"/>
        <w:ind w:left="1474" w:right="1474"/>
        <w:jc w:val="both"/>
        <w:rPr>
          <w:rFonts w:ascii="Times New Roman" w:hAnsi="Times New Roman" w:cs="Times New Roman"/>
          <w:sz w:val="24"/>
        </w:rPr>
      </w:pPr>
      <w:r>
        <w:rPr>
          <w:rFonts w:ascii="Times New Roman" w:hAnsi="Times New Roman" w:cs="Times New Roman"/>
          <w:sz w:val="24"/>
        </w:rPr>
        <w:t xml:space="preserve">Human qualities, the stamp with which a man comes imprinted on his disposition, like the stamps we look for on coins too: if we find them, we accept their value, if we don’t, we chuck them out. ‘Whose stamp does this Sesterce bear? Trajan’s? Take it. Nero’s? </w:t>
      </w:r>
      <w:proofErr w:type="gramStart"/>
      <w:r>
        <w:rPr>
          <w:rFonts w:ascii="Times New Roman" w:hAnsi="Times New Roman" w:cs="Times New Roman"/>
          <w:sz w:val="24"/>
        </w:rPr>
        <w:t>Chuck</w:t>
      </w:r>
      <w:proofErr w:type="gramEnd"/>
      <w:r>
        <w:rPr>
          <w:rFonts w:ascii="Times New Roman" w:hAnsi="Times New Roman" w:cs="Times New Roman"/>
          <w:sz w:val="24"/>
        </w:rPr>
        <w:t xml:space="preserve"> it out.’ The process is just the same. ‘What stamp do his judgements bear? Is he kind, Sociable? Accept him. Just make sure he hasn’t the stamp of a Nero.</w:t>
      </w:r>
      <w:r w:rsidR="0039369E">
        <w:rPr>
          <w:rStyle w:val="FootnoteReference"/>
          <w:rFonts w:ascii="Times New Roman" w:hAnsi="Times New Roman" w:cs="Times New Roman"/>
          <w:sz w:val="24"/>
        </w:rPr>
        <w:footnoteReference w:id="28"/>
      </w:r>
      <w:r>
        <w:rPr>
          <w:rFonts w:ascii="Times New Roman" w:hAnsi="Times New Roman" w:cs="Times New Roman"/>
          <w:sz w:val="24"/>
        </w:rPr>
        <w:t xml:space="preserve"> </w:t>
      </w:r>
    </w:p>
    <w:p w14:paraId="0F58E1FA" w14:textId="07711DA4" w:rsidR="009E7D1C" w:rsidRDefault="009E7D1C" w:rsidP="00B50B18">
      <w:pPr>
        <w:spacing w:line="360" w:lineRule="auto"/>
        <w:rPr>
          <w:rFonts w:ascii="Times New Roman" w:hAnsi="Times New Roman" w:cs="Times New Roman"/>
          <w:sz w:val="24"/>
        </w:rPr>
      </w:pPr>
      <w:r>
        <w:rPr>
          <w:rFonts w:ascii="Times New Roman" w:hAnsi="Times New Roman" w:cs="Times New Roman"/>
          <w:sz w:val="24"/>
        </w:rPr>
        <w:t xml:space="preserve">This shows that as well as the emperors image being an image of authority, it could also be rejected if that emperor was unpopular. </w:t>
      </w:r>
    </w:p>
    <w:p w14:paraId="43DDF0C8" w14:textId="0690939A" w:rsidR="009E7D1C" w:rsidRDefault="00516D37" w:rsidP="00B50B18">
      <w:pPr>
        <w:spacing w:line="360" w:lineRule="auto"/>
        <w:rPr>
          <w:rFonts w:ascii="Times New Roman" w:hAnsi="Times New Roman" w:cs="Times New Roman"/>
          <w:sz w:val="24"/>
        </w:rPr>
      </w:pPr>
      <w:r>
        <w:rPr>
          <w:rFonts w:ascii="Times New Roman" w:hAnsi="Times New Roman" w:cs="Times New Roman"/>
          <w:sz w:val="24"/>
        </w:rPr>
        <w:t xml:space="preserve">Hadrill also states how the emperors head on the coin was worshipped by his subjects </w:t>
      </w:r>
      <w:r w:rsidR="00EF2E5D">
        <w:rPr>
          <w:rFonts w:ascii="Times New Roman" w:hAnsi="Times New Roman" w:cs="Times New Roman"/>
          <w:sz w:val="24"/>
        </w:rPr>
        <w:t>and sets a model for the user and the emperors shared values and virtues.</w:t>
      </w:r>
      <w:r w:rsidR="0039369E">
        <w:rPr>
          <w:rStyle w:val="FootnoteReference"/>
          <w:rFonts w:ascii="Times New Roman" w:hAnsi="Times New Roman" w:cs="Times New Roman"/>
          <w:sz w:val="24"/>
        </w:rPr>
        <w:footnoteReference w:id="29"/>
      </w:r>
      <w:r w:rsidR="00EF2E5D">
        <w:rPr>
          <w:rFonts w:ascii="Times New Roman" w:hAnsi="Times New Roman" w:cs="Times New Roman"/>
          <w:sz w:val="24"/>
        </w:rPr>
        <w:t xml:space="preserve"> The worship of the em</w:t>
      </w:r>
      <w:r w:rsidR="00671C3D">
        <w:rPr>
          <w:rFonts w:ascii="Times New Roman" w:hAnsi="Times New Roman" w:cs="Times New Roman"/>
          <w:sz w:val="24"/>
        </w:rPr>
        <w:t xml:space="preserve">peror is an accurate statement as this can be seen in the assignment of divine images on coins. For </w:t>
      </w:r>
      <w:r w:rsidR="00850542">
        <w:rPr>
          <w:rFonts w:ascii="Times New Roman" w:hAnsi="Times New Roman" w:cs="Times New Roman"/>
          <w:sz w:val="24"/>
        </w:rPr>
        <w:t>example,</w:t>
      </w:r>
      <w:r w:rsidR="00671C3D">
        <w:rPr>
          <w:rFonts w:ascii="Times New Roman" w:hAnsi="Times New Roman" w:cs="Times New Roman"/>
          <w:sz w:val="24"/>
        </w:rPr>
        <w:t xml:space="preserve"> the laurel is attributed to Apollo</w:t>
      </w:r>
      <w:r w:rsidR="003946C4">
        <w:rPr>
          <w:rFonts w:ascii="Times New Roman" w:hAnsi="Times New Roman" w:cs="Times New Roman"/>
          <w:sz w:val="24"/>
        </w:rPr>
        <w:t xml:space="preserve"> which</w:t>
      </w:r>
      <w:r w:rsidR="00671C3D">
        <w:rPr>
          <w:rFonts w:ascii="Times New Roman" w:hAnsi="Times New Roman" w:cs="Times New Roman"/>
          <w:sz w:val="24"/>
        </w:rPr>
        <w:t xml:space="preserve"> can be seen on a Denarius depicting Augustus minted in</w:t>
      </w:r>
      <w:r w:rsidR="0095566B">
        <w:rPr>
          <w:rFonts w:ascii="Times New Roman" w:hAnsi="Times New Roman" w:cs="Times New Roman"/>
          <w:sz w:val="24"/>
        </w:rPr>
        <w:t xml:space="preserve"> between the years twenty-five and</w:t>
      </w:r>
      <w:r w:rsidR="00671C3D">
        <w:rPr>
          <w:rFonts w:ascii="Times New Roman" w:hAnsi="Times New Roman" w:cs="Times New Roman"/>
          <w:sz w:val="24"/>
        </w:rPr>
        <w:t xml:space="preserve"> </w:t>
      </w:r>
      <w:r w:rsidR="00DF1993">
        <w:rPr>
          <w:rFonts w:ascii="Times New Roman" w:hAnsi="Times New Roman" w:cs="Times New Roman"/>
          <w:sz w:val="24"/>
        </w:rPr>
        <w:t>seventeen</w:t>
      </w:r>
      <w:r w:rsidR="00671C3D">
        <w:rPr>
          <w:rFonts w:ascii="Times New Roman" w:hAnsi="Times New Roman" w:cs="Times New Roman"/>
          <w:sz w:val="24"/>
        </w:rPr>
        <w:t xml:space="preserve"> BC.</w:t>
      </w:r>
      <w:r w:rsidR="003946C4">
        <w:rPr>
          <w:rStyle w:val="FootnoteReference"/>
          <w:rFonts w:ascii="Times New Roman" w:hAnsi="Times New Roman" w:cs="Times New Roman"/>
          <w:sz w:val="24"/>
        </w:rPr>
        <w:footnoteReference w:id="30"/>
      </w:r>
      <w:r w:rsidR="00671C3D">
        <w:rPr>
          <w:rFonts w:ascii="Times New Roman" w:hAnsi="Times New Roman" w:cs="Times New Roman"/>
          <w:sz w:val="24"/>
        </w:rPr>
        <w:t xml:space="preserve"> </w:t>
      </w:r>
      <w:r w:rsidR="008551E6">
        <w:rPr>
          <w:rFonts w:ascii="Times New Roman" w:hAnsi="Times New Roman" w:cs="Times New Roman"/>
          <w:sz w:val="24"/>
        </w:rPr>
        <w:t xml:space="preserve">The specific examples of the </w:t>
      </w:r>
      <w:r w:rsidR="00850542">
        <w:rPr>
          <w:rFonts w:ascii="Times New Roman" w:hAnsi="Times New Roman" w:cs="Times New Roman"/>
          <w:sz w:val="24"/>
        </w:rPr>
        <w:t>emperor’s</w:t>
      </w:r>
      <w:r w:rsidR="008551E6">
        <w:rPr>
          <w:rFonts w:ascii="Times New Roman" w:hAnsi="Times New Roman" w:cs="Times New Roman"/>
          <w:sz w:val="24"/>
        </w:rPr>
        <w:t xml:space="preserve"> virtues can be seen in the coins of Nerva.</w:t>
      </w:r>
      <w:r w:rsidR="0095566B">
        <w:rPr>
          <w:rStyle w:val="FootnoteReference"/>
          <w:rFonts w:ascii="Times New Roman" w:hAnsi="Times New Roman" w:cs="Times New Roman"/>
          <w:sz w:val="24"/>
        </w:rPr>
        <w:footnoteReference w:id="31"/>
      </w:r>
      <w:r w:rsidR="008551E6">
        <w:rPr>
          <w:rFonts w:ascii="Times New Roman" w:hAnsi="Times New Roman" w:cs="Times New Roman"/>
          <w:sz w:val="24"/>
        </w:rPr>
        <w:t xml:space="preserve"> This </w:t>
      </w:r>
      <w:r w:rsidR="00850542">
        <w:rPr>
          <w:rFonts w:ascii="Times New Roman" w:hAnsi="Times New Roman" w:cs="Times New Roman"/>
          <w:sz w:val="24"/>
        </w:rPr>
        <w:t>refers to the stated cash handouts to the people as well as the corn dole for the urban plebs.</w:t>
      </w:r>
      <w:r w:rsidR="0095566B">
        <w:rPr>
          <w:rStyle w:val="FootnoteReference"/>
          <w:rFonts w:ascii="Times New Roman" w:hAnsi="Times New Roman" w:cs="Times New Roman"/>
          <w:sz w:val="24"/>
        </w:rPr>
        <w:footnoteReference w:id="32"/>
      </w:r>
      <w:r w:rsidR="00850542">
        <w:rPr>
          <w:rFonts w:ascii="Times New Roman" w:hAnsi="Times New Roman" w:cs="Times New Roman"/>
          <w:sz w:val="24"/>
        </w:rPr>
        <w:t xml:space="preserve"> This also includes the Alimenta which was an orphanage scheme for Italy as well as the ending of abuses that had occurred with the Jewish tax.</w:t>
      </w:r>
      <w:r w:rsidR="0095566B">
        <w:rPr>
          <w:rStyle w:val="FootnoteReference"/>
          <w:rFonts w:ascii="Times New Roman" w:hAnsi="Times New Roman" w:cs="Times New Roman"/>
          <w:sz w:val="24"/>
        </w:rPr>
        <w:footnoteReference w:id="33"/>
      </w:r>
      <w:r w:rsidR="00850542">
        <w:rPr>
          <w:rFonts w:ascii="Times New Roman" w:hAnsi="Times New Roman" w:cs="Times New Roman"/>
          <w:sz w:val="24"/>
        </w:rPr>
        <w:t xml:space="preserve"> Overall, this first section of</w:t>
      </w:r>
      <w:r w:rsidR="00AE1C41">
        <w:rPr>
          <w:rFonts w:ascii="Times New Roman" w:hAnsi="Times New Roman" w:cs="Times New Roman"/>
          <w:sz w:val="24"/>
        </w:rPr>
        <w:t xml:space="preserve"> </w:t>
      </w:r>
      <w:r w:rsidR="00850542">
        <w:rPr>
          <w:rFonts w:ascii="Times New Roman" w:hAnsi="Times New Roman" w:cs="Times New Roman"/>
          <w:sz w:val="24"/>
        </w:rPr>
        <w:t xml:space="preserve">Hadrill’s article </w:t>
      </w:r>
      <w:r w:rsidR="00850542">
        <w:rPr>
          <w:rFonts w:ascii="Times New Roman" w:hAnsi="Times New Roman" w:cs="Times New Roman"/>
          <w:sz w:val="24"/>
        </w:rPr>
        <w:lastRenderedPageBreak/>
        <w:t>on function of the image on Roman coins from the time of Augustus and onward is accurate in its descriptions of emperor worship and portrayal of state power</w:t>
      </w:r>
      <w:r w:rsidR="008D1060">
        <w:rPr>
          <w:rFonts w:ascii="Times New Roman" w:hAnsi="Times New Roman" w:cs="Times New Roman"/>
          <w:sz w:val="24"/>
        </w:rPr>
        <w:t xml:space="preserve"> and virtue. </w:t>
      </w:r>
    </w:p>
    <w:p w14:paraId="67712F48" w14:textId="386BA31E" w:rsidR="00F973E1" w:rsidRDefault="00850542" w:rsidP="00B50B18">
      <w:pPr>
        <w:spacing w:line="360" w:lineRule="auto"/>
        <w:rPr>
          <w:rFonts w:ascii="Times New Roman" w:hAnsi="Times New Roman" w:cs="Times New Roman"/>
          <w:sz w:val="24"/>
        </w:rPr>
      </w:pPr>
      <w:r>
        <w:rPr>
          <w:rFonts w:ascii="Times New Roman" w:hAnsi="Times New Roman" w:cs="Times New Roman"/>
          <w:sz w:val="24"/>
        </w:rPr>
        <w:t xml:space="preserve">The second section </w:t>
      </w:r>
      <w:r w:rsidR="009941B7">
        <w:rPr>
          <w:rFonts w:ascii="Times New Roman" w:hAnsi="Times New Roman" w:cs="Times New Roman"/>
          <w:sz w:val="24"/>
        </w:rPr>
        <w:t xml:space="preserve">concerns the </w:t>
      </w:r>
      <w:r w:rsidR="00415714">
        <w:rPr>
          <w:rFonts w:ascii="Times New Roman" w:hAnsi="Times New Roman" w:cs="Times New Roman"/>
          <w:sz w:val="24"/>
        </w:rPr>
        <w:t>symbols of authority and respect that come with the head of the emperor.</w:t>
      </w:r>
      <w:r w:rsidR="0095566B">
        <w:rPr>
          <w:rStyle w:val="FootnoteReference"/>
          <w:rFonts w:ascii="Times New Roman" w:hAnsi="Times New Roman" w:cs="Times New Roman"/>
          <w:sz w:val="24"/>
        </w:rPr>
        <w:footnoteReference w:id="34"/>
      </w:r>
      <w:r w:rsidR="00415714">
        <w:rPr>
          <w:rFonts w:ascii="Times New Roman" w:hAnsi="Times New Roman" w:cs="Times New Roman"/>
          <w:sz w:val="24"/>
        </w:rPr>
        <w:t xml:space="preserve"> </w:t>
      </w:r>
      <w:r w:rsidR="007644CF">
        <w:rPr>
          <w:rFonts w:ascii="Times New Roman" w:hAnsi="Times New Roman" w:cs="Times New Roman"/>
          <w:sz w:val="24"/>
        </w:rPr>
        <w:t xml:space="preserve">His first point concerns the change that occurred with </w:t>
      </w:r>
      <w:r w:rsidR="008D1060">
        <w:rPr>
          <w:rFonts w:ascii="Times New Roman" w:hAnsi="Times New Roman" w:cs="Times New Roman"/>
          <w:sz w:val="24"/>
        </w:rPr>
        <w:t xml:space="preserve">the design of </w:t>
      </w:r>
      <w:r w:rsidR="007644CF">
        <w:rPr>
          <w:rFonts w:ascii="Times New Roman" w:hAnsi="Times New Roman" w:cs="Times New Roman"/>
          <w:sz w:val="24"/>
        </w:rPr>
        <w:t>Roman coins after Octavians victory at the battle of Actium.</w:t>
      </w:r>
      <w:r w:rsidR="0095566B">
        <w:rPr>
          <w:rStyle w:val="FootnoteReference"/>
          <w:rFonts w:ascii="Times New Roman" w:hAnsi="Times New Roman" w:cs="Times New Roman"/>
          <w:sz w:val="24"/>
        </w:rPr>
        <w:footnoteReference w:id="35"/>
      </w:r>
      <w:r w:rsidR="007644CF">
        <w:rPr>
          <w:rFonts w:ascii="Times New Roman" w:hAnsi="Times New Roman" w:cs="Times New Roman"/>
          <w:sz w:val="24"/>
        </w:rPr>
        <w:t xml:space="preserve"> </w:t>
      </w:r>
      <w:r w:rsidR="00797318">
        <w:rPr>
          <w:rFonts w:ascii="Times New Roman" w:hAnsi="Times New Roman" w:cs="Times New Roman"/>
          <w:sz w:val="24"/>
        </w:rPr>
        <w:t xml:space="preserve">His example </w:t>
      </w:r>
      <w:r w:rsidR="00F5610A">
        <w:rPr>
          <w:rFonts w:ascii="Times New Roman" w:hAnsi="Times New Roman" w:cs="Times New Roman"/>
          <w:sz w:val="24"/>
        </w:rPr>
        <w:t xml:space="preserve">gives this statement its validity due to an example seen in a coin minted in the time period of </w:t>
      </w:r>
      <w:r w:rsidR="00DF1993">
        <w:rPr>
          <w:rFonts w:ascii="Times New Roman" w:hAnsi="Times New Roman" w:cs="Times New Roman"/>
          <w:sz w:val="24"/>
        </w:rPr>
        <w:t>forty-three</w:t>
      </w:r>
      <w:r w:rsidR="00F5610A">
        <w:rPr>
          <w:rFonts w:ascii="Times New Roman" w:hAnsi="Times New Roman" w:cs="Times New Roman"/>
          <w:sz w:val="24"/>
        </w:rPr>
        <w:t xml:space="preserve"> to </w:t>
      </w:r>
      <w:r w:rsidR="005F5254">
        <w:rPr>
          <w:rFonts w:ascii="Times New Roman" w:hAnsi="Times New Roman" w:cs="Times New Roman"/>
          <w:sz w:val="24"/>
        </w:rPr>
        <w:t>forty-two</w:t>
      </w:r>
      <w:r w:rsidR="00F5610A">
        <w:rPr>
          <w:rFonts w:ascii="Times New Roman" w:hAnsi="Times New Roman" w:cs="Times New Roman"/>
          <w:sz w:val="24"/>
        </w:rPr>
        <w:t xml:space="preserve"> BC.</w:t>
      </w:r>
      <w:r w:rsidR="0095566B">
        <w:rPr>
          <w:rStyle w:val="FootnoteReference"/>
          <w:rFonts w:ascii="Times New Roman" w:hAnsi="Times New Roman" w:cs="Times New Roman"/>
          <w:sz w:val="24"/>
        </w:rPr>
        <w:footnoteReference w:id="36"/>
      </w:r>
      <w:r w:rsidR="00F5610A">
        <w:rPr>
          <w:rFonts w:ascii="Times New Roman" w:hAnsi="Times New Roman" w:cs="Times New Roman"/>
          <w:sz w:val="24"/>
        </w:rPr>
        <w:t xml:space="preserve"> </w:t>
      </w:r>
      <w:r w:rsidR="00C87C37">
        <w:rPr>
          <w:rFonts w:ascii="Times New Roman" w:hAnsi="Times New Roman" w:cs="Times New Roman"/>
          <w:sz w:val="24"/>
        </w:rPr>
        <w:t>It was actually minted in between the years thirty-one to twenty nine BC.</w:t>
      </w:r>
      <w:r w:rsidR="00C87C37">
        <w:rPr>
          <w:rStyle w:val="FootnoteReference"/>
          <w:rFonts w:ascii="Times New Roman" w:hAnsi="Times New Roman" w:cs="Times New Roman"/>
          <w:sz w:val="24"/>
        </w:rPr>
        <w:footnoteReference w:id="37"/>
      </w:r>
      <w:r w:rsidR="00C87C37">
        <w:rPr>
          <w:rFonts w:ascii="Times New Roman" w:hAnsi="Times New Roman" w:cs="Times New Roman"/>
          <w:sz w:val="24"/>
        </w:rPr>
        <w:t xml:space="preserve"> </w:t>
      </w:r>
      <w:r w:rsidR="00F5610A">
        <w:rPr>
          <w:rFonts w:ascii="Times New Roman" w:hAnsi="Times New Roman" w:cs="Times New Roman"/>
          <w:sz w:val="24"/>
        </w:rPr>
        <w:t xml:space="preserve">Hadrill states that it shows Octavians portrait on the obverse of the </w:t>
      </w:r>
      <w:r w:rsidR="00241015">
        <w:rPr>
          <w:rFonts w:ascii="Times New Roman" w:hAnsi="Times New Roman" w:cs="Times New Roman"/>
          <w:sz w:val="24"/>
        </w:rPr>
        <w:t>coin,</w:t>
      </w:r>
      <w:r w:rsidR="008D1060">
        <w:rPr>
          <w:rFonts w:ascii="Times New Roman" w:hAnsi="Times New Roman" w:cs="Times New Roman"/>
          <w:sz w:val="24"/>
        </w:rPr>
        <w:t xml:space="preserve"> but the reverse shows his image portrayed in the style of an Equestrian figure.</w:t>
      </w:r>
      <w:r w:rsidR="00C87C37">
        <w:rPr>
          <w:rStyle w:val="FootnoteReference"/>
          <w:rFonts w:ascii="Times New Roman" w:hAnsi="Times New Roman" w:cs="Times New Roman"/>
          <w:sz w:val="24"/>
        </w:rPr>
        <w:footnoteReference w:id="38"/>
      </w:r>
      <w:r w:rsidR="008D1060">
        <w:rPr>
          <w:rFonts w:ascii="Times New Roman" w:hAnsi="Times New Roman" w:cs="Times New Roman"/>
          <w:sz w:val="24"/>
        </w:rPr>
        <w:t xml:space="preserve"> </w:t>
      </w:r>
      <w:r w:rsidR="00241015">
        <w:rPr>
          <w:rFonts w:ascii="Times New Roman" w:hAnsi="Times New Roman" w:cs="Times New Roman"/>
          <w:sz w:val="24"/>
        </w:rPr>
        <w:t>Another statement in this section of the article is how this is the first time that a living man is represented on both the obverse and reverse sides of the coin.</w:t>
      </w:r>
      <w:r w:rsidR="00C87C37">
        <w:rPr>
          <w:rStyle w:val="FootnoteReference"/>
          <w:rFonts w:ascii="Times New Roman" w:hAnsi="Times New Roman" w:cs="Times New Roman"/>
          <w:sz w:val="24"/>
        </w:rPr>
        <w:footnoteReference w:id="39"/>
      </w:r>
      <w:r w:rsidR="00241015">
        <w:rPr>
          <w:rFonts w:ascii="Times New Roman" w:hAnsi="Times New Roman" w:cs="Times New Roman"/>
          <w:sz w:val="24"/>
        </w:rPr>
        <w:t xml:space="preserve"> </w:t>
      </w:r>
      <w:r w:rsidR="000C2597">
        <w:rPr>
          <w:rFonts w:ascii="Times New Roman" w:hAnsi="Times New Roman" w:cs="Times New Roman"/>
          <w:sz w:val="24"/>
        </w:rPr>
        <w:t>This is true as can be seen in the evolution of coins from the first century BC to the later imperial era as the reverse of republican denarii or sesterce would often portray agricultural, noble or military symbols.</w:t>
      </w:r>
      <w:r w:rsidR="00C87C37">
        <w:rPr>
          <w:rStyle w:val="FootnoteReference"/>
          <w:rFonts w:ascii="Times New Roman" w:hAnsi="Times New Roman" w:cs="Times New Roman"/>
          <w:sz w:val="24"/>
        </w:rPr>
        <w:footnoteReference w:id="40"/>
      </w:r>
      <w:r w:rsidR="000C2597">
        <w:rPr>
          <w:rFonts w:ascii="Times New Roman" w:hAnsi="Times New Roman" w:cs="Times New Roman"/>
          <w:sz w:val="24"/>
        </w:rPr>
        <w:t xml:space="preserve"> </w:t>
      </w:r>
      <w:r w:rsidR="00AE1C41">
        <w:rPr>
          <w:rFonts w:ascii="Times New Roman" w:hAnsi="Times New Roman" w:cs="Times New Roman"/>
          <w:sz w:val="24"/>
        </w:rPr>
        <w:t xml:space="preserve">However, </w:t>
      </w:r>
      <w:r w:rsidR="000C2597">
        <w:rPr>
          <w:rFonts w:ascii="Times New Roman" w:hAnsi="Times New Roman" w:cs="Times New Roman"/>
          <w:sz w:val="24"/>
        </w:rPr>
        <w:t>Imperial coins after the time of Augustus would often portray the emperor on both sides of the coin symbolising the power of the state as mentioned in the first section of this analytical reply to</w:t>
      </w:r>
      <w:r w:rsidR="00AE1C41">
        <w:rPr>
          <w:rFonts w:ascii="Times New Roman" w:hAnsi="Times New Roman" w:cs="Times New Roman"/>
          <w:sz w:val="24"/>
        </w:rPr>
        <w:t xml:space="preserve"> </w:t>
      </w:r>
      <w:r w:rsidR="000C2597">
        <w:rPr>
          <w:rFonts w:ascii="Times New Roman" w:hAnsi="Times New Roman" w:cs="Times New Roman"/>
          <w:sz w:val="24"/>
        </w:rPr>
        <w:t xml:space="preserve">Hadrill’s article. </w:t>
      </w:r>
    </w:p>
    <w:p w14:paraId="4A0E9166" w14:textId="0DC3EDD9" w:rsidR="00850542" w:rsidRDefault="008F635B" w:rsidP="00B50B18">
      <w:pPr>
        <w:spacing w:line="360" w:lineRule="auto"/>
        <w:rPr>
          <w:rFonts w:ascii="Times New Roman" w:hAnsi="Times New Roman" w:cs="Times New Roman"/>
          <w:sz w:val="24"/>
        </w:rPr>
      </w:pPr>
      <w:r>
        <w:rPr>
          <w:rFonts w:ascii="Times New Roman" w:hAnsi="Times New Roman" w:cs="Times New Roman"/>
          <w:sz w:val="24"/>
        </w:rPr>
        <w:t>A</w:t>
      </w:r>
      <w:r w:rsidR="00FA200D">
        <w:rPr>
          <w:rFonts w:ascii="Times New Roman" w:hAnsi="Times New Roman" w:cs="Times New Roman"/>
          <w:sz w:val="24"/>
        </w:rPr>
        <w:t xml:space="preserve">nother important part of this section concerns the three different methods of portraying the emperor on the coinage of the era. </w:t>
      </w:r>
      <w:r w:rsidR="00D20EBA">
        <w:rPr>
          <w:rFonts w:ascii="Times New Roman" w:hAnsi="Times New Roman" w:cs="Times New Roman"/>
          <w:sz w:val="24"/>
        </w:rPr>
        <w:t xml:space="preserve">The first method is the badge for which he uses the example of the </w:t>
      </w:r>
      <w:r w:rsidR="00F973E1">
        <w:rPr>
          <w:rFonts w:ascii="Times New Roman" w:hAnsi="Times New Roman" w:cs="Times New Roman"/>
          <w:sz w:val="24"/>
        </w:rPr>
        <w:t>Cistophori, this was a coin used in Pergam</w:t>
      </w:r>
      <w:r w:rsidR="00B47620">
        <w:rPr>
          <w:rFonts w:ascii="Times New Roman" w:hAnsi="Times New Roman" w:cs="Times New Roman"/>
          <w:sz w:val="24"/>
        </w:rPr>
        <w:t>um</w:t>
      </w:r>
      <w:r w:rsidR="00F973E1">
        <w:rPr>
          <w:rFonts w:ascii="Times New Roman" w:hAnsi="Times New Roman" w:cs="Times New Roman"/>
          <w:sz w:val="24"/>
        </w:rPr>
        <w:t xml:space="preserve"> still in circulation under Rome.</w:t>
      </w:r>
      <w:r w:rsidR="00C87C37">
        <w:rPr>
          <w:rStyle w:val="FootnoteReference"/>
          <w:rFonts w:ascii="Times New Roman" w:hAnsi="Times New Roman" w:cs="Times New Roman"/>
          <w:sz w:val="24"/>
        </w:rPr>
        <w:footnoteReference w:id="41"/>
      </w:r>
      <w:r w:rsidR="00F973E1">
        <w:rPr>
          <w:rFonts w:ascii="Times New Roman" w:hAnsi="Times New Roman" w:cs="Times New Roman"/>
          <w:sz w:val="24"/>
        </w:rPr>
        <w:t xml:space="preserve"> </w:t>
      </w:r>
      <w:r w:rsidR="00B47620">
        <w:rPr>
          <w:rFonts w:ascii="Times New Roman" w:hAnsi="Times New Roman" w:cs="Times New Roman"/>
          <w:sz w:val="24"/>
        </w:rPr>
        <w:t xml:space="preserve">Hadrill’s statement on how the Sphinx disappears from use on the </w:t>
      </w:r>
      <w:r w:rsidR="007A2CB3">
        <w:rPr>
          <w:rFonts w:ascii="Times New Roman" w:hAnsi="Times New Roman" w:cs="Times New Roman"/>
          <w:sz w:val="24"/>
        </w:rPr>
        <w:t xml:space="preserve">coin </w:t>
      </w:r>
      <w:r w:rsidR="00B47620">
        <w:rPr>
          <w:rFonts w:ascii="Times New Roman" w:hAnsi="Times New Roman" w:cs="Times New Roman"/>
          <w:sz w:val="24"/>
        </w:rPr>
        <w:t>around the time of Augustus</w:t>
      </w:r>
      <w:r w:rsidR="007A2CB3">
        <w:rPr>
          <w:rFonts w:ascii="Times New Roman" w:hAnsi="Times New Roman" w:cs="Times New Roman"/>
          <w:sz w:val="24"/>
        </w:rPr>
        <w:t xml:space="preserve"> is an</w:t>
      </w:r>
      <w:r w:rsidR="00B47620">
        <w:rPr>
          <w:rFonts w:ascii="Times New Roman" w:hAnsi="Times New Roman" w:cs="Times New Roman"/>
          <w:sz w:val="24"/>
        </w:rPr>
        <w:t xml:space="preserve"> </w:t>
      </w:r>
      <w:r w:rsidR="007A2CB3">
        <w:rPr>
          <w:rFonts w:ascii="Times New Roman" w:hAnsi="Times New Roman" w:cs="Times New Roman"/>
          <w:sz w:val="24"/>
        </w:rPr>
        <w:t>inaccurate claim.</w:t>
      </w:r>
      <w:r w:rsidR="001D2032">
        <w:rPr>
          <w:rStyle w:val="FootnoteReference"/>
          <w:rFonts w:ascii="Times New Roman" w:hAnsi="Times New Roman" w:cs="Times New Roman"/>
          <w:sz w:val="24"/>
        </w:rPr>
        <w:footnoteReference w:id="42"/>
      </w:r>
      <w:r w:rsidR="007A2CB3">
        <w:rPr>
          <w:rFonts w:ascii="Times New Roman" w:hAnsi="Times New Roman" w:cs="Times New Roman"/>
          <w:sz w:val="24"/>
        </w:rPr>
        <w:t xml:space="preserve"> This is due to the fact that </w:t>
      </w:r>
      <w:r w:rsidR="001D2032">
        <w:rPr>
          <w:rFonts w:ascii="Times New Roman" w:hAnsi="Times New Roman" w:cs="Times New Roman"/>
          <w:sz w:val="24"/>
        </w:rPr>
        <w:t>examples</w:t>
      </w:r>
      <w:r w:rsidR="007A2CB3">
        <w:rPr>
          <w:rFonts w:ascii="Times New Roman" w:hAnsi="Times New Roman" w:cs="Times New Roman"/>
          <w:sz w:val="24"/>
        </w:rPr>
        <w:t xml:space="preserve"> from </w:t>
      </w:r>
      <w:r w:rsidR="00DF1993">
        <w:rPr>
          <w:rFonts w:ascii="Times New Roman" w:hAnsi="Times New Roman" w:cs="Times New Roman"/>
          <w:sz w:val="24"/>
        </w:rPr>
        <w:t>after twenty-seven BC actually display coins minted with not only the portrait of Augustus on the obverse but also Augustus in the image of a Sphinx on the reverse side of the Cistophori.</w:t>
      </w:r>
      <w:r w:rsidR="001D2032">
        <w:rPr>
          <w:rStyle w:val="FootnoteReference"/>
          <w:rFonts w:ascii="Times New Roman" w:hAnsi="Times New Roman" w:cs="Times New Roman"/>
          <w:sz w:val="24"/>
        </w:rPr>
        <w:footnoteReference w:id="43"/>
      </w:r>
      <w:r w:rsidR="00DF1993">
        <w:rPr>
          <w:rFonts w:ascii="Times New Roman" w:hAnsi="Times New Roman" w:cs="Times New Roman"/>
          <w:sz w:val="24"/>
        </w:rPr>
        <w:t xml:space="preserve"> However, he is accurate in the Capricorn seal remaining a design on the coins in circulation throughout the rest of the reign of Augustus.</w:t>
      </w:r>
      <w:r w:rsidR="001D2032">
        <w:rPr>
          <w:rStyle w:val="FootnoteReference"/>
          <w:rFonts w:ascii="Times New Roman" w:hAnsi="Times New Roman" w:cs="Times New Roman"/>
          <w:sz w:val="24"/>
        </w:rPr>
        <w:footnoteReference w:id="44"/>
      </w:r>
      <w:r w:rsidR="00DF1993">
        <w:rPr>
          <w:rFonts w:ascii="Times New Roman" w:hAnsi="Times New Roman" w:cs="Times New Roman"/>
          <w:sz w:val="24"/>
        </w:rPr>
        <w:t xml:space="preserve"> The second method of portraying the emperor as stated by Hadrill is the honours.</w:t>
      </w:r>
      <w:r w:rsidR="0087674F">
        <w:rPr>
          <w:rStyle w:val="FootnoteReference"/>
          <w:rFonts w:ascii="Times New Roman" w:hAnsi="Times New Roman" w:cs="Times New Roman"/>
          <w:sz w:val="24"/>
        </w:rPr>
        <w:footnoteReference w:id="45"/>
      </w:r>
      <w:r w:rsidR="00DF1993">
        <w:rPr>
          <w:rFonts w:ascii="Times New Roman" w:hAnsi="Times New Roman" w:cs="Times New Roman"/>
          <w:sz w:val="24"/>
        </w:rPr>
        <w:t xml:space="preserve"> </w:t>
      </w:r>
      <w:r w:rsidR="005E414C">
        <w:rPr>
          <w:rFonts w:ascii="Times New Roman" w:hAnsi="Times New Roman" w:cs="Times New Roman"/>
          <w:sz w:val="24"/>
        </w:rPr>
        <w:t xml:space="preserve">Hadrill states that the reverses of Augustan coins are </w:t>
      </w:r>
      <w:r w:rsidR="005E414C">
        <w:rPr>
          <w:rFonts w:ascii="Times New Roman" w:hAnsi="Times New Roman" w:cs="Times New Roman"/>
          <w:sz w:val="24"/>
        </w:rPr>
        <w:lastRenderedPageBreak/>
        <w:t>often decorated with the honours given to him by the senate or the people of Rome.</w:t>
      </w:r>
      <w:r w:rsidR="0087674F">
        <w:rPr>
          <w:rStyle w:val="FootnoteReference"/>
          <w:rFonts w:ascii="Times New Roman" w:hAnsi="Times New Roman" w:cs="Times New Roman"/>
          <w:sz w:val="24"/>
        </w:rPr>
        <w:footnoteReference w:id="46"/>
      </w:r>
      <w:r w:rsidR="005E414C">
        <w:rPr>
          <w:rFonts w:ascii="Times New Roman" w:hAnsi="Times New Roman" w:cs="Times New Roman"/>
          <w:sz w:val="24"/>
        </w:rPr>
        <w:t xml:space="preserve"> </w:t>
      </w:r>
      <w:r w:rsidR="00317DF8">
        <w:rPr>
          <w:rFonts w:ascii="Times New Roman" w:hAnsi="Times New Roman" w:cs="Times New Roman"/>
          <w:sz w:val="24"/>
        </w:rPr>
        <w:t xml:space="preserve">These honours are the patterns of </w:t>
      </w:r>
      <w:r w:rsidR="00AE1C41">
        <w:rPr>
          <w:rFonts w:ascii="Times New Roman" w:hAnsi="Times New Roman" w:cs="Times New Roman"/>
          <w:sz w:val="24"/>
        </w:rPr>
        <w:t>o</w:t>
      </w:r>
      <w:r w:rsidR="00317DF8">
        <w:rPr>
          <w:rFonts w:ascii="Times New Roman" w:hAnsi="Times New Roman" w:cs="Times New Roman"/>
          <w:sz w:val="24"/>
        </w:rPr>
        <w:t>ak wreathes as well as the laurel</w:t>
      </w:r>
      <w:r w:rsidR="005F5254">
        <w:rPr>
          <w:rFonts w:ascii="Times New Roman" w:hAnsi="Times New Roman" w:cs="Times New Roman"/>
          <w:sz w:val="24"/>
        </w:rPr>
        <w:t xml:space="preserve"> branches</w:t>
      </w:r>
      <w:r w:rsidR="00317DF8">
        <w:rPr>
          <w:rFonts w:ascii="Times New Roman" w:hAnsi="Times New Roman" w:cs="Times New Roman"/>
          <w:sz w:val="24"/>
        </w:rPr>
        <w:t xml:space="preserve"> and the Golden shield, this includes the name of Augustus.</w:t>
      </w:r>
      <w:r w:rsidR="0087674F">
        <w:rPr>
          <w:rStyle w:val="FootnoteReference"/>
          <w:rFonts w:ascii="Times New Roman" w:hAnsi="Times New Roman" w:cs="Times New Roman"/>
          <w:sz w:val="24"/>
        </w:rPr>
        <w:footnoteReference w:id="47"/>
      </w:r>
      <w:r w:rsidR="00317DF8">
        <w:rPr>
          <w:rFonts w:ascii="Times New Roman" w:hAnsi="Times New Roman" w:cs="Times New Roman"/>
          <w:sz w:val="24"/>
        </w:rPr>
        <w:t xml:space="preserve"> </w:t>
      </w:r>
      <w:r w:rsidR="005F5254">
        <w:rPr>
          <w:rFonts w:ascii="Times New Roman" w:hAnsi="Times New Roman" w:cs="Times New Roman"/>
          <w:sz w:val="24"/>
        </w:rPr>
        <w:t>This is an accurate statement as there are coins from the era which display th</w:t>
      </w:r>
      <w:r w:rsidR="00E51D87">
        <w:rPr>
          <w:rFonts w:ascii="Times New Roman" w:hAnsi="Times New Roman" w:cs="Times New Roman"/>
          <w:sz w:val="24"/>
        </w:rPr>
        <w:t xml:space="preserve">ese symbols. One example is a Denarius minted between the years of </w:t>
      </w:r>
      <w:r w:rsidR="004A564A">
        <w:rPr>
          <w:rFonts w:ascii="Times New Roman" w:hAnsi="Times New Roman" w:cs="Times New Roman"/>
          <w:sz w:val="24"/>
        </w:rPr>
        <w:t>twenty-five</w:t>
      </w:r>
      <w:r w:rsidR="00E51D87">
        <w:rPr>
          <w:rFonts w:ascii="Times New Roman" w:hAnsi="Times New Roman" w:cs="Times New Roman"/>
          <w:sz w:val="24"/>
        </w:rPr>
        <w:t xml:space="preserve"> to seventeen BC which depicts </w:t>
      </w:r>
      <w:r w:rsidR="004A564A">
        <w:rPr>
          <w:rFonts w:ascii="Times New Roman" w:hAnsi="Times New Roman" w:cs="Times New Roman"/>
          <w:sz w:val="24"/>
        </w:rPr>
        <w:t xml:space="preserve">the image of Augustus head decorated with an </w:t>
      </w:r>
      <w:r w:rsidR="00AE1C41">
        <w:rPr>
          <w:rFonts w:ascii="Times New Roman" w:hAnsi="Times New Roman" w:cs="Times New Roman"/>
          <w:sz w:val="24"/>
        </w:rPr>
        <w:t>o</w:t>
      </w:r>
      <w:r w:rsidR="004A564A">
        <w:rPr>
          <w:rFonts w:ascii="Times New Roman" w:hAnsi="Times New Roman" w:cs="Times New Roman"/>
          <w:sz w:val="24"/>
        </w:rPr>
        <w:t>ak wreath</w:t>
      </w:r>
      <w:r w:rsidR="006A1DC6">
        <w:rPr>
          <w:rFonts w:ascii="Times New Roman" w:hAnsi="Times New Roman" w:cs="Times New Roman"/>
          <w:sz w:val="24"/>
        </w:rPr>
        <w:t xml:space="preserve"> on the obverse</w:t>
      </w:r>
      <w:r w:rsidR="004A564A">
        <w:rPr>
          <w:rFonts w:ascii="Times New Roman" w:hAnsi="Times New Roman" w:cs="Times New Roman"/>
          <w:sz w:val="24"/>
        </w:rPr>
        <w:t>.</w:t>
      </w:r>
      <w:r w:rsidR="0087674F">
        <w:rPr>
          <w:rStyle w:val="FootnoteReference"/>
          <w:rFonts w:ascii="Times New Roman" w:hAnsi="Times New Roman" w:cs="Times New Roman"/>
          <w:sz w:val="24"/>
        </w:rPr>
        <w:footnoteReference w:id="48"/>
      </w:r>
      <w:r w:rsidR="004A564A">
        <w:rPr>
          <w:rFonts w:ascii="Times New Roman" w:hAnsi="Times New Roman" w:cs="Times New Roman"/>
          <w:sz w:val="24"/>
        </w:rPr>
        <w:t xml:space="preserve"> This includes the goddess victory crowning a shield</w:t>
      </w:r>
      <w:r w:rsidR="006A1DC6">
        <w:rPr>
          <w:rFonts w:ascii="Times New Roman" w:hAnsi="Times New Roman" w:cs="Times New Roman"/>
          <w:sz w:val="24"/>
        </w:rPr>
        <w:t xml:space="preserve"> on the reverse side of the Denarius</w:t>
      </w:r>
      <w:r w:rsidR="004A564A">
        <w:rPr>
          <w:rFonts w:ascii="Times New Roman" w:hAnsi="Times New Roman" w:cs="Times New Roman"/>
          <w:sz w:val="24"/>
        </w:rPr>
        <w:t>.</w:t>
      </w:r>
      <w:r w:rsidR="0087674F">
        <w:rPr>
          <w:rStyle w:val="FootnoteReference"/>
          <w:rFonts w:ascii="Times New Roman" w:hAnsi="Times New Roman" w:cs="Times New Roman"/>
          <w:sz w:val="24"/>
        </w:rPr>
        <w:footnoteReference w:id="49"/>
      </w:r>
      <w:r w:rsidR="004A564A">
        <w:rPr>
          <w:rFonts w:ascii="Times New Roman" w:hAnsi="Times New Roman" w:cs="Times New Roman"/>
          <w:sz w:val="24"/>
        </w:rPr>
        <w:t xml:space="preserve"> Another example is an Aureus also minted between the years of twenty-five to seventeen BC </w:t>
      </w:r>
      <w:r w:rsidR="006A1DC6">
        <w:rPr>
          <w:rFonts w:ascii="Times New Roman" w:hAnsi="Times New Roman" w:cs="Times New Roman"/>
          <w:sz w:val="24"/>
        </w:rPr>
        <w:t>showing the image of Augustus head on the obverse.</w:t>
      </w:r>
      <w:r w:rsidR="0087674F">
        <w:rPr>
          <w:rStyle w:val="FootnoteReference"/>
          <w:rFonts w:ascii="Times New Roman" w:hAnsi="Times New Roman" w:cs="Times New Roman"/>
          <w:sz w:val="24"/>
        </w:rPr>
        <w:footnoteReference w:id="50"/>
      </w:r>
      <w:r w:rsidR="006A1DC6">
        <w:rPr>
          <w:rFonts w:ascii="Times New Roman" w:hAnsi="Times New Roman" w:cs="Times New Roman"/>
          <w:sz w:val="24"/>
        </w:rPr>
        <w:t xml:space="preserve"> The reverse side however shows two laurel branches around the name Caesar Augustus.</w:t>
      </w:r>
      <w:r w:rsidR="0087674F">
        <w:rPr>
          <w:rStyle w:val="FootnoteReference"/>
          <w:rFonts w:ascii="Times New Roman" w:hAnsi="Times New Roman" w:cs="Times New Roman"/>
          <w:sz w:val="24"/>
        </w:rPr>
        <w:footnoteReference w:id="51"/>
      </w:r>
      <w:r w:rsidR="006A1DC6">
        <w:rPr>
          <w:rFonts w:ascii="Times New Roman" w:hAnsi="Times New Roman" w:cs="Times New Roman"/>
          <w:sz w:val="24"/>
        </w:rPr>
        <w:t xml:space="preserve"> These examples validate his statements on the honours given to Augustus on the coinage of the era. </w:t>
      </w:r>
      <w:r w:rsidR="001C64DF">
        <w:rPr>
          <w:rFonts w:ascii="Times New Roman" w:hAnsi="Times New Roman" w:cs="Times New Roman"/>
          <w:sz w:val="24"/>
        </w:rPr>
        <w:t>Th</w:t>
      </w:r>
      <w:r w:rsidR="005B33FF">
        <w:rPr>
          <w:rFonts w:ascii="Times New Roman" w:hAnsi="Times New Roman" w:cs="Times New Roman"/>
          <w:sz w:val="24"/>
        </w:rPr>
        <w:t>is includes how the images of the honours depicted on the reverse are an advertisement of that individuals glory and achievements. The third method of portrayal as stated by Hadrill is the use of personal deities.</w:t>
      </w:r>
      <w:r w:rsidR="0087674F">
        <w:rPr>
          <w:rStyle w:val="FootnoteReference"/>
          <w:rFonts w:ascii="Times New Roman" w:hAnsi="Times New Roman" w:cs="Times New Roman"/>
          <w:sz w:val="24"/>
        </w:rPr>
        <w:footnoteReference w:id="52"/>
      </w:r>
      <w:r w:rsidR="005B33FF">
        <w:rPr>
          <w:rFonts w:ascii="Times New Roman" w:hAnsi="Times New Roman" w:cs="Times New Roman"/>
          <w:sz w:val="24"/>
        </w:rPr>
        <w:t xml:space="preserve"> </w:t>
      </w:r>
      <w:r w:rsidR="00447A8E">
        <w:rPr>
          <w:rFonts w:ascii="Times New Roman" w:hAnsi="Times New Roman" w:cs="Times New Roman"/>
          <w:sz w:val="24"/>
        </w:rPr>
        <w:t xml:space="preserve">He claims that </w:t>
      </w:r>
      <w:r w:rsidR="00043198">
        <w:rPr>
          <w:rFonts w:ascii="Times New Roman" w:hAnsi="Times New Roman" w:cs="Times New Roman"/>
          <w:sz w:val="24"/>
        </w:rPr>
        <w:t>Republican coins often depicted gods or goddesses on the obverse but that changed after Actium as gods and goddesses would occupy the obverse and reverse sides alongside Caesar.</w:t>
      </w:r>
      <w:r w:rsidR="0087674F">
        <w:rPr>
          <w:rStyle w:val="FootnoteReference"/>
          <w:rFonts w:ascii="Times New Roman" w:hAnsi="Times New Roman" w:cs="Times New Roman"/>
          <w:sz w:val="24"/>
        </w:rPr>
        <w:footnoteReference w:id="53"/>
      </w:r>
      <w:r w:rsidR="00043198">
        <w:rPr>
          <w:rFonts w:ascii="Times New Roman" w:hAnsi="Times New Roman" w:cs="Times New Roman"/>
          <w:sz w:val="24"/>
        </w:rPr>
        <w:t xml:space="preserve"> </w:t>
      </w:r>
      <w:r w:rsidR="00195B86">
        <w:rPr>
          <w:rFonts w:ascii="Times New Roman" w:hAnsi="Times New Roman" w:cs="Times New Roman"/>
          <w:sz w:val="24"/>
        </w:rPr>
        <w:t>Examples from certain coins validate this such as one Denarius minted in the year ninety BC.</w:t>
      </w:r>
      <w:r w:rsidR="0087674F">
        <w:rPr>
          <w:rStyle w:val="FootnoteReference"/>
          <w:rFonts w:ascii="Times New Roman" w:hAnsi="Times New Roman" w:cs="Times New Roman"/>
          <w:sz w:val="24"/>
        </w:rPr>
        <w:footnoteReference w:id="54"/>
      </w:r>
      <w:r w:rsidR="00195B86">
        <w:rPr>
          <w:rFonts w:ascii="Times New Roman" w:hAnsi="Times New Roman" w:cs="Times New Roman"/>
          <w:sz w:val="24"/>
        </w:rPr>
        <w:t xml:space="preserve"> The obverse of the coin shows the head of Apollo while an image of a horsemen occupies the reverse side of the coin.</w:t>
      </w:r>
      <w:r w:rsidR="00FF4EBA">
        <w:rPr>
          <w:rStyle w:val="FootnoteReference"/>
          <w:rFonts w:ascii="Times New Roman" w:hAnsi="Times New Roman" w:cs="Times New Roman"/>
          <w:sz w:val="24"/>
        </w:rPr>
        <w:footnoteReference w:id="55"/>
      </w:r>
      <w:r w:rsidR="00195B86">
        <w:rPr>
          <w:rFonts w:ascii="Times New Roman" w:hAnsi="Times New Roman" w:cs="Times New Roman"/>
          <w:sz w:val="24"/>
        </w:rPr>
        <w:t xml:space="preserve"> A similar example is seen in another Denarius from </w:t>
      </w:r>
      <w:r w:rsidR="001F2337">
        <w:rPr>
          <w:rFonts w:ascii="Times New Roman" w:hAnsi="Times New Roman" w:cs="Times New Roman"/>
          <w:sz w:val="24"/>
        </w:rPr>
        <w:t>eighty-four</w:t>
      </w:r>
      <w:r w:rsidR="00195B86">
        <w:rPr>
          <w:rFonts w:ascii="Times New Roman" w:hAnsi="Times New Roman" w:cs="Times New Roman"/>
          <w:sz w:val="24"/>
        </w:rPr>
        <w:t xml:space="preserve"> to </w:t>
      </w:r>
      <w:r w:rsidR="001F2337">
        <w:rPr>
          <w:rFonts w:ascii="Times New Roman" w:hAnsi="Times New Roman" w:cs="Times New Roman"/>
          <w:sz w:val="24"/>
        </w:rPr>
        <w:t>eighty-three</w:t>
      </w:r>
      <w:r w:rsidR="00195B86">
        <w:rPr>
          <w:rFonts w:ascii="Times New Roman" w:hAnsi="Times New Roman" w:cs="Times New Roman"/>
          <w:sz w:val="24"/>
        </w:rPr>
        <w:t xml:space="preserve"> BC </w:t>
      </w:r>
      <w:r w:rsidR="001F2337">
        <w:rPr>
          <w:rFonts w:ascii="Times New Roman" w:hAnsi="Times New Roman" w:cs="Times New Roman"/>
          <w:sz w:val="24"/>
        </w:rPr>
        <w:t>with the head of Venus on the obverse and two trophies on the reverse.</w:t>
      </w:r>
      <w:r w:rsidR="00FF4EBA">
        <w:rPr>
          <w:rStyle w:val="FootnoteReference"/>
          <w:rFonts w:ascii="Times New Roman" w:hAnsi="Times New Roman" w:cs="Times New Roman"/>
          <w:sz w:val="24"/>
        </w:rPr>
        <w:footnoteReference w:id="56"/>
      </w:r>
      <w:r w:rsidR="001F2337">
        <w:rPr>
          <w:rFonts w:ascii="Times New Roman" w:hAnsi="Times New Roman" w:cs="Times New Roman"/>
          <w:sz w:val="24"/>
        </w:rPr>
        <w:t xml:space="preserve"> One example of the gods appearing on both sides can be seen in a Denarius minted between twenty-nine to twenty-seven BC with Hermes displaying features of Octavian and a thunderbolt behind Octavian holding Victoria on the reverse.</w:t>
      </w:r>
      <w:r w:rsidR="00FF4EBA">
        <w:rPr>
          <w:rStyle w:val="FootnoteReference"/>
          <w:rFonts w:ascii="Times New Roman" w:hAnsi="Times New Roman" w:cs="Times New Roman"/>
          <w:sz w:val="24"/>
        </w:rPr>
        <w:footnoteReference w:id="57"/>
      </w:r>
      <w:r w:rsidR="001F2337">
        <w:rPr>
          <w:rFonts w:ascii="Times New Roman" w:hAnsi="Times New Roman" w:cs="Times New Roman"/>
          <w:sz w:val="24"/>
        </w:rPr>
        <w:t xml:space="preserve"> </w:t>
      </w:r>
      <w:r w:rsidR="00233F9C">
        <w:rPr>
          <w:rFonts w:ascii="Times New Roman" w:hAnsi="Times New Roman" w:cs="Times New Roman"/>
          <w:sz w:val="24"/>
        </w:rPr>
        <w:t xml:space="preserve">These examples validate his claims on the depictions of personal deities with emperors on the coinage. Despite the Sphinx inaccuracy, most of this section contains accurate and valid information. </w:t>
      </w:r>
    </w:p>
    <w:p w14:paraId="32D61ADE" w14:textId="7657C960" w:rsidR="00233F9C" w:rsidRDefault="00233F9C" w:rsidP="00B50B18">
      <w:pPr>
        <w:spacing w:line="360" w:lineRule="auto"/>
        <w:rPr>
          <w:rFonts w:ascii="Times New Roman" w:hAnsi="Times New Roman" w:cs="Times New Roman"/>
          <w:sz w:val="24"/>
        </w:rPr>
      </w:pPr>
      <w:r>
        <w:rPr>
          <w:rFonts w:ascii="Times New Roman" w:hAnsi="Times New Roman" w:cs="Times New Roman"/>
          <w:sz w:val="24"/>
        </w:rPr>
        <w:lastRenderedPageBreak/>
        <w:t>The third and final section of Hadrill’s article concerns the connection of the emperor and senate to the coinage.</w:t>
      </w:r>
      <w:r w:rsidR="00FF4EBA">
        <w:rPr>
          <w:rStyle w:val="FootnoteReference"/>
          <w:rFonts w:ascii="Times New Roman" w:hAnsi="Times New Roman" w:cs="Times New Roman"/>
          <w:sz w:val="24"/>
        </w:rPr>
        <w:footnoteReference w:id="58"/>
      </w:r>
      <w:r>
        <w:rPr>
          <w:rFonts w:ascii="Times New Roman" w:hAnsi="Times New Roman" w:cs="Times New Roman"/>
          <w:sz w:val="24"/>
        </w:rPr>
        <w:t xml:space="preserve"> His first point in this section is how the autocratic rulership of Rome is to absorb the full potential of the coin, therefore the emperor appears on both obverse and reverse.</w:t>
      </w:r>
      <w:r w:rsidR="00FF4EBA">
        <w:rPr>
          <w:rStyle w:val="FootnoteReference"/>
          <w:rFonts w:ascii="Times New Roman" w:hAnsi="Times New Roman" w:cs="Times New Roman"/>
          <w:sz w:val="24"/>
        </w:rPr>
        <w:footnoteReference w:id="59"/>
      </w:r>
      <w:r>
        <w:rPr>
          <w:rFonts w:ascii="Times New Roman" w:hAnsi="Times New Roman" w:cs="Times New Roman"/>
          <w:sz w:val="24"/>
        </w:rPr>
        <w:t xml:space="preserve"> </w:t>
      </w:r>
      <w:r w:rsidR="00A46B95">
        <w:rPr>
          <w:rFonts w:ascii="Times New Roman" w:hAnsi="Times New Roman" w:cs="Times New Roman"/>
          <w:sz w:val="24"/>
        </w:rPr>
        <w:t xml:space="preserve">This can be validated as coins from the time after Augustus show this described change in design of the obverse and reverse sides of the coinage during the era. One example is </w:t>
      </w:r>
      <w:r w:rsidR="00F34D07">
        <w:rPr>
          <w:rFonts w:ascii="Times New Roman" w:hAnsi="Times New Roman" w:cs="Times New Roman"/>
          <w:sz w:val="24"/>
        </w:rPr>
        <w:t>an Aureus from the years fourteen to fifteen AD depicting Tiberius head on the obverse and Tiberius on the reverse with an eagle above his figure.</w:t>
      </w:r>
      <w:r w:rsidR="00FF4EBA">
        <w:rPr>
          <w:rStyle w:val="FootnoteReference"/>
          <w:rFonts w:ascii="Times New Roman" w:hAnsi="Times New Roman" w:cs="Times New Roman"/>
          <w:sz w:val="24"/>
        </w:rPr>
        <w:footnoteReference w:id="60"/>
      </w:r>
      <w:r w:rsidR="00F34D07">
        <w:rPr>
          <w:rFonts w:ascii="Times New Roman" w:hAnsi="Times New Roman" w:cs="Times New Roman"/>
          <w:sz w:val="24"/>
        </w:rPr>
        <w:t xml:space="preserve"> This confirms Hadrill’s claim that the emperor over time began to take both sides of the coin as seen on the Tiberius on an Aureus example. </w:t>
      </w:r>
      <w:r w:rsidR="002255CA">
        <w:rPr>
          <w:rFonts w:ascii="Times New Roman" w:hAnsi="Times New Roman" w:cs="Times New Roman"/>
          <w:sz w:val="24"/>
        </w:rPr>
        <w:t>Another one of the main claims which explains the design of the imperial obverse is when Hadrill states that deities are often chosen for personal reasons to the moneyer.</w:t>
      </w:r>
      <w:r w:rsidR="00705D91">
        <w:rPr>
          <w:rStyle w:val="FootnoteReference"/>
          <w:rFonts w:ascii="Times New Roman" w:hAnsi="Times New Roman" w:cs="Times New Roman"/>
          <w:sz w:val="24"/>
        </w:rPr>
        <w:footnoteReference w:id="61"/>
      </w:r>
      <w:r w:rsidR="002255CA">
        <w:rPr>
          <w:rFonts w:ascii="Times New Roman" w:hAnsi="Times New Roman" w:cs="Times New Roman"/>
          <w:sz w:val="24"/>
        </w:rPr>
        <w:t xml:space="preserve"> This can be possibly validated by the example of certain coins from the late first century BC from mint of Rome.</w:t>
      </w:r>
      <w:r w:rsidR="00705D91">
        <w:rPr>
          <w:rStyle w:val="FootnoteReference"/>
          <w:rFonts w:ascii="Times New Roman" w:hAnsi="Times New Roman" w:cs="Times New Roman"/>
          <w:sz w:val="24"/>
        </w:rPr>
        <w:footnoteReference w:id="62"/>
      </w:r>
      <w:r w:rsidR="002255CA">
        <w:rPr>
          <w:rFonts w:ascii="Times New Roman" w:hAnsi="Times New Roman" w:cs="Times New Roman"/>
          <w:sz w:val="24"/>
        </w:rPr>
        <w:t xml:space="preserve"> </w:t>
      </w:r>
      <w:r w:rsidR="00542CC5">
        <w:rPr>
          <w:rFonts w:ascii="Times New Roman" w:hAnsi="Times New Roman" w:cs="Times New Roman"/>
          <w:sz w:val="24"/>
        </w:rPr>
        <w:t>One example of a D</w:t>
      </w:r>
      <w:r w:rsidR="002255CA">
        <w:rPr>
          <w:rFonts w:ascii="Times New Roman" w:hAnsi="Times New Roman" w:cs="Times New Roman"/>
          <w:sz w:val="24"/>
        </w:rPr>
        <w:t xml:space="preserve">upondius </w:t>
      </w:r>
      <w:r w:rsidR="00D65FCF">
        <w:rPr>
          <w:rFonts w:ascii="Times New Roman" w:hAnsi="Times New Roman" w:cs="Times New Roman"/>
          <w:sz w:val="24"/>
        </w:rPr>
        <w:t>depicts the goddess of victory behind a head of Augustus with a laurel wreath upon his head.</w:t>
      </w:r>
      <w:r w:rsidR="00705D91">
        <w:rPr>
          <w:rStyle w:val="FootnoteReference"/>
          <w:rFonts w:ascii="Times New Roman" w:hAnsi="Times New Roman" w:cs="Times New Roman"/>
          <w:sz w:val="24"/>
        </w:rPr>
        <w:footnoteReference w:id="63"/>
      </w:r>
      <w:r w:rsidR="00D65FCF">
        <w:rPr>
          <w:rFonts w:ascii="Times New Roman" w:hAnsi="Times New Roman" w:cs="Times New Roman"/>
          <w:sz w:val="24"/>
        </w:rPr>
        <w:t xml:space="preserve"> </w:t>
      </w:r>
      <w:r w:rsidR="003D4D24">
        <w:rPr>
          <w:rFonts w:ascii="Times New Roman" w:hAnsi="Times New Roman" w:cs="Times New Roman"/>
          <w:sz w:val="24"/>
        </w:rPr>
        <w:t>These were introduced by P. Lurius Agrippa with victory crowning Augustus as a way of showing respect to Augustus and his character.</w:t>
      </w:r>
      <w:r w:rsidR="00705D91">
        <w:rPr>
          <w:rStyle w:val="FootnoteReference"/>
          <w:rFonts w:ascii="Times New Roman" w:hAnsi="Times New Roman" w:cs="Times New Roman"/>
          <w:sz w:val="24"/>
        </w:rPr>
        <w:footnoteReference w:id="64"/>
      </w:r>
      <w:r w:rsidR="003D4D24">
        <w:rPr>
          <w:rFonts w:ascii="Times New Roman" w:hAnsi="Times New Roman" w:cs="Times New Roman"/>
          <w:sz w:val="24"/>
        </w:rPr>
        <w:t xml:space="preserve"> The main points of this section of the article are mostly correct despite the possible theorising of the gods or goddesses being chosen personally by the moneyer even though the Dupondius example </w:t>
      </w:r>
      <w:r w:rsidR="00542CC5">
        <w:rPr>
          <w:rFonts w:ascii="Times New Roman" w:hAnsi="Times New Roman" w:cs="Times New Roman"/>
          <w:sz w:val="24"/>
        </w:rPr>
        <w:t xml:space="preserve">seems to validate </w:t>
      </w:r>
      <w:r w:rsidR="003D4D24">
        <w:rPr>
          <w:rFonts w:ascii="Times New Roman" w:hAnsi="Times New Roman" w:cs="Times New Roman"/>
          <w:sz w:val="24"/>
        </w:rPr>
        <w:t xml:space="preserve">the </w:t>
      </w:r>
      <w:r w:rsidR="00C3606E">
        <w:rPr>
          <w:rFonts w:ascii="Times New Roman" w:hAnsi="Times New Roman" w:cs="Times New Roman"/>
          <w:sz w:val="24"/>
        </w:rPr>
        <w:t xml:space="preserve">main </w:t>
      </w:r>
      <w:r w:rsidR="003D4D24">
        <w:rPr>
          <w:rFonts w:ascii="Times New Roman" w:hAnsi="Times New Roman" w:cs="Times New Roman"/>
          <w:sz w:val="24"/>
        </w:rPr>
        <w:t>argument.</w:t>
      </w:r>
      <w:r w:rsidR="00705D91">
        <w:rPr>
          <w:rStyle w:val="FootnoteReference"/>
          <w:rFonts w:ascii="Times New Roman" w:hAnsi="Times New Roman" w:cs="Times New Roman"/>
          <w:sz w:val="24"/>
        </w:rPr>
        <w:footnoteReference w:id="65"/>
      </w:r>
      <w:r w:rsidR="003D4D24">
        <w:rPr>
          <w:rFonts w:ascii="Times New Roman" w:hAnsi="Times New Roman" w:cs="Times New Roman"/>
          <w:sz w:val="24"/>
        </w:rPr>
        <w:t xml:space="preserve"> Overall, the final section of this article presents an accurate argument concerning the different ways of increasing the potential of the coin by enhancing its connection to the emperor and the senate.</w:t>
      </w:r>
    </w:p>
    <w:p w14:paraId="50BA15D9" w14:textId="0395301A" w:rsidR="003D4D24" w:rsidRDefault="003D4D24" w:rsidP="00B50B18">
      <w:pPr>
        <w:spacing w:line="360" w:lineRule="auto"/>
        <w:rPr>
          <w:rFonts w:ascii="Times New Roman" w:hAnsi="Times New Roman" w:cs="Times New Roman"/>
          <w:sz w:val="24"/>
        </w:rPr>
      </w:pPr>
      <w:r>
        <w:rPr>
          <w:rFonts w:ascii="Times New Roman" w:hAnsi="Times New Roman" w:cs="Times New Roman"/>
          <w:sz w:val="24"/>
        </w:rPr>
        <w:t xml:space="preserve">In conclusion, this article by Hadrill </w:t>
      </w:r>
      <w:r w:rsidR="00F702D1">
        <w:rPr>
          <w:rFonts w:ascii="Times New Roman" w:hAnsi="Times New Roman" w:cs="Times New Roman"/>
          <w:sz w:val="24"/>
        </w:rPr>
        <w:t>portrays a mostly accurate picture of the function of the coin and the images that are minted upon them. As seen in the first section, the image of the emperor on the coin is an advertisement to the user.</w:t>
      </w:r>
      <w:r w:rsidR="00705D91">
        <w:rPr>
          <w:rStyle w:val="FootnoteReference"/>
          <w:rFonts w:ascii="Times New Roman" w:hAnsi="Times New Roman" w:cs="Times New Roman"/>
          <w:sz w:val="24"/>
        </w:rPr>
        <w:footnoteReference w:id="66"/>
      </w:r>
      <w:r w:rsidR="00F702D1">
        <w:rPr>
          <w:rFonts w:ascii="Times New Roman" w:hAnsi="Times New Roman" w:cs="Times New Roman"/>
          <w:sz w:val="24"/>
        </w:rPr>
        <w:t xml:space="preserve"> It conveys itself as a symbol of power that also holds similar </w:t>
      </w:r>
      <w:r w:rsidR="00C3606E">
        <w:rPr>
          <w:rFonts w:ascii="Times New Roman" w:hAnsi="Times New Roman" w:cs="Times New Roman"/>
          <w:sz w:val="24"/>
        </w:rPr>
        <w:t xml:space="preserve">virtues and </w:t>
      </w:r>
      <w:r w:rsidR="00F702D1">
        <w:rPr>
          <w:rFonts w:ascii="Times New Roman" w:hAnsi="Times New Roman" w:cs="Times New Roman"/>
          <w:sz w:val="24"/>
        </w:rPr>
        <w:t>values to the coins owner.</w:t>
      </w:r>
      <w:r w:rsidR="00705D91">
        <w:rPr>
          <w:rStyle w:val="FootnoteReference"/>
          <w:rFonts w:ascii="Times New Roman" w:hAnsi="Times New Roman" w:cs="Times New Roman"/>
          <w:sz w:val="24"/>
        </w:rPr>
        <w:footnoteReference w:id="67"/>
      </w:r>
      <w:r w:rsidR="00F702D1">
        <w:rPr>
          <w:rFonts w:ascii="Times New Roman" w:hAnsi="Times New Roman" w:cs="Times New Roman"/>
          <w:sz w:val="24"/>
        </w:rPr>
        <w:t xml:space="preserve"> However, depending on the depicted emperor, its value can be decreased due to their unpopularity with the living people </w:t>
      </w:r>
      <w:r w:rsidR="00F702D1">
        <w:rPr>
          <w:rFonts w:ascii="Times New Roman" w:hAnsi="Times New Roman" w:cs="Times New Roman"/>
          <w:sz w:val="24"/>
        </w:rPr>
        <w:lastRenderedPageBreak/>
        <w:t>of Rome.</w:t>
      </w:r>
      <w:r w:rsidR="00705D91">
        <w:rPr>
          <w:rStyle w:val="FootnoteReference"/>
          <w:rFonts w:ascii="Times New Roman" w:hAnsi="Times New Roman" w:cs="Times New Roman"/>
          <w:sz w:val="24"/>
        </w:rPr>
        <w:footnoteReference w:id="68"/>
      </w:r>
      <w:r w:rsidR="00F702D1">
        <w:rPr>
          <w:rFonts w:ascii="Times New Roman" w:hAnsi="Times New Roman" w:cs="Times New Roman"/>
          <w:sz w:val="24"/>
        </w:rPr>
        <w:t xml:space="preserve"> As shown in the quotes from</w:t>
      </w:r>
      <w:r w:rsidR="00C3606E">
        <w:rPr>
          <w:rFonts w:ascii="Times New Roman" w:hAnsi="Times New Roman" w:cs="Times New Roman"/>
          <w:sz w:val="24"/>
        </w:rPr>
        <w:t xml:space="preserve"> the Greek philosopher</w:t>
      </w:r>
      <w:r w:rsidR="00F702D1">
        <w:rPr>
          <w:rFonts w:ascii="Times New Roman" w:hAnsi="Times New Roman" w:cs="Times New Roman"/>
          <w:sz w:val="24"/>
        </w:rPr>
        <w:t xml:space="preserve"> Epictetus, coins depicting </w:t>
      </w:r>
      <w:r w:rsidR="00542CC5">
        <w:rPr>
          <w:rFonts w:ascii="Times New Roman" w:hAnsi="Times New Roman" w:cs="Times New Roman"/>
          <w:sz w:val="24"/>
        </w:rPr>
        <w:t>E</w:t>
      </w:r>
      <w:r w:rsidR="00F702D1">
        <w:rPr>
          <w:rFonts w:ascii="Times New Roman" w:hAnsi="Times New Roman" w:cs="Times New Roman"/>
          <w:sz w:val="24"/>
        </w:rPr>
        <w:t xml:space="preserve">mperor Trajan will be kept and used </w:t>
      </w:r>
      <w:r w:rsidR="00A169F4">
        <w:rPr>
          <w:rFonts w:ascii="Times New Roman" w:hAnsi="Times New Roman" w:cs="Times New Roman"/>
          <w:sz w:val="24"/>
        </w:rPr>
        <w:t xml:space="preserve">due to the values and </w:t>
      </w:r>
      <w:r w:rsidR="00C3606E">
        <w:rPr>
          <w:rFonts w:ascii="Times New Roman" w:hAnsi="Times New Roman" w:cs="Times New Roman"/>
          <w:sz w:val="24"/>
        </w:rPr>
        <w:t xml:space="preserve">great military </w:t>
      </w:r>
      <w:r w:rsidR="00A169F4">
        <w:rPr>
          <w:rFonts w:ascii="Times New Roman" w:hAnsi="Times New Roman" w:cs="Times New Roman"/>
          <w:sz w:val="24"/>
        </w:rPr>
        <w:t>achievements of Trajan while Nero will decrease the value of the coin due to his unpopularity with the people.</w:t>
      </w:r>
      <w:r w:rsidR="00705D91">
        <w:rPr>
          <w:rStyle w:val="FootnoteReference"/>
          <w:rFonts w:ascii="Times New Roman" w:hAnsi="Times New Roman" w:cs="Times New Roman"/>
          <w:sz w:val="24"/>
        </w:rPr>
        <w:footnoteReference w:id="69"/>
      </w:r>
      <w:r w:rsidR="00A169F4">
        <w:rPr>
          <w:rFonts w:ascii="Times New Roman" w:hAnsi="Times New Roman" w:cs="Times New Roman"/>
          <w:sz w:val="24"/>
        </w:rPr>
        <w:t xml:space="preserve"> </w:t>
      </w:r>
      <w:r w:rsidR="00FF4EBA">
        <w:rPr>
          <w:rFonts w:ascii="Times New Roman" w:hAnsi="Times New Roman" w:cs="Times New Roman"/>
          <w:sz w:val="24"/>
        </w:rPr>
        <w:t>Also,</w:t>
      </w:r>
      <w:r w:rsidR="00A169F4">
        <w:rPr>
          <w:rFonts w:ascii="Times New Roman" w:hAnsi="Times New Roman" w:cs="Times New Roman"/>
          <w:sz w:val="24"/>
        </w:rPr>
        <w:t xml:space="preserve"> the image of the emperor was widely worshipped as can be seen in the inclusion of divine images of the coins</w:t>
      </w:r>
      <w:r w:rsidR="00C3606E">
        <w:rPr>
          <w:rFonts w:ascii="Times New Roman" w:hAnsi="Times New Roman" w:cs="Times New Roman"/>
          <w:sz w:val="24"/>
        </w:rPr>
        <w:t xml:space="preserve"> </w:t>
      </w:r>
      <w:r w:rsidR="00A169F4">
        <w:rPr>
          <w:rFonts w:ascii="Times New Roman" w:hAnsi="Times New Roman" w:cs="Times New Roman"/>
          <w:sz w:val="24"/>
        </w:rPr>
        <w:t>.</w:t>
      </w:r>
      <w:r w:rsidR="00705D91">
        <w:rPr>
          <w:rStyle w:val="FootnoteReference"/>
          <w:rFonts w:ascii="Times New Roman" w:hAnsi="Times New Roman" w:cs="Times New Roman"/>
          <w:sz w:val="24"/>
        </w:rPr>
        <w:footnoteReference w:id="70"/>
      </w:r>
      <w:r w:rsidR="00A169F4">
        <w:rPr>
          <w:rFonts w:ascii="Times New Roman" w:hAnsi="Times New Roman" w:cs="Times New Roman"/>
          <w:sz w:val="24"/>
        </w:rPr>
        <w:t xml:space="preserve"> Such images include the laurel crown which is attributed to the god Apollo which would give the coin more value and Augustus more authority.</w:t>
      </w:r>
      <w:r w:rsidR="009B46AC">
        <w:rPr>
          <w:rStyle w:val="FootnoteReference"/>
          <w:rFonts w:ascii="Times New Roman" w:hAnsi="Times New Roman" w:cs="Times New Roman"/>
          <w:sz w:val="24"/>
        </w:rPr>
        <w:footnoteReference w:id="71"/>
      </w:r>
      <w:r w:rsidR="00A169F4">
        <w:rPr>
          <w:rFonts w:ascii="Times New Roman" w:hAnsi="Times New Roman" w:cs="Times New Roman"/>
          <w:sz w:val="24"/>
        </w:rPr>
        <w:t xml:space="preserve"> The second section shows how the design of Roman coins changed after the late republic due to the appearance of certain figures, such as Octavian on both sides of the coin such as the Equestrian Denarius example shown earlier.</w:t>
      </w:r>
      <w:r w:rsidR="009B46AC">
        <w:rPr>
          <w:rStyle w:val="FootnoteReference"/>
          <w:rFonts w:ascii="Times New Roman" w:hAnsi="Times New Roman" w:cs="Times New Roman"/>
          <w:sz w:val="24"/>
        </w:rPr>
        <w:footnoteReference w:id="72"/>
      </w:r>
      <w:r w:rsidR="00A169F4">
        <w:rPr>
          <w:rFonts w:ascii="Times New Roman" w:hAnsi="Times New Roman" w:cs="Times New Roman"/>
          <w:sz w:val="24"/>
        </w:rPr>
        <w:t xml:space="preserve"> </w:t>
      </w:r>
      <w:r w:rsidR="00672A7C">
        <w:rPr>
          <w:rFonts w:ascii="Times New Roman" w:hAnsi="Times New Roman" w:cs="Times New Roman"/>
          <w:sz w:val="24"/>
        </w:rPr>
        <w:t>This is accurately claimed by Hadrill as the first time that a celebrated individual is shown on both the obverse and reverse sides of a coin.</w:t>
      </w:r>
      <w:r w:rsidR="009B46AC">
        <w:rPr>
          <w:rStyle w:val="FootnoteReference"/>
          <w:rFonts w:ascii="Times New Roman" w:hAnsi="Times New Roman" w:cs="Times New Roman"/>
          <w:sz w:val="24"/>
        </w:rPr>
        <w:footnoteReference w:id="73"/>
      </w:r>
      <w:r w:rsidR="00672A7C">
        <w:rPr>
          <w:rFonts w:ascii="Times New Roman" w:hAnsi="Times New Roman" w:cs="Times New Roman"/>
          <w:sz w:val="24"/>
        </w:rPr>
        <w:t xml:space="preserve"> This is due to the fact that earlier Roman Republican coins would often show the individual on the obverse side of the coin rather than the reverse.</w:t>
      </w:r>
      <w:r w:rsidR="009B46AC">
        <w:rPr>
          <w:rStyle w:val="FootnoteReference"/>
          <w:rFonts w:ascii="Times New Roman" w:hAnsi="Times New Roman" w:cs="Times New Roman"/>
          <w:sz w:val="24"/>
        </w:rPr>
        <w:footnoteReference w:id="74"/>
      </w:r>
      <w:r w:rsidR="00672A7C">
        <w:rPr>
          <w:rFonts w:ascii="Times New Roman" w:hAnsi="Times New Roman" w:cs="Times New Roman"/>
          <w:sz w:val="24"/>
        </w:rPr>
        <w:t xml:space="preserve"> The reverse would often show symbols revering that individual be it for military symbolism or agricultural as well as Religious.</w:t>
      </w:r>
      <w:r w:rsidR="009B46AC">
        <w:rPr>
          <w:rStyle w:val="FootnoteReference"/>
          <w:rFonts w:ascii="Times New Roman" w:hAnsi="Times New Roman" w:cs="Times New Roman"/>
          <w:sz w:val="24"/>
        </w:rPr>
        <w:footnoteReference w:id="75"/>
      </w:r>
      <w:r w:rsidR="00672A7C">
        <w:rPr>
          <w:rFonts w:ascii="Times New Roman" w:hAnsi="Times New Roman" w:cs="Times New Roman"/>
          <w:sz w:val="24"/>
        </w:rPr>
        <w:t xml:space="preserve"> The third section of Hadrill’s </w:t>
      </w:r>
      <w:r w:rsidR="00F070FD">
        <w:rPr>
          <w:rFonts w:ascii="Times New Roman" w:hAnsi="Times New Roman" w:cs="Times New Roman"/>
          <w:sz w:val="24"/>
        </w:rPr>
        <w:t>article is accurate in its claim that the emperor began to appear on both sides of the coin to increase it</w:t>
      </w:r>
      <w:r w:rsidR="00095EEE">
        <w:rPr>
          <w:rFonts w:ascii="Times New Roman" w:hAnsi="Times New Roman" w:cs="Times New Roman"/>
          <w:sz w:val="24"/>
        </w:rPr>
        <w:t>s economic and political</w:t>
      </w:r>
      <w:r w:rsidR="00F070FD">
        <w:rPr>
          <w:rFonts w:ascii="Times New Roman" w:hAnsi="Times New Roman" w:cs="Times New Roman"/>
          <w:sz w:val="24"/>
        </w:rPr>
        <w:t xml:space="preserve"> potential.</w:t>
      </w:r>
      <w:r w:rsidR="009B46AC">
        <w:rPr>
          <w:rStyle w:val="FootnoteReference"/>
          <w:rFonts w:ascii="Times New Roman" w:hAnsi="Times New Roman" w:cs="Times New Roman"/>
          <w:sz w:val="24"/>
        </w:rPr>
        <w:footnoteReference w:id="76"/>
      </w:r>
      <w:r w:rsidR="00F070FD">
        <w:rPr>
          <w:rFonts w:ascii="Times New Roman" w:hAnsi="Times New Roman" w:cs="Times New Roman"/>
          <w:sz w:val="24"/>
        </w:rPr>
        <w:t xml:space="preserve"> </w:t>
      </w:r>
      <w:r w:rsidR="009E4FA9">
        <w:rPr>
          <w:rFonts w:ascii="Times New Roman" w:hAnsi="Times New Roman" w:cs="Times New Roman"/>
          <w:sz w:val="24"/>
        </w:rPr>
        <w:t>This is shown in the example of the coin from the reign of Emperor Tiberius with his image appearing on the obverse side while he sits astride a steed with an eagle flying over him.</w:t>
      </w:r>
      <w:r w:rsidR="009B46AC">
        <w:rPr>
          <w:rStyle w:val="FootnoteReference"/>
          <w:rFonts w:ascii="Times New Roman" w:hAnsi="Times New Roman" w:cs="Times New Roman"/>
          <w:sz w:val="24"/>
        </w:rPr>
        <w:footnoteReference w:id="77"/>
      </w:r>
      <w:r w:rsidR="009E4FA9">
        <w:rPr>
          <w:rFonts w:ascii="Times New Roman" w:hAnsi="Times New Roman" w:cs="Times New Roman"/>
          <w:sz w:val="24"/>
        </w:rPr>
        <w:t xml:space="preserve"> There is a possible accuracy in Hadrill’s claim that the moneyer would personally choose deities for the obverse side as</w:t>
      </w:r>
      <w:r w:rsidR="00C3606E">
        <w:rPr>
          <w:rFonts w:ascii="Times New Roman" w:hAnsi="Times New Roman" w:cs="Times New Roman"/>
          <w:sz w:val="24"/>
        </w:rPr>
        <w:t xml:space="preserve"> the goddess</w:t>
      </w:r>
      <w:r w:rsidR="009E4FA9">
        <w:rPr>
          <w:rFonts w:ascii="Times New Roman" w:hAnsi="Times New Roman" w:cs="Times New Roman"/>
          <w:sz w:val="24"/>
        </w:rPr>
        <w:t xml:space="preserve"> victory can be seen in one obverse side of a Dupondius crowning Augustus.</w:t>
      </w:r>
      <w:r w:rsidR="00095EEE">
        <w:rPr>
          <w:rStyle w:val="FootnoteReference"/>
          <w:rFonts w:ascii="Times New Roman" w:hAnsi="Times New Roman" w:cs="Times New Roman"/>
          <w:sz w:val="24"/>
        </w:rPr>
        <w:footnoteReference w:id="78"/>
      </w:r>
      <w:r w:rsidR="009E4FA9">
        <w:rPr>
          <w:rFonts w:ascii="Times New Roman" w:hAnsi="Times New Roman" w:cs="Times New Roman"/>
          <w:sz w:val="24"/>
        </w:rPr>
        <w:t xml:space="preserve"> This is a possible way of the moneyer showing respect to Augustus as seen in the heavier copper mint in addition</w:t>
      </w:r>
      <w:r w:rsidR="00C3606E">
        <w:rPr>
          <w:rFonts w:ascii="Times New Roman" w:hAnsi="Times New Roman" w:cs="Times New Roman"/>
          <w:sz w:val="24"/>
        </w:rPr>
        <w:t xml:space="preserve"> to emphasize his authority and power</w:t>
      </w:r>
      <w:r w:rsidR="009E4FA9">
        <w:rPr>
          <w:rFonts w:ascii="Times New Roman" w:hAnsi="Times New Roman" w:cs="Times New Roman"/>
          <w:sz w:val="24"/>
        </w:rPr>
        <w:t>.</w:t>
      </w:r>
      <w:r w:rsidR="00095EEE">
        <w:rPr>
          <w:rStyle w:val="FootnoteReference"/>
          <w:rFonts w:ascii="Times New Roman" w:hAnsi="Times New Roman" w:cs="Times New Roman"/>
          <w:sz w:val="24"/>
        </w:rPr>
        <w:footnoteReference w:id="79"/>
      </w:r>
      <w:r w:rsidR="009E4FA9">
        <w:rPr>
          <w:rFonts w:ascii="Times New Roman" w:hAnsi="Times New Roman" w:cs="Times New Roman"/>
          <w:sz w:val="24"/>
        </w:rPr>
        <w:t xml:space="preserve"> Overall much of the article is accurate in its description of the function of coinage images and their changes in design to exploit the</w:t>
      </w:r>
      <w:r w:rsidR="00C3606E">
        <w:rPr>
          <w:rFonts w:ascii="Times New Roman" w:hAnsi="Times New Roman" w:cs="Times New Roman"/>
          <w:sz w:val="24"/>
        </w:rPr>
        <w:t>ir political, economic and religious value</w:t>
      </w:r>
      <w:r w:rsidR="009E4FA9">
        <w:rPr>
          <w:rFonts w:ascii="Times New Roman" w:hAnsi="Times New Roman" w:cs="Times New Roman"/>
          <w:sz w:val="24"/>
        </w:rPr>
        <w:t xml:space="preserve">. </w:t>
      </w:r>
      <w:r w:rsidR="00672A7C">
        <w:rPr>
          <w:rFonts w:ascii="Times New Roman" w:hAnsi="Times New Roman" w:cs="Times New Roman"/>
          <w:sz w:val="24"/>
        </w:rPr>
        <w:t xml:space="preserve"> </w:t>
      </w:r>
    </w:p>
    <w:p w14:paraId="0D6304BA" w14:textId="4BD51549" w:rsidR="00E90651" w:rsidRDefault="00E90651" w:rsidP="00B50B18">
      <w:pPr>
        <w:spacing w:line="360" w:lineRule="auto"/>
        <w:rPr>
          <w:rFonts w:ascii="Times New Roman" w:hAnsi="Times New Roman" w:cs="Times New Roman"/>
          <w:sz w:val="24"/>
        </w:rPr>
      </w:pPr>
    </w:p>
    <w:p w14:paraId="489E7F4A" w14:textId="3CBF13E3" w:rsidR="00E90651" w:rsidRDefault="00E90651" w:rsidP="00E90651">
      <w:pPr>
        <w:spacing w:line="360" w:lineRule="auto"/>
        <w:jc w:val="center"/>
        <w:rPr>
          <w:rFonts w:ascii="Times New Roman" w:hAnsi="Times New Roman" w:cs="Times New Roman"/>
          <w:b/>
          <w:sz w:val="48"/>
          <w:u w:val="single"/>
        </w:rPr>
      </w:pPr>
      <w:r>
        <w:rPr>
          <w:rFonts w:ascii="Times New Roman" w:hAnsi="Times New Roman" w:cs="Times New Roman"/>
          <w:b/>
          <w:sz w:val="48"/>
          <w:u w:val="single"/>
        </w:rPr>
        <w:lastRenderedPageBreak/>
        <w:t>Bibliography:</w:t>
      </w:r>
    </w:p>
    <w:p w14:paraId="096AB93E" w14:textId="2B6E0D45" w:rsidR="00E90651" w:rsidRDefault="00E90651" w:rsidP="00E90651">
      <w:pPr>
        <w:spacing w:line="360" w:lineRule="auto"/>
        <w:rPr>
          <w:rFonts w:ascii="Times New Roman" w:hAnsi="Times New Roman" w:cs="Times New Roman"/>
          <w:sz w:val="40"/>
        </w:rPr>
      </w:pPr>
      <w:r>
        <w:rPr>
          <w:rFonts w:ascii="Times New Roman" w:hAnsi="Times New Roman" w:cs="Times New Roman"/>
          <w:sz w:val="40"/>
        </w:rPr>
        <w:t>Ancient Scholarship:</w:t>
      </w:r>
    </w:p>
    <w:p w14:paraId="37FFCB8F" w14:textId="31FF6307" w:rsidR="00E90651" w:rsidRDefault="00E90651" w:rsidP="00E90651">
      <w:pPr>
        <w:spacing w:line="360" w:lineRule="auto"/>
        <w:rPr>
          <w:rFonts w:ascii="Times New Roman" w:hAnsi="Times New Roman" w:cs="Times New Roman"/>
          <w:sz w:val="32"/>
        </w:rPr>
      </w:pPr>
      <w:r>
        <w:rPr>
          <w:rFonts w:ascii="Times New Roman" w:hAnsi="Times New Roman" w:cs="Times New Roman"/>
          <w:sz w:val="32"/>
        </w:rPr>
        <w:t xml:space="preserve">Arrian, The discourses of Epictetus. George Long (trans.). 1890. London: George Bell and Sons </w:t>
      </w:r>
    </w:p>
    <w:p w14:paraId="2D86CAE0" w14:textId="263519F1" w:rsidR="00E90651" w:rsidRDefault="00E90651" w:rsidP="00E90651">
      <w:pPr>
        <w:spacing w:line="360" w:lineRule="auto"/>
        <w:rPr>
          <w:rFonts w:ascii="Times New Roman" w:hAnsi="Times New Roman" w:cs="Times New Roman"/>
          <w:sz w:val="40"/>
        </w:rPr>
      </w:pPr>
      <w:r>
        <w:rPr>
          <w:rFonts w:ascii="Times New Roman" w:hAnsi="Times New Roman" w:cs="Times New Roman"/>
          <w:sz w:val="40"/>
        </w:rPr>
        <w:t>Modern Scholarship:</w:t>
      </w:r>
    </w:p>
    <w:p w14:paraId="5E310BF0" w14:textId="3201B93F" w:rsidR="00E90651" w:rsidRDefault="00205B9C" w:rsidP="00E90651">
      <w:pPr>
        <w:spacing w:line="360" w:lineRule="auto"/>
        <w:rPr>
          <w:rFonts w:ascii="Times New Roman" w:hAnsi="Times New Roman" w:cs="Times New Roman"/>
          <w:sz w:val="32"/>
        </w:rPr>
      </w:pPr>
      <w:r>
        <w:rPr>
          <w:rFonts w:ascii="Times New Roman" w:hAnsi="Times New Roman" w:cs="Times New Roman"/>
          <w:sz w:val="32"/>
        </w:rPr>
        <w:t>Hadrill, A. W. 1986. ‘Image and Authority in the coinage of Augustus’ The journal of Roman studies 76, 66-87</w:t>
      </w:r>
    </w:p>
    <w:p w14:paraId="072C6F3F" w14:textId="000D12CE" w:rsidR="00205B9C" w:rsidRDefault="00205B9C" w:rsidP="00E90651">
      <w:pPr>
        <w:spacing w:line="360" w:lineRule="auto"/>
        <w:rPr>
          <w:rFonts w:ascii="Times New Roman" w:hAnsi="Times New Roman" w:cs="Times New Roman"/>
          <w:sz w:val="32"/>
        </w:rPr>
      </w:pPr>
      <w:r>
        <w:rPr>
          <w:rFonts w:ascii="Times New Roman" w:hAnsi="Times New Roman" w:cs="Times New Roman"/>
          <w:sz w:val="32"/>
        </w:rPr>
        <w:t>Howgego, C. 1995. Ancient History from Coins. London: Routledge</w:t>
      </w:r>
    </w:p>
    <w:p w14:paraId="1097192B" w14:textId="22A73802" w:rsidR="00205B9C" w:rsidRDefault="00205B9C" w:rsidP="00E90651">
      <w:pPr>
        <w:spacing w:line="360" w:lineRule="auto"/>
        <w:rPr>
          <w:rFonts w:ascii="Times New Roman" w:hAnsi="Times New Roman" w:cs="Times New Roman"/>
          <w:sz w:val="32"/>
        </w:rPr>
      </w:pPr>
      <w:r>
        <w:rPr>
          <w:rFonts w:ascii="Times New Roman" w:hAnsi="Times New Roman" w:cs="Times New Roman"/>
          <w:sz w:val="32"/>
        </w:rPr>
        <w:t xml:space="preserve">Sutherland, C. H. V. 1976. The Emperor and the Coinage. London: Spink and Son </w:t>
      </w:r>
    </w:p>
    <w:p w14:paraId="041C7B1F" w14:textId="03D6791F" w:rsidR="00205B9C" w:rsidRPr="00E90651" w:rsidRDefault="00205B9C" w:rsidP="00E90651">
      <w:pPr>
        <w:spacing w:line="360" w:lineRule="auto"/>
        <w:rPr>
          <w:rFonts w:ascii="Times New Roman" w:hAnsi="Times New Roman" w:cs="Times New Roman"/>
          <w:sz w:val="32"/>
        </w:rPr>
      </w:pPr>
      <w:r>
        <w:rPr>
          <w:rFonts w:ascii="Times New Roman" w:hAnsi="Times New Roman" w:cs="Times New Roman"/>
          <w:sz w:val="32"/>
        </w:rPr>
        <w:t>Mattingly, H. 1968. Roman Imperial Coinage. London: Spink and Son</w:t>
      </w:r>
      <w:bookmarkStart w:id="8" w:name="_GoBack"/>
      <w:bookmarkEnd w:id="8"/>
    </w:p>
    <w:p w14:paraId="67313A20" w14:textId="77777777" w:rsidR="00233F9C" w:rsidRPr="00C90320" w:rsidRDefault="00233F9C" w:rsidP="00B50B18">
      <w:pPr>
        <w:spacing w:line="360" w:lineRule="auto"/>
        <w:rPr>
          <w:rFonts w:ascii="Times New Roman" w:hAnsi="Times New Roman" w:cs="Times New Roman"/>
          <w:sz w:val="24"/>
        </w:rPr>
      </w:pPr>
    </w:p>
    <w:sectPr w:rsidR="00233F9C" w:rsidRPr="00C9032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BE4B7" w14:textId="77777777" w:rsidR="00487218" w:rsidRDefault="00487218" w:rsidP="00B50B18">
      <w:pPr>
        <w:spacing w:after="0" w:line="240" w:lineRule="auto"/>
      </w:pPr>
      <w:r>
        <w:separator/>
      </w:r>
    </w:p>
  </w:endnote>
  <w:endnote w:type="continuationSeparator" w:id="0">
    <w:p w14:paraId="419FB1C9" w14:textId="77777777" w:rsidR="00487218" w:rsidRDefault="00487218" w:rsidP="00B50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3954706"/>
      <w:docPartObj>
        <w:docPartGallery w:val="Page Numbers (Bottom of Page)"/>
        <w:docPartUnique/>
      </w:docPartObj>
    </w:sdtPr>
    <w:sdtEndPr>
      <w:rPr>
        <w:noProof/>
      </w:rPr>
    </w:sdtEndPr>
    <w:sdtContent>
      <w:p w14:paraId="51C91541" w14:textId="404E0C9E" w:rsidR="00FF4EBA" w:rsidRDefault="00FF4EBA">
        <w:pPr>
          <w:pStyle w:val="Footer"/>
          <w:jc w:val="right"/>
        </w:pPr>
        <w:r>
          <w:fldChar w:fldCharType="begin"/>
        </w:r>
        <w:r>
          <w:instrText xml:space="preserve"> PAGE   \* MERGEFORMAT </w:instrText>
        </w:r>
        <w:r>
          <w:fldChar w:fldCharType="separate"/>
        </w:r>
        <w:r w:rsidR="00205B9C">
          <w:rPr>
            <w:noProof/>
          </w:rPr>
          <w:t>8</w:t>
        </w:r>
        <w:r>
          <w:rPr>
            <w:noProof/>
          </w:rPr>
          <w:fldChar w:fldCharType="end"/>
        </w:r>
      </w:p>
    </w:sdtContent>
  </w:sdt>
  <w:p w14:paraId="1E954BE5" w14:textId="77777777" w:rsidR="00FF4EBA" w:rsidRDefault="00FF4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11089" w14:textId="77777777" w:rsidR="00487218" w:rsidRDefault="00487218" w:rsidP="00B50B18">
      <w:pPr>
        <w:spacing w:after="0" w:line="240" w:lineRule="auto"/>
      </w:pPr>
      <w:r>
        <w:separator/>
      </w:r>
    </w:p>
  </w:footnote>
  <w:footnote w:type="continuationSeparator" w:id="0">
    <w:p w14:paraId="61E7A00C" w14:textId="77777777" w:rsidR="00487218" w:rsidRDefault="00487218" w:rsidP="00B50B18">
      <w:pPr>
        <w:spacing w:after="0" w:line="240" w:lineRule="auto"/>
      </w:pPr>
      <w:r>
        <w:continuationSeparator/>
      </w:r>
    </w:p>
  </w:footnote>
  <w:footnote w:id="1">
    <w:p w14:paraId="13CFD3ED" w14:textId="6E953B90" w:rsidR="00FF4EBA" w:rsidRPr="005A098A" w:rsidRDefault="00FF4EB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w:t>
      </w:r>
    </w:p>
  </w:footnote>
  <w:footnote w:id="2">
    <w:p w14:paraId="2DDE198E" w14:textId="77777777" w:rsidR="00FF4EBA" w:rsidRPr="005A098A" w:rsidRDefault="00FF4EBA" w:rsidP="005A098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w:t>
      </w:r>
    </w:p>
    <w:p w14:paraId="2FC54F75" w14:textId="120B0F64" w:rsidR="00FF4EBA" w:rsidRDefault="00FF4EBA">
      <w:pPr>
        <w:pStyle w:val="FootnoteText"/>
      </w:pPr>
    </w:p>
  </w:footnote>
  <w:footnote w:id="3">
    <w:p w14:paraId="299AEDEB" w14:textId="77777777" w:rsidR="00FF4EBA" w:rsidRPr="005A098A" w:rsidRDefault="00FF4EBA" w:rsidP="005A098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w:t>
      </w:r>
    </w:p>
    <w:p w14:paraId="6AED0768" w14:textId="5A8E5C9B" w:rsidR="00FF4EBA" w:rsidRDefault="00FF4EBA">
      <w:pPr>
        <w:pStyle w:val="FootnoteText"/>
      </w:pPr>
    </w:p>
  </w:footnote>
  <w:footnote w:id="4">
    <w:p w14:paraId="2F6B52BA" w14:textId="77777777" w:rsidR="00FF4EBA" w:rsidRPr="005A098A" w:rsidRDefault="00FF4EBA" w:rsidP="005A098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w:t>
      </w:r>
    </w:p>
    <w:p w14:paraId="3DDB755F" w14:textId="5B60C3CE" w:rsidR="00FF4EBA" w:rsidRDefault="00FF4EBA">
      <w:pPr>
        <w:pStyle w:val="FootnoteText"/>
      </w:pPr>
    </w:p>
  </w:footnote>
  <w:footnote w:id="5">
    <w:p w14:paraId="5817712D" w14:textId="77777777" w:rsidR="00FF4EBA" w:rsidRPr="005A098A" w:rsidRDefault="00FF4EBA" w:rsidP="005A098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w:t>
      </w:r>
    </w:p>
    <w:p w14:paraId="7206BDBE" w14:textId="23466FF6" w:rsidR="00FF4EBA" w:rsidRDefault="00FF4EBA">
      <w:pPr>
        <w:pStyle w:val="FootnoteText"/>
      </w:pPr>
    </w:p>
  </w:footnote>
  <w:footnote w:id="6">
    <w:p w14:paraId="03051217" w14:textId="77777777" w:rsidR="00FF4EBA" w:rsidRPr="005A098A" w:rsidRDefault="00FF4EBA" w:rsidP="00127A8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w:t>
      </w:r>
    </w:p>
    <w:p w14:paraId="26063E19" w14:textId="1B43E5A6" w:rsidR="00FF4EBA" w:rsidRDefault="00FF4EBA">
      <w:pPr>
        <w:pStyle w:val="FootnoteText"/>
      </w:pPr>
    </w:p>
  </w:footnote>
  <w:footnote w:id="7">
    <w:p w14:paraId="299C1DAB" w14:textId="0AC90615" w:rsidR="00FF4EBA" w:rsidRPr="005A098A" w:rsidRDefault="00FF4EBA" w:rsidP="00127A8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66-87</w:t>
      </w:r>
    </w:p>
    <w:p w14:paraId="58ED3629" w14:textId="027E6BD7" w:rsidR="00FF4EBA" w:rsidRDefault="00FF4EBA">
      <w:pPr>
        <w:pStyle w:val="FootnoteText"/>
      </w:pPr>
    </w:p>
  </w:footnote>
  <w:footnote w:id="8">
    <w:p w14:paraId="0C7037B0" w14:textId="0CB786A3" w:rsidR="00FF4EBA" w:rsidRPr="005A098A" w:rsidRDefault="00FF4EBA" w:rsidP="00127A8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67-70</w:t>
      </w:r>
    </w:p>
    <w:p w14:paraId="0E916C60" w14:textId="59E59AF4" w:rsidR="00FF4EBA" w:rsidRDefault="00FF4EBA">
      <w:pPr>
        <w:pStyle w:val="FootnoteText"/>
      </w:pPr>
    </w:p>
  </w:footnote>
  <w:footnote w:id="9">
    <w:p w14:paraId="30890BCD" w14:textId="70E28B46" w:rsidR="00FF4EBA" w:rsidRPr="005A098A" w:rsidRDefault="00FF4EBA" w:rsidP="00127A8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66-70</w:t>
      </w:r>
    </w:p>
    <w:p w14:paraId="6E2F9A20" w14:textId="222AC786" w:rsidR="00FF4EBA" w:rsidRDefault="00FF4EBA">
      <w:pPr>
        <w:pStyle w:val="FootnoteText"/>
      </w:pPr>
    </w:p>
  </w:footnote>
  <w:footnote w:id="10">
    <w:p w14:paraId="489C359C" w14:textId="4E757769" w:rsidR="00FF4EBA" w:rsidRPr="005A098A" w:rsidRDefault="00FF4EBA" w:rsidP="00127A8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66-70</w:t>
      </w:r>
    </w:p>
    <w:p w14:paraId="3A042DB2" w14:textId="0850F289" w:rsidR="00FF4EBA" w:rsidRDefault="00FF4EBA">
      <w:pPr>
        <w:pStyle w:val="FootnoteText"/>
      </w:pPr>
    </w:p>
  </w:footnote>
  <w:footnote w:id="11">
    <w:p w14:paraId="37310173" w14:textId="77777777" w:rsidR="00FF4EBA" w:rsidRPr="005A098A" w:rsidRDefault="00FF4EBA" w:rsidP="00127A8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66-70</w:t>
      </w:r>
    </w:p>
    <w:p w14:paraId="4E4E32C7" w14:textId="561E68DB" w:rsidR="00FF4EBA" w:rsidRDefault="00FF4EBA">
      <w:pPr>
        <w:pStyle w:val="FootnoteText"/>
      </w:pPr>
    </w:p>
  </w:footnote>
  <w:footnote w:id="12">
    <w:p w14:paraId="01155845" w14:textId="30A3BC78" w:rsidR="00FF4EBA" w:rsidRPr="005A098A" w:rsidRDefault="00FF4EBA" w:rsidP="00127A8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70</w:t>
      </w:r>
    </w:p>
    <w:p w14:paraId="6E08D5EB" w14:textId="78B93474" w:rsidR="00FF4EBA" w:rsidRDefault="00FF4EBA">
      <w:pPr>
        <w:pStyle w:val="FootnoteText"/>
      </w:pPr>
    </w:p>
  </w:footnote>
  <w:footnote w:id="13">
    <w:p w14:paraId="12C8BE3A" w14:textId="7B5A167B" w:rsidR="00FF4EBA" w:rsidRPr="005A098A" w:rsidRDefault="00FF4EBA" w:rsidP="00127A8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70</w:t>
      </w:r>
    </w:p>
    <w:p w14:paraId="534B11F8" w14:textId="69E92B62" w:rsidR="00FF4EBA" w:rsidRDefault="00FF4EBA">
      <w:pPr>
        <w:pStyle w:val="FootnoteText"/>
      </w:pPr>
    </w:p>
  </w:footnote>
  <w:footnote w:id="14">
    <w:p w14:paraId="2A2C8322" w14:textId="2E23A5A7" w:rsidR="00FF4EBA" w:rsidRDefault="00FF4EBA">
      <w:pPr>
        <w:pStyle w:val="FootnoteText"/>
      </w:pPr>
      <w:r>
        <w:rPr>
          <w:rStyle w:val="FootnoteReference"/>
        </w:rPr>
        <w:footnoteRef/>
      </w:r>
      <w:r>
        <w:t xml:space="preserve"> </w:t>
      </w:r>
      <w:r>
        <w:rPr>
          <w:rFonts w:ascii="Times New Roman" w:hAnsi="Times New Roman" w:cs="Times New Roman"/>
        </w:rPr>
        <w:t>Andrew Wallace-Hadrill 1986: 70</w:t>
      </w:r>
    </w:p>
  </w:footnote>
  <w:footnote w:id="15">
    <w:p w14:paraId="0B419A28" w14:textId="5590EA13" w:rsidR="00FF4EBA" w:rsidRDefault="00FF4EBA">
      <w:pPr>
        <w:pStyle w:val="FootnoteText"/>
      </w:pPr>
      <w:r>
        <w:rPr>
          <w:rStyle w:val="FootnoteReference"/>
        </w:rPr>
        <w:footnoteRef/>
      </w:r>
      <w:r>
        <w:t xml:space="preserve"> </w:t>
      </w:r>
      <w:r>
        <w:rPr>
          <w:rFonts w:ascii="Times New Roman" w:hAnsi="Times New Roman" w:cs="Times New Roman"/>
        </w:rPr>
        <w:t>Andrew Wallace-Hadrill 1986: 70-77</w:t>
      </w:r>
    </w:p>
  </w:footnote>
  <w:footnote w:id="16">
    <w:p w14:paraId="6D3DA9B4" w14:textId="0603FE97" w:rsidR="00FF4EBA" w:rsidRDefault="00FF4EBA">
      <w:pPr>
        <w:pStyle w:val="FootnoteText"/>
      </w:pPr>
      <w:r>
        <w:rPr>
          <w:rStyle w:val="FootnoteReference"/>
        </w:rPr>
        <w:footnoteRef/>
      </w:r>
      <w:r>
        <w:t xml:space="preserve"> </w:t>
      </w:r>
      <w:r>
        <w:rPr>
          <w:rFonts w:ascii="Times New Roman" w:hAnsi="Times New Roman" w:cs="Times New Roman"/>
        </w:rPr>
        <w:t>Andrew Wallace-Hadrill 1986: 70-77</w:t>
      </w:r>
    </w:p>
  </w:footnote>
  <w:footnote w:id="17">
    <w:p w14:paraId="4F97B01C" w14:textId="57B39D4B" w:rsidR="00FF4EBA" w:rsidRDefault="00FF4EBA">
      <w:pPr>
        <w:pStyle w:val="FootnoteText"/>
      </w:pPr>
      <w:r>
        <w:rPr>
          <w:rStyle w:val="FootnoteReference"/>
        </w:rPr>
        <w:footnoteRef/>
      </w:r>
      <w:r>
        <w:t xml:space="preserve"> </w:t>
      </w:r>
      <w:r>
        <w:rPr>
          <w:rFonts w:ascii="Times New Roman" w:hAnsi="Times New Roman" w:cs="Times New Roman"/>
        </w:rPr>
        <w:t>Andrew Wallace-Hadrill 1986: 77</w:t>
      </w:r>
    </w:p>
  </w:footnote>
  <w:footnote w:id="18">
    <w:p w14:paraId="2F194F47" w14:textId="3643F711" w:rsidR="00FF4EBA" w:rsidRDefault="00FF4EBA">
      <w:pPr>
        <w:pStyle w:val="FootnoteText"/>
      </w:pPr>
      <w:r>
        <w:rPr>
          <w:rStyle w:val="FootnoteReference"/>
        </w:rPr>
        <w:footnoteRef/>
      </w:r>
      <w:r>
        <w:t xml:space="preserve"> </w:t>
      </w:r>
      <w:r>
        <w:rPr>
          <w:rFonts w:ascii="Times New Roman" w:hAnsi="Times New Roman" w:cs="Times New Roman"/>
        </w:rPr>
        <w:t>Andrew Wallace-Hadrill 1986: 77</w:t>
      </w:r>
    </w:p>
  </w:footnote>
  <w:footnote w:id="19">
    <w:p w14:paraId="58E09DB0" w14:textId="4C608F33" w:rsidR="00FF4EBA" w:rsidRDefault="00FF4EBA">
      <w:pPr>
        <w:pStyle w:val="FootnoteText"/>
      </w:pPr>
      <w:r>
        <w:rPr>
          <w:rStyle w:val="FootnoteReference"/>
        </w:rPr>
        <w:footnoteRef/>
      </w:r>
      <w:r>
        <w:t xml:space="preserve"> </w:t>
      </w:r>
      <w:bookmarkStart w:id="1" w:name="_Hlk505193010"/>
      <w:r>
        <w:rPr>
          <w:rFonts w:ascii="Times New Roman" w:hAnsi="Times New Roman" w:cs="Times New Roman"/>
        </w:rPr>
        <w:t>Andrew Wallace-Hadrill 1986: 77-87</w:t>
      </w:r>
      <w:bookmarkEnd w:id="1"/>
    </w:p>
  </w:footnote>
  <w:footnote w:id="20">
    <w:p w14:paraId="5990A16E" w14:textId="5884F26D" w:rsidR="00FF4EBA" w:rsidRDefault="00FF4EBA">
      <w:pPr>
        <w:pStyle w:val="FootnoteText"/>
      </w:pPr>
      <w:r>
        <w:rPr>
          <w:rStyle w:val="FootnoteReference"/>
        </w:rPr>
        <w:footnoteRef/>
      </w:r>
      <w:r>
        <w:t xml:space="preserve"> </w:t>
      </w:r>
      <w:r>
        <w:rPr>
          <w:rFonts w:ascii="Times New Roman" w:hAnsi="Times New Roman" w:cs="Times New Roman"/>
        </w:rPr>
        <w:t>Andrew Wallace-Hadrill 1986: 77-87</w:t>
      </w:r>
    </w:p>
  </w:footnote>
  <w:footnote w:id="21">
    <w:p w14:paraId="2A9882A1" w14:textId="432C5228" w:rsidR="00FF4EBA" w:rsidRDefault="00FF4EBA">
      <w:pPr>
        <w:pStyle w:val="FootnoteText"/>
      </w:pPr>
      <w:r>
        <w:rPr>
          <w:rStyle w:val="FootnoteReference"/>
        </w:rPr>
        <w:footnoteRef/>
      </w:r>
      <w:r>
        <w:t xml:space="preserve"> </w:t>
      </w:r>
      <w:r>
        <w:rPr>
          <w:rFonts w:ascii="Times New Roman" w:hAnsi="Times New Roman" w:cs="Times New Roman"/>
        </w:rPr>
        <w:t>Andrew Wallace-Hadrill 1986: 77-87</w:t>
      </w:r>
    </w:p>
  </w:footnote>
  <w:footnote w:id="22">
    <w:p w14:paraId="6D8D5041" w14:textId="13139186" w:rsidR="00FF4EBA" w:rsidRDefault="00FF4EBA">
      <w:pPr>
        <w:pStyle w:val="FootnoteText"/>
      </w:pPr>
      <w:r>
        <w:rPr>
          <w:rStyle w:val="FootnoteReference"/>
        </w:rPr>
        <w:footnoteRef/>
      </w:r>
      <w:r>
        <w:t xml:space="preserve"> </w:t>
      </w:r>
      <w:r>
        <w:rPr>
          <w:rFonts w:ascii="Times New Roman" w:hAnsi="Times New Roman" w:cs="Times New Roman"/>
        </w:rPr>
        <w:t>Andrew Wallace-Hadrill 1986: 66-87</w:t>
      </w:r>
    </w:p>
  </w:footnote>
  <w:footnote w:id="23">
    <w:p w14:paraId="4D739D1E" w14:textId="76281AFC" w:rsidR="00FF4EBA" w:rsidRDefault="00FF4EBA">
      <w:pPr>
        <w:pStyle w:val="FootnoteText"/>
      </w:pPr>
      <w:r>
        <w:rPr>
          <w:rStyle w:val="FootnoteReference"/>
        </w:rPr>
        <w:footnoteRef/>
      </w:r>
      <w:r>
        <w:t xml:space="preserve"> </w:t>
      </w:r>
      <w:r>
        <w:rPr>
          <w:rFonts w:ascii="Times New Roman" w:hAnsi="Times New Roman" w:cs="Times New Roman"/>
        </w:rPr>
        <w:t>Andrew Wallace-Hadrill 1986: 66</w:t>
      </w:r>
    </w:p>
  </w:footnote>
  <w:footnote w:id="24">
    <w:p w14:paraId="40FBB479" w14:textId="2CA1D23E" w:rsidR="00FF4EBA" w:rsidRPr="00747306" w:rsidRDefault="00FF4EB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Howgego 1995: 75-77</w:t>
      </w:r>
    </w:p>
  </w:footnote>
  <w:footnote w:id="25">
    <w:p w14:paraId="32BF609E" w14:textId="3DE9F4E1" w:rsidR="00FF4EBA" w:rsidRPr="00B674DB" w:rsidRDefault="00FF4EBA">
      <w:pPr>
        <w:pStyle w:val="FootnoteText"/>
        <w:rPr>
          <w:rFonts w:ascii="Times New Roman" w:hAnsi="Times New Roman" w:cs="Times New Roman"/>
        </w:rPr>
      </w:pPr>
      <w:r>
        <w:rPr>
          <w:rStyle w:val="FootnoteReference"/>
        </w:rPr>
        <w:footnoteRef/>
      </w:r>
      <w:r>
        <w:t xml:space="preserve"> </w:t>
      </w:r>
      <w:bookmarkStart w:id="2" w:name="_Hlk505203339"/>
      <w:r>
        <w:rPr>
          <w:rFonts w:ascii="Times New Roman" w:hAnsi="Times New Roman" w:cs="Times New Roman"/>
        </w:rPr>
        <w:t>Arrian. Disc. 4.5</w:t>
      </w:r>
      <w:bookmarkEnd w:id="2"/>
    </w:p>
  </w:footnote>
  <w:footnote w:id="26">
    <w:p w14:paraId="38B10BB5" w14:textId="5D19C2FF" w:rsidR="00FF4EBA" w:rsidRDefault="00FF4EBA">
      <w:pPr>
        <w:pStyle w:val="FootnoteText"/>
      </w:pPr>
      <w:r>
        <w:rPr>
          <w:rStyle w:val="FootnoteReference"/>
        </w:rPr>
        <w:footnoteRef/>
      </w:r>
      <w:r>
        <w:t xml:space="preserve"> </w:t>
      </w:r>
      <w:r>
        <w:rPr>
          <w:rFonts w:ascii="Times New Roman" w:hAnsi="Times New Roman" w:cs="Times New Roman"/>
        </w:rPr>
        <w:t>Arrian. Disc. 4.5</w:t>
      </w:r>
    </w:p>
  </w:footnote>
  <w:footnote w:id="27">
    <w:p w14:paraId="4C40F5E4" w14:textId="1BFDCC7B" w:rsidR="00FF4EBA" w:rsidRDefault="00FF4EBA">
      <w:pPr>
        <w:pStyle w:val="FootnoteText"/>
      </w:pPr>
      <w:r>
        <w:rPr>
          <w:rStyle w:val="FootnoteReference"/>
        </w:rPr>
        <w:footnoteRef/>
      </w:r>
      <w:r>
        <w:t xml:space="preserve"> </w:t>
      </w:r>
      <w:r>
        <w:rPr>
          <w:rFonts w:ascii="Times New Roman" w:hAnsi="Times New Roman" w:cs="Times New Roman"/>
        </w:rPr>
        <w:t>Arrian. Disc. 3.3</w:t>
      </w:r>
    </w:p>
  </w:footnote>
  <w:footnote w:id="28">
    <w:p w14:paraId="3D4FAEE2" w14:textId="2137967F" w:rsidR="00FF4EBA" w:rsidRDefault="00FF4EBA">
      <w:pPr>
        <w:pStyle w:val="FootnoteText"/>
      </w:pPr>
      <w:r>
        <w:rPr>
          <w:rStyle w:val="FootnoteReference"/>
        </w:rPr>
        <w:footnoteRef/>
      </w:r>
      <w:r>
        <w:t xml:space="preserve"> </w:t>
      </w:r>
      <w:r>
        <w:rPr>
          <w:rFonts w:ascii="Times New Roman" w:hAnsi="Times New Roman" w:cs="Times New Roman"/>
        </w:rPr>
        <w:t>Arrian. Disc. 4.5</w:t>
      </w:r>
    </w:p>
  </w:footnote>
  <w:footnote w:id="29">
    <w:p w14:paraId="6A02AF08" w14:textId="77777777" w:rsidR="00FF4EBA" w:rsidRPr="005A098A" w:rsidRDefault="00FF4EBA" w:rsidP="0039369E">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Andrew Wallace-Hadrill 1986: 67-70</w:t>
      </w:r>
    </w:p>
    <w:p w14:paraId="50C9AB2B" w14:textId="4802BE57" w:rsidR="00FF4EBA" w:rsidRDefault="00FF4EBA">
      <w:pPr>
        <w:pStyle w:val="FootnoteText"/>
      </w:pPr>
    </w:p>
  </w:footnote>
  <w:footnote w:id="30">
    <w:p w14:paraId="47ECB959" w14:textId="2436CDD0" w:rsidR="00FF4EBA" w:rsidRPr="00705F8C" w:rsidRDefault="00FF4EB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Sutherland 1976: Plate II - 21</w:t>
      </w:r>
    </w:p>
  </w:footnote>
  <w:footnote w:id="31">
    <w:p w14:paraId="7D8A299A" w14:textId="2765E386" w:rsidR="00FF4EBA" w:rsidRDefault="00FF4EBA">
      <w:pPr>
        <w:pStyle w:val="FootnoteText"/>
      </w:pPr>
      <w:r>
        <w:rPr>
          <w:rStyle w:val="FootnoteReference"/>
        </w:rPr>
        <w:footnoteRef/>
      </w:r>
      <w:r>
        <w:t xml:space="preserve"> </w:t>
      </w:r>
      <w:bookmarkStart w:id="3" w:name="_Hlk505199132"/>
      <w:r>
        <w:rPr>
          <w:rFonts w:ascii="Times New Roman" w:hAnsi="Times New Roman" w:cs="Times New Roman"/>
        </w:rPr>
        <w:t>Howgego 1995: 72</w:t>
      </w:r>
      <w:bookmarkEnd w:id="3"/>
    </w:p>
  </w:footnote>
  <w:footnote w:id="32">
    <w:p w14:paraId="2A177F5B" w14:textId="43E71825" w:rsidR="00FF4EBA" w:rsidRDefault="00FF4EBA">
      <w:pPr>
        <w:pStyle w:val="FootnoteText"/>
      </w:pPr>
      <w:r>
        <w:rPr>
          <w:rStyle w:val="FootnoteReference"/>
        </w:rPr>
        <w:footnoteRef/>
      </w:r>
      <w:r>
        <w:t xml:space="preserve"> </w:t>
      </w:r>
      <w:r>
        <w:rPr>
          <w:rFonts w:ascii="Times New Roman" w:hAnsi="Times New Roman" w:cs="Times New Roman"/>
        </w:rPr>
        <w:t>Howgego 1995: 72</w:t>
      </w:r>
    </w:p>
  </w:footnote>
  <w:footnote w:id="33">
    <w:p w14:paraId="737B3084" w14:textId="09B95F26" w:rsidR="00FF4EBA" w:rsidRDefault="00FF4EBA">
      <w:pPr>
        <w:pStyle w:val="FootnoteText"/>
      </w:pPr>
      <w:r>
        <w:rPr>
          <w:rStyle w:val="FootnoteReference"/>
        </w:rPr>
        <w:footnoteRef/>
      </w:r>
      <w:r>
        <w:t xml:space="preserve"> </w:t>
      </w:r>
      <w:r>
        <w:rPr>
          <w:rFonts w:ascii="Times New Roman" w:hAnsi="Times New Roman" w:cs="Times New Roman"/>
        </w:rPr>
        <w:t>Howgego 1995: 72</w:t>
      </w:r>
    </w:p>
  </w:footnote>
  <w:footnote w:id="34">
    <w:p w14:paraId="208F8D2F" w14:textId="140CA466" w:rsidR="00FF4EBA" w:rsidRDefault="00FF4EBA">
      <w:pPr>
        <w:pStyle w:val="FootnoteText"/>
      </w:pPr>
      <w:r>
        <w:rPr>
          <w:rStyle w:val="FootnoteReference"/>
        </w:rPr>
        <w:footnoteRef/>
      </w:r>
      <w:r>
        <w:t xml:space="preserve"> </w:t>
      </w:r>
      <w:bookmarkStart w:id="4" w:name="_Hlk505200208"/>
      <w:r>
        <w:rPr>
          <w:rFonts w:ascii="Times New Roman" w:hAnsi="Times New Roman" w:cs="Times New Roman"/>
        </w:rPr>
        <w:t>Andrew Wallace-Hadrill 1986: 70</w:t>
      </w:r>
      <w:bookmarkEnd w:id="4"/>
    </w:p>
  </w:footnote>
  <w:footnote w:id="35">
    <w:p w14:paraId="7C384140" w14:textId="32B8D51B" w:rsidR="00FF4EBA" w:rsidRDefault="00FF4EBA">
      <w:pPr>
        <w:pStyle w:val="FootnoteText"/>
      </w:pPr>
      <w:r>
        <w:rPr>
          <w:rStyle w:val="FootnoteReference"/>
        </w:rPr>
        <w:footnoteRef/>
      </w:r>
      <w:r>
        <w:t xml:space="preserve"> </w:t>
      </w:r>
      <w:r>
        <w:rPr>
          <w:rFonts w:ascii="Times New Roman" w:hAnsi="Times New Roman" w:cs="Times New Roman"/>
        </w:rPr>
        <w:t>Andrew Wallace-Hadrill 1986: 70</w:t>
      </w:r>
    </w:p>
  </w:footnote>
  <w:footnote w:id="36">
    <w:p w14:paraId="074CD9B5" w14:textId="533387AD" w:rsidR="00FF4EBA" w:rsidRDefault="00FF4EBA">
      <w:pPr>
        <w:pStyle w:val="FootnoteText"/>
      </w:pPr>
      <w:r>
        <w:rPr>
          <w:rStyle w:val="FootnoteReference"/>
        </w:rPr>
        <w:footnoteRef/>
      </w:r>
      <w:r>
        <w:t xml:space="preserve"> </w:t>
      </w:r>
      <w:r>
        <w:rPr>
          <w:rFonts w:ascii="Times New Roman" w:hAnsi="Times New Roman" w:cs="Times New Roman"/>
        </w:rPr>
        <w:t>Andrew Wallace-Hadrill 1986: 75</w:t>
      </w:r>
    </w:p>
  </w:footnote>
  <w:footnote w:id="37">
    <w:p w14:paraId="145D99A2" w14:textId="7015092F" w:rsidR="00FF4EBA" w:rsidRDefault="00FF4EBA">
      <w:pPr>
        <w:pStyle w:val="FootnoteText"/>
      </w:pPr>
      <w:r>
        <w:rPr>
          <w:rStyle w:val="FootnoteReference"/>
        </w:rPr>
        <w:footnoteRef/>
      </w:r>
      <w:r>
        <w:t xml:space="preserve"> </w:t>
      </w:r>
      <w:bookmarkStart w:id="5" w:name="_Hlk505201715"/>
      <w:r>
        <w:rPr>
          <w:rFonts w:ascii="Times New Roman" w:hAnsi="Times New Roman" w:cs="Times New Roman"/>
        </w:rPr>
        <w:t xml:space="preserve">Sutherland 1976: </w:t>
      </w:r>
      <w:bookmarkEnd w:id="5"/>
      <w:r>
        <w:rPr>
          <w:rFonts w:ascii="Times New Roman" w:hAnsi="Times New Roman" w:cs="Times New Roman"/>
        </w:rPr>
        <w:t>Plate I - 11</w:t>
      </w:r>
    </w:p>
  </w:footnote>
  <w:footnote w:id="38">
    <w:p w14:paraId="4F15E1BE" w14:textId="7AE8AF8A" w:rsidR="00FF4EBA" w:rsidRDefault="00FF4EBA">
      <w:pPr>
        <w:pStyle w:val="FootnoteText"/>
      </w:pPr>
      <w:r>
        <w:rPr>
          <w:rStyle w:val="FootnoteReference"/>
        </w:rPr>
        <w:footnoteRef/>
      </w:r>
      <w:r>
        <w:t xml:space="preserve"> </w:t>
      </w:r>
      <w:r>
        <w:rPr>
          <w:rFonts w:ascii="Times New Roman" w:hAnsi="Times New Roman" w:cs="Times New Roman"/>
        </w:rPr>
        <w:t>Andrew Wallace-Hadrill 1986: 75</w:t>
      </w:r>
    </w:p>
  </w:footnote>
  <w:footnote w:id="39">
    <w:p w14:paraId="16FD7ADF" w14:textId="573384D4" w:rsidR="00FF4EBA" w:rsidRDefault="00FF4EBA">
      <w:pPr>
        <w:pStyle w:val="FootnoteText"/>
      </w:pPr>
      <w:r>
        <w:rPr>
          <w:rStyle w:val="FootnoteReference"/>
        </w:rPr>
        <w:footnoteRef/>
      </w:r>
      <w:r>
        <w:t xml:space="preserve"> </w:t>
      </w:r>
      <w:r>
        <w:rPr>
          <w:rFonts w:ascii="Times New Roman" w:hAnsi="Times New Roman" w:cs="Times New Roman"/>
        </w:rPr>
        <w:t>Andrew Wallace-Hadrill 1986: 75</w:t>
      </w:r>
    </w:p>
  </w:footnote>
  <w:footnote w:id="40">
    <w:p w14:paraId="452AF0A1" w14:textId="40DB6809" w:rsidR="00FF4EBA" w:rsidRPr="00C87C37" w:rsidRDefault="00FF4EB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Mattingly 1968: 277</w:t>
      </w:r>
    </w:p>
  </w:footnote>
  <w:footnote w:id="41">
    <w:p w14:paraId="696967B0" w14:textId="26486D65" w:rsidR="00FF4EBA" w:rsidRDefault="00FF4EBA">
      <w:pPr>
        <w:pStyle w:val="FootnoteText"/>
      </w:pPr>
      <w:r>
        <w:rPr>
          <w:rStyle w:val="FootnoteReference"/>
        </w:rPr>
        <w:footnoteRef/>
      </w:r>
      <w:r>
        <w:t xml:space="preserve"> </w:t>
      </w:r>
      <w:r>
        <w:rPr>
          <w:rFonts w:ascii="Times New Roman" w:hAnsi="Times New Roman" w:cs="Times New Roman"/>
        </w:rPr>
        <w:t xml:space="preserve">Howgego 1995: 54 – 57 </w:t>
      </w:r>
    </w:p>
  </w:footnote>
  <w:footnote w:id="42">
    <w:p w14:paraId="36B5B3A4" w14:textId="4D186E4E" w:rsidR="00FF4EBA" w:rsidRDefault="00FF4EBA">
      <w:pPr>
        <w:pStyle w:val="FootnoteText"/>
      </w:pPr>
      <w:r>
        <w:rPr>
          <w:rStyle w:val="FootnoteReference"/>
        </w:rPr>
        <w:footnoteRef/>
      </w:r>
      <w:r>
        <w:t xml:space="preserve"> </w:t>
      </w:r>
      <w:bookmarkStart w:id="6" w:name="_Hlk505201558"/>
      <w:r>
        <w:rPr>
          <w:rFonts w:ascii="Times New Roman" w:hAnsi="Times New Roman" w:cs="Times New Roman"/>
        </w:rPr>
        <w:t xml:space="preserve">Andrew Wallace-Hadrill 1986: </w:t>
      </w:r>
      <w:bookmarkEnd w:id="6"/>
      <w:r>
        <w:rPr>
          <w:rFonts w:ascii="Times New Roman" w:hAnsi="Times New Roman" w:cs="Times New Roman"/>
        </w:rPr>
        <w:t>76</w:t>
      </w:r>
    </w:p>
  </w:footnote>
  <w:footnote w:id="43">
    <w:p w14:paraId="7F7F4FFD" w14:textId="23509E07" w:rsidR="00FF4EBA" w:rsidRDefault="00FF4EBA">
      <w:pPr>
        <w:pStyle w:val="FootnoteText"/>
      </w:pPr>
      <w:r>
        <w:rPr>
          <w:rStyle w:val="FootnoteReference"/>
        </w:rPr>
        <w:footnoteRef/>
      </w:r>
      <w:r>
        <w:t xml:space="preserve"> </w:t>
      </w:r>
      <w:r>
        <w:rPr>
          <w:rFonts w:ascii="Times New Roman" w:hAnsi="Times New Roman" w:cs="Times New Roman"/>
        </w:rPr>
        <w:t>Mattingly 1968: Plate IV - 74</w:t>
      </w:r>
    </w:p>
  </w:footnote>
  <w:footnote w:id="44">
    <w:p w14:paraId="119A9400" w14:textId="0C7FE2F6" w:rsidR="00FF4EBA" w:rsidRDefault="00FF4EBA">
      <w:pPr>
        <w:pStyle w:val="FootnoteText"/>
      </w:pPr>
      <w:r>
        <w:rPr>
          <w:rStyle w:val="FootnoteReference"/>
        </w:rPr>
        <w:footnoteRef/>
      </w:r>
      <w:r>
        <w:t xml:space="preserve"> </w:t>
      </w:r>
      <w:r>
        <w:rPr>
          <w:rFonts w:ascii="Times New Roman" w:hAnsi="Times New Roman" w:cs="Times New Roman"/>
        </w:rPr>
        <w:t>Mattingly 1968: 48</w:t>
      </w:r>
    </w:p>
  </w:footnote>
  <w:footnote w:id="45">
    <w:p w14:paraId="10BE37E7" w14:textId="58D37D39" w:rsidR="00FF4EBA" w:rsidRDefault="00FF4EBA">
      <w:pPr>
        <w:pStyle w:val="FootnoteText"/>
      </w:pPr>
      <w:r>
        <w:rPr>
          <w:rStyle w:val="FootnoteReference"/>
        </w:rPr>
        <w:footnoteRef/>
      </w:r>
      <w:r>
        <w:t xml:space="preserve"> </w:t>
      </w:r>
      <w:r>
        <w:rPr>
          <w:rFonts w:ascii="Times New Roman" w:hAnsi="Times New Roman" w:cs="Times New Roman"/>
        </w:rPr>
        <w:t xml:space="preserve">Andrew Wallace-Hadrill 1986: 76 </w:t>
      </w:r>
    </w:p>
  </w:footnote>
  <w:footnote w:id="46">
    <w:p w14:paraId="62976557" w14:textId="09C32D81" w:rsidR="00FF4EBA" w:rsidRDefault="00FF4EBA">
      <w:pPr>
        <w:pStyle w:val="FootnoteText"/>
      </w:pPr>
      <w:r>
        <w:rPr>
          <w:rStyle w:val="FootnoteReference"/>
        </w:rPr>
        <w:footnoteRef/>
      </w:r>
      <w:r>
        <w:t xml:space="preserve"> </w:t>
      </w:r>
      <w:r>
        <w:rPr>
          <w:rFonts w:ascii="Times New Roman" w:hAnsi="Times New Roman" w:cs="Times New Roman"/>
        </w:rPr>
        <w:t>Andrew Wallace-Hadrill 1986: 76</w:t>
      </w:r>
    </w:p>
  </w:footnote>
  <w:footnote w:id="47">
    <w:p w14:paraId="11965C2A" w14:textId="1BF5F383" w:rsidR="00FF4EBA" w:rsidRDefault="00FF4EBA">
      <w:pPr>
        <w:pStyle w:val="FootnoteText"/>
      </w:pPr>
      <w:r>
        <w:rPr>
          <w:rStyle w:val="FootnoteReference"/>
        </w:rPr>
        <w:footnoteRef/>
      </w:r>
      <w:r>
        <w:t xml:space="preserve"> </w:t>
      </w:r>
      <w:r>
        <w:rPr>
          <w:rFonts w:ascii="Times New Roman" w:hAnsi="Times New Roman" w:cs="Times New Roman"/>
        </w:rPr>
        <w:t xml:space="preserve">Andrew Wallace-Hadrill 1986: 76 </w:t>
      </w:r>
    </w:p>
  </w:footnote>
  <w:footnote w:id="48">
    <w:p w14:paraId="3FD97EDF" w14:textId="6F79985F" w:rsidR="00FF4EBA" w:rsidRDefault="00FF4EBA">
      <w:pPr>
        <w:pStyle w:val="FootnoteText"/>
      </w:pPr>
      <w:r>
        <w:rPr>
          <w:rStyle w:val="FootnoteReference"/>
        </w:rPr>
        <w:footnoteRef/>
      </w:r>
      <w:r>
        <w:t xml:space="preserve"> </w:t>
      </w:r>
      <w:r>
        <w:rPr>
          <w:rFonts w:ascii="Times New Roman" w:hAnsi="Times New Roman" w:cs="Times New Roman"/>
        </w:rPr>
        <w:t xml:space="preserve">Sutherland 1976: Plate II – 23 </w:t>
      </w:r>
    </w:p>
  </w:footnote>
  <w:footnote w:id="49">
    <w:p w14:paraId="53010126" w14:textId="5D1C2861" w:rsidR="00FF4EBA" w:rsidRDefault="00FF4EBA">
      <w:pPr>
        <w:pStyle w:val="FootnoteText"/>
      </w:pPr>
      <w:r>
        <w:rPr>
          <w:rStyle w:val="FootnoteReference"/>
        </w:rPr>
        <w:footnoteRef/>
      </w:r>
      <w:r>
        <w:t xml:space="preserve"> </w:t>
      </w:r>
      <w:r>
        <w:rPr>
          <w:rFonts w:ascii="Times New Roman" w:hAnsi="Times New Roman" w:cs="Times New Roman"/>
        </w:rPr>
        <w:t>Sutherland 1976: Plate II – 23</w:t>
      </w:r>
    </w:p>
  </w:footnote>
  <w:footnote w:id="50">
    <w:p w14:paraId="1494F3F4" w14:textId="54F71A5B" w:rsidR="00FF4EBA" w:rsidRDefault="00FF4EBA">
      <w:pPr>
        <w:pStyle w:val="FootnoteText"/>
      </w:pPr>
      <w:r>
        <w:rPr>
          <w:rStyle w:val="FootnoteReference"/>
        </w:rPr>
        <w:footnoteRef/>
      </w:r>
      <w:r>
        <w:t xml:space="preserve"> </w:t>
      </w:r>
      <w:r>
        <w:rPr>
          <w:rFonts w:ascii="Times New Roman" w:hAnsi="Times New Roman" w:cs="Times New Roman"/>
        </w:rPr>
        <w:t>Sutherland 1976: Plate II – 24</w:t>
      </w:r>
    </w:p>
  </w:footnote>
  <w:footnote w:id="51">
    <w:p w14:paraId="0EBBFCA0" w14:textId="429E833E" w:rsidR="00FF4EBA" w:rsidRDefault="00FF4EBA">
      <w:pPr>
        <w:pStyle w:val="FootnoteText"/>
      </w:pPr>
      <w:r>
        <w:rPr>
          <w:rStyle w:val="FootnoteReference"/>
        </w:rPr>
        <w:footnoteRef/>
      </w:r>
      <w:r>
        <w:t xml:space="preserve"> </w:t>
      </w:r>
      <w:r>
        <w:rPr>
          <w:rFonts w:ascii="Times New Roman" w:hAnsi="Times New Roman" w:cs="Times New Roman"/>
        </w:rPr>
        <w:t>Sutherland 1976: Plate II – 24</w:t>
      </w:r>
    </w:p>
  </w:footnote>
  <w:footnote w:id="52">
    <w:p w14:paraId="20D16859" w14:textId="2456B190" w:rsidR="00FF4EBA" w:rsidRDefault="00FF4EBA">
      <w:pPr>
        <w:pStyle w:val="FootnoteText"/>
      </w:pPr>
      <w:r>
        <w:rPr>
          <w:rStyle w:val="FootnoteReference"/>
        </w:rPr>
        <w:footnoteRef/>
      </w:r>
      <w:r>
        <w:t xml:space="preserve"> </w:t>
      </w:r>
      <w:r>
        <w:rPr>
          <w:rFonts w:ascii="Times New Roman" w:hAnsi="Times New Roman" w:cs="Times New Roman"/>
        </w:rPr>
        <w:t>Andrew Wallace-Hadrill 1986: 76</w:t>
      </w:r>
    </w:p>
  </w:footnote>
  <w:footnote w:id="53">
    <w:p w14:paraId="4A165D87" w14:textId="6A7A9A93" w:rsidR="00FF4EBA" w:rsidRDefault="00FF4EBA">
      <w:pPr>
        <w:pStyle w:val="FootnoteText"/>
      </w:pPr>
      <w:r>
        <w:rPr>
          <w:rStyle w:val="FootnoteReference"/>
        </w:rPr>
        <w:footnoteRef/>
      </w:r>
      <w:r>
        <w:t xml:space="preserve"> </w:t>
      </w:r>
      <w:r>
        <w:rPr>
          <w:rFonts w:ascii="Times New Roman" w:hAnsi="Times New Roman" w:cs="Times New Roman"/>
        </w:rPr>
        <w:t>Andrew Wallace-Hadrill 1986: 76</w:t>
      </w:r>
    </w:p>
  </w:footnote>
  <w:footnote w:id="54">
    <w:p w14:paraId="7C2858E2" w14:textId="56BC82FD" w:rsidR="00FF4EBA" w:rsidRDefault="00FF4EBA">
      <w:pPr>
        <w:pStyle w:val="FootnoteText"/>
      </w:pPr>
      <w:r>
        <w:rPr>
          <w:rStyle w:val="FootnoteReference"/>
        </w:rPr>
        <w:footnoteRef/>
      </w:r>
      <w:r>
        <w:t xml:space="preserve"> </w:t>
      </w:r>
      <w:r>
        <w:rPr>
          <w:rFonts w:ascii="Times New Roman" w:hAnsi="Times New Roman" w:cs="Times New Roman"/>
        </w:rPr>
        <w:t>Howgego 1995: 166</w:t>
      </w:r>
    </w:p>
  </w:footnote>
  <w:footnote w:id="55">
    <w:p w14:paraId="0F13AFD3" w14:textId="4DF06DA7" w:rsidR="00FF4EBA" w:rsidRDefault="00FF4EBA">
      <w:pPr>
        <w:pStyle w:val="FootnoteText"/>
      </w:pPr>
      <w:r>
        <w:rPr>
          <w:rStyle w:val="FootnoteReference"/>
        </w:rPr>
        <w:footnoteRef/>
      </w:r>
      <w:r>
        <w:t xml:space="preserve"> </w:t>
      </w:r>
      <w:r>
        <w:rPr>
          <w:rFonts w:ascii="Times New Roman" w:hAnsi="Times New Roman" w:cs="Times New Roman"/>
        </w:rPr>
        <w:t>Howgego 1995: 166</w:t>
      </w:r>
    </w:p>
  </w:footnote>
  <w:footnote w:id="56">
    <w:p w14:paraId="3FF4B0AA" w14:textId="77216DB8" w:rsidR="00FF4EBA" w:rsidRDefault="00FF4EBA">
      <w:pPr>
        <w:pStyle w:val="FootnoteText"/>
      </w:pPr>
      <w:r>
        <w:rPr>
          <w:rStyle w:val="FootnoteReference"/>
        </w:rPr>
        <w:footnoteRef/>
      </w:r>
      <w:r>
        <w:t xml:space="preserve"> </w:t>
      </w:r>
      <w:r>
        <w:rPr>
          <w:rFonts w:ascii="Times New Roman" w:hAnsi="Times New Roman" w:cs="Times New Roman"/>
        </w:rPr>
        <w:t>Howgego 1995: 166</w:t>
      </w:r>
    </w:p>
  </w:footnote>
  <w:footnote w:id="57">
    <w:p w14:paraId="3088532F" w14:textId="3FFC33BC" w:rsidR="00FF4EBA" w:rsidRDefault="00FF4EBA">
      <w:pPr>
        <w:pStyle w:val="FootnoteText"/>
      </w:pPr>
      <w:r>
        <w:rPr>
          <w:rStyle w:val="FootnoteReference"/>
        </w:rPr>
        <w:footnoteRef/>
      </w:r>
      <w:r>
        <w:t xml:space="preserve"> </w:t>
      </w:r>
      <w:r>
        <w:rPr>
          <w:rFonts w:ascii="Times New Roman" w:hAnsi="Times New Roman" w:cs="Times New Roman"/>
        </w:rPr>
        <w:t>Howgego 1995: 167</w:t>
      </w:r>
    </w:p>
  </w:footnote>
  <w:footnote w:id="58">
    <w:p w14:paraId="1F7208CC" w14:textId="377FA90F" w:rsidR="00FF4EBA" w:rsidRDefault="00FF4EBA">
      <w:pPr>
        <w:pStyle w:val="FootnoteText"/>
      </w:pPr>
      <w:r>
        <w:rPr>
          <w:rStyle w:val="FootnoteReference"/>
        </w:rPr>
        <w:footnoteRef/>
      </w:r>
      <w:r>
        <w:t xml:space="preserve"> </w:t>
      </w:r>
      <w:r>
        <w:rPr>
          <w:rFonts w:ascii="Times New Roman" w:hAnsi="Times New Roman" w:cs="Times New Roman"/>
        </w:rPr>
        <w:t>Andrew Wallace-Hadrill 1986: 77</w:t>
      </w:r>
    </w:p>
  </w:footnote>
  <w:footnote w:id="59">
    <w:p w14:paraId="73395135" w14:textId="71B0EF32" w:rsidR="00FF4EBA" w:rsidRDefault="00FF4EBA">
      <w:pPr>
        <w:pStyle w:val="FootnoteText"/>
      </w:pPr>
      <w:r>
        <w:rPr>
          <w:rStyle w:val="FootnoteReference"/>
        </w:rPr>
        <w:footnoteRef/>
      </w:r>
      <w:r>
        <w:t xml:space="preserve"> </w:t>
      </w:r>
      <w:r>
        <w:rPr>
          <w:rFonts w:ascii="Times New Roman" w:hAnsi="Times New Roman" w:cs="Times New Roman"/>
        </w:rPr>
        <w:t>Andrew Wallace-Hadrill 1986: 77</w:t>
      </w:r>
    </w:p>
  </w:footnote>
  <w:footnote w:id="60">
    <w:p w14:paraId="7BD2C847" w14:textId="0F87F056" w:rsidR="00FF4EBA" w:rsidRDefault="00FF4EBA">
      <w:pPr>
        <w:pStyle w:val="FootnoteText"/>
      </w:pPr>
      <w:r>
        <w:rPr>
          <w:rStyle w:val="FootnoteReference"/>
        </w:rPr>
        <w:footnoteRef/>
      </w:r>
      <w:r>
        <w:t xml:space="preserve"> </w:t>
      </w:r>
      <w:bookmarkStart w:id="7" w:name="_Hlk505203103"/>
      <w:r w:rsidR="00705D91">
        <w:rPr>
          <w:rFonts w:ascii="Times New Roman" w:hAnsi="Times New Roman" w:cs="Times New Roman"/>
        </w:rPr>
        <w:t>Sutherland 1976:</w:t>
      </w:r>
      <w:r w:rsidR="00705D91">
        <w:rPr>
          <w:rFonts w:ascii="Times New Roman" w:hAnsi="Times New Roman" w:cs="Times New Roman"/>
        </w:rPr>
        <w:t xml:space="preserve"> </w:t>
      </w:r>
      <w:bookmarkEnd w:id="7"/>
      <w:r w:rsidR="00705D91">
        <w:rPr>
          <w:rFonts w:ascii="Times New Roman" w:hAnsi="Times New Roman" w:cs="Times New Roman"/>
        </w:rPr>
        <w:t>Plate VI - 90</w:t>
      </w:r>
    </w:p>
  </w:footnote>
  <w:footnote w:id="61">
    <w:p w14:paraId="379438C1" w14:textId="0CA5F889" w:rsidR="00705D91" w:rsidRDefault="00705D91">
      <w:pPr>
        <w:pStyle w:val="FootnoteText"/>
      </w:pPr>
      <w:r>
        <w:rPr>
          <w:rStyle w:val="FootnoteReference"/>
        </w:rPr>
        <w:footnoteRef/>
      </w:r>
      <w:r>
        <w:t xml:space="preserve"> </w:t>
      </w:r>
      <w:r>
        <w:rPr>
          <w:rFonts w:ascii="Times New Roman" w:hAnsi="Times New Roman" w:cs="Times New Roman"/>
        </w:rPr>
        <w:t>Andrew Wallace-Hadrill 1986: 77</w:t>
      </w:r>
      <w:r>
        <w:rPr>
          <w:rFonts w:ascii="Times New Roman" w:hAnsi="Times New Roman" w:cs="Times New Roman"/>
        </w:rPr>
        <w:t>-87</w:t>
      </w:r>
    </w:p>
  </w:footnote>
  <w:footnote w:id="62">
    <w:p w14:paraId="70DA56BD" w14:textId="2AB0847F" w:rsidR="00705D91" w:rsidRDefault="00705D91">
      <w:pPr>
        <w:pStyle w:val="FootnoteText"/>
      </w:pPr>
      <w:r>
        <w:rPr>
          <w:rStyle w:val="FootnoteReference"/>
        </w:rPr>
        <w:footnoteRef/>
      </w:r>
      <w:r>
        <w:t xml:space="preserve"> </w:t>
      </w:r>
      <w:r>
        <w:rPr>
          <w:rFonts w:ascii="Times New Roman" w:hAnsi="Times New Roman" w:cs="Times New Roman"/>
        </w:rPr>
        <w:t>Sutherland 1976:</w:t>
      </w:r>
      <w:r>
        <w:rPr>
          <w:rFonts w:ascii="Times New Roman" w:hAnsi="Times New Roman" w:cs="Times New Roman"/>
        </w:rPr>
        <w:t xml:space="preserve"> Plate III - 46</w:t>
      </w:r>
    </w:p>
  </w:footnote>
  <w:footnote w:id="63">
    <w:p w14:paraId="35554EDB" w14:textId="24BEE886" w:rsidR="00705D91" w:rsidRDefault="00705D91" w:rsidP="00705D91">
      <w:pPr>
        <w:pStyle w:val="FootnoteText"/>
      </w:pPr>
      <w:r>
        <w:rPr>
          <w:rStyle w:val="FootnoteReference"/>
        </w:rPr>
        <w:footnoteRef/>
      </w:r>
      <w:r>
        <w:t xml:space="preserve"> </w:t>
      </w:r>
      <w:r>
        <w:rPr>
          <w:rFonts w:ascii="Times New Roman" w:hAnsi="Times New Roman" w:cs="Times New Roman"/>
        </w:rPr>
        <w:t>Sutherland 1976:</w:t>
      </w:r>
      <w:r w:rsidRPr="00705D91">
        <w:rPr>
          <w:rFonts w:ascii="Times New Roman" w:hAnsi="Times New Roman" w:cs="Times New Roman"/>
        </w:rPr>
        <w:t xml:space="preserve"> </w:t>
      </w:r>
      <w:r>
        <w:rPr>
          <w:rFonts w:ascii="Times New Roman" w:hAnsi="Times New Roman" w:cs="Times New Roman"/>
        </w:rPr>
        <w:t>Plate III - 46</w:t>
      </w:r>
    </w:p>
    <w:p w14:paraId="58AC6834" w14:textId="1BA8B73A" w:rsidR="00705D91" w:rsidRDefault="00705D91">
      <w:pPr>
        <w:pStyle w:val="FootnoteText"/>
      </w:pPr>
    </w:p>
  </w:footnote>
  <w:footnote w:id="64">
    <w:p w14:paraId="323D74EB" w14:textId="3E7A5F8D" w:rsidR="00705D91" w:rsidRDefault="00705D91">
      <w:pPr>
        <w:pStyle w:val="FootnoteText"/>
      </w:pPr>
      <w:r>
        <w:rPr>
          <w:rStyle w:val="FootnoteReference"/>
        </w:rPr>
        <w:footnoteRef/>
      </w:r>
      <w:r>
        <w:t xml:space="preserve"> </w:t>
      </w:r>
      <w:r>
        <w:rPr>
          <w:rFonts w:ascii="Times New Roman" w:hAnsi="Times New Roman" w:cs="Times New Roman"/>
        </w:rPr>
        <w:t>Mattingly 1968:</w:t>
      </w:r>
      <w:r>
        <w:rPr>
          <w:rFonts w:ascii="Times New Roman" w:hAnsi="Times New Roman" w:cs="Times New Roman"/>
        </w:rPr>
        <w:t xml:space="preserve"> 55 </w:t>
      </w:r>
    </w:p>
  </w:footnote>
  <w:footnote w:id="65">
    <w:p w14:paraId="49DB3A71" w14:textId="40850A89" w:rsidR="00705D91" w:rsidRDefault="00705D91">
      <w:pPr>
        <w:pStyle w:val="FootnoteText"/>
      </w:pPr>
      <w:r>
        <w:rPr>
          <w:rStyle w:val="FootnoteReference"/>
        </w:rPr>
        <w:footnoteRef/>
      </w:r>
      <w:r>
        <w:t xml:space="preserve"> </w:t>
      </w:r>
      <w:r>
        <w:rPr>
          <w:rFonts w:ascii="Times New Roman" w:hAnsi="Times New Roman" w:cs="Times New Roman"/>
        </w:rPr>
        <w:t>Mattingly 1968:</w:t>
      </w:r>
      <w:r>
        <w:rPr>
          <w:rFonts w:ascii="Times New Roman" w:hAnsi="Times New Roman" w:cs="Times New Roman"/>
        </w:rPr>
        <w:t xml:space="preserve"> 55</w:t>
      </w:r>
    </w:p>
  </w:footnote>
  <w:footnote w:id="66">
    <w:p w14:paraId="6BB61CB0" w14:textId="43E5EEFC" w:rsidR="00705D91" w:rsidRDefault="00705D91">
      <w:pPr>
        <w:pStyle w:val="FootnoteText"/>
      </w:pPr>
      <w:r>
        <w:rPr>
          <w:rStyle w:val="FootnoteReference"/>
        </w:rPr>
        <w:footnoteRef/>
      </w:r>
      <w:r>
        <w:t xml:space="preserve"> </w:t>
      </w:r>
      <w:r>
        <w:rPr>
          <w:rFonts w:ascii="Times New Roman" w:hAnsi="Times New Roman" w:cs="Times New Roman"/>
        </w:rPr>
        <w:t>Andrew Wallace-Hadrill 1986:</w:t>
      </w:r>
      <w:r>
        <w:rPr>
          <w:rFonts w:ascii="Times New Roman" w:hAnsi="Times New Roman" w:cs="Times New Roman"/>
        </w:rPr>
        <w:t xml:space="preserve"> 66</w:t>
      </w:r>
    </w:p>
  </w:footnote>
  <w:footnote w:id="67">
    <w:p w14:paraId="48CEAE82" w14:textId="6F37E2EC" w:rsidR="00705D91" w:rsidRDefault="00705D91">
      <w:pPr>
        <w:pStyle w:val="FootnoteText"/>
      </w:pPr>
      <w:r>
        <w:rPr>
          <w:rStyle w:val="FootnoteReference"/>
        </w:rPr>
        <w:footnoteRef/>
      </w:r>
      <w:r>
        <w:t xml:space="preserve"> </w:t>
      </w:r>
      <w:r>
        <w:rPr>
          <w:rFonts w:ascii="Times New Roman" w:hAnsi="Times New Roman" w:cs="Times New Roman"/>
        </w:rPr>
        <w:t>Andrew Wallace-Hadrill 1986: 66</w:t>
      </w:r>
    </w:p>
  </w:footnote>
  <w:footnote w:id="68">
    <w:p w14:paraId="2447C232" w14:textId="47411DC4" w:rsidR="00705D91" w:rsidRDefault="00705D91">
      <w:pPr>
        <w:pStyle w:val="FootnoteText"/>
      </w:pPr>
      <w:r>
        <w:rPr>
          <w:rStyle w:val="FootnoteReference"/>
        </w:rPr>
        <w:footnoteRef/>
      </w:r>
      <w:r>
        <w:t xml:space="preserve"> </w:t>
      </w:r>
      <w:r>
        <w:rPr>
          <w:rFonts w:ascii="Times New Roman" w:hAnsi="Times New Roman" w:cs="Times New Roman"/>
        </w:rPr>
        <w:t>Arrian. Disc. 4.5</w:t>
      </w:r>
    </w:p>
  </w:footnote>
  <w:footnote w:id="69">
    <w:p w14:paraId="1FE511B8" w14:textId="3F29B394" w:rsidR="00705D91" w:rsidRDefault="00705D91">
      <w:pPr>
        <w:pStyle w:val="FootnoteText"/>
      </w:pPr>
      <w:r>
        <w:rPr>
          <w:rStyle w:val="FootnoteReference"/>
        </w:rPr>
        <w:footnoteRef/>
      </w:r>
      <w:r>
        <w:t xml:space="preserve"> </w:t>
      </w:r>
      <w:r>
        <w:rPr>
          <w:rFonts w:ascii="Times New Roman" w:hAnsi="Times New Roman" w:cs="Times New Roman"/>
        </w:rPr>
        <w:t>Arrian. Disc. 4.5</w:t>
      </w:r>
    </w:p>
  </w:footnote>
  <w:footnote w:id="70">
    <w:p w14:paraId="3AA9B343" w14:textId="6E50109F" w:rsidR="00705D91" w:rsidRDefault="00705D91">
      <w:pPr>
        <w:pStyle w:val="FootnoteText"/>
      </w:pPr>
      <w:r>
        <w:rPr>
          <w:rStyle w:val="FootnoteReference"/>
        </w:rPr>
        <w:footnoteRef/>
      </w:r>
      <w:r>
        <w:t xml:space="preserve"> </w:t>
      </w:r>
      <w:r w:rsidR="009B46AC">
        <w:rPr>
          <w:rFonts w:ascii="Times New Roman" w:hAnsi="Times New Roman" w:cs="Times New Roman"/>
        </w:rPr>
        <w:t>Howgego 1995: 166</w:t>
      </w:r>
    </w:p>
  </w:footnote>
  <w:footnote w:id="71">
    <w:p w14:paraId="54AF501E" w14:textId="179AF26A" w:rsidR="009B46AC" w:rsidRDefault="009B46AC">
      <w:pPr>
        <w:pStyle w:val="FootnoteText"/>
      </w:pPr>
      <w:r>
        <w:rPr>
          <w:rStyle w:val="FootnoteReference"/>
        </w:rPr>
        <w:footnoteRef/>
      </w:r>
      <w:r>
        <w:t xml:space="preserve"> </w:t>
      </w:r>
      <w:r>
        <w:rPr>
          <w:rFonts w:ascii="Times New Roman" w:hAnsi="Times New Roman" w:cs="Times New Roman"/>
        </w:rPr>
        <w:t>Sutherland 1976: Plate II - 21</w:t>
      </w:r>
    </w:p>
  </w:footnote>
  <w:footnote w:id="72">
    <w:p w14:paraId="4871624D" w14:textId="3581DA17" w:rsidR="009B46AC" w:rsidRDefault="009B46AC">
      <w:pPr>
        <w:pStyle w:val="FootnoteText"/>
      </w:pPr>
      <w:r>
        <w:rPr>
          <w:rStyle w:val="FootnoteReference"/>
        </w:rPr>
        <w:footnoteRef/>
      </w:r>
      <w:r>
        <w:t xml:space="preserve"> </w:t>
      </w:r>
      <w:r>
        <w:rPr>
          <w:rFonts w:ascii="Times New Roman" w:hAnsi="Times New Roman" w:cs="Times New Roman"/>
        </w:rPr>
        <w:t>Sutherland 1976: Plate I - 11</w:t>
      </w:r>
    </w:p>
  </w:footnote>
  <w:footnote w:id="73">
    <w:p w14:paraId="7FFDB3A2" w14:textId="1422D81B" w:rsidR="009B46AC" w:rsidRDefault="009B46AC">
      <w:pPr>
        <w:pStyle w:val="FootnoteText"/>
      </w:pPr>
      <w:r>
        <w:rPr>
          <w:rStyle w:val="FootnoteReference"/>
        </w:rPr>
        <w:footnoteRef/>
      </w:r>
      <w:r>
        <w:t xml:space="preserve"> </w:t>
      </w:r>
      <w:r>
        <w:rPr>
          <w:rFonts w:ascii="Times New Roman" w:hAnsi="Times New Roman" w:cs="Times New Roman"/>
        </w:rPr>
        <w:t>Andrew Wallace-Hadrill 1986: 75</w:t>
      </w:r>
    </w:p>
  </w:footnote>
  <w:footnote w:id="74">
    <w:p w14:paraId="187DAA41" w14:textId="3B24E777" w:rsidR="009B46AC" w:rsidRDefault="009B46AC">
      <w:pPr>
        <w:pStyle w:val="FootnoteText"/>
      </w:pPr>
      <w:r>
        <w:rPr>
          <w:rStyle w:val="FootnoteReference"/>
        </w:rPr>
        <w:footnoteRef/>
      </w:r>
      <w:r>
        <w:t xml:space="preserve"> </w:t>
      </w:r>
      <w:r>
        <w:rPr>
          <w:rFonts w:ascii="Times New Roman" w:hAnsi="Times New Roman" w:cs="Times New Roman"/>
        </w:rPr>
        <w:t>Howgego 1995:</w:t>
      </w:r>
      <w:r>
        <w:rPr>
          <w:rFonts w:ascii="Times New Roman" w:hAnsi="Times New Roman" w:cs="Times New Roman"/>
        </w:rPr>
        <w:t xml:space="preserve"> 166-168</w:t>
      </w:r>
    </w:p>
  </w:footnote>
  <w:footnote w:id="75">
    <w:p w14:paraId="382F61B9" w14:textId="45DCBDED" w:rsidR="009B46AC" w:rsidRDefault="009B46AC">
      <w:pPr>
        <w:pStyle w:val="FootnoteText"/>
      </w:pPr>
      <w:r>
        <w:rPr>
          <w:rStyle w:val="FootnoteReference"/>
        </w:rPr>
        <w:footnoteRef/>
      </w:r>
      <w:r>
        <w:t xml:space="preserve"> </w:t>
      </w:r>
      <w:r>
        <w:rPr>
          <w:rFonts w:ascii="Times New Roman" w:hAnsi="Times New Roman" w:cs="Times New Roman"/>
        </w:rPr>
        <w:t>Howgego 1995: 166-168</w:t>
      </w:r>
    </w:p>
  </w:footnote>
  <w:footnote w:id="76">
    <w:p w14:paraId="563557A2" w14:textId="66846596" w:rsidR="009B46AC" w:rsidRDefault="009B46AC">
      <w:pPr>
        <w:pStyle w:val="FootnoteText"/>
      </w:pPr>
      <w:r>
        <w:rPr>
          <w:rStyle w:val="FootnoteReference"/>
        </w:rPr>
        <w:footnoteRef/>
      </w:r>
      <w:r>
        <w:t xml:space="preserve"> </w:t>
      </w:r>
      <w:r>
        <w:rPr>
          <w:rFonts w:ascii="Times New Roman" w:hAnsi="Times New Roman" w:cs="Times New Roman"/>
        </w:rPr>
        <w:t>Andrew Wallace-Hadrill 1986: 77</w:t>
      </w:r>
    </w:p>
  </w:footnote>
  <w:footnote w:id="77">
    <w:p w14:paraId="66B8B9A7" w14:textId="5FA9804B" w:rsidR="009B46AC" w:rsidRDefault="009B46AC">
      <w:pPr>
        <w:pStyle w:val="FootnoteText"/>
      </w:pPr>
      <w:r>
        <w:rPr>
          <w:rStyle w:val="FootnoteReference"/>
        </w:rPr>
        <w:footnoteRef/>
      </w:r>
      <w:r>
        <w:t xml:space="preserve"> </w:t>
      </w:r>
      <w:r>
        <w:rPr>
          <w:rFonts w:ascii="Times New Roman" w:hAnsi="Times New Roman" w:cs="Times New Roman"/>
        </w:rPr>
        <w:t>Sutherland 1976: Plate VI - 90</w:t>
      </w:r>
    </w:p>
  </w:footnote>
  <w:footnote w:id="78">
    <w:p w14:paraId="0E2FFC19" w14:textId="2E16C0FD" w:rsidR="00095EEE" w:rsidRDefault="00095EEE">
      <w:pPr>
        <w:pStyle w:val="FootnoteText"/>
      </w:pPr>
      <w:r>
        <w:rPr>
          <w:rStyle w:val="FootnoteReference"/>
        </w:rPr>
        <w:footnoteRef/>
      </w:r>
      <w:r>
        <w:t xml:space="preserve"> </w:t>
      </w:r>
      <w:r>
        <w:rPr>
          <w:rFonts w:ascii="Times New Roman" w:hAnsi="Times New Roman" w:cs="Times New Roman"/>
        </w:rPr>
        <w:t>Sutherland 1976:</w:t>
      </w:r>
      <w:r w:rsidRPr="00705D91">
        <w:rPr>
          <w:rFonts w:ascii="Times New Roman" w:hAnsi="Times New Roman" w:cs="Times New Roman"/>
        </w:rPr>
        <w:t xml:space="preserve"> </w:t>
      </w:r>
      <w:r>
        <w:rPr>
          <w:rFonts w:ascii="Times New Roman" w:hAnsi="Times New Roman" w:cs="Times New Roman"/>
        </w:rPr>
        <w:t>Plate III - 46</w:t>
      </w:r>
    </w:p>
  </w:footnote>
  <w:footnote w:id="79">
    <w:p w14:paraId="7DC9B88F" w14:textId="69193C50" w:rsidR="00095EEE" w:rsidRDefault="00095EEE">
      <w:pPr>
        <w:pStyle w:val="FootnoteText"/>
      </w:pPr>
      <w:r>
        <w:rPr>
          <w:rStyle w:val="FootnoteReference"/>
        </w:rPr>
        <w:footnoteRef/>
      </w:r>
      <w:r>
        <w:t xml:space="preserve"> </w:t>
      </w:r>
      <w:r>
        <w:rPr>
          <w:rFonts w:ascii="Times New Roman" w:hAnsi="Times New Roman" w:cs="Times New Roman"/>
        </w:rPr>
        <w:t>Mattingly 1968: 55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320"/>
    <w:rsid w:val="000157AE"/>
    <w:rsid w:val="00030994"/>
    <w:rsid w:val="00043198"/>
    <w:rsid w:val="00061AB5"/>
    <w:rsid w:val="00073199"/>
    <w:rsid w:val="00095EEE"/>
    <w:rsid w:val="000B46B5"/>
    <w:rsid w:val="000C2597"/>
    <w:rsid w:val="000D742E"/>
    <w:rsid w:val="000F627C"/>
    <w:rsid w:val="00127A8C"/>
    <w:rsid w:val="00141196"/>
    <w:rsid w:val="001531B9"/>
    <w:rsid w:val="0015651E"/>
    <w:rsid w:val="00191733"/>
    <w:rsid w:val="00195B86"/>
    <w:rsid w:val="001C64DF"/>
    <w:rsid w:val="001D2032"/>
    <w:rsid w:val="001F2337"/>
    <w:rsid w:val="00205B9C"/>
    <w:rsid w:val="002255CA"/>
    <w:rsid w:val="00233E68"/>
    <w:rsid w:val="00233F9C"/>
    <w:rsid w:val="00241015"/>
    <w:rsid w:val="0028726A"/>
    <w:rsid w:val="002E3348"/>
    <w:rsid w:val="003100B3"/>
    <w:rsid w:val="00316FC6"/>
    <w:rsid w:val="003175ED"/>
    <w:rsid w:val="00317DF8"/>
    <w:rsid w:val="00320B9C"/>
    <w:rsid w:val="0039369E"/>
    <w:rsid w:val="003946C4"/>
    <w:rsid w:val="003D49B1"/>
    <w:rsid w:val="003D4D24"/>
    <w:rsid w:val="003F0B4C"/>
    <w:rsid w:val="00415714"/>
    <w:rsid w:val="00441816"/>
    <w:rsid w:val="00447A8E"/>
    <w:rsid w:val="00455A06"/>
    <w:rsid w:val="00487218"/>
    <w:rsid w:val="004A564A"/>
    <w:rsid w:val="004E17CA"/>
    <w:rsid w:val="004F0633"/>
    <w:rsid w:val="00513D04"/>
    <w:rsid w:val="00516D37"/>
    <w:rsid w:val="005220D6"/>
    <w:rsid w:val="00541D27"/>
    <w:rsid w:val="00542CC5"/>
    <w:rsid w:val="005848FD"/>
    <w:rsid w:val="005A098A"/>
    <w:rsid w:val="005B33FF"/>
    <w:rsid w:val="005E414C"/>
    <w:rsid w:val="005F33E9"/>
    <w:rsid w:val="005F5254"/>
    <w:rsid w:val="00663F9E"/>
    <w:rsid w:val="00671C3D"/>
    <w:rsid w:val="00672A7C"/>
    <w:rsid w:val="006A0AAA"/>
    <w:rsid w:val="006A1DC6"/>
    <w:rsid w:val="006B027F"/>
    <w:rsid w:val="006D244C"/>
    <w:rsid w:val="006D75D6"/>
    <w:rsid w:val="00705D91"/>
    <w:rsid w:val="00705F8C"/>
    <w:rsid w:val="00747306"/>
    <w:rsid w:val="007644CF"/>
    <w:rsid w:val="00790775"/>
    <w:rsid w:val="00797318"/>
    <w:rsid w:val="007A2CB3"/>
    <w:rsid w:val="007B080D"/>
    <w:rsid w:val="007F3666"/>
    <w:rsid w:val="00850542"/>
    <w:rsid w:val="008551E6"/>
    <w:rsid w:val="00871E4B"/>
    <w:rsid w:val="0087674F"/>
    <w:rsid w:val="008D1060"/>
    <w:rsid w:val="008F635B"/>
    <w:rsid w:val="0095566B"/>
    <w:rsid w:val="009941B7"/>
    <w:rsid w:val="009B46AC"/>
    <w:rsid w:val="009E3A3F"/>
    <w:rsid w:val="009E4FA9"/>
    <w:rsid w:val="009E7D1C"/>
    <w:rsid w:val="00A1447B"/>
    <w:rsid w:val="00A169F4"/>
    <w:rsid w:val="00A46B95"/>
    <w:rsid w:val="00AE0440"/>
    <w:rsid w:val="00AE1C41"/>
    <w:rsid w:val="00AE64BE"/>
    <w:rsid w:val="00B47620"/>
    <w:rsid w:val="00B50B18"/>
    <w:rsid w:val="00B674DB"/>
    <w:rsid w:val="00C3606E"/>
    <w:rsid w:val="00C87C37"/>
    <w:rsid w:val="00C90320"/>
    <w:rsid w:val="00CA6525"/>
    <w:rsid w:val="00CC5E56"/>
    <w:rsid w:val="00D20EBA"/>
    <w:rsid w:val="00D65FCF"/>
    <w:rsid w:val="00DF1993"/>
    <w:rsid w:val="00E40B32"/>
    <w:rsid w:val="00E51D87"/>
    <w:rsid w:val="00E90651"/>
    <w:rsid w:val="00E97AFC"/>
    <w:rsid w:val="00E97DAC"/>
    <w:rsid w:val="00EF2E5D"/>
    <w:rsid w:val="00EF7F63"/>
    <w:rsid w:val="00F070FD"/>
    <w:rsid w:val="00F34D07"/>
    <w:rsid w:val="00F5610A"/>
    <w:rsid w:val="00F702D1"/>
    <w:rsid w:val="00F973E1"/>
    <w:rsid w:val="00FA200D"/>
    <w:rsid w:val="00FF4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613CD"/>
  <w15:chartTrackingRefBased/>
  <w15:docId w15:val="{6BBA5EF7-B494-438A-A01B-2E927F30B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B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B18"/>
  </w:style>
  <w:style w:type="paragraph" w:styleId="Footer">
    <w:name w:val="footer"/>
    <w:basedOn w:val="Normal"/>
    <w:link w:val="FooterChar"/>
    <w:uiPriority w:val="99"/>
    <w:unhideWhenUsed/>
    <w:rsid w:val="00B50B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B18"/>
  </w:style>
  <w:style w:type="character" w:styleId="CommentReference">
    <w:name w:val="annotation reference"/>
    <w:basedOn w:val="DefaultParagraphFont"/>
    <w:uiPriority w:val="99"/>
    <w:semiHidden/>
    <w:unhideWhenUsed/>
    <w:rsid w:val="00B50B18"/>
    <w:rPr>
      <w:sz w:val="16"/>
      <w:szCs w:val="16"/>
    </w:rPr>
  </w:style>
  <w:style w:type="paragraph" w:styleId="CommentText">
    <w:name w:val="annotation text"/>
    <w:basedOn w:val="Normal"/>
    <w:link w:val="CommentTextChar"/>
    <w:uiPriority w:val="99"/>
    <w:semiHidden/>
    <w:unhideWhenUsed/>
    <w:rsid w:val="00B50B18"/>
    <w:pPr>
      <w:spacing w:line="240" w:lineRule="auto"/>
    </w:pPr>
    <w:rPr>
      <w:sz w:val="20"/>
      <w:szCs w:val="20"/>
    </w:rPr>
  </w:style>
  <w:style w:type="character" w:customStyle="1" w:styleId="CommentTextChar">
    <w:name w:val="Comment Text Char"/>
    <w:basedOn w:val="DefaultParagraphFont"/>
    <w:link w:val="CommentText"/>
    <w:uiPriority w:val="99"/>
    <w:semiHidden/>
    <w:rsid w:val="00B50B18"/>
    <w:rPr>
      <w:sz w:val="20"/>
      <w:szCs w:val="20"/>
    </w:rPr>
  </w:style>
  <w:style w:type="paragraph" w:styleId="CommentSubject">
    <w:name w:val="annotation subject"/>
    <w:basedOn w:val="CommentText"/>
    <w:next w:val="CommentText"/>
    <w:link w:val="CommentSubjectChar"/>
    <w:uiPriority w:val="99"/>
    <w:semiHidden/>
    <w:unhideWhenUsed/>
    <w:rsid w:val="00B50B18"/>
    <w:rPr>
      <w:b/>
      <w:bCs/>
    </w:rPr>
  </w:style>
  <w:style w:type="character" w:customStyle="1" w:styleId="CommentSubjectChar">
    <w:name w:val="Comment Subject Char"/>
    <w:basedOn w:val="CommentTextChar"/>
    <w:link w:val="CommentSubject"/>
    <w:uiPriority w:val="99"/>
    <w:semiHidden/>
    <w:rsid w:val="00B50B18"/>
    <w:rPr>
      <w:b/>
      <w:bCs/>
      <w:sz w:val="20"/>
      <w:szCs w:val="20"/>
    </w:rPr>
  </w:style>
  <w:style w:type="paragraph" w:styleId="BalloonText">
    <w:name w:val="Balloon Text"/>
    <w:basedOn w:val="Normal"/>
    <w:link w:val="BalloonTextChar"/>
    <w:uiPriority w:val="99"/>
    <w:semiHidden/>
    <w:unhideWhenUsed/>
    <w:rsid w:val="00B50B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0B18"/>
    <w:rPr>
      <w:rFonts w:ascii="Segoe UI" w:hAnsi="Segoe UI" w:cs="Segoe UI"/>
      <w:sz w:val="18"/>
      <w:szCs w:val="18"/>
    </w:rPr>
  </w:style>
  <w:style w:type="paragraph" w:styleId="FootnoteText">
    <w:name w:val="footnote text"/>
    <w:basedOn w:val="Normal"/>
    <w:link w:val="FootnoteTextChar"/>
    <w:uiPriority w:val="99"/>
    <w:semiHidden/>
    <w:unhideWhenUsed/>
    <w:rsid w:val="005A09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A098A"/>
    <w:rPr>
      <w:sz w:val="20"/>
      <w:szCs w:val="20"/>
    </w:rPr>
  </w:style>
  <w:style w:type="character" w:styleId="FootnoteReference">
    <w:name w:val="footnote reference"/>
    <w:basedOn w:val="DefaultParagraphFont"/>
    <w:uiPriority w:val="99"/>
    <w:semiHidden/>
    <w:unhideWhenUsed/>
    <w:rsid w:val="005A098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C5752-A140-4734-85BF-84C5B8F6E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8</Pages>
  <Words>2210</Words>
  <Characters>12600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SPUD</dc:creator>
  <cp:keywords/>
  <dc:description/>
  <cp:lastModifiedBy>SPUD</cp:lastModifiedBy>
  <cp:revision>54</cp:revision>
  <dcterms:created xsi:type="dcterms:W3CDTF">2018-01-31T09:15:00Z</dcterms:created>
  <dcterms:modified xsi:type="dcterms:W3CDTF">2018-01-31T23:37:00Z</dcterms:modified>
</cp:coreProperties>
</file>