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7D750215" w:rsidR="009C337F" w:rsidRDefault="006612E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Juliette Harris </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1FAB007E" w:rsidR="00986B43" w:rsidRDefault="00353E50" w:rsidP="005D3F07">
            <w:pPr>
              <w:overflowPunct/>
              <w:autoSpaceDE/>
              <w:autoSpaceDN/>
              <w:adjustRightInd/>
              <w:ind w:right="-957"/>
              <w:textAlignment w:val="auto"/>
              <w:rPr>
                <w:rFonts w:ascii="Times New Roman" w:hAnsi="Times New Roman" w:cs="Times New Roman"/>
                <w:b/>
                <w:color w:val="auto"/>
                <w:sz w:val="48"/>
              </w:rPr>
            </w:pPr>
            <w:hyperlink r:id="rId11" w:history="1">
              <w:r w:rsidRPr="006A59F5">
                <w:rPr>
                  <w:rStyle w:val="Hyperlink"/>
                  <w:rFonts w:ascii="Times New Roman" w:hAnsi="Times New Roman" w:cs="Times New Roman"/>
                  <w:b/>
                  <w:sz w:val="48"/>
                </w:rPr>
                <w:t>2418252@student.uwtsd.ac.uk</w:t>
              </w:r>
            </w:hyperlink>
            <w:r>
              <w:rPr>
                <w:rFonts w:ascii="Times New Roman" w:hAnsi="Times New Roman" w:cs="Times New Roman"/>
                <w:b/>
                <w:color w:val="auto"/>
                <w:sz w:val="48"/>
              </w:rPr>
              <w:t xml:space="preserve"> </w:t>
            </w:r>
          </w:p>
          <w:p w14:paraId="3DE077AD" w14:textId="224A5DC0" w:rsidR="006D26AB" w:rsidRDefault="006D26AB" w:rsidP="005D3F07">
            <w:pPr>
              <w:overflowPunct/>
              <w:autoSpaceDE/>
              <w:autoSpaceDN/>
              <w:adjustRightInd/>
              <w:ind w:right="-957"/>
              <w:textAlignment w:val="auto"/>
              <w:rPr>
                <w:rFonts w:ascii="Times New Roman" w:hAnsi="Times New Roman" w:cs="Times New Roman"/>
                <w:b/>
                <w:color w:val="auto"/>
                <w:sz w:val="48"/>
              </w:rPr>
            </w:pPr>
            <w:hyperlink r:id="rId12" w:history="1">
              <w:r w:rsidRPr="006A59F5">
                <w:rPr>
                  <w:rStyle w:val="Hyperlink"/>
                  <w:rFonts w:ascii="Times New Roman" w:hAnsi="Times New Roman" w:cs="Times New Roman"/>
                  <w:b/>
                  <w:sz w:val="48"/>
                </w:rPr>
                <w:t>Jharris.1@outlook.com</w:t>
              </w:r>
            </w:hyperlink>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A70C349" w:rsidR="0085230E" w:rsidRPr="005D3F07" w:rsidRDefault="00353E5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2418252</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54F3BEF2" w14:textId="77777777" w:rsidR="001B6ACD" w:rsidRPr="000E55D7" w:rsidRDefault="001B6ACD" w:rsidP="001B6ACD">
            <w:pPr>
              <w:spacing w:line="360" w:lineRule="auto"/>
              <w:jc w:val="both"/>
              <w:rPr>
                <w:sz w:val="24"/>
                <w:szCs w:val="24"/>
              </w:rPr>
            </w:pPr>
            <w:r>
              <w:rPr>
                <w:iCs/>
                <w:sz w:val="24"/>
                <w:szCs w:val="24"/>
              </w:rPr>
              <w:t xml:space="preserve">The case I </w:t>
            </w:r>
            <w:r w:rsidRPr="000E08FA">
              <w:rPr>
                <w:iCs/>
                <w:sz w:val="24"/>
                <w:szCs w:val="24"/>
              </w:rPr>
              <w:t>have chosen to critically reflect upon is a section 47 investigation; I completed this investigation in line with the Wales Safeguarding procedures (2019). The term “section” 47 origins from the sect</w:t>
            </w:r>
            <w:r w:rsidRPr="000E08FA">
              <w:rPr>
                <w:sz w:val="24"/>
                <w:szCs w:val="24"/>
              </w:rPr>
              <w:t>ion 47 of the Children Act 1989. The act places a statutory duty on local authorities to conduct safeguarding enquiries when professionals suspect a child has suffered</w:t>
            </w:r>
            <w:r>
              <w:rPr>
                <w:sz w:val="24"/>
                <w:szCs w:val="24"/>
              </w:rPr>
              <w:t xml:space="preserve"> </w:t>
            </w:r>
            <w:r w:rsidRPr="000E55D7">
              <w:rPr>
                <w:sz w:val="24"/>
                <w:szCs w:val="24"/>
              </w:rPr>
              <w:t>or is at risk of suffering significant harm. The Children Act 1989 also places emphasis that safeguarding is everyone’s responsibility.</w:t>
            </w:r>
          </w:p>
          <w:p w14:paraId="25F13D4E" w14:textId="77777777" w:rsidR="001B6ACD" w:rsidRPr="000E55D7" w:rsidRDefault="001B6ACD" w:rsidP="001B6ACD">
            <w:pPr>
              <w:spacing w:line="360" w:lineRule="auto"/>
              <w:jc w:val="both"/>
              <w:rPr>
                <w:sz w:val="24"/>
                <w:szCs w:val="24"/>
              </w:rPr>
            </w:pPr>
          </w:p>
          <w:p w14:paraId="32C9A8B0" w14:textId="77777777" w:rsidR="001B6ACD" w:rsidRPr="000E55D7" w:rsidRDefault="001B6ACD" w:rsidP="001B6ACD">
            <w:pPr>
              <w:spacing w:line="360" w:lineRule="auto"/>
              <w:jc w:val="both"/>
              <w:rPr>
                <w:sz w:val="24"/>
                <w:szCs w:val="24"/>
              </w:rPr>
            </w:pPr>
            <w:r w:rsidRPr="00806FA2">
              <w:rPr>
                <w:sz w:val="24"/>
                <w:szCs w:val="24"/>
              </w:rPr>
              <w:t xml:space="preserve">In undertaking this investigation, I was </w:t>
            </w:r>
            <w:r>
              <w:rPr>
                <w:sz w:val="24"/>
                <w:szCs w:val="24"/>
              </w:rPr>
              <w:t xml:space="preserve">also </w:t>
            </w:r>
            <w:r w:rsidRPr="00806FA2">
              <w:rPr>
                <w:sz w:val="24"/>
                <w:szCs w:val="24"/>
              </w:rPr>
              <w:t xml:space="preserve">guided by the Social Services and Well-being (Wales) Act 2014, which provides the overarching legal framework for safeguarding in Wales. This Act promotes a person-centred approach, placing emphasis on voice and control, prevention and early intervention, and well-being. It reinforces the duty of professionals to work collaboratively across sectors to ensure the safety and well-being of individuals, particularly children, and to uphold their rights. </w:t>
            </w:r>
          </w:p>
          <w:p w14:paraId="7D59291F" w14:textId="77777777" w:rsidR="001B6ACD" w:rsidRPr="000E55D7" w:rsidRDefault="001B6ACD" w:rsidP="001B6ACD">
            <w:pPr>
              <w:spacing w:line="360" w:lineRule="auto"/>
              <w:jc w:val="both"/>
              <w:rPr>
                <w:sz w:val="24"/>
                <w:szCs w:val="24"/>
              </w:rPr>
            </w:pPr>
          </w:p>
          <w:p w14:paraId="608B8B83" w14:textId="77777777" w:rsidR="001B6ACD" w:rsidRPr="000E55D7" w:rsidRDefault="001B6ACD" w:rsidP="001B6ACD">
            <w:pPr>
              <w:spacing w:line="360" w:lineRule="auto"/>
              <w:jc w:val="both"/>
              <w:rPr>
                <w:sz w:val="24"/>
                <w:szCs w:val="24"/>
              </w:rPr>
            </w:pPr>
            <w:r w:rsidRPr="000E55D7">
              <w:rPr>
                <w:sz w:val="24"/>
                <w:szCs w:val="24"/>
              </w:rPr>
              <w:t>T</w:t>
            </w:r>
            <w:r w:rsidRPr="00806FA2">
              <w:rPr>
                <w:sz w:val="24"/>
                <w:szCs w:val="24"/>
              </w:rPr>
              <w:t>he Human Rights Act 1998 was also a critical consideration throughout the investigation. Th</w:t>
            </w:r>
            <w:r>
              <w:rPr>
                <w:sz w:val="24"/>
                <w:szCs w:val="24"/>
              </w:rPr>
              <w:t>e Human Rights Act 1988</w:t>
            </w:r>
            <w:r w:rsidRPr="00806FA2">
              <w:rPr>
                <w:sz w:val="24"/>
                <w:szCs w:val="24"/>
              </w:rPr>
              <w:t xml:space="preserve"> Act incorporates the European Convention on Human Rights into UK law, </w:t>
            </w:r>
            <w:r>
              <w:rPr>
                <w:sz w:val="24"/>
                <w:szCs w:val="24"/>
              </w:rPr>
              <w:t xml:space="preserve">which </w:t>
            </w:r>
            <w:r w:rsidRPr="00806FA2">
              <w:rPr>
                <w:sz w:val="24"/>
                <w:szCs w:val="24"/>
              </w:rPr>
              <w:t>ensur</w:t>
            </w:r>
            <w:r>
              <w:rPr>
                <w:sz w:val="24"/>
                <w:szCs w:val="24"/>
              </w:rPr>
              <w:t>e</w:t>
            </w:r>
            <w:r w:rsidRPr="00806FA2">
              <w:rPr>
                <w:sz w:val="24"/>
                <w:szCs w:val="24"/>
              </w:rPr>
              <w:t xml:space="preserve"> public authorities, including social services, act in ways that respect and protect individuals’ rights.</w:t>
            </w:r>
            <w:r>
              <w:rPr>
                <w:sz w:val="24"/>
                <w:szCs w:val="24"/>
              </w:rPr>
              <w:t xml:space="preserve"> When looking in terming of </w:t>
            </w:r>
            <w:r w:rsidRPr="00806FA2">
              <w:rPr>
                <w:sz w:val="24"/>
                <w:szCs w:val="24"/>
              </w:rPr>
              <w:t xml:space="preserve">safeguarding contexts, this includes the right to life (Article 2), freedom from inhuman or degrading treatment (Article 3), and respect for private and family life (Article 8). These rights are especially pertinent when making decisions that may involve removing a child from their family or intervening in their care arrangements. The Human Rights Act requires that such decisions be proportionate, lawful, and necessary, and that the child’s voice is heard in the process </w:t>
            </w:r>
            <w:r w:rsidRPr="000E55D7">
              <w:rPr>
                <w:sz w:val="24"/>
                <w:szCs w:val="24"/>
              </w:rPr>
              <w:t>(Human Rights Act 1998)</w:t>
            </w:r>
            <w:r>
              <w:rPr>
                <w:sz w:val="24"/>
                <w:szCs w:val="24"/>
              </w:rPr>
              <w:t>.</w:t>
            </w:r>
          </w:p>
          <w:p w14:paraId="6474072A" w14:textId="77777777" w:rsidR="001B6ACD" w:rsidRPr="00806FA2" w:rsidRDefault="001B6ACD" w:rsidP="001B6ACD">
            <w:pPr>
              <w:spacing w:line="360" w:lineRule="auto"/>
              <w:jc w:val="both"/>
              <w:rPr>
                <w:sz w:val="24"/>
                <w:szCs w:val="24"/>
              </w:rPr>
            </w:pPr>
          </w:p>
          <w:p w14:paraId="5243C9A6" w14:textId="77777777" w:rsidR="001B6ACD" w:rsidRPr="00806FA2" w:rsidRDefault="001B6ACD" w:rsidP="001B6ACD">
            <w:pPr>
              <w:spacing w:line="360" w:lineRule="auto"/>
              <w:jc w:val="both"/>
              <w:rPr>
                <w:sz w:val="24"/>
                <w:szCs w:val="24"/>
              </w:rPr>
            </w:pPr>
            <w:r w:rsidRPr="000E55D7">
              <w:rPr>
                <w:sz w:val="24"/>
                <w:szCs w:val="24"/>
              </w:rPr>
              <w:t xml:space="preserve">Save the Children (2022) note the safeguarding of children to be a proactive commitment to ensuring the safety and well-being of all individuals, especially children, by protecting them from harm, abuse, or neglect whether intentional or accidental. This includes preventing harm caused by staff, partners, or organizational activities. Safeguarding also involves promoting individuals’ health, rights, and dignity, and fostering a safe, inclusive, and respectful environment free from abuse, exploitation, and harassment. Wales Safeguarding procedure (2019) refers as safeguarding to the proactive measures taken to protect children and adults from harm, abuse, and neglect, ensuring their safety, well-being, and the upholding of their human rights. It is a shared responsibility across public, private, and third-sector organisations to prevent risks to individuals’ health and development, and to provide safe, high-quality care. Effective safeguarding procedures support practitioners in recognising concerns, assessing risks, and taking appropriate action to protect those at risk, with a strong emphasis on promoting positive outcomes for both children and vulnerable adults. When considering safeguarding, it is important to note that there have been serious case reviews which have often highlighted serious failings in communication between professionals and agencies, which has resulted in </w:t>
            </w:r>
            <w:proofErr w:type="gramStart"/>
            <w:r w:rsidRPr="000E55D7">
              <w:rPr>
                <w:sz w:val="24"/>
                <w:szCs w:val="24"/>
              </w:rPr>
              <w:t>a number of</w:t>
            </w:r>
            <w:proofErr w:type="gramEnd"/>
            <w:r w:rsidRPr="000E55D7">
              <w:rPr>
                <w:sz w:val="24"/>
                <w:szCs w:val="24"/>
              </w:rPr>
              <w:t xml:space="preserve"> missed opportunities to safeguard (WG,2014; Laming 2009, SCW 2011). </w:t>
            </w:r>
            <w:r w:rsidRPr="00806FA2">
              <w:rPr>
                <w:sz w:val="24"/>
                <w:szCs w:val="24"/>
              </w:rPr>
              <w:t>These reviews underscore the importance of inter-agency collaboration, clear information sharing protocols, and respect for legal and ethical frameworks.</w:t>
            </w:r>
          </w:p>
          <w:p w14:paraId="0D9BB4A8" w14:textId="77777777" w:rsidR="001B6ACD" w:rsidRPr="000E55D7" w:rsidRDefault="001B6ACD" w:rsidP="001B6ACD">
            <w:pPr>
              <w:spacing w:line="360" w:lineRule="auto"/>
              <w:jc w:val="both"/>
              <w:rPr>
                <w:sz w:val="24"/>
                <w:szCs w:val="24"/>
              </w:rPr>
            </w:pPr>
          </w:p>
          <w:p w14:paraId="296E5238" w14:textId="77777777" w:rsidR="001B6ACD" w:rsidRPr="00806FA2" w:rsidRDefault="001B6ACD" w:rsidP="001B6ACD">
            <w:pPr>
              <w:spacing w:line="360" w:lineRule="auto"/>
              <w:jc w:val="both"/>
              <w:rPr>
                <w:sz w:val="24"/>
                <w:szCs w:val="24"/>
              </w:rPr>
            </w:pPr>
            <w:r w:rsidRPr="00806FA2">
              <w:rPr>
                <w:sz w:val="24"/>
                <w:szCs w:val="24"/>
              </w:rPr>
              <w:t xml:space="preserve">Additionally, data protection legislation, particularly the Data Protection Act 2018 and UK GDPR, played a vital role in guiding how information was shared during the investigation. Effective safeguarding relies on appropriate and timely information sharing, and data protection law supports this by enabling professionals to share information lawfully and proportionately when it is necessary to protect a child from harm. The ICO’s 10-step guide to sharing information for safeguarding purposes highlights that failing to share information can be more harmful than sharing it, and that safeguarding concerns override privacy considerations when a child is at risk </w:t>
            </w:r>
            <w:r w:rsidRPr="000E55D7">
              <w:rPr>
                <w:sz w:val="24"/>
                <w:szCs w:val="24"/>
              </w:rPr>
              <w:t>(Just for Kids Law &amp; CRAE, 2021)</w:t>
            </w:r>
          </w:p>
          <w:p w14:paraId="0855093C" w14:textId="77777777" w:rsidR="001B6ACD" w:rsidRPr="000E55D7" w:rsidRDefault="001B6ACD" w:rsidP="001B6ACD">
            <w:pPr>
              <w:spacing w:line="360" w:lineRule="auto"/>
              <w:jc w:val="both"/>
              <w:rPr>
                <w:sz w:val="24"/>
                <w:szCs w:val="24"/>
              </w:rPr>
            </w:pPr>
          </w:p>
          <w:p w14:paraId="415002F0" w14:textId="77777777" w:rsidR="001B6ACD" w:rsidRPr="000E55D7" w:rsidRDefault="001B6ACD" w:rsidP="001B6ACD">
            <w:pPr>
              <w:spacing w:line="360" w:lineRule="auto"/>
              <w:jc w:val="both"/>
              <w:rPr>
                <w:sz w:val="24"/>
                <w:szCs w:val="24"/>
              </w:rPr>
            </w:pPr>
            <w:r w:rsidRPr="000E55D7">
              <w:rPr>
                <w:sz w:val="24"/>
                <w:szCs w:val="24"/>
              </w:rPr>
              <w:t xml:space="preserve">The reflective model I have chosen to use when reflecting on my section 47 investigation is Gibbs model of reflection (1998). I found this model an effective and uncomplicated tool when reflecting on my practice. I also found this model useful when reflecting on further learning </w:t>
            </w:r>
            <w:proofErr w:type="gramStart"/>
            <w:r w:rsidRPr="000E55D7">
              <w:rPr>
                <w:sz w:val="24"/>
                <w:szCs w:val="24"/>
              </w:rPr>
              <w:t>needs, and</w:t>
            </w:r>
            <w:proofErr w:type="gramEnd"/>
            <w:r w:rsidRPr="000E55D7">
              <w:rPr>
                <w:sz w:val="24"/>
                <w:szCs w:val="24"/>
              </w:rPr>
              <w:t xml:space="preserve"> identifying them with inhouse training within my locality. Social work professionals within my workplace receive a training email each week allowing us to remain up to date with knowledge and understanding (SCW, </w:t>
            </w:r>
            <w:proofErr w:type="spellStart"/>
            <w:r w:rsidRPr="000E55D7">
              <w:rPr>
                <w:sz w:val="24"/>
                <w:szCs w:val="24"/>
              </w:rPr>
              <w:t>CoPP</w:t>
            </w:r>
            <w:proofErr w:type="spellEnd"/>
            <w:r w:rsidRPr="000E55D7">
              <w:rPr>
                <w:sz w:val="24"/>
                <w:szCs w:val="24"/>
              </w:rPr>
              <w:t xml:space="preserve"> 7). </w:t>
            </w:r>
          </w:p>
          <w:p w14:paraId="358D773F" w14:textId="77777777" w:rsidR="001B6ACD" w:rsidRPr="000E55D7" w:rsidRDefault="001B6ACD" w:rsidP="001B6ACD">
            <w:pPr>
              <w:spacing w:line="360" w:lineRule="auto"/>
              <w:jc w:val="both"/>
              <w:rPr>
                <w:sz w:val="24"/>
                <w:szCs w:val="24"/>
              </w:rPr>
            </w:pPr>
          </w:p>
          <w:p w14:paraId="0F247F5C" w14:textId="77777777" w:rsidR="001B6ACD" w:rsidRDefault="001B6ACD" w:rsidP="001B6ACD">
            <w:pPr>
              <w:spacing w:line="360" w:lineRule="auto"/>
              <w:jc w:val="both"/>
              <w:rPr>
                <w:iCs/>
                <w:sz w:val="24"/>
                <w:szCs w:val="24"/>
              </w:rPr>
            </w:pPr>
            <w:r w:rsidRPr="000E55D7">
              <w:rPr>
                <w:iCs/>
                <w:sz w:val="24"/>
                <w:szCs w:val="24"/>
              </w:rPr>
              <w:t>The section 47 investigation was agreed in the initial statutory discussion</w:t>
            </w:r>
            <w:r>
              <w:rPr>
                <w:iCs/>
                <w:sz w:val="24"/>
                <w:szCs w:val="24"/>
              </w:rPr>
              <w:t xml:space="preserve"> between the police and social services within the locality where the child resides. </w:t>
            </w:r>
            <w:r w:rsidRPr="00604F94">
              <w:rPr>
                <w:iCs/>
                <w:sz w:val="24"/>
                <w:szCs w:val="24"/>
              </w:rPr>
              <w:t>The importance of multi</w:t>
            </w:r>
            <w:r>
              <w:rPr>
                <w:iCs/>
                <w:sz w:val="24"/>
                <w:szCs w:val="24"/>
              </w:rPr>
              <w:t xml:space="preserve">-agency working is highlighted within the Children Act 1989 where it places responsibility upon all professionals with their duty to safeguard and promote children’s welfare within their area, and as highlighted by Walker (2018), multi-agency working is a statutory requirement for all professionals, whilst supporting people in need of care and support. After the initial statutory discussion, it was agreed by all professionals, due to the complex nature of the sexual assault the young person (1) had </w:t>
            </w:r>
            <w:r w:rsidRPr="00F2556B">
              <w:rPr>
                <w:iCs/>
                <w:sz w:val="24"/>
                <w:szCs w:val="24"/>
              </w:rPr>
              <w:t>disclosed,</w:t>
            </w:r>
            <w:r>
              <w:rPr>
                <w:iCs/>
                <w:sz w:val="24"/>
                <w:szCs w:val="24"/>
              </w:rPr>
              <w:t xml:space="preserve"> and my ability to apply intervention within this complex situation</w:t>
            </w:r>
            <w:r w:rsidRPr="00F2556B">
              <w:rPr>
                <w:iCs/>
                <w:sz w:val="24"/>
                <w:szCs w:val="24"/>
              </w:rPr>
              <w:t xml:space="preserve"> I would undertake a visit to the family home, alongside my practice lead to carry out the section 47 investigation. The leading reason behind why I would carry out the section 47 was due to</w:t>
            </w:r>
            <w:r>
              <w:rPr>
                <w:iCs/>
                <w:sz w:val="24"/>
                <w:szCs w:val="24"/>
              </w:rPr>
              <w:t xml:space="preserve"> the positive relationship I had formed with the young person, who expressed she felt safe in </w:t>
            </w:r>
            <w:r w:rsidRPr="00F2556B">
              <w:rPr>
                <w:iCs/>
                <w:sz w:val="24"/>
                <w:szCs w:val="24"/>
              </w:rPr>
              <w:t>offering</w:t>
            </w:r>
            <w:r>
              <w:rPr>
                <w:iCs/>
                <w:sz w:val="24"/>
                <w:szCs w:val="24"/>
              </w:rPr>
              <w:t xml:space="preserve"> this information. </w:t>
            </w:r>
            <w:r w:rsidRPr="002E40CA">
              <w:rPr>
                <w:iCs/>
                <w:sz w:val="24"/>
                <w:szCs w:val="24"/>
              </w:rPr>
              <w:t>Rollins</w:t>
            </w:r>
            <w:r>
              <w:rPr>
                <w:iCs/>
                <w:sz w:val="24"/>
                <w:szCs w:val="24"/>
              </w:rPr>
              <w:t xml:space="preserve"> (2020) expresses how the relationship between a social worker and a client needs to be one of empathy, humanistic, trust and honesty if these characteristics are present then relationships can be positive and create growth, and change. </w:t>
            </w:r>
          </w:p>
          <w:p w14:paraId="0636AD3D" w14:textId="77777777" w:rsidR="001B6ACD" w:rsidRDefault="001B6ACD" w:rsidP="001B6ACD">
            <w:pPr>
              <w:spacing w:line="360" w:lineRule="auto"/>
              <w:jc w:val="both"/>
              <w:rPr>
                <w:iCs/>
                <w:sz w:val="24"/>
                <w:szCs w:val="24"/>
              </w:rPr>
            </w:pPr>
          </w:p>
          <w:p w14:paraId="7AA0B534" w14:textId="77777777" w:rsidR="001B6ACD" w:rsidRDefault="001B6ACD" w:rsidP="001B6ACD">
            <w:pPr>
              <w:spacing w:line="360" w:lineRule="auto"/>
              <w:jc w:val="both"/>
              <w:rPr>
                <w:iCs/>
                <w:sz w:val="24"/>
                <w:szCs w:val="24"/>
              </w:rPr>
            </w:pPr>
            <w:r>
              <w:rPr>
                <w:iCs/>
                <w:sz w:val="24"/>
                <w:szCs w:val="24"/>
              </w:rPr>
              <w:t>Wales Safeguarding Procedures (2019) identify that once a section 47 investigation has been i</w:t>
            </w:r>
            <w:r w:rsidRPr="008676D4">
              <w:rPr>
                <w:iCs/>
                <w:sz w:val="24"/>
                <w:szCs w:val="24"/>
              </w:rPr>
              <w:t>nitiated</w:t>
            </w:r>
            <w:r>
              <w:rPr>
                <w:iCs/>
                <w:sz w:val="24"/>
                <w:szCs w:val="24"/>
              </w:rPr>
              <w:t xml:space="preserve">, the time scale for completing the work is 15 days.  As noted by Wales Safeguarding Procedures (2019) if a child’s name is not already placed on the child protection </w:t>
            </w:r>
            <w:r w:rsidRPr="00F2556B">
              <w:rPr>
                <w:iCs/>
                <w:sz w:val="24"/>
                <w:szCs w:val="24"/>
              </w:rPr>
              <w:t>register, a</w:t>
            </w:r>
            <w:r>
              <w:rPr>
                <w:iCs/>
                <w:sz w:val="24"/>
                <w:szCs w:val="24"/>
              </w:rPr>
              <w:t xml:space="preserve"> section 47 enquiry often leads to a child protection conference, whereby all professionals and family come together to objectively analyse the information gained in the section 47 and further decisions are made to whether children have suffered or at risk of suffering significant harm. Young person </w:t>
            </w:r>
            <w:r w:rsidRPr="008F18B5">
              <w:rPr>
                <w:iCs/>
                <w:sz w:val="24"/>
                <w:szCs w:val="24"/>
              </w:rPr>
              <w:t>1’s, name</w:t>
            </w:r>
            <w:r>
              <w:rPr>
                <w:iCs/>
                <w:sz w:val="24"/>
                <w:szCs w:val="24"/>
              </w:rPr>
              <w:t xml:space="preserve"> was already on the child protection register from her previous local authority in which she resided with her mother (2) and siblings. Due to this I had a duty </w:t>
            </w:r>
            <w:r w:rsidRPr="008F18B5">
              <w:rPr>
                <w:iCs/>
                <w:sz w:val="24"/>
                <w:szCs w:val="24"/>
              </w:rPr>
              <w:t>to contact these local authorities to gain a further understanding of the significant harm 1 and her siblings had experienced or were at risk of experiencing.</w:t>
            </w:r>
            <w:r>
              <w:rPr>
                <w:iCs/>
                <w:sz w:val="24"/>
                <w:szCs w:val="24"/>
              </w:rPr>
              <w:t xml:space="preserve"> By contacting these local </w:t>
            </w:r>
            <w:proofErr w:type="gramStart"/>
            <w:r>
              <w:rPr>
                <w:iCs/>
                <w:sz w:val="24"/>
                <w:szCs w:val="24"/>
              </w:rPr>
              <w:t>authorities</w:t>
            </w:r>
            <w:proofErr w:type="gramEnd"/>
            <w:r>
              <w:rPr>
                <w:iCs/>
                <w:sz w:val="24"/>
                <w:szCs w:val="24"/>
              </w:rPr>
              <w:t xml:space="preserve"> I was able to utilise the information to inform my assessment analysis of the complex nature of the investigation.     </w:t>
            </w:r>
          </w:p>
          <w:p w14:paraId="02548700" w14:textId="77777777" w:rsidR="001B6ACD" w:rsidRDefault="001B6ACD" w:rsidP="001B6ACD">
            <w:pPr>
              <w:spacing w:line="360" w:lineRule="auto"/>
              <w:jc w:val="both"/>
              <w:rPr>
                <w:iCs/>
                <w:sz w:val="24"/>
                <w:szCs w:val="24"/>
              </w:rPr>
            </w:pPr>
          </w:p>
          <w:p w14:paraId="7FCBCF42" w14:textId="77777777" w:rsidR="001B6ACD" w:rsidRDefault="001B6ACD" w:rsidP="001B6ACD">
            <w:pPr>
              <w:spacing w:line="360" w:lineRule="auto"/>
              <w:jc w:val="both"/>
              <w:rPr>
                <w:sz w:val="24"/>
                <w:szCs w:val="24"/>
              </w:rPr>
            </w:pPr>
            <w:r>
              <w:rPr>
                <w:sz w:val="24"/>
                <w:szCs w:val="24"/>
              </w:rPr>
              <w:t>The young girl 1 is new to the area having moved from her mothers’ care into her father’s (3). Her mother lives in a rural area of Wales, in the 2021 Census this area had a population of 92,300 (</w:t>
            </w:r>
            <w:r w:rsidRPr="005D028D">
              <w:rPr>
                <w:sz w:val="24"/>
                <w:szCs w:val="24"/>
              </w:rPr>
              <w:t>Office for National Statistics - Census 2021</w:t>
            </w:r>
            <w:r>
              <w:rPr>
                <w:sz w:val="24"/>
                <w:szCs w:val="24"/>
              </w:rPr>
              <w:t xml:space="preserve">), </w:t>
            </w:r>
            <w:r w:rsidRPr="00AE5EB1">
              <w:rPr>
                <w:sz w:val="24"/>
                <w:szCs w:val="24"/>
              </w:rPr>
              <w:t>with 75 children receiving care and support on the child protection register (</w:t>
            </w:r>
            <w:proofErr w:type="spellStart"/>
            <w:r w:rsidRPr="00AE5EB1">
              <w:rPr>
                <w:sz w:val="24"/>
                <w:szCs w:val="24"/>
              </w:rPr>
              <w:t>Stats.Wales</w:t>
            </w:r>
            <w:proofErr w:type="spellEnd"/>
            <w:r w:rsidRPr="00AE5EB1">
              <w:rPr>
                <w:sz w:val="24"/>
                <w:szCs w:val="24"/>
              </w:rPr>
              <w:t xml:space="preserve"> 2023). Her father lives in a deprived area of Wales with a population recorded in the 2021 census of 238,500 and 185 children receiving care and support on the child protection register (</w:t>
            </w:r>
            <w:proofErr w:type="spellStart"/>
            <w:r w:rsidRPr="00AE5EB1">
              <w:rPr>
                <w:sz w:val="24"/>
                <w:szCs w:val="24"/>
              </w:rPr>
              <w:t>Stats.Wales</w:t>
            </w:r>
            <w:proofErr w:type="spellEnd"/>
            <w:r w:rsidRPr="00AE5EB1">
              <w:rPr>
                <w:sz w:val="24"/>
                <w:szCs w:val="24"/>
              </w:rPr>
              <w:t xml:space="preserve"> 2023). During the section 47 investigation, 1 was residing in her father’s one bedroom council</w:t>
            </w:r>
            <w:r>
              <w:rPr>
                <w:sz w:val="24"/>
                <w:szCs w:val="24"/>
              </w:rPr>
              <w:t xml:space="preserve"> owned flat, in which her father has provided her with the bedroom, and he was sleeping on the sofa.  When reflecting on the two different types of living areas and households, dad’s is accessible on a local bus route, walking distance to the local town centre, situated close to a range of educational settings, and local amenities and shops. Whereas with her mother there are limited local buses, shops and amenities are not within walking distance and accessibility to a range of educational settings are limited. </w:t>
            </w:r>
            <w:r w:rsidRPr="00A012C9">
              <w:rPr>
                <w:sz w:val="24"/>
                <w:szCs w:val="24"/>
              </w:rPr>
              <w:t>Therefore, we can reflect upon the differences between the two environments and the impact these have played on her sense of freedom, ability to explore independently and form new relationships.</w:t>
            </w:r>
          </w:p>
          <w:p w14:paraId="48DB0306" w14:textId="77777777" w:rsidR="001B6ACD" w:rsidRDefault="001B6ACD" w:rsidP="001B6ACD">
            <w:pPr>
              <w:spacing w:line="360" w:lineRule="auto"/>
              <w:jc w:val="both"/>
              <w:rPr>
                <w:sz w:val="24"/>
                <w:szCs w:val="24"/>
              </w:rPr>
            </w:pPr>
          </w:p>
          <w:p w14:paraId="150FEB41" w14:textId="77777777" w:rsidR="001B6ACD" w:rsidRPr="00554CAE" w:rsidRDefault="001B6ACD" w:rsidP="001B6ACD">
            <w:pPr>
              <w:spacing w:line="360" w:lineRule="auto"/>
              <w:jc w:val="both"/>
              <w:rPr>
                <w:sz w:val="24"/>
                <w:szCs w:val="24"/>
              </w:rPr>
            </w:pPr>
            <w:r>
              <w:rPr>
                <w:sz w:val="24"/>
                <w:szCs w:val="24"/>
              </w:rPr>
              <w:t xml:space="preserve">From conversations with 2, she shared her local authority felt it was in 1’s and her siblings’ best </w:t>
            </w:r>
            <w:r w:rsidRPr="00192EB2">
              <w:rPr>
                <w:sz w:val="24"/>
                <w:szCs w:val="24"/>
              </w:rPr>
              <w:t xml:space="preserve">interests to reside with 3 for a period. The Childrens Act 1989, emphases the best place for children to reside is within their own families, </w:t>
            </w:r>
            <w:proofErr w:type="gramStart"/>
            <w:r w:rsidRPr="00192EB2">
              <w:rPr>
                <w:sz w:val="24"/>
                <w:szCs w:val="24"/>
              </w:rPr>
              <w:t>as long as</w:t>
            </w:r>
            <w:proofErr w:type="gramEnd"/>
            <w:r w:rsidRPr="00192EB2">
              <w:rPr>
                <w:sz w:val="24"/>
                <w:szCs w:val="24"/>
              </w:rPr>
              <w:t xml:space="preserve"> it is safe and in children’s best interest. 3 has a range of his own additional needs, which we have observed to impact his ability to safeguard 1 and meet her emotional needs.</w:t>
            </w:r>
            <w:r>
              <w:rPr>
                <w:sz w:val="24"/>
                <w:szCs w:val="24"/>
              </w:rPr>
              <w:t xml:space="preserve"> 3 has been </w:t>
            </w:r>
            <w:r w:rsidRPr="00554CAE">
              <w:rPr>
                <w:sz w:val="24"/>
                <w:szCs w:val="24"/>
              </w:rPr>
              <w:t xml:space="preserve">observed to meet 1’s basis care needs however, due to her known adverse childhood traumas, as highlighted by </w:t>
            </w:r>
            <w:proofErr w:type="spellStart"/>
            <w:r w:rsidRPr="00554CAE">
              <w:rPr>
                <w:sz w:val="24"/>
                <w:szCs w:val="24"/>
              </w:rPr>
              <w:t>Lemaigre</w:t>
            </w:r>
            <w:proofErr w:type="spellEnd"/>
            <w:r w:rsidRPr="00554CAE">
              <w:rPr>
                <w:sz w:val="24"/>
                <w:szCs w:val="24"/>
              </w:rPr>
              <w:t xml:space="preserve"> (2017) such adversities often </w:t>
            </w:r>
            <w:proofErr w:type="gramStart"/>
            <w:r w:rsidRPr="00554CAE">
              <w:rPr>
                <w:sz w:val="24"/>
                <w:szCs w:val="24"/>
              </w:rPr>
              <w:t>leads</w:t>
            </w:r>
            <w:proofErr w:type="gramEnd"/>
            <w:r w:rsidRPr="00554CAE">
              <w:rPr>
                <w:sz w:val="24"/>
                <w:szCs w:val="24"/>
              </w:rPr>
              <w:t xml:space="preserve"> to children having a high predisposition of experiencing mental health and insecure attachment styles, or otherwise known avoidant, ambivalent and disorganised (Ainsworth &amp; Bowlby, 1999,). Which as highlighted by Holmes (2014) a child who has in insecure attachment can see the world as a dangerous place, where they see themselves as unable to be loved or deserving of love.  </w:t>
            </w:r>
          </w:p>
          <w:p w14:paraId="1EC0C993" w14:textId="77777777" w:rsidR="001B6ACD" w:rsidRPr="00554CAE" w:rsidRDefault="001B6ACD" w:rsidP="001B6ACD">
            <w:pPr>
              <w:spacing w:line="360" w:lineRule="auto"/>
              <w:jc w:val="both"/>
              <w:rPr>
                <w:sz w:val="24"/>
                <w:szCs w:val="24"/>
              </w:rPr>
            </w:pPr>
          </w:p>
          <w:p w14:paraId="6501BF47" w14:textId="77777777" w:rsidR="001B6ACD" w:rsidRDefault="001B6ACD" w:rsidP="001B6ACD">
            <w:pPr>
              <w:spacing w:line="360" w:lineRule="auto"/>
              <w:jc w:val="both"/>
              <w:rPr>
                <w:sz w:val="24"/>
                <w:szCs w:val="24"/>
              </w:rPr>
            </w:pPr>
            <w:r w:rsidRPr="00554CAE">
              <w:rPr>
                <w:sz w:val="24"/>
                <w:szCs w:val="24"/>
              </w:rPr>
              <w:t>Within supervision we have discussed 1’s attachment to her parents and have noted from reading a range of social services documents in the different places the family have resided</w:t>
            </w:r>
            <w:r>
              <w:rPr>
                <w:sz w:val="24"/>
                <w:szCs w:val="24"/>
              </w:rPr>
              <w:t xml:space="preserve">. There is a common agreed view, 1 has an insecure attachment with 3 due to him not being present in a healthy and positive manner in her early formative years. By his own recognition he was unable to provide her with safety, security and love and his actions would have placed her in a place a fear and worry. When looking at systems theory, to reflect on the sexual assault which led to the section 47 investigation, we can reflect on the 1’s upbringing and wonder if there is a possibility the risky behaviours being presented by the young teenager on more than one occasions are link to the behaviours she witnessed growing up, as Greene and Blundo 1998 noted the behaviours of a person is maintained an determined by their interactions with structure, interrelationships or communication. </w:t>
            </w:r>
          </w:p>
          <w:p w14:paraId="0F13ED73" w14:textId="77777777" w:rsidR="001B6ACD" w:rsidRDefault="001B6ACD" w:rsidP="001B6ACD">
            <w:pPr>
              <w:spacing w:line="360" w:lineRule="auto"/>
              <w:jc w:val="both"/>
              <w:rPr>
                <w:sz w:val="24"/>
                <w:szCs w:val="24"/>
              </w:rPr>
            </w:pPr>
          </w:p>
          <w:p w14:paraId="0A89026A" w14:textId="77777777" w:rsidR="001B6ACD" w:rsidRDefault="001B6ACD" w:rsidP="001B6ACD">
            <w:pPr>
              <w:spacing w:line="360" w:lineRule="auto"/>
              <w:jc w:val="both"/>
              <w:rPr>
                <w:sz w:val="24"/>
                <w:szCs w:val="24"/>
              </w:rPr>
            </w:pPr>
            <w:r w:rsidRPr="00AE4C64">
              <w:rPr>
                <w:sz w:val="24"/>
                <w:szCs w:val="24"/>
              </w:rPr>
              <w:t xml:space="preserve">When reflecting on my time with the family it is important to note 1’s birthplace is England, and she has noted herself to struggle with the Welsh language to which she will speak negatively of and often call peers and professionals Welsh derogatory terms as a way of emphasising her birthplace and relinquishing any link to Wales. Therefore, although we offer each family the active offer of working through the medium of the Welsh language, this was refused by 1 and the family. Although the young girl is English, the active offer as highlighted in more than just words (2015- </w:t>
            </w:r>
            <w:proofErr w:type="spellStart"/>
            <w:r w:rsidRPr="00AE4C64">
              <w:rPr>
                <w:sz w:val="24"/>
                <w:szCs w:val="24"/>
              </w:rPr>
              <w:t>Gov.wales</w:t>
            </w:r>
            <w:proofErr w:type="spellEnd"/>
            <w:r w:rsidRPr="00AE4C64">
              <w:rPr>
                <w:sz w:val="24"/>
                <w:szCs w:val="24"/>
              </w:rPr>
              <w:t xml:space="preserve">) the offer is about empowering </w:t>
            </w:r>
            <w:proofErr w:type="gramStart"/>
            <w:r w:rsidRPr="00AE4C64">
              <w:rPr>
                <w:sz w:val="24"/>
                <w:szCs w:val="24"/>
              </w:rPr>
              <w:t>people, and</w:t>
            </w:r>
            <w:proofErr w:type="gramEnd"/>
            <w:r w:rsidRPr="00AE4C64">
              <w:rPr>
                <w:sz w:val="24"/>
                <w:szCs w:val="24"/>
              </w:rPr>
              <w:t xml:space="preserve"> ensuring they are comfortable in their environment.  However, within a Welsh mainstream educational setting she was required to study compulsory Welsh which we know from her short period of time within 3’s care, chose to disengage with this lesson. Therefore, her educational setting is adapting an individual learning programme to meet her educational needs.  The educational system is a highly important and universal platform which is responsible for meeting all children’s educational, development and possible health needs (O’Connor, Chong, Quach, Goldfeld, 2020).</w:t>
            </w:r>
            <w:r>
              <w:rPr>
                <w:sz w:val="24"/>
                <w:szCs w:val="24"/>
              </w:rPr>
              <w:t xml:space="preserve"> </w:t>
            </w:r>
          </w:p>
          <w:p w14:paraId="452E415F" w14:textId="77777777" w:rsidR="001B6ACD" w:rsidRDefault="001B6ACD" w:rsidP="001B6ACD">
            <w:pPr>
              <w:spacing w:line="360" w:lineRule="auto"/>
              <w:jc w:val="both"/>
              <w:rPr>
                <w:sz w:val="24"/>
                <w:szCs w:val="24"/>
              </w:rPr>
            </w:pPr>
            <w:r>
              <w:rPr>
                <w:sz w:val="24"/>
                <w:szCs w:val="24"/>
              </w:rPr>
              <w:t xml:space="preserve"> </w:t>
            </w:r>
          </w:p>
          <w:p w14:paraId="1A8EC171" w14:textId="77777777" w:rsidR="001B6ACD" w:rsidRPr="00EB1B94" w:rsidRDefault="001B6ACD" w:rsidP="001B6ACD">
            <w:pPr>
              <w:spacing w:line="360" w:lineRule="auto"/>
              <w:jc w:val="both"/>
              <w:rPr>
                <w:sz w:val="24"/>
                <w:szCs w:val="24"/>
              </w:rPr>
            </w:pPr>
            <w:r>
              <w:rPr>
                <w:sz w:val="24"/>
                <w:szCs w:val="24"/>
              </w:rPr>
              <w:t xml:space="preserve">Due to the severity of the information shared, and ensuring I had captured her words correctly, I requested </w:t>
            </w:r>
            <w:r w:rsidRPr="00EB1B94">
              <w:rPr>
                <w:sz w:val="24"/>
                <w:szCs w:val="24"/>
              </w:rPr>
              <w:t xml:space="preserve">permission to record the conversation via the magic notes tool which is currently being piloted within my local authority. The importance of accurately recording is noted by Social Care Wales (2017). When documenting </w:t>
            </w:r>
            <w:r w:rsidRPr="00EB1B94">
              <w:rPr>
                <w:strike/>
                <w:sz w:val="24"/>
                <w:szCs w:val="24"/>
              </w:rPr>
              <w:t>all</w:t>
            </w:r>
            <w:r w:rsidRPr="00EB1B94">
              <w:rPr>
                <w:sz w:val="24"/>
                <w:szCs w:val="24"/>
              </w:rPr>
              <w:t xml:space="preserve"> the information within the section 47, I ensured I recorded the families own words and use of their local dialect as I am aware, that one day 1 may decide the to read her local authority paper work, and due to the sensitivity of the information I wanted to ensure it was recorded in a respectful manner whilst remaining focused on the significant harm. </w:t>
            </w:r>
          </w:p>
          <w:p w14:paraId="719FBD0D" w14:textId="77777777" w:rsidR="001B6ACD" w:rsidRPr="00EB1B94" w:rsidRDefault="001B6ACD" w:rsidP="001B6ACD">
            <w:pPr>
              <w:spacing w:line="360" w:lineRule="auto"/>
              <w:jc w:val="both"/>
              <w:rPr>
                <w:sz w:val="24"/>
                <w:szCs w:val="24"/>
              </w:rPr>
            </w:pPr>
          </w:p>
          <w:p w14:paraId="182493FC" w14:textId="77777777" w:rsidR="001B6ACD" w:rsidRDefault="001B6ACD" w:rsidP="001B6ACD">
            <w:pPr>
              <w:spacing w:line="360" w:lineRule="auto"/>
              <w:jc w:val="both"/>
              <w:rPr>
                <w:sz w:val="24"/>
                <w:szCs w:val="24"/>
              </w:rPr>
            </w:pPr>
            <w:r w:rsidRPr="00EB1B94">
              <w:rPr>
                <w:sz w:val="24"/>
                <w:szCs w:val="24"/>
              </w:rPr>
              <w:t>I utilised supervision not only for the case, but personal supervision as I recall feeling overwhelmed at times, of how best to carry out the section 47 to the best of my ability. As noted by Social Care Wales, supervision is an integral tool for social workers, as it provides a space for workers to enhance their skills and knowledge whilst reflecting on their practice and in this case allowed myself to be supported to come to terms with the allegations of 1 and make united decision on how best to progress forward with the next steps.</w:t>
            </w:r>
            <w:r>
              <w:rPr>
                <w:sz w:val="24"/>
                <w:szCs w:val="24"/>
              </w:rPr>
              <w:t xml:space="preserve"> </w:t>
            </w:r>
          </w:p>
          <w:p w14:paraId="4E4DF28D" w14:textId="77777777" w:rsidR="001B6ACD" w:rsidRDefault="001B6ACD" w:rsidP="001B6ACD">
            <w:pPr>
              <w:spacing w:line="360" w:lineRule="auto"/>
              <w:jc w:val="both"/>
              <w:rPr>
                <w:sz w:val="24"/>
                <w:szCs w:val="24"/>
              </w:rPr>
            </w:pPr>
          </w:p>
          <w:p w14:paraId="1F5EFA6B" w14:textId="77777777" w:rsidR="001B6ACD" w:rsidRPr="00366FF2" w:rsidRDefault="001B6ACD" w:rsidP="001B6ACD">
            <w:pPr>
              <w:spacing w:line="360" w:lineRule="auto"/>
              <w:jc w:val="both"/>
              <w:rPr>
                <w:sz w:val="24"/>
                <w:szCs w:val="24"/>
              </w:rPr>
            </w:pPr>
            <w:r>
              <w:rPr>
                <w:sz w:val="24"/>
                <w:szCs w:val="24"/>
              </w:rPr>
              <w:t>Using Gibs reflective cycle during supervision allowed me to process and reflect on my thoughts, feelings and the impact the information was also having on 1, and the family. Whilst the information was difficult to hear for myself, I was mindful of the impact this information had on 2 and 3, to ensure they remained focused on the severity of the information</w:t>
            </w:r>
            <w:r w:rsidRPr="00BE21D8">
              <w:rPr>
                <w:sz w:val="24"/>
                <w:szCs w:val="24"/>
              </w:rPr>
              <w:t xml:space="preserve">, </w:t>
            </w:r>
            <w:r>
              <w:rPr>
                <w:sz w:val="24"/>
                <w:szCs w:val="24"/>
              </w:rPr>
              <w:t>u</w:t>
            </w:r>
            <w:r w:rsidRPr="00BE21D8">
              <w:rPr>
                <w:sz w:val="24"/>
                <w:szCs w:val="24"/>
              </w:rPr>
              <w:t>tilising the Signs of Safety approach was pivotal to the Section 47 investigation, as it promotes a strengths-based, solution-focused method of working. This was particularly effective in assessing identified risks, developing safety plans, and ensuring the family's voice was heard throughout the process</w:t>
            </w:r>
            <w:r>
              <w:rPr>
                <w:b/>
                <w:bCs/>
                <w:sz w:val="24"/>
                <w:szCs w:val="24"/>
              </w:rPr>
              <w:t xml:space="preserve">. </w:t>
            </w:r>
            <w:r>
              <w:rPr>
                <w:sz w:val="24"/>
                <w:szCs w:val="24"/>
              </w:rPr>
              <w:t>I was also mindful of working in an anti-oppressive manner, as when working with families I am aware of the possible power imbalance which can be present</w:t>
            </w:r>
            <w:r w:rsidRPr="00366FF2">
              <w:rPr>
                <w:sz w:val="24"/>
                <w:szCs w:val="24"/>
              </w:rPr>
              <w:t>. For example, I ensured that I did not use professional jargon or language that may be difficult for them to understand.</w:t>
            </w:r>
          </w:p>
          <w:p w14:paraId="19B9A3A1" w14:textId="77777777" w:rsidR="001B6ACD" w:rsidRDefault="001B6ACD" w:rsidP="001B6ACD">
            <w:pPr>
              <w:spacing w:line="360" w:lineRule="auto"/>
              <w:jc w:val="both"/>
              <w:rPr>
                <w:sz w:val="24"/>
                <w:szCs w:val="24"/>
              </w:rPr>
            </w:pPr>
          </w:p>
          <w:p w14:paraId="01C71948" w14:textId="77777777" w:rsidR="001B6ACD" w:rsidRDefault="001B6ACD" w:rsidP="001B6ACD">
            <w:pPr>
              <w:spacing w:line="360" w:lineRule="auto"/>
              <w:jc w:val="both"/>
              <w:rPr>
                <w:sz w:val="24"/>
                <w:szCs w:val="24"/>
              </w:rPr>
            </w:pPr>
            <w:r>
              <w:rPr>
                <w:sz w:val="24"/>
                <w:szCs w:val="24"/>
              </w:rPr>
              <w:t xml:space="preserve">Whilst completing the section 47 investigation from speaking to the family and 1, I ensured I practiced in line with The Codes of Ethics for social work (British association of social workers BASW 2014). I was also extremely mindful of 3’s additional needs and his need to be supported by his independent mental health advocate, who was able to support dad through the section 47 investigation. This joint collaborative working allows us to support people who are identified as having a care and support need. When looking at 3’s additional needs I was mindful throughout our working relationship of these inequalities and ensured I practiced in an anti- oppressive manner when communicating and forming plans with him to ensure he felt he was treated with dignity and respect (SCW 2017). </w:t>
            </w:r>
          </w:p>
          <w:p w14:paraId="4E217EB3" w14:textId="77777777" w:rsidR="001B6ACD" w:rsidRDefault="001B6ACD" w:rsidP="001B6ACD">
            <w:pPr>
              <w:spacing w:line="360" w:lineRule="auto"/>
              <w:jc w:val="both"/>
              <w:rPr>
                <w:sz w:val="24"/>
                <w:szCs w:val="24"/>
              </w:rPr>
            </w:pPr>
          </w:p>
          <w:p w14:paraId="760684EC" w14:textId="77777777" w:rsidR="001B6ACD" w:rsidRDefault="001B6ACD" w:rsidP="001B6ACD">
            <w:pPr>
              <w:spacing w:line="360" w:lineRule="auto"/>
              <w:jc w:val="both"/>
              <w:rPr>
                <w:sz w:val="24"/>
                <w:szCs w:val="24"/>
              </w:rPr>
            </w:pPr>
            <w:r>
              <w:rPr>
                <w:sz w:val="24"/>
                <w:szCs w:val="24"/>
              </w:rPr>
              <w:t xml:space="preserve">Due to the nature of the information being alleged by 1, I was mindful of letting her lead the conversation, in a place where she felt comfortable and safe. She chose her bedroom and, in her bed, to which at times she placed herself under the bed sheets when talking about certain parts of the sexual assault. I was mindful of the impact in having my practice lead was present and although she had not met him before, she was aware of who he was due to past conversations, as I feel this communication is important with all families as they understand we work as a team and joint decision are made during supervision (Social Care Wales 2014). She also chose for 3 not to be present during the conversation, as she expressed, she did not wish to upset him. I informed her, the local authority would speak to her parents. </w:t>
            </w:r>
          </w:p>
          <w:p w14:paraId="73265827" w14:textId="77777777" w:rsidR="001B6ACD" w:rsidRDefault="001B6ACD" w:rsidP="001B6ACD">
            <w:pPr>
              <w:spacing w:line="360" w:lineRule="auto"/>
              <w:jc w:val="both"/>
              <w:rPr>
                <w:sz w:val="24"/>
                <w:szCs w:val="24"/>
                <w:highlight w:val="yellow"/>
              </w:rPr>
            </w:pPr>
          </w:p>
          <w:p w14:paraId="2110CB47" w14:textId="77777777" w:rsidR="001B6ACD" w:rsidRPr="009E55C1" w:rsidRDefault="001B6ACD" w:rsidP="001B6ACD">
            <w:pPr>
              <w:spacing w:line="360" w:lineRule="auto"/>
              <w:jc w:val="both"/>
              <w:rPr>
                <w:sz w:val="24"/>
                <w:szCs w:val="24"/>
              </w:rPr>
            </w:pPr>
            <w:r w:rsidRPr="0000333E">
              <w:rPr>
                <w:sz w:val="24"/>
                <w:szCs w:val="24"/>
              </w:rPr>
              <w:t>The section</w:t>
            </w:r>
            <w:r>
              <w:rPr>
                <w:sz w:val="24"/>
                <w:szCs w:val="24"/>
              </w:rPr>
              <w:t xml:space="preserve"> 47 initial statutory discussion was completed with two different police forces, due to the nature of the information disclosed by 1, police also had a duty to complete their criminal investigation. Due to my pre-existing relationship with 1,2 and 3 it was agreed I would be present for the initial police interview with 1, as expressed by Ruch, Turney and Ward (2018) relationship social work can be demanding and each case has its own complexities, however by working in this manner it allows us to form positive working relationships with families. </w:t>
            </w:r>
          </w:p>
          <w:p w14:paraId="1C53270E" w14:textId="77777777" w:rsidR="001B6ACD" w:rsidRDefault="001B6ACD" w:rsidP="001B6ACD">
            <w:pPr>
              <w:spacing w:line="360" w:lineRule="auto"/>
              <w:jc w:val="both"/>
              <w:rPr>
                <w:sz w:val="24"/>
                <w:szCs w:val="24"/>
              </w:rPr>
            </w:pPr>
          </w:p>
          <w:p w14:paraId="3D0E09C5" w14:textId="77777777" w:rsidR="001B6ACD" w:rsidRDefault="001B6ACD" w:rsidP="001B6ACD">
            <w:pPr>
              <w:spacing w:line="360" w:lineRule="auto"/>
              <w:jc w:val="both"/>
              <w:rPr>
                <w:sz w:val="24"/>
                <w:szCs w:val="24"/>
              </w:rPr>
            </w:pPr>
            <w:r>
              <w:rPr>
                <w:sz w:val="24"/>
                <w:szCs w:val="24"/>
              </w:rPr>
              <w:t xml:space="preserve">Due to the criminal element of the investigation and the window of opportunity for obtaining DNA being </w:t>
            </w:r>
            <w:r w:rsidRPr="005D0CC4">
              <w:rPr>
                <w:sz w:val="24"/>
                <w:szCs w:val="24"/>
              </w:rPr>
              <w:t>present, a referral was made for 1 to attend a medical within the sexual assault referral centres (SARC’s). These centres offer crisis care, medical and forensic examinations, testing for sexually transmitted infections and emergency contraception (NHS 2024). From this section 47 investigation, I was able to see first-hand and reflect on the importance of working in a multi-agency manner. This multi- agency working, as aided in my confidence to analyse all the information and provide my professional viewpoint and to make further recommendations.</w:t>
            </w:r>
            <w:r>
              <w:rPr>
                <w:sz w:val="24"/>
                <w:szCs w:val="24"/>
              </w:rPr>
              <w:t xml:space="preserve"> </w:t>
            </w:r>
          </w:p>
          <w:p w14:paraId="5E99A18E" w14:textId="77777777" w:rsidR="001B6ACD" w:rsidRDefault="001B6ACD" w:rsidP="001B6ACD">
            <w:pPr>
              <w:spacing w:line="360" w:lineRule="auto"/>
              <w:jc w:val="both"/>
              <w:rPr>
                <w:sz w:val="24"/>
                <w:szCs w:val="24"/>
              </w:rPr>
            </w:pPr>
          </w:p>
          <w:p w14:paraId="46D7C05E" w14:textId="77777777" w:rsidR="001B6ACD" w:rsidRDefault="001B6ACD" w:rsidP="001B6ACD">
            <w:pPr>
              <w:spacing w:line="360" w:lineRule="auto"/>
              <w:jc w:val="both"/>
              <w:rPr>
                <w:sz w:val="24"/>
                <w:szCs w:val="24"/>
              </w:rPr>
            </w:pPr>
            <w:r>
              <w:rPr>
                <w:sz w:val="24"/>
                <w:szCs w:val="24"/>
              </w:rPr>
              <w:t xml:space="preserve">As professionals we have a responsibility to work in a multi- agency manner, at times this can create difficulties with other professionals due to a conflict in values, beliefs and their understanding of threshold which can at times impact on the integrity of the working relationship. </w:t>
            </w:r>
            <w:r w:rsidRPr="002F1CFD">
              <w:rPr>
                <w:sz w:val="24"/>
                <w:szCs w:val="24"/>
              </w:rPr>
              <w:t xml:space="preserve">The </w:t>
            </w:r>
            <w:r w:rsidRPr="005D0CC4">
              <w:rPr>
                <w:sz w:val="24"/>
                <w:szCs w:val="24"/>
              </w:rPr>
              <w:t>Code of Ethics for Social Work (2014) state that “Social workers have a responsibility to promote social justice, in relation to society generally, and in relation to the people with whom they work.” Although as social workers we have a duty to work in this manner, we also have a duty to challenge and highlight any unfair practice and share this with the relevant agencies.</w:t>
            </w:r>
            <w:r>
              <w:rPr>
                <w:sz w:val="24"/>
                <w:szCs w:val="24"/>
              </w:rPr>
              <w:t xml:space="preserve"> </w:t>
            </w:r>
          </w:p>
          <w:p w14:paraId="5DFBB2AF" w14:textId="77777777" w:rsidR="001B6ACD" w:rsidRDefault="001B6ACD" w:rsidP="001B6ACD">
            <w:pPr>
              <w:spacing w:line="360" w:lineRule="auto"/>
              <w:jc w:val="both"/>
              <w:rPr>
                <w:sz w:val="24"/>
                <w:szCs w:val="24"/>
              </w:rPr>
            </w:pPr>
          </w:p>
          <w:p w14:paraId="1C02C9EE" w14:textId="77777777" w:rsidR="001B6ACD" w:rsidRDefault="001B6ACD" w:rsidP="001B6ACD">
            <w:pPr>
              <w:spacing w:line="360" w:lineRule="auto"/>
              <w:jc w:val="both"/>
              <w:rPr>
                <w:sz w:val="24"/>
                <w:szCs w:val="24"/>
              </w:rPr>
            </w:pPr>
          </w:p>
          <w:p w14:paraId="32096795" w14:textId="77777777" w:rsidR="001B6ACD" w:rsidRDefault="001B6ACD" w:rsidP="001B6ACD">
            <w:pPr>
              <w:spacing w:line="360" w:lineRule="auto"/>
              <w:jc w:val="both"/>
              <w:rPr>
                <w:sz w:val="24"/>
                <w:szCs w:val="24"/>
              </w:rPr>
            </w:pPr>
            <w:r>
              <w:rPr>
                <w:sz w:val="24"/>
                <w:szCs w:val="24"/>
              </w:rPr>
              <w:t xml:space="preserve">I transported 1 to the SARC </w:t>
            </w:r>
            <w:r w:rsidRPr="00C104C9">
              <w:rPr>
                <w:sz w:val="24"/>
                <w:szCs w:val="24"/>
              </w:rPr>
              <w:t>medical, as 3 chose not to attend as 2 was meeting us at the hospital. Due to the medical examination being a police investigation, the police took the lead alongside the medical staff. On reflection I was shocked and taken aback when 1 asked for me to be present in the examination room and not 2. From using Gibbs model of reflection 1998, and conversation during supervision there is a wonder as to what attachment 1 has with 2, as to why she felt more supported to have her social worker present instead of 2.  When we reflect on attachment styles using research from Bowlby and Ainsworth attachment theory, with 3 being insecure from her actions and choices within the medical there is a strong argument that this attachment style is also present with 2. As we know 3 was unable to keep her safe in her formative years although her 2 expressed during conversation, she tried her best to safeguard her we are mindful there had been extensive social services involvement.</w:t>
            </w:r>
            <w:r>
              <w:rPr>
                <w:sz w:val="24"/>
                <w:szCs w:val="24"/>
              </w:rPr>
              <w:t xml:space="preserve"> </w:t>
            </w:r>
          </w:p>
          <w:p w14:paraId="2DD79AD8" w14:textId="77777777" w:rsidR="001B6ACD" w:rsidRDefault="001B6ACD" w:rsidP="001B6ACD">
            <w:pPr>
              <w:tabs>
                <w:tab w:val="left" w:pos="6389"/>
              </w:tabs>
              <w:spacing w:line="360" w:lineRule="auto"/>
              <w:jc w:val="both"/>
              <w:rPr>
                <w:sz w:val="24"/>
                <w:szCs w:val="24"/>
              </w:rPr>
            </w:pPr>
            <w:r>
              <w:rPr>
                <w:sz w:val="24"/>
                <w:szCs w:val="24"/>
              </w:rPr>
              <w:t xml:space="preserve">By demonstrating an understanding of their attachment </w:t>
            </w:r>
            <w:proofErr w:type="gramStart"/>
            <w:r>
              <w:rPr>
                <w:sz w:val="24"/>
                <w:szCs w:val="24"/>
              </w:rPr>
              <w:t>style</w:t>
            </w:r>
            <w:proofErr w:type="gramEnd"/>
            <w:r>
              <w:rPr>
                <w:sz w:val="24"/>
                <w:szCs w:val="24"/>
              </w:rPr>
              <w:t xml:space="preserve"> I was able to apply interaction and practice in a person centre manner of this complex and developing situation. </w:t>
            </w:r>
            <w:r>
              <w:rPr>
                <w:sz w:val="24"/>
                <w:szCs w:val="24"/>
              </w:rPr>
              <w:tab/>
            </w:r>
          </w:p>
          <w:p w14:paraId="435C1088" w14:textId="77777777" w:rsidR="001B6ACD" w:rsidRDefault="001B6ACD" w:rsidP="001B6ACD">
            <w:pPr>
              <w:tabs>
                <w:tab w:val="left" w:pos="6389"/>
              </w:tabs>
              <w:spacing w:line="360" w:lineRule="auto"/>
              <w:jc w:val="both"/>
              <w:rPr>
                <w:sz w:val="24"/>
                <w:szCs w:val="24"/>
              </w:rPr>
            </w:pPr>
          </w:p>
          <w:p w14:paraId="3DF316DC" w14:textId="77777777" w:rsidR="001B6ACD" w:rsidRDefault="001B6ACD" w:rsidP="001B6ACD">
            <w:pPr>
              <w:spacing w:line="360" w:lineRule="auto"/>
              <w:jc w:val="both"/>
              <w:rPr>
                <w:sz w:val="24"/>
                <w:szCs w:val="24"/>
              </w:rPr>
            </w:pPr>
            <w:r>
              <w:rPr>
                <w:sz w:val="24"/>
                <w:szCs w:val="24"/>
              </w:rPr>
              <w:t xml:space="preserve">Whilst being present for </w:t>
            </w:r>
            <w:r w:rsidRPr="00C104C9">
              <w:rPr>
                <w:sz w:val="24"/>
                <w:szCs w:val="24"/>
              </w:rPr>
              <w:t>the SARC medical, it became apparent from the medical team 1, had previously attended a SARC medical and the doctor recalled how excited she had been to receive the wash bag and soft toy. These bags are from The Queen’s Wash Bags initiatives which works in partnership with Boots the chemist to provide essential toiletries to women who attend the sexual assault referral centres (SARCs). The Wash Bag project has been in effect since 2013, and 1 was extremely excited to see the context.</w:t>
            </w:r>
            <w:r>
              <w:rPr>
                <w:sz w:val="24"/>
                <w:szCs w:val="24"/>
              </w:rPr>
              <w:t xml:space="preserve">  </w:t>
            </w:r>
          </w:p>
          <w:p w14:paraId="31C0CD84" w14:textId="77777777" w:rsidR="001B6ACD" w:rsidRDefault="001B6ACD" w:rsidP="001B6ACD">
            <w:pPr>
              <w:spacing w:line="360" w:lineRule="auto"/>
              <w:jc w:val="both"/>
              <w:rPr>
                <w:sz w:val="24"/>
                <w:szCs w:val="24"/>
              </w:rPr>
            </w:pPr>
          </w:p>
          <w:p w14:paraId="4C990164" w14:textId="77777777" w:rsidR="001B6ACD" w:rsidRDefault="001B6ACD" w:rsidP="001B6ACD">
            <w:pPr>
              <w:spacing w:line="360" w:lineRule="auto"/>
              <w:jc w:val="both"/>
              <w:rPr>
                <w:sz w:val="24"/>
                <w:szCs w:val="24"/>
              </w:rPr>
            </w:pPr>
            <w:r>
              <w:rPr>
                <w:sz w:val="24"/>
                <w:szCs w:val="24"/>
              </w:rPr>
              <w:t xml:space="preserve">As a social work practitioner completing the section 47 investigation, I felt I practiced with a good understanding of applying the person-centred theory especially when engaging with family members which is reflective within social workers ethics and values within the code of professionals practice of promoting the respect of families (SCW, 2017). Upon reflection, throughout the section 47 investigation I felt person-centred theory was embedded in my practice as I expressed understanding and empathy to 1 and the families experience.  </w:t>
            </w:r>
          </w:p>
          <w:p w14:paraId="24D73B43" w14:textId="77777777" w:rsidR="001B6ACD" w:rsidRDefault="001B6ACD" w:rsidP="001B6ACD">
            <w:pPr>
              <w:spacing w:line="360" w:lineRule="auto"/>
              <w:jc w:val="both"/>
              <w:rPr>
                <w:sz w:val="24"/>
                <w:szCs w:val="24"/>
              </w:rPr>
            </w:pPr>
          </w:p>
          <w:p w14:paraId="70093C53" w14:textId="77777777" w:rsidR="001B6ACD" w:rsidRDefault="001B6ACD" w:rsidP="001B6ACD">
            <w:pPr>
              <w:spacing w:line="360" w:lineRule="auto"/>
              <w:jc w:val="both"/>
              <w:rPr>
                <w:sz w:val="24"/>
                <w:szCs w:val="24"/>
              </w:rPr>
            </w:pPr>
            <w:r>
              <w:rPr>
                <w:sz w:val="24"/>
                <w:szCs w:val="24"/>
              </w:rPr>
              <w:t xml:space="preserve">As a local authority we concluded our section 47 investigation within the allocated 15 days, the police investigation took a little bit longer as they were unable to find any known DNA on the clothes or underwear, or from the medical swabs or any CCTV of her within the designated areas. 1 also chose not to take part in a recorded interview, due to my existing relationship with 1 it was agreed with the police I would inform her of the outcome whilst the police informed 2 and 3. When  informing 1, she questioned did I believe her, I informed her I had no reason as not to believe her and I would support her in the best way possible. Therefore, </w:t>
            </w:r>
            <w:proofErr w:type="gramStart"/>
            <w:r>
              <w:rPr>
                <w:sz w:val="24"/>
                <w:szCs w:val="24"/>
              </w:rPr>
              <w:t>in light of</w:t>
            </w:r>
            <w:proofErr w:type="gramEnd"/>
            <w:r>
              <w:rPr>
                <w:sz w:val="24"/>
                <w:szCs w:val="24"/>
              </w:rPr>
              <w:t xml:space="preserve"> this conversation during supervision I reflected on the attachment she was forming with myself, due to the important life events she chose me to support her in. As noted by Ash and Grey (2022) that the therapeutic relationship which can be seen within some social worker, and service user’s relationships can provide service users with a secure base which can impact on their sense of self and relationships to others. </w:t>
            </w:r>
          </w:p>
          <w:p w14:paraId="2D5C24D4" w14:textId="77777777" w:rsidR="001B6ACD" w:rsidRDefault="001B6ACD" w:rsidP="001B6ACD">
            <w:pPr>
              <w:spacing w:line="360" w:lineRule="auto"/>
              <w:jc w:val="both"/>
              <w:rPr>
                <w:sz w:val="24"/>
                <w:szCs w:val="24"/>
              </w:rPr>
            </w:pPr>
          </w:p>
          <w:p w14:paraId="42FDA96A" w14:textId="77777777" w:rsidR="001B6ACD" w:rsidRDefault="001B6ACD" w:rsidP="001B6ACD">
            <w:pPr>
              <w:spacing w:line="360" w:lineRule="auto"/>
              <w:jc w:val="both"/>
              <w:rPr>
                <w:sz w:val="24"/>
                <w:szCs w:val="24"/>
              </w:rPr>
            </w:pPr>
            <w:r>
              <w:rPr>
                <w:sz w:val="24"/>
                <w:szCs w:val="24"/>
              </w:rPr>
              <w:t xml:space="preserve">When practicing using the signs of safety model and creating my danger statements, I linked in with my localities learning and innovations team, who supported me with the wording and the use of the harm matrix to ensure the harm was present, whilst remaining focused and not use social work jargon. Upon reflection I found the learning and innovation team extremely beneficial for my growth, development and my understanding of how the power of words can affect and trigger families. As noted in community care, language and the power of language can be used in ways to harm or to heal. </w:t>
            </w:r>
          </w:p>
          <w:p w14:paraId="18591D87" w14:textId="77777777" w:rsidR="001B6ACD" w:rsidRDefault="001B6ACD" w:rsidP="001B6ACD">
            <w:pPr>
              <w:spacing w:line="360" w:lineRule="auto"/>
              <w:jc w:val="both"/>
              <w:rPr>
                <w:sz w:val="24"/>
                <w:szCs w:val="24"/>
              </w:rPr>
            </w:pPr>
          </w:p>
          <w:p w14:paraId="2DCE8B9A" w14:textId="77777777" w:rsidR="001B6ACD" w:rsidRDefault="001B6ACD" w:rsidP="001B6ACD">
            <w:pPr>
              <w:spacing w:line="360" w:lineRule="auto"/>
              <w:jc w:val="both"/>
              <w:rPr>
                <w:sz w:val="24"/>
                <w:szCs w:val="24"/>
              </w:rPr>
            </w:pPr>
            <w:r w:rsidRPr="00662A4B">
              <w:rPr>
                <w:sz w:val="24"/>
                <w:szCs w:val="24"/>
              </w:rPr>
              <w:t>I reflected on the families support network when formulating safety plans as part of the section 47 investigation. I noted at the time that the families local support network was limited, therefore there was a reliance on professionals to bolster the safety plan whilst the section 47 investigation was taking place. I reflected upon this during supervision and was mindful of my learning opportunities as a student with the family network project which was piloted within my local authority from Kevin Campbell’s family finding model within America. In this model, he shares that outcomes for children can be positive by forming meaningful connections with family. In future working with this family, a goal of mine was to look at extending the families support network, by supporting them to attend local groups, early help hub activities and educational events.</w:t>
            </w:r>
            <w:r>
              <w:rPr>
                <w:sz w:val="24"/>
                <w:szCs w:val="24"/>
              </w:rPr>
              <w:t xml:space="preserve">   </w:t>
            </w:r>
          </w:p>
          <w:p w14:paraId="67CE5854" w14:textId="77777777" w:rsidR="001B6ACD" w:rsidRDefault="001B6ACD" w:rsidP="001B6ACD">
            <w:pPr>
              <w:spacing w:line="360" w:lineRule="auto"/>
              <w:jc w:val="both"/>
              <w:rPr>
                <w:sz w:val="24"/>
                <w:szCs w:val="24"/>
              </w:rPr>
            </w:pPr>
          </w:p>
          <w:p w14:paraId="721F6FFF" w14:textId="77777777" w:rsidR="001B6ACD" w:rsidRDefault="001B6ACD" w:rsidP="001B6ACD">
            <w:pPr>
              <w:spacing w:line="360" w:lineRule="auto"/>
              <w:jc w:val="both"/>
              <w:rPr>
                <w:sz w:val="24"/>
                <w:szCs w:val="24"/>
              </w:rPr>
            </w:pPr>
            <w:r>
              <w:rPr>
                <w:sz w:val="24"/>
                <w:szCs w:val="24"/>
              </w:rPr>
              <w:t xml:space="preserve">In conclusion of the section 47 investigation and making recommendations, I had the “what matters” conversation with 1,2 and 3 as I felt it was important to reflect their own views in the section 47 recording and recommendations, and </w:t>
            </w:r>
            <w:r w:rsidRPr="000F62D2">
              <w:rPr>
                <w:sz w:val="24"/>
                <w:szCs w:val="24"/>
              </w:rPr>
              <w:t xml:space="preserve">analysis </w:t>
            </w:r>
            <w:r>
              <w:rPr>
                <w:sz w:val="24"/>
                <w:szCs w:val="24"/>
              </w:rPr>
              <w:t>my</w:t>
            </w:r>
            <w:r w:rsidRPr="000F62D2">
              <w:rPr>
                <w:sz w:val="24"/>
                <w:szCs w:val="24"/>
              </w:rPr>
              <w:t xml:space="preserve"> assessment to inform interventions</w:t>
            </w:r>
            <w:r>
              <w:rPr>
                <w:sz w:val="24"/>
                <w:szCs w:val="24"/>
              </w:rPr>
              <w:t xml:space="preserve"> one of my recommendations was to make a referral for 1 to a support service for young people who had experienced sexual assault, we also held an inhouse consultation with our localities internal therapy service. During this consultation we spoke and reflected on the relationship 1 had formed with me, and how we could try and transfer this attachment over to 2 and 3.  </w:t>
            </w:r>
          </w:p>
          <w:p w14:paraId="3B186F8A" w14:textId="77777777" w:rsidR="001B6ACD" w:rsidRDefault="001B6ACD" w:rsidP="001B6ACD">
            <w:pPr>
              <w:spacing w:line="360" w:lineRule="auto"/>
              <w:jc w:val="both"/>
              <w:rPr>
                <w:sz w:val="24"/>
                <w:szCs w:val="24"/>
              </w:rPr>
            </w:pPr>
          </w:p>
          <w:p w14:paraId="337BDC2C" w14:textId="77777777" w:rsidR="001B6ACD" w:rsidRDefault="001B6ACD" w:rsidP="001B6ACD">
            <w:pPr>
              <w:spacing w:line="360" w:lineRule="auto"/>
              <w:jc w:val="both"/>
              <w:rPr>
                <w:sz w:val="24"/>
                <w:szCs w:val="24"/>
              </w:rPr>
            </w:pPr>
            <w:r w:rsidRPr="00B554BD">
              <w:rPr>
                <w:sz w:val="24"/>
                <w:szCs w:val="24"/>
              </w:rPr>
              <w:t>In conclusion of the section 47 investigation, there was no referral made to for a child protection conference as 1 name was already on the child protection register, however a consultation was held with our child exploitation team and 1’s name was subsequently placed on the child sexual exploitation protocol. This protocol was developed with the local authority in which it seeks to consider young people who are at risk of or have suffered significant sexual harm or exploitation for their names to be placed on protocol. These are reviewed in weekly multi professionals protocol meetings, in which I attended to share the information we had for 1. I found these meetings extremely beneficial for my learning as I gained knowledge of identifying possible factors and early signs of a child being exploited. Additionally, it enhanced my professional working network with others who work in this field.</w:t>
            </w:r>
            <w:r>
              <w:rPr>
                <w:sz w:val="24"/>
                <w:szCs w:val="24"/>
              </w:rPr>
              <w:t xml:space="preserve"> </w:t>
            </w:r>
            <w:r w:rsidRPr="00AC1D47">
              <w:rPr>
                <w:sz w:val="24"/>
                <w:szCs w:val="24"/>
              </w:rPr>
              <w:br/>
            </w:r>
            <w:r w:rsidRPr="00AC1D47">
              <w:rPr>
                <w:sz w:val="24"/>
                <w:szCs w:val="24"/>
              </w:rPr>
              <w:br/>
            </w:r>
            <w:r>
              <w:rPr>
                <w:sz w:val="24"/>
                <w:szCs w:val="24"/>
              </w:rPr>
              <w:t>The meeting also enhanced my knowledge of the difference between c</w:t>
            </w:r>
            <w:r w:rsidRPr="00AC1D47">
              <w:rPr>
                <w:sz w:val="24"/>
                <w:szCs w:val="24"/>
              </w:rPr>
              <w:t xml:space="preserve">hild exploitation </w:t>
            </w:r>
            <w:r>
              <w:rPr>
                <w:sz w:val="24"/>
                <w:szCs w:val="24"/>
              </w:rPr>
              <w:t>and child sexual exploitation</w:t>
            </w:r>
            <w:r w:rsidRPr="00D0332E">
              <w:rPr>
                <w:sz w:val="24"/>
                <w:szCs w:val="24"/>
              </w:rPr>
              <w:t xml:space="preserve">. The latter occurs when someone seeks to control the behaviour and actions of a child for their own means through coercion and manipulation. This is often pre-meditated and planned but can also be opportunistic and is carried out with a complete lack of empathy for the victims. Child sexual exploitation is a form of sexual abuse that can include sex or any form of sexual activity with a child; the production of indecent images and/or any other indecent material involving children.  The exchange can include the giving or withdrawal of </w:t>
            </w:r>
            <w:proofErr w:type="gramStart"/>
            <w:r w:rsidRPr="00D0332E">
              <w:rPr>
                <w:sz w:val="24"/>
                <w:szCs w:val="24"/>
              </w:rPr>
              <w:t>something;</w:t>
            </w:r>
            <w:proofErr w:type="gramEnd"/>
            <w:r w:rsidRPr="00D0332E">
              <w:rPr>
                <w:sz w:val="24"/>
                <w:szCs w:val="24"/>
              </w:rPr>
              <w:t xml:space="preserve"> such as the withdrawal of violence or threats to abuse another person. There may be a facilitator who receives something in addition to or instead of the child who is exploited. Children may not recognise the exploitative nature of</w:t>
            </w:r>
            <w:r w:rsidRPr="00AC1D47">
              <w:rPr>
                <w:sz w:val="24"/>
                <w:szCs w:val="24"/>
              </w:rPr>
              <w:t xml:space="preserve"> the relationship or exchange. Children may feel that they have given consent</w:t>
            </w:r>
            <w:r>
              <w:rPr>
                <w:sz w:val="24"/>
                <w:szCs w:val="24"/>
              </w:rPr>
              <w:t xml:space="preserve"> (Gov.uk;2025)</w:t>
            </w:r>
          </w:p>
          <w:p w14:paraId="31BA5210" w14:textId="77777777" w:rsidR="001B6ACD" w:rsidRDefault="001B6ACD" w:rsidP="001B6ACD">
            <w:pPr>
              <w:spacing w:line="360" w:lineRule="auto"/>
              <w:jc w:val="both"/>
              <w:rPr>
                <w:sz w:val="24"/>
                <w:szCs w:val="24"/>
              </w:rPr>
            </w:pPr>
          </w:p>
          <w:p w14:paraId="53EAEDA1" w14:textId="77777777" w:rsidR="001B6ACD" w:rsidRPr="00AC1D47" w:rsidRDefault="001B6ACD" w:rsidP="001B6ACD">
            <w:pPr>
              <w:tabs>
                <w:tab w:val="num" w:pos="720"/>
              </w:tabs>
              <w:spacing w:line="360" w:lineRule="auto"/>
              <w:jc w:val="both"/>
              <w:rPr>
                <w:sz w:val="24"/>
                <w:szCs w:val="24"/>
              </w:rPr>
            </w:pPr>
            <w:r w:rsidRPr="002F7126">
              <w:rPr>
                <w:sz w:val="24"/>
                <w:szCs w:val="24"/>
              </w:rPr>
              <w:t xml:space="preserve">The National </w:t>
            </w:r>
            <w:r w:rsidRPr="00D0332E">
              <w:rPr>
                <w:sz w:val="24"/>
                <w:szCs w:val="24"/>
              </w:rPr>
              <w:t>Crime Agency’s National Strategic Assessment of the Child Sexual Abuse Threat in 2025 noted that children are now at an increased risk from sexual abuse, this increase has been aggravated by evolving online environments and technology. It is estimated 500,000 children are sexually abused each year in the UK (Gov.uk; 2025). National Analysis of Police-Recorded Child Sexual Abuse and Exploitation Crimes Report 2023 that sexual assault (29%) on a child was the most common offence, followed by indecent imagery (27%) and rape (18%). In which 79% of the victims</w:t>
            </w:r>
            <w:r>
              <w:rPr>
                <w:sz w:val="24"/>
                <w:szCs w:val="24"/>
              </w:rPr>
              <w:t xml:space="preserve"> were female, with over half of child sexual abuse and exploration offences were committed by children aged 10-17 with aged 14 being the common d</w:t>
            </w:r>
            <w:r w:rsidRPr="00C004BF">
              <w:rPr>
                <w:sz w:val="24"/>
                <w:szCs w:val="24"/>
              </w:rPr>
              <w:t>enominator</w:t>
            </w:r>
            <w:r>
              <w:rPr>
                <w:sz w:val="24"/>
                <w:szCs w:val="24"/>
              </w:rPr>
              <w:t xml:space="preserve"> (National police chiefs council 2024). Stats Wales (2022-2023) noted within Wales during 2022-2023 there were 2,389 children recorded as being exploited and within the local authority in which I practice 267 children were sexually exploited (Stats Wales; 2022-2023).</w:t>
            </w:r>
          </w:p>
          <w:p w14:paraId="76AB0DB4" w14:textId="77777777" w:rsidR="001B6ACD" w:rsidRDefault="001B6ACD" w:rsidP="001B6ACD">
            <w:pPr>
              <w:spacing w:line="360" w:lineRule="auto"/>
              <w:jc w:val="both"/>
              <w:rPr>
                <w:sz w:val="24"/>
                <w:szCs w:val="24"/>
              </w:rPr>
            </w:pPr>
          </w:p>
          <w:p w14:paraId="1B39B8E4" w14:textId="77777777" w:rsidR="001B6ACD" w:rsidRDefault="001B6ACD" w:rsidP="001B6ACD">
            <w:pPr>
              <w:spacing w:line="360" w:lineRule="auto"/>
              <w:jc w:val="both"/>
              <w:rPr>
                <w:sz w:val="24"/>
                <w:szCs w:val="24"/>
              </w:rPr>
            </w:pPr>
            <w:r>
              <w:rPr>
                <w:sz w:val="24"/>
                <w:szCs w:val="24"/>
              </w:rPr>
              <w:t xml:space="preserve">When reflecting on my experiences of completing the section 47 investigation, it was at times challenging, emotional and an impact on me personally. It provided me with opportunities to build on my professional network by working in a multi- agency manner, enhanced my ability to work in a person-centred strength-based way whilst remaining aware of the worries and developed my understanding of section 47 procedures and timescales. </w:t>
            </w:r>
          </w:p>
          <w:p w14:paraId="1076B81B" w14:textId="77777777" w:rsidR="001B6ACD" w:rsidRDefault="001B6ACD" w:rsidP="001B6ACD">
            <w:pPr>
              <w:spacing w:line="360" w:lineRule="auto"/>
              <w:jc w:val="both"/>
              <w:rPr>
                <w:sz w:val="24"/>
                <w:szCs w:val="24"/>
              </w:rPr>
            </w:pPr>
          </w:p>
          <w:p w14:paraId="35819CE8" w14:textId="77777777" w:rsidR="001B6ACD" w:rsidRDefault="001B6ACD" w:rsidP="001B6ACD">
            <w:pPr>
              <w:spacing w:line="360" w:lineRule="auto"/>
              <w:jc w:val="both"/>
              <w:rPr>
                <w:sz w:val="24"/>
                <w:szCs w:val="24"/>
              </w:rPr>
            </w:pPr>
            <w:r>
              <w:rPr>
                <w:sz w:val="24"/>
                <w:szCs w:val="24"/>
              </w:rPr>
              <w:t xml:space="preserve">By completing this reflective </w:t>
            </w:r>
            <w:proofErr w:type="gramStart"/>
            <w:r>
              <w:rPr>
                <w:sz w:val="24"/>
                <w:szCs w:val="24"/>
              </w:rPr>
              <w:t>assignment</w:t>
            </w:r>
            <w:proofErr w:type="gramEnd"/>
            <w:r>
              <w:rPr>
                <w:sz w:val="24"/>
                <w:szCs w:val="24"/>
              </w:rPr>
              <w:t xml:space="preserve"> I have reflected on my own knowledge and understanding of procedures, theory, applying analysis in assessment and my ability to work with families in a positive manner when addressing and remaining consistent to the harm experienced by 1. This management of harm and the awareness of risk within the section 47, allowed me to demonstrate how I and social workers in general manage risk each day, how safeguarding is everyone’s responsibility and how social work is practiced in line with legislation and national and local policies. T</w:t>
            </w:r>
            <w:r w:rsidRPr="00693B2A">
              <w:rPr>
                <w:sz w:val="24"/>
                <w:szCs w:val="24"/>
              </w:rPr>
              <w:t xml:space="preserve">his highlights the importance of social workers staying informed about current legislation and policy, as it enables </w:t>
            </w:r>
            <w:r>
              <w:rPr>
                <w:sz w:val="24"/>
                <w:szCs w:val="24"/>
              </w:rPr>
              <w:t>us</w:t>
            </w:r>
            <w:r w:rsidRPr="00693B2A">
              <w:rPr>
                <w:sz w:val="24"/>
                <w:szCs w:val="24"/>
              </w:rPr>
              <w:t xml:space="preserve"> to practice within legal frameworks and uphold legitimate professional standards (SCW, 2017).</w:t>
            </w:r>
          </w:p>
          <w:p w14:paraId="486D337E" w14:textId="77777777" w:rsidR="001B6ACD" w:rsidRDefault="001B6ACD" w:rsidP="001B6ACD">
            <w:pPr>
              <w:spacing w:line="360" w:lineRule="auto"/>
              <w:jc w:val="both"/>
              <w:rPr>
                <w:sz w:val="24"/>
                <w:szCs w:val="24"/>
              </w:rPr>
            </w:pPr>
          </w:p>
          <w:p w14:paraId="20370495" w14:textId="5E0FEB1E" w:rsidR="00D3203C" w:rsidRDefault="00A95265" w:rsidP="00FF7EBB">
            <w:pPr>
              <w:jc w:val="both"/>
              <w:rPr>
                <w:i/>
                <w:sz w:val="24"/>
                <w:szCs w:val="24"/>
              </w:rPr>
            </w:pPr>
            <w:r>
              <w:rPr>
                <w:i/>
                <w:sz w:val="24"/>
                <w:szCs w:val="24"/>
              </w:rPr>
              <w:t>Words 4325</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2F4C3" w14:textId="77777777" w:rsidR="00E53373" w:rsidRDefault="00E53373">
      <w:r>
        <w:separator/>
      </w:r>
    </w:p>
  </w:endnote>
  <w:endnote w:type="continuationSeparator" w:id="0">
    <w:p w14:paraId="6A47E8F9" w14:textId="77777777" w:rsidR="00E53373" w:rsidRDefault="00E53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1AB0C" w14:textId="77777777" w:rsidR="00E53373" w:rsidRDefault="00E53373">
      <w:r>
        <w:separator/>
      </w:r>
    </w:p>
  </w:footnote>
  <w:footnote w:type="continuationSeparator" w:id="0">
    <w:p w14:paraId="03DAEA11" w14:textId="77777777" w:rsidR="00E53373" w:rsidRDefault="00E53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6ACD"/>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342E"/>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3E50"/>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43584"/>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23F9"/>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12E8"/>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26AB"/>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5265"/>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031"/>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3373"/>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D2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harris.1@outlook.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18252@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TotalTime>
  <Pages>13</Pages>
  <Words>4527</Words>
  <Characters>23603</Characters>
  <Application>Microsoft Office Word</Application>
  <DocSecurity>0</DocSecurity>
  <Lines>397</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Juliette Harris</cp:lastModifiedBy>
  <cp:revision>8</cp:revision>
  <cp:lastPrinted>2020-02-11T19:20:00Z</cp:lastPrinted>
  <dcterms:created xsi:type="dcterms:W3CDTF">2025-10-03T10:25:00Z</dcterms:created>
  <dcterms:modified xsi:type="dcterms:W3CDTF">2025-10-06T09:42:00Z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