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83AE7" w14:textId="77777777" w:rsidR="00834DBD" w:rsidRDefault="00834DBD">
      <w:pPr>
        <w:spacing w:before="200" w:line="360" w:lineRule="auto"/>
        <w:jc w:val="center"/>
        <w:rPr>
          <w:b/>
          <w:sz w:val="32"/>
          <w:szCs w:val="32"/>
        </w:rPr>
      </w:pPr>
    </w:p>
    <w:p w14:paraId="77E89C7C" w14:textId="77777777" w:rsidR="00834DBD" w:rsidRDefault="00834DBD">
      <w:pPr>
        <w:spacing w:before="200" w:line="360" w:lineRule="auto"/>
        <w:jc w:val="center"/>
        <w:rPr>
          <w:b/>
          <w:sz w:val="32"/>
          <w:szCs w:val="32"/>
        </w:rPr>
      </w:pPr>
    </w:p>
    <w:p w14:paraId="31C848D1" w14:textId="77777777" w:rsidR="00834DBD" w:rsidRDefault="00834DBD">
      <w:pPr>
        <w:spacing w:before="200" w:line="360" w:lineRule="auto"/>
        <w:jc w:val="center"/>
        <w:rPr>
          <w:b/>
          <w:sz w:val="32"/>
          <w:szCs w:val="32"/>
        </w:rPr>
      </w:pPr>
    </w:p>
    <w:p w14:paraId="6B9E58DC" w14:textId="77777777" w:rsidR="00834DBD" w:rsidRDefault="00834DBD">
      <w:pPr>
        <w:spacing w:before="200" w:line="360" w:lineRule="auto"/>
        <w:jc w:val="center"/>
        <w:rPr>
          <w:b/>
          <w:sz w:val="32"/>
          <w:szCs w:val="32"/>
        </w:rPr>
      </w:pPr>
    </w:p>
    <w:p w14:paraId="34C3CF15" w14:textId="77777777" w:rsidR="00834DBD" w:rsidRDefault="004C7B34">
      <w:pPr>
        <w:spacing w:before="200" w:line="360" w:lineRule="auto"/>
        <w:jc w:val="center"/>
        <w:rPr>
          <w:b/>
          <w:sz w:val="32"/>
          <w:szCs w:val="32"/>
        </w:rPr>
      </w:pPr>
      <w:r>
        <w:rPr>
          <w:b/>
          <w:sz w:val="32"/>
          <w:szCs w:val="32"/>
        </w:rPr>
        <w:t>ASSIGNMENT TITLE: COMPONENT 2 ANALYTICAL REPORT</w:t>
      </w:r>
    </w:p>
    <w:p w14:paraId="56EC2654" w14:textId="77777777" w:rsidR="00834DBD" w:rsidRDefault="004C7B34">
      <w:pPr>
        <w:spacing w:before="200" w:line="360" w:lineRule="auto"/>
        <w:jc w:val="center"/>
        <w:rPr>
          <w:b/>
          <w:sz w:val="32"/>
          <w:szCs w:val="32"/>
        </w:rPr>
      </w:pPr>
      <w:r>
        <w:rPr>
          <w:b/>
          <w:sz w:val="32"/>
          <w:szCs w:val="32"/>
        </w:rPr>
        <w:t>PROGRAMME: MSC PUBLIC HEALTH AND SOCIAL CARE IN PRACTICE</w:t>
      </w:r>
    </w:p>
    <w:p w14:paraId="3C874C38" w14:textId="77777777" w:rsidR="00834DBD" w:rsidRDefault="004C7B34">
      <w:pPr>
        <w:spacing w:before="200" w:line="360" w:lineRule="auto"/>
        <w:jc w:val="center"/>
        <w:rPr>
          <w:b/>
          <w:sz w:val="32"/>
          <w:szCs w:val="32"/>
        </w:rPr>
      </w:pPr>
      <w:r>
        <w:rPr>
          <w:b/>
          <w:sz w:val="32"/>
          <w:szCs w:val="32"/>
        </w:rPr>
        <w:t>MODULE: SOCIAL EPIDEMIOLOGY AND PUBLIC HEALTH DEVELOPMENT</w:t>
      </w:r>
    </w:p>
    <w:p w14:paraId="2D83C2CE" w14:textId="77777777" w:rsidR="00834DBD" w:rsidRDefault="004C7B34">
      <w:pPr>
        <w:spacing w:before="200" w:line="360" w:lineRule="auto"/>
        <w:jc w:val="center"/>
        <w:rPr>
          <w:b/>
          <w:sz w:val="32"/>
          <w:szCs w:val="32"/>
        </w:rPr>
      </w:pPr>
      <w:r>
        <w:rPr>
          <w:b/>
          <w:sz w:val="32"/>
          <w:szCs w:val="32"/>
        </w:rPr>
        <w:t>MODULE CODE: LCHS7000</w:t>
      </w:r>
    </w:p>
    <w:p w14:paraId="32D53719" w14:textId="77777777" w:rsidR="00834DBD" w:rsidRDefault="004C7B34">
      <w:pPr>
        <w:spacing w:before="200" w:line="360" w:lineRule="auto"/>
        <w:jc w:val="center"/>
        <w:rPr>
          <w:b/>
          <w:sz w:val="32"/>
          <w:szCs w:val="32"/>
        </w:rPr>
      </w:pPr>
      <w:r>
        <w:rPr>
          <w:b/>
          <w:sz w:val="32"/>
          <w:szCs w:val="32"/>
        </w:rPr>
        <w:t xml:space="preserve">STUDENT NAME: Vidhi Prajapati      </w:t>
      </w:r>
    </w:p>
    <w:p w14:paraId="38AF80E4" w14:textId="77777777" w:rsidR="00834DBD" w:rsidRDefault="004C7B34">
      <w:pPr>
        <w:spacing w:before="200" w:line="360" w:lineRule="auto"/>
        <w:jc w:val="center"/>
        <w:rPr>
          <w:b/>
          <w:sz w:val="32"/>
          <w:szCs w:val="32"/>
        </w:rPr>
      </w:pPr>
      <w:r>
        <w:rPr>
          <w:b/>
          <w:sz w:val="32"/>
          <w:szCs w:val="32"/>
        </w:rPr>
        <w:t>STUDENT ID NUMBER: 2506527</w:t>
      </w:r>
    </w:p>
    <w:p w14:paraId="3FF07741" w14:textId="77777777" w:rsidR="00834DBD" w:rsidRDefault="004C7B34">
      <w:pPr>
        <w:spacing w:before="200" w:line="360" w:lineRule="auto"/>
        <w:jc w:val="center"/>
        <w:rPr>
          <w:b/>
          <w:sz w:val="32"/>
          <w:szCs w:val="32"/>
        </w:rPr>
      </w:pPr>
      <w:r>
        <w:rPr>
          <w:b/>
          <w:sz w:val="32"/>
          <w:szCs w:val="32"/>
        </w:rPr>
        <w:t>LECTURER’S NAME : Dr Hamdi Hussain</w:t>
      </w:r>
    </w:p>
    <w:p w14:paraId="071BDCF2" w14:textId="77777777" w:rsidR="00834DBD" w:rsidRDefault="00834DBD">
      <w:pPr>
        <w:spacing w:before="200" w:line="360" w:lineRule="auto"/>
        <w:jc w:val="center"/>
        <w:rPr>
          <w:b/>
          <w:sz w:val="32"/>
          <w:szCs w:val="32"/>
        </w:rPr>
      </w:pPr>
    </w:p>
    <w:p w14:paraId="52F7EBB5" w14:textId="77777777" w:rsidR="00834DBD" w:rsidRDefault="004C7B34">
      <w:pPr>
        <w:spacing w:before="200" w:line="360" w:lineRule="auto"/>
        <w:jc w:val="center"/>
        <w:rPr>
          <w:b/>
          <w:sz w:val="32"/>
          <w:szCs w:val="32"/>
        </w:rPr>
      </w:pPr>
      <w:r>
        <w:br w:type="page"/>
      </w:r>
    </w:p>
    <w:p w14:paraId="0C1A56A6" w14:textId="77777777" w:rsidR="00834DBD" w:rsidRDefault="004C7B34">
      <w:pPr>
        <w:spacing w:before="200" w:line="360" w:lineRule="auto"/>
        <w:jc w:val="center"/>
        <w:rPr>
          <w:b/>
          <w:sz w:val="28"/>
          <w:szCs w:val="28"/>
        </w:rPr>
      </w:pPr>
      <w:r>
        <w:rPr>
          <w:b/>
          <w:sz w:val="28"/>
          <w:szCs w:val="28"/>
        </w:rPr>
        <w:t>Table of contents</w:t>
      </w:r>
    </w:p>
    <w:p w14:paraId="697AD440" w14:textId="77777777" w:rsidR="00834DBD" w:rsidRDefault="00834DBD">
      <w:pPr>
        <w:keepNext/>
        <w:keepLines/>
        <w:pBdr>
          <w:top w:val="nil"/>
          <w:left w:val="nil"/>
          <w:bottom w:val="nil"/>
          <w:right w:val="nil"/>
          <w:between w:val="nil"/>
        </w:pBdr>
        <w:spacing w:before="480"/>
        <w:rPr>
          <w:rFonts w:ascii="Calibri" w:eastAsia="Calibri" w:hAnsi="Calibri" w:cs="Calibri"/>
          <w:b/>
          <w:color w:val="366091"/>
          <w:sz w:val="28"/>
          <w:szCs w:val="28"/>
        </w:rPr>
      </w:pPr>
    </w:p>
    <w:sdt>
      <w:sdtPr>
        <w:id w:val="-316797513"/>
        <w:docPartObj>
          <w:docPartGallery w:val="Table of Contents"/>
          <w:docPartUnique/>
        </w:docPartObj>
      </w:sdtPr>
      <w:sdtEndPr/>
      <w:sdtContent>
        <w:p w14:paraId="282D9310" w14:textId="77777777" w:rsidR="00834DBD" w:rsidRDefault="004C7B34">
          <w:pPr>
            <w:pBdr>
              <w:top w:val="nil"/>
              <w:left w:val="nil"/>
              <w:bottom w:val="nil"/>
              <w:right w:val="nil"/>
              <w:between w:val="nil"/>
            </w:pBdr>
            <w:tabs>
              <w:tab w:val="right" w:leader="dot" w:pos="9019"/>
            </w:tabs>
            <w:spacing w:before="240" w:line="360" w:lineRule="auto"/>
            <w:jc w:val="both"/>
            <w:rPr>
              <w:color w:val="000000"/>
            </w:rPr>
          </w:pPr>
          <w:r>
            <w:fldChar w:fldCharType="begin"/>
          </w:r>
          <w:r>
            <w:instrText xml:space="preserve"> TOC \h \u \z \t "Heading 1,1,Heading 2,2,Heading 3,3,"</w:instrText>
          </w:r>
          <w:r>
            <w:fldChar w:fldCharType="separate"/>
          </w:r>
          <w:hyperlink w:anchor="_gijw3ij335je">
            <w:r>
              <w:rPr>
                <w:color w:val="000000"/>
              </w:rPr>
              <w:t>Task 1: Social Epidemiological Analysis</w:t>
            </w:r>
            <w:r>
              <w:rPr>
                <w:color w:val="000000"/>
              </w:rPr>
              <w:tab/>
              <w:t>3</w:t>
            </w:r>
          </w:hyperlink>
        </w:p>
        <w:p w14:paraId="776F914B" w14:textId="77777777" w:rsidR="00834DBD" w:rsidRDefault="004C7B34">
          <w:pPr>
            <w:pBdr>
              <w:top w:val="nil"/>
              <w:left w:val="nil"/>
              <w:bottom w:val="nil"/>
              <w:right w:val="nil"/>
              <w:between w:val="nil"/>
            </w:pBdr>
            <w:tabs>
              <w:tab w:val="right" w:leader="dot" w:pos="9019"/>
            </w:tabs>
            <w:spacing w:before="240" w:line="360" w:lineRule="auto"/>
            <w:ind w:left="220"/>
            <w:jc w:val="both"/>
            <w:rPr>
              <w:color w:val="000000"/>
            </w:rPr>
          </w:pPr>
          <w:hyperlink w:anchor="_h9ake8xbrkjj">
            <w:r>
              <w:rPr>
                <w:color w:val="000000"/>
              </w:rPr>
              <w:t>Title</w:t>
            </w:r>
            <w:r>
              <w:rPr>
                <w:color w:val="000000"/>
              </w:rPr>
              <w:tab/>
              <w:t>3</w:t>
            </w:r>
          </w:hyperlink>
        </w:p>
        <w:p w14:paraId="0E25EB33" w14:textId="77777777" w:rsidR="00834DBD" w:rsidRDefault="004C7B34">
          <w:pPr>
            <w:pBdr>
              <w:top w:val="nil"/>
              <w:left w:val="nil"/>
              <w:bottom w:val="nil"/>
              <w:right w:val="nil"/>
              <w:between w:val="nil"/>
            </w:pBdr>
            <w:tabs>
              <w:tab w:val="right" w:leader="dot" w:pos="9019"/>
            </w:tabs>
            <w:spacing w:before="240" w:line="360" w:lineRule="auto"/>
            <w:ind w:left="220"/>
            <w:jc w:val="both"/>
            <w:rPr>
              <w:color w:val="000000"/>
            </w:rPr>
          </w:pPr>
          <w:hyperlink w:anchor="_h4nw477ejtj">
            <w:r>
              <w:rPr>
                <w:color w:val="000000"/>
              </w:rPr>
              <w:t>Introduction</w:t>
            </w:r>
            <w:r>
              <w:rPr>
                <w:color w:val="000000"/>
              </w:rPr>
              <w:tab/>
              <w:t>3</w:t>
            </w:r>
          </w:hyperlink>
        </w:p>
        <w:p w14:paraId="5FBCCE3B"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j4i03158vxlu">
            <w:r>
              <w:rPr>
                <w:color w:val="000000"/>
              </w:rPr>
              <w:t>Defining the chosen target group and explaining why they might be at risk of health inequalities</w:t>
            </w:r>
            <w:r>
              <w:rPr>
                <w:color w:val="000000"/>
              </w:rPr>
              <w:tab/>
              <w:t>3</w:t>
            </w:r>
          </w:hyperlink>
        </w:p>
        <w:p w14:paraId="69408AF1" w14:textId="77777777" w:rsidR="00834DBD" w:rsidRDefault="004C7B34">
          <w:pPr>
            <w:pBdr>
              <w:top w:val="nil"/>
              <w:left w:val="nil"/>
              <w:bottom w:val="nil"/>
              <w:right w:val="nil"/>
              <w:between w:val="nil"/>
            </w:pBdr>
            <w:tabs>
              <w:tab w:val="right" w:leader="dot" w:pos="9019"/>
            </w:tabs>
            <w:spacing w:before="240" w:line="360" w:lineRule="auto"/>
            <w:ind w:left="220"/>
            <w:jc w:val="both"/>
            <w:rPr>
              <w:color w:val="000000"/>
            </w:rPr>
          </w:pPr>
          <w:hyperlink w:anchor="_dn3l3nlytn9o">
            <w:r>
              <w:rPr>
                <w:color w:val="000000"/>
              </w:rPr>
              <w:t>Contextual background and underlying factor</w:t>
            </w:r>
            <w:r>
              <w:rPr>
                <w:color w:val="000000"/>
              </w:rPr>
              <w:tab/>
              <w:t>3</w:t>
            </w:r>
          </w:hyperlink>
        </w:p>
        <w:p w14:paraId="6C1F33C3"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u2y6urcrl36l">
            <w:r>
              <w:rPr>
                <w:color w:val="000000"/>
              </w:rPr>
              <w:t>3 diseases/illnesses</w:t>
            </w:r>
            <w:r>
              <w:rPr>
                <w:color w:val="000000"/>
              </w:rPr>
              <w:tab/>
              <w:t>3</w:t>
            </w:r>
          </w:hyperlink>
        </w:p>
        <w:p w14:paraId="0411B57B"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p90mxuh0l5w0">
            <w:r>
              <w:rPr>
                <w:color w:val="000000"/>
              </w:rPr>
              <w:t>3 social issues</w:t>
            </w:r>
            <w:r>
              <w:rPr>
                <w:color w:val="000000"/>
              </w:rPr>
              <w:tab/>
              <w:t>4</w:t>
            </w:r>
          </w:hyperlink>
        </w:p>
        <w:p w14:paraId="366BE9E7" w14:textId="77777777" w:rsidR="00834DBD" w:rsidRDefault="004C7B34">
          <w:pPr>
            <w:pBdr>
              <w:top w:val="nil"/>
              <w:left w:val="nil"/>
              <w:bottom w:val="nil"/>
              <w:right w:val="nil"/>
              <w:between w:val="nil"/>
            </w:pBdr>
            <w:tabs>
              <w:tab w:val="right" w:leader="dot" w:pos="9019"/>
            </w:tabs>
            <w:spacing w:before="240" w:line="360" w:lineRule="auto"/>
            <w:ind w:left="220"/>
            <w:jc w:val="both"/>
            <w:rPr>
              <w:color w:val="000000"/>
            </w:rPr>
          </w:pPr>
          <w:hyperlink w:anchor="_aj76i2lj31lv">
            <w:r>
              <w:rPr>
                <w:color w:val="000000"/>
              </w:rPr>
              <w:t>National Response to reduce health inequalities in your chosen group</w:t>
            </w:r>
            <w:r>
              <w:rPr>
                <w:color w:val="000000"/>
              </w:rPr>
              <w:tab/>
              <w:t>5</w:t>
            </w:r>
          </w:hyperlink>
        </w:p>
        <w:p w14:paraId="64F921ED" w14:textId="77777777" w:rsidR="00834DBD" w:rsidRDefault="004C7B34">
          <w:pPr>
            <w:pBdr>
              <w:top w:val="nil"/>
              <w:left w:val="nil"/>
              <w:bottom w:val="nil"/>
              <w:right w:val="nil"/>
              <w:between w:val="nil"/>
            </w:pBdr>
            <w:tabs>
              <w:tab w:val="right" w:leader="dot" w:pos="9019"/>
            </w:tabs>
            <w:spacing w:before="240" w:line="360" w:lineRule="auto"/>
            <w:ind w:left="220"/>
            <w:jc w:val="both"/>
            <w:rPr>
              <w:color w:val="000000"/>
            </w:rPr>
          </w:pPr>
          <w:hyperlink w:anchor="_hqsq0yclgr9t">
            <w:r>
              <w:rPr>
                <w:color w:val="000000"/>
              </w:rPr>
              <w:t>Organisations that support the chosen group</w:t>
            </w:r>
            <w:r>
              <w:rPr>
                <w:color w:val="000000"/>
              </w:rPr>
              <w:tab/>
              <w:t>5</w:t>
            </w:r>
          </w:hyperlink>
        </w:p>
        <w:p w14:paraId="4497673A" w14:textId="77777777" w:rsidR="00834DBD" w:rsidRDefault="004C7B34">
          <w:pPr>
            <w:pBdr>
              <w:top w:val="nil"/>
              <w:left w:val="nil"/>
              <w:bottom w:val="nil"/>
              <w:right w:val="nil"/>
              <w:between w:val="nil"/>
            </w:pBdr>
            <w:tabs>
              <w:tab w:val="right" w:leader="dot" w:pos="9019"/>
            </w:tabs>
            <w:spacing w:before="240" w:line="360" w:lineRule="auto"/>
            <w:ind w:left="220"/>
            <w:jc w:val="both"/>
            <w:rPr>
              <w:color w:val="000000"/>
            </w:rPr>
          </w:pPr>
          <w:hyperlink w:anchor="_phqlytntvp79">
            <w:r>
              <w:rPr>
                <w:color w:val="000000"/>
              </w:rPr>
              <w:t>Conclusion</w:t>
            </w:r>
            <w:r>
              <w:rPr>
                <w:color w:val="000000"/>
              </w:rPr>
              <w:tab/>
              <w:t>6</w:t>
            </w:r>
          </w:hyperlink>
        </w:p>
        <w:p w14:paraId="7F5FE5A5" w14:textId="77777777" w:rsidR="00834DBD" w:rsidRDefault="004C7B34">
          <w:pPr>
            <w:pBdr>
              <w:top w:val="nil"/>
              <w:left w:val="nil"/>
              <w:bottom w:val="nil"/>
              <w:right w:val="nil"/>
              <w:between w:val="nil"/>
            </w:pBdr>
            <w:tabs>
              <w:tab w:val="right" w:leader="dot" w:pos="9019"/>
            </w:tabs>
            <w:spacing w:before="240" w:line="360" w:lineRule="auto"/>
            <w:jc w:val="both"/>
            <w:rPr>
              <w:color w:val="000000"/>
            </w:rPr>
          </w:pPr>
          <w:hyperlink w:anchor="_2miglqgzlwk">
            <w:r>
              <w:rPr>
                <w:color w:val="000000"/>
              </w:rPr>
              <w:t>Task 2:  Epidemiological Analysis</w:t>
            </w:r>
            <w:r>
              <w:rPr>
                <w:color w:val="000000"/>
              </w:rPr>
              <w:tab/>
              <w:t>7</w:t>
            </w:r>
          </w:hyperlink>
        </w:p>
        <w:p w14:paraId="1CF9F962" w14:textId="77777777" w:rsidR="00834DBD" w:rsidRDefault="004C7B34">
          <w:pPr>
            <w:pBdr>
              <w:top w:val="nil"/>
              <w:left w:val="nil"/>
              <w:bottom w:val="nil"/>
              <w:right w:val="nil"/>
              <w:between w:val="nil"/>
            </w:pBdr>
            <w:tabs>
              <w:tab w:val="right" w:leader="dot" w:pos="9019"/>
            </w:tabs>
            <w:spacing w:before="240" w:line="360" w:lineRule="auto"/>
            <w:ind w:left="220"/>
            <w:jc w:val="both"/>
            <w:rPr>
              <w:color w:val="000000"/>
            </w:rPr>
          </w:pPr>
          <w:hyperlink w:anchor="_dr2r93oxn6gj">
            <w:r>
              <w:rPr>
                <w:color w:val="000000"/>
              </w:rPr>
              <w:t>Introduction</w:t>
            </w:r>
            <w:r>
              <w:rPr>
                <w:color w:val="000000"/>
              </w:rPr>
              <w:tab/>
              <w:t>7</w:t>
            </w:r>
          </w:hyperlink>
        </w:p>
        <w:p w14:paraId="3CE0E39E"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qwr029mdyuz">
            <w:r>
              <w:rPr>
                <w:color w:val="000000"/>
              </w:rPr>
              <w:t>Definition of a health problem</w:t>
            </w:r>
            <w:r>
              <w:rPr>
                <w:color w:val="000000"/>
              </w:rPr>
              <w:tab/>
              <w:t>7</w:t>
            </w:r>
          </w:hyperlink>
        </w:p>
        <w:p w14:paraId="1A88F506"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tl844wjnwjsu">
            <w:r>
              <w:rPr>
                <w:color w:val="000000"/>
              </w:rPr>
              <w:t>It's reported to have social, cultural, and health consequences.</w:t>
            </w:r>
            <w:r>
              <w:rPr>
                <w:color w:val="000000"/>
              </w:rPr>
              <w:tab/>
              <w:t>7</w:t>
            </w:r>
          </w:hyperlink>
        </w:p>
        <w:p w14:paraId="132CABBE"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sj6d2lv9q10b">
            <w:r>
              <w:rPr>
                <w:color w:val="000000"/>
              </w:rPr>
              <w:t>Level of the incidence/prevalence</w:t>
            </w:r>
            <w:r>
              <w:rPr>
                <w:color w:val="000000"/>
              </w:rPr>
              <w:tab/>
              <w:t>7</w:t>
            </w:r>
          </w:hyperlink>
        </w:p>
        <w:p w14:paraId="33C55338" w14:textId="77777777" w:rsidR="00834DBD" w:rsidRDefault="004C7B34">
          <w:pPr>
            <w:pBdr>
              <w:top w:val="nil"/>
              <w:left w:val="nil"/>
              <w:bottom w:val="nil"/>
              <w:right w:val="nil"/>
              <w:between w:val="nil"/>
            </w:pBdr>
            <w:tabs>
              <w:tab w:val="right" w:leader="dot" w:pos="9019"/>
            </w:tabs>
            <w:spacing w:before="240" w:line="360" w:lineRule="auto"/>
            <w:ind w:left="220"/>
            <w:jc w:val="both"/>
            <w:rPr>
              <w:color w:val="000000"/>
            </w:rPr>
          </w:pPr>
          <w:hyperlink w:anchor="_pngp2wdci9sp">
            <w:r>
              <w:rPr>
                <w:color w:val="000000"/>
              </w:rPr>
              <w:t>Critical discussion</w:t>
            </w:r>
            <w:r>
              <w:rPr>
                <w:color w:val="000000"/>
              </w:rPr>
              <w:tab/>
              <w:t>7</w:t>
            </w:r>
          </w:hyperlink>
        </w:p>
        <w:p w14:paraId="341651DA"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te2v0h5tkdhh">
            <w:r>
              <w:rPr>
                <w:color w:val="000000"/>
              </w:rPr>
              <w:t>Public health measures</w:t>
            </w:r>
            <w:r>
              <w:rPr>
                <w:color w:val="000000"/>
              </w:rPr>
              <w:tab/>
              <w:t>7</w:t>
            </w:r>
          </w:hyperlink>
        </w:p>
        <w:p w14:paraId="574EEF1C"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2q20qqrryjjo">
            <w:r>
              <w:rPr>
                <w:color w:val="000000"/>
              </w:rPr>
              <w:t>Key determinants/risk factors</w:t>
            </w:r>
            <w:r>
              <w:rPr>
                <w:color w:val="000000"/>
              </w:rPr>
              <w:tab/>
              <w:t>8</w:t>
            </w:r>
          </w:hyperlink>
        </w:p>
        <w:p w14:paraId="0A37F9FD"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m6hr8bi1luqx">
            <w:r>
              <w:rPr>
                <w:color w:val="000000"/>
              </w:rPr>
              <w:t>Identify those affected or/are at risk in a specific, defined population.</w:t>
            </w:r>
            <w:r>
              <w:rPr>
                <w:color w:val="000000"/>
              </w:rPr>
              <w:tab/>
              <w:t>9</w:t>
            </w:r>
          </w:hyperlink>
        </w:p>
        <w:p w14:paraId="207E1935"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g06y2mfpq5ao">
            <w:r>
              <w:rPr>
                <w:color w:val="000000"/>
              </w:rPr>
              <w:t>Main public health approaches and strategies for monitoring</w:t>
            </w:r>
            <w:r>
              <w:rPr>
                <w:color w:val="000000"/>
              </w:rPr>
              <w:tab/>
              <w:t>9</w:t>
            </w:r>
          </w:hyperlink>
        </w:p>
        <w:p w14:paraId="2099C5DF"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yqpg1ngi80r8">
            <w:r>
              <w:rPr>
                <w:color w:val="000000"/>
              </w:rPr>
              <w:t>Planning and using epidemiology to determine the public health impact/short- and long-term consequences/effects</w:t>
            </w:r>
            <w:r>
              <w:rPr>
                <w:color w:val="000000"/>
              </w:rPr>
              <w:tab/>
              <w:t>9</w:t>
            </w:r>
          </w:hyperlink>
        </w:p>
        <w:p w14:paraId="4648B7A8"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yw111vjoy9el">
            <w:r>
              <w:rPr>
                <w:color w:val="000000"/>
              </w:rPr>
              <w:t>Designing an appropriate health intervention programme and evaluating the impact(s) of any proposed intervention(s)</w:t>
            </w:r>
            <w:r>
              <w:rPr>
                <w:color w:val="000000"/>
              </w:rPr>
              <w:tab/>
              <w:t>10</w:t>
            </w:r>
          </w:hyperlink>
        </w:p>
        <w:p w14:paraId="6EBA71FC" w14:textId="77777777" w:rsidR="00834DBD" w:rsidRDefault="004C7B34">
          <w:pPr>
            <w:pBdr>
              <w:top w:val="nil"/>
              <w:left w:val="nil"/>
              <w:bottom w:val="nil"/>
              <w:right w:val="nil"/>
              <w:between w:val="nil"/>
            </w:pBdr>
            <w:tabs>
              <w:tab w:val="right" w:leader="dot" w:pos="9019"/>
            </w:tabs>
            <w:spacing w:before="240" w:line="360" w:lineRule="auto"/>
            <w:ind w:left="440"/>
            <w:jc w:val="both"/>
            <w:rPr>
              <w:color w:val="000000"/>
            </w:rPr>
          </w:pPr>
          <w:hyperlink w:anchor="_gkfjpiiq4fca">
            <w:r>
              <w:rPr>
                <w:color w:val="000000"/>
              </w:rPr>
              <w:t>Understanding of the strengths and weaknesses</w:t>
            </w:r>
            <w:r>
              <w:rPr>
                <w:color w:val="000000"/>
              </w:rPr>
              <w:tab/>
              <w:t>10</w:t>
            </w:r>
          </w:hyperlink>
        </w:p>
        <w:p w14:paraId="01B3B51B" w14:textId="77777777" w:rsidR="00834DBD" w:rsidRDefault="004C7B34">
          <w:pPr>
            <w:pBdr>
              <w:top w:val="nil"/>
              <w:left w:val="nil"/>
              <w:bottom w:val="nil"/>
              <w:right w:val="nil"/>
              <w:between w:val="nil"/>
            </w:pBdr>
            <w:tabs>
              <w:tab w:val="right" w:leader="dot" w:pos="9019"/>
            </w:tabs>
            <w:spacing w:before="240" w:line="360" w:lineRule="auto"/>
            <w:ind w:left="220"/>
            <w:jc w:val="both"/>
            <w:rPr>
              <w:color w:val="000000"/>
            </w:rPr>
          </w:pPr>
          <w:hyperlink w:anchor="_f88cs2qkkcum">
            <w:r>
              <w:rPr>
                <w:color w:val="000000"/>
              </w:rPr>
              <w:t>Conclusion</w:t>
            </w:r>
            <w:r>
              <w:rPr>
                <w:color w:val="000000"/>
              </w:rPr>
              <w:tab/>
              <w:t>11</w:t>
            </w:r>
          </w:hyperlink>
        </w:p>
        <w:p w14:paraId="66377724" w14:textId="77777777" w:rsidR="00834DBD" w:rsidRDefault="004C7B34">
          <w:pPr>
            <w:pBdr>
              <w:top w:val="nil"/>
              <w:left w:val="nil"/>
              <w:bottom w:val="nil"/>
              <w:right w:val="nil"/>
              <w:between w:val="nil"/>
            </w:pBdr>
            <w:tabs>
              <w:tab w:val="right" w:leader="dot" w:pos="9019"/>
            </w:tabs>
            <w:spacing w:before="240" w:line="360" w:lineRule="auto"/>
            <w:jc w:val="both"/>
            <w:rPr>
              <w:color w:val="000000"/>
            </w:rPr>
          </w:pPr>
          <w:hyperlink w:anchor="_bi8mbx831wc8">
            <w:r>
              <w:rPr>
                <w:color w:val="000000"/>
              </w:rPr>
              <w:t>References</w:t>
            </w:r>
            <w:r>
              <w:rPr>
                <w:color w:val="000000"/>
              </w:rPr>
              <w:tab/>
              <w:t>12</w:t>
            </w:r>
          </w:hyperlink>
        </w:p>
        <w:p w14:paraId="78E291F8" w14:textId="77777777" w:rsidR="00834DBD" w:rsidRDefault="004C7B34">
          <w:pPr>
            <w:pBdr>
              <w:top w:val="nil"/>
              <w:left w:val="nil"/>
              <w:bottom w:val="nil"/>
              <w:right w:val="nil"/>
              <w:between w:val="nil"/>
            </w:pBdr>
            <w:tabs>
              <w:tab w:val="right" w:leader="dot" w:pos="9019"/>
            </w:tabs>
            <w:spacing w:before="240" w:line="360" w:lineRule="auto"/>
            <w:ind w:left="220"/>
            <w:jc w:val="both"/>
            <w:rPr>
              <w:color w:val="000000"/>
            </w:rPr>
          </w:pPr>
          <w:hyperlink w:anchor="_du8978cqwpi6">
            <w:r>
              <w:rPr>
                <w:color w:val="000000"/>
              </w:rPr>
              <w:t>Task 1</w:t>
            </w:r>
            <w:r>
              <w:rPr>
                <w:color w:val="000000"/>
              </w:rPr>
              <w:tab/>
              <w:t>12</w:t>
            </w:r>
          </w:hyperlink>
        </w:p>
        <w:p w14:paraId="2706CB89" w14:textId="77777777" w:rsidR="00834DBD" w:rsidRDefault="004C7B34">
          <w:pPr>
            <w:pBdr>
              <w:top w:val="nil"/>
              <w:left w:val="nil"/>
              <w:bottom w:val="nil"/>
              <w:right w:val="nil"/>
              <w:between w:val="nil"/>
            </w:pBdr>
            <w:tabs>
              <w:tab w:val="right" w:leader="dot" w:pos="9019"/>
            </w:tabs>
            <w:spacing w:before="240" w:line="360" w:lineRule="auto"/>
            <w:ind w:left="220"/>
            <w:jc w:val="both"/>
            <w:rPr>
              <w:color w:val="000000"/>
            </w:rPr>
          </w:pPr>
          <w:hyperlink w:anchor="_18regorg1ygh">
            <w:r>
              <w:rPr>
                <w:color w:val="000000"/>
              </w:rPr>
              <w:t>Task 2</w:t>
            </w:r>
            <w:r>
              <w:rPr>
                <w:color w:val="000000"/>
              </w:rPr>
              <w:tab/>
              <w:t>13</w:t>
            </w:r>
          </w:hyperlink>
        </w:p>
        <w:p w14:paraId="4ABB0496" w14:textId="77777777" w:rsidR="00834DBD" w:rsidRDefault="004C7B34">
          <w:r>
            <w:fldChar w:fldCharType="end"/>
          </w:r>
        </w:p>
      </w:sdtContent>
    </w:sdt>
    <w:p w14:paraId="03ABC2B7" w14:textId="77777777" w:rsidR="00834DBD" w:rsidRDefault="004C7B34">
      <w:pPr>
        <w:spacing w:before="200" w:line="360" w:lineRule="auto"/>
        <w:jc w:val="center"/>
        <w:rPr>
          <w:b/>
          <w:sz w:val="28"/>
          <w:szCs w:val="28"/>
        </w:rPr>
      </w:pPr>
      <w:r>
        <w:br w:type="page"/>
      </w:r>
    </w:p>
    <w:p w14:paraId="6F59A03F" w14:textId="77777777" w:rsidR="00834DBD" w:rsidRDefault="004C7B34">
      <w:pPr>
        <w:pStyle w:val="Heading1"/>
      </w:pPr>
      <w:bookmarkStart w:id="0" w:name="_gijw3ij335je" w:colFirst="0" w:colLast="0"/>
      <w:bookmarkEnd w:id="0"/>
      <w:r>
        <w:t>Task 1: Social Epidemiological Analysis</w:t>
      </w:r>
    </w:p>
    <w:p w14:paraId="5C6592D0" w14:textId="77777777" w:rsidR="00834DBD" w:rsidRDefault="004C7B34">
      <w:pPr>
        <w:pStyle w:val="Heading2"/>
      </w:pPr>
      <w:bookmarkStart w:id="1" w:name="_h9ake8xbrkjj" w:colFirst="0" w:colLast="0"/>
      <w:bookmarkEnd w:id="1"/>
      <w:r>
        <w:t xml:space="preserve">Title </w:t>
      </w:r>
    </w:p>
    <w:p w14:paraId="3FBE0E0E" w14:textId="77777777" w:rsidR="00834DBD" w:rsidRDefault="004C7B34">
      <w:pPr>
        <w:spacing w:before="200" w:line="360" w:lineRule="auto"/>
        <w:jc w:val="both"/>
      </w:pPr>
      <w:r>
        <w:t>Ethnicity and health inequalities, focusing on the ethnic minority community in the UK.</w:t>
      </w:r>
    </w:p>
    <w:p w14:paraId="792DF66A" w14:textId="77777777" w:rsidR="00834DBD" w:rsidRDefault="004C7B34">
      <w:pPr>
        <w:pStyle w:val="Heading2"/>
      </w:pPr>
      <w:bookmarkStart w:id="2" w:name="_h4nw477ejtj" w:colFirst="0" w:colLast="0"/>
      <w:bookmarkEnd w:id="2"/>
      <w:r>
        <w:t>Introduction</w:t>
      </w:r>
    </w:p>
    <w:p w14:paraId="73533DB6" w14:textId="77777777" w:rsidR="00834DBD" w:rsidRDefault="004C7B34">
      <w:pPr>
        <w:spacing w:before="200" w:line="360" w:lineRule="auto"/>
        <w:jc w:val="both"/>
      </w:pPr>
      <w:r>
        <w:t xml:space="preserve">This study focuses on identifying the critical health inequalities that have resulted from the sociocultural, economic, and structural factors. </w:t>
      </w:r>
    </w:p>
    <w:p w14:paraId="5B735D09" w14:textId="77777777" w:rsidR="00834DBD" w:rsidRDefault="004C7B34">
      <w:pPr>
        <w:pStyle w:val="Heading3"/>
      </w:pPr>
      <w:bookmarkStart w:id="3" w:name="_j4i03158vxlu" w:colFirst="0" w:colLast="0"/>
      <w:bookmarkEnd w:id="3"/>
      <w:r>
        <w:t>Defining the chosen target group and explaining why they might be at risk of health inequalities</w:t>
      </w:r>
    </w:p>
    <w:p w14:paraId="73C50E17" w14:textId="77777777" w:rsidR="00834DBD" w:rsidRDefault="004C7B34">
      <w:pPr>
        <w:spacing w:before="200" w:line="360" w:lineRule="auto"/>
        <w:jc w:val="both"/>
        <w:rPr>
          <w:b/>
        </w:rPr>
      </w:pPr>
      <w:r>
        <w:t xml:space="preserve">Here, the chosen target group is the ethnic minority community in the UK. For the Black African or Caribbean community, health inequalities have been identified as a long-standing injustice (NHS, 2025). These challenges and barriers are resulting in poor health outcomes and disparities for the people compared to other general populations in the country. Systemic and historical barriers, such as cultural barriers, low socioeconomic status, and institutional racism, have exacerbated these issues. </w:t>
      </w:r>
    </w:p>
    <w:p w14:paraId="69BA70CE" w14:textId="77777777" w:rsidR="00834DBD" w:rsidRDefault="004C7B34">
      <w:pPr>
        <w:pStyle w:val="Heading2"/>
      </w:pPr>
      <w:bookmarkStart w:id="4" w:name="_dn3l3nlytn9o" w:colFirst="0" w:colLast="0"/>
      <w:bookmarkEnd w:id="4"/>
      <w:r>
        <w:t>Contextual background and underlying factor</w:t>
      </w:r>
    </w:p>
    <w:p w14:paraId="3086709E" w14:textId="77777777" w:rsidR="00834DBD" w:rsidRDefault="004C7B34">
      <w:pPr>
        <w:pStyle w:val="Heading3"/>
      </w:pPr>
      <w:bookmarkStart w:id="5" w:name="_u2y6urcrl36l" w:colFirst="0" w:colLast="0"/>
      <w:bookmarkEnd w:id="5"/>
      <w:r>
        <w:t>3 diseases/illnesses</w:t>
      </w:r>
    </w:p>
    <w:p w14:paraId="309B38D0" w14:textId="77777777" w:rsidR="00834DBD" w:rsidRDefault="004C7B34">
      <w:pPr>
        <w:spacing w:before="200" w:line="360" w:lineRule="auto"/>
        <w:jc w:val="both"/>
        <w:rPr>
          <w:b/>
        </w:rPr>
      </w:pPr>
      <w:r>
        <w:rPr>
          <w:b/>
        </w:rPr>
        <w:t>Cardiovascular disease</w:t>
      </w:r>
    </w:p>
    <w:p w14:paraId="4DDF4E1E" w14:textId="77777777" w:rsidR="00834DBD" w:rsidRDefault="004C7B34">
      <w:pPr>
        <w:spacing w:before="200" w:line="360" w:lineRule="auto"/>
        <w:jc w:val="both"/>
      </w:pPr>
      <w:r>
        <w:t>There is an increasing rate of cardiovascular diseases within the population, and the health inequalities often increase the rate of mortality within the community. Cardiovascular disease is considered among the causes of death among UK ethnic minority groups. The British Heart Foundation (2021) notes that black African and Caribbean people are almost twice as likely to develop hypertension in comparison with adults of the White British background. This augmented rate augurs more threats of heart attacks an</w:t>
      </w:r>
      <w:r>
        <w:t xml:space="preserve">d strokes. Low income and education have led to an increase in the risks of cardiovascular mortality and CVD (Chang et al., 2022). Lifestyle and diet are also contributing factors; an example of this is that a lack of access to affordable, healthy foods in the deprived regions predisposes one to heart disease. In order to solve this problem, culturally specific popular health campaigns that promote blood pressure screening, dietary knowledge, and physical exercise have been found to enhance early diagnosis </w:t>
      </w:r>
      <w:r>
        <w:t xml:space="preserve">and control of CVD. </w:t>
      </w:r>
    </w:p>
    <w:p w14:paraId="0AC4A47A" w14:textId="77777777" w:rsidR="00834DBD" w:rsidRDefault="004C7B34">
      <w:pPr>
        <w:spacing w:before="200" w:line="360" w:lineRule="auto"/>
        <w:jc w:val="both"/>
        <w:rPr>
          <w:b/>
        </w:rPr>
      </w:pPr>
      <w:r>
        <w:rPr>
          <w:b/>
        </w:rPr>
        <w:t>Type 2 diabetes</w:t>
      </w:r>
    </w:p>
    <w:p w14:paraId="34E68C0D" w14:textId="77777777" w:rsidR="00834DBD" w:rsidRDefault="004C7B34">
      <w:pPr>
        <w:spacing w:before="200" w:line="360" w:lineRule="auto"/>
        <w:jc w:val="both"/>
      </w:pPr>
      <w:r>
        <w:t>People who have experienced complications in their younger age can also experience higher rates of type 2 diabetes. Black African and Caribbean groups have a much higher risk of type 2 diabetes as compared to White British groups (Diabetes UK, 2025). This trend is caused by early development of obesity, lack of physical exercise, and genetic factors. There is also the problem of social inequalities, whereby, due to low-income employment and poor housing, it is hard to live a healthy life (UK Parliament, 202</w:t>
      </w:r>
      <w:r>
        <w:t>4). Screening and prevention services are also not accessible, as minority groups do not necessarily attend mainstream health campaigns. The possible solutions are community-based programs, culturally sensitive diabetes education programs, and hiring more healthcare workers of ethnic minorities to establish trust.</w:t>
      </w:r>
    </w:p>
    <w:p w14:paraId="0B979D40" w14:textId="77777777" w:rsidR="00834DBD" w:rsidRDefault="004C7B34">
      <w:pPr>
        <w:spacing w:before="200" w:line="360" w:lineRule="auto"/>
        <w:jc w:val="both"/>
        <w:rPr>
          <w:b/>
        </w:rPr>
      </w:pPr>
      <w:r>
        <w:rPr>
          <w:b/>
        </w:rPr>
        <w:t>Anemia</w:t>
      </w:r>
    </w:p>
    <w:p w14:paraId="52786183" w14:textId="77777777" w:rsidR="00834DBD" w:rsidRDefault="004C7B34">
      <w:pPr>
        <w:spacing w:before="200" w:line="360" w:lineRule="auto"/>
        <w:jc w:val="both"/>
      </w:pPr>
      <w:r>
        <w:t>There is a common trait of sickle cell anemia among people, and it can also have a severe impact on their daily lives. 15000 people in the UK have been impacted by sickle cell, where over 300 babies are born with this condition every year (NHS Blood and Transplant, 2025). The problem of late diagnosis, insufficient pain management, and implicit bias in the healthcare environment leads to negative patient experience and increased hospitalization. Most patients complain of being sacked or stigmatized when see</w:t>
      </w:r>
      <w:r>
        <w:t>king emergency treatment. In order to curb the inequality, it is important to improve healthcare training to minimize racial bias, expand screening programs, and allocate more funds to research on the treatment of sickle cell disease. The stigma can also be minimized through community awareness campaigns, which will encourage at-risk families to test early.</w:t>
      </w:r>
    </w:p>
    <w:p w14:paraId="6F41C072" w14:textId="77777777" w:rsidR="00834DBD" w:rsidRDefault="004C7B34">
      <w:pPr>
        <w:pStyle w:val="Heading3"/>
      </w:pPr>
      <w:bookmarkStart w:id="6" w:name="_p90mxuh0l5w0" w:colFirst="0" w:colLast="0"/>
      <w:bookmarkEnd w:id="6"/>
      <w:r>
        <w:t>3 social issues</w:t>
      </w:r>
    </w:p>
    <w:p w14:paraId="4880B7CB" w14:textId="77777777" w:rsidR="00834DBD" w:rsidRDefault="004C7B34">
      <w:pPr>
        <w:spacing w:before="200" w:line="360" w:lineRule="auto"/>
        <w:jc w:val="both"/>
        <w:rPr>
          <w:b/>
        </w:rPr>
      </w:pPr>
      <w:r>
        <w:rPr>
          <w:b/>
        </w:rPr>
        <w:t xml:space="preserve">Discrimination </w:t>
      </w:r>
    </w:p>
    <w:p w14:paraId="0D17D39F" w14:textId="77777777" w:rsidR="00834DBD" w:rsidRDefault="004C7B34">
      <w:pPr>
        <w:spacing w:before="200" w:line="360" w:lineRule="auto"/>
        <w:jc w:val="both"/>
      </w:pPr>
      <w:r>
        <w:t>Structural discrimination has been marked as one of the critical issues that alter the accessibility of health and educational services, besides reducing the scope. Another major cause of health disparities amongst ethnic minorities is structural discrimination. 55.1% Black Caribbean workers are experiencing unfair treatment at work (EHRC, 2023). The same applies to healthcare, where Black patients are not likely to get advanced treatment for the same illnesses as White patients. These systemic inequalities</w:t>
      </w:r>
      <w:r>
        <w:t xml:space="preserve"> strengthen the socioeconomic disadvantage, and this leads to a poor health cycle. In order to address this, the NHS has adopted the Workforce Race Equality Standard (WRES) to track and enhance the representation and treatment of ethnic minority employees (NHS, 2023). This consequently develops a more welcoming healthcare setting that can be transferred to improved patient outcomes.</w:t>
      </w:r>
    </w:p>
    <w:p w14:paraId="661E2B50" w14:textId="77777777" w:rsidR="00834DBD" w:rsidRDefault="004C7B34">
      <w:pPr>
        <w:spacing w:before="200" w:line="360" w:lineRule="auto"/>
        <w:jc w:val="both"/>
        <w:rPr>
          <w:b/>
        </w:rPr>
      </w:pPr>
      <w:r>
        <w:rPr>
          <w:b/>
        </w:rPr>
        <w:t>Language barriers</w:t>
      </w:r>
    </w:p>
    <w:p w14:paraId="2E7090E1" w14:textId="77777777" w:rsidR="00834DBD" w:rsidRDefault="004C7B34">
      <w:pPr>
        <w:spacing w:before="200" w:line="360" w:lineRule="auto"/>
        <w:jc w:val="both"/>
      </w:pPr>
      <w:r>
        <w:t>The variation and differences in the culture often create language barriers for the people of the community. Half of adults with limited English proficiency stated their poor experience in terms of one language barrier in healthcare settings in the last 3 years (Gonzalez-Barrera et al., 2024). Lack of communication may lead to medication errors and a lack of trust in the healthcare system. The possibilities are to expand the number of interpreter services, offer multi-lingual health resources, and train hea</w:t>
      </w:r>
      <w:r>
        <w:t>lthcare providers to become culturally competent for improving the quality of communication and interaction.</w:t>
      </w:r>
    </w:p>
    <w:p w14:paraId="2F72C209" w14:textId="77777777" w:rsidR="00834DBD" w:rsidRDefault="004C7B34">
      <w:pPr>
        <w:spacing w:before="200" w:line="360" w:lineRule="auto"/>
        <w:jc w:val="both"/>
        <w:rPr>
          <w:b/>
        </w:rPr>
      </w:pPr>
      <w:r>
        <w:rPr>
          <w:b/>
        </w:rPr>
        <w:t>Limited mental health support due to social stigma</w:t>
      </w:r>
    </w:p>
    <w:p w14:paraId="608A92E2" w14:textId="77777777" w:rsidR="00834DBD" w:rsidRDefault="004C7B34">
      <w:pPr>
        <w:spacing w:before="200" w:line="360" w:lineRule="auto"/>
        <w:jc w:val="both"/>
      </w:pPr>
      <w:r>
        <w:t>Differences in accessing treatment of mental health conditions are found in racial categories of minority groups who are detained four times under the Mental Health Act rather than White Individuals (Devonport et al., 2023). Health and educational inequalities are the major contributors to mental health issues, which can be seen in the people of this target group. Black African and Caribbean people tend to experience deep mental distress but are less likely to use professional help. The early support is not</w:t>
      </w:r>
      <w:r>
        <w:t xml:space="preserve"> realized due to the cultural stigma of mental illness, fear of discrimination, and mistrust towards services. In order to improve confidence and normalize mental health discussion in the community, improving community-based mental health services, advancing culturally competent counselling, and the involvement of Black therapists seem essential.</w:t>
      </w:r>
    </w:p>
    <w:p w14:paraId="3F31CA1C" w14:textId="77777777" w:rsidR="00834DBD" w:rsidRDefault="004C7B34">
      <w:pPr>
        <w:pStyle w:val="Heading2"/>
      </w:pPr>
      <w:bookmarkStart w:id="7" w:name="_aj76i2lj31lv" w:colFirst="0" w:colLast="0"/>
      <w:bookmarkEnd w:id="7"/>
      <w:r>
        <w:t>National Response to reduce health inequalities in your chosen group</w:t>
      </w:r>
    </w:p>
    <w:p w14:paraId="74235E20" w14:textId="77777777" w:rsidR="00834DBD" w:rsidRDefault="004C7B34">
      <w:pPr>
        <w:spacing w:before="200" w:line="360" w:lineRule="auto"/>
        <w:jc w:val="both"/>
      </w:pPr>
      <w:r>
        <w:t>The NHS and the UK government have come up with various measures that could help in minimizing ethnic health disparities. The NHS Long Term Plan (2019-2029) focuses on addressing health disparities by enhancing access to preventive services, particularly to the management of cardiovascular and diabetes (Public Health England, 2019). It prioritizes the gathering of ethnicity information as a way of establishing at-risk groups and developing specific interventions. The Core20PLUS5 Framework (2022) is also con</w:t>
      </w:r>
      <w:r>
        <w:t xml:space="preserve">centrated on the 20% of the most deprived population and particular clinical domains, including cardiovascular disease and maternity health (NHS England, 2025). Ethnic minorities are also stimulated to be more aware of mental health and seek help early through public campaigns such as Every Mind Matters. </w:t>
      </w:r>
    </w:p>
    <w:p w14:paraId="0BDED62F" w14:textId="77777777" w:rsidR="00834DBD" w:rsidRDefault="004C7B34">
      <w:pPr>
        <w:pStyle w:val="Heading2"/>
      </w:pPr>
      <w:bookmarkStart w:id="8" w:name="_hqsq0yclgr9t" w:colFirst="0" w:colLast="0"/>
      <w:bookmarkEnd w:id="8"/>
      <w:r>
        <w:t>Organisations that support the chosen group</w:t>
      </w:r>
    </w:p>
    <w:p w14:paraId="7ECB7368" w14:textId="77777777" w:rsidR="00834DBD" w:rsidRDefault="004C7B34">
      <w:pPr>
        <w:spacing w:before="200" w:line="360" w:lineRule="auto"/>
        <w:jc w:val="both"/>
      </w:pPr>
      <w:r>
        <w:t>Sickle Cell Society (SCS) is a charity organization based in the UK that aims to enhance the quality of life of patients living with sickle cell disease, which occurs in the Black community (Sickle Cell Society, 2025). The organization offers stigma and discrimination in healthcare by offering advocacy, patient education, counselling services, and raising awareness. Its objectives involve the advancement of research in the field of finding improved treatment options, shaping the policy, and providing equita</w:t>
      </w:r>
      <w:r>
        <w:t>ble access to healthcare. The SCS works closely with the NHS and policymakers to enhance screening, emergency care, and pain management among patients (Sickle Cell Society, 2023). The charity also helps families with workshops and helplines that enable the family to cope with the condition. SCS helps in fostering more inclusive healthcare environment and reducing ethnic health inequalities.</w:t>
      </w:r>
    </w:p>
    <w:p w14:paraId="5E174EAC" w14:textId="77777777" w:rsidR="00834DBD" w:rsidRDefault="004C7B34">
      <w:pPr>
        <w:pStyle w:val="Heading2"/>
      </w:pPr>
      <w:bookmarkStart w:id="9" w:name="_phqlytntvp79" w:colFirst="0" w:colLast="0"/>
      <w:bookmarkEnd w:id="9"/>
      <w:r>
        <w:t>Conclusion</w:t>
      </w:r>
    </w:p>
    <w:p w14:paraId="3F31F9EC" w14:textId="77777777" w:rsidR="00834DBD" w:rsidRDefault="004C7B34">
      <w:pPr>
        <w:spacing w:before="200" w:line="360" w:lineRule="auto"/>
        <w:jc w:val="both"/>
      </w:pPr>
      <w:r>
        <w:t>Ethnic minority individuals within the UK population, especially people of Black African and Caribbean heritage, still face significant health challenges connected to a lot of external resistance in terms of poverty, racism, and cultural differences. The high incidence of conditions such as heart disease, diabetes, and sickle cell anaemia means there are systemic problems that warrant both a medical and social response. Despite national policies and organisations such as The Sickle Cell Society's commitment</w:t>
      </w:r>
      <w:r>
        <w:t xml:space="preserve"> to closing the gaps, it is imperative that the push for improved healthcare that is culturally competent, more education, and enhanced, equitable, focused policies is sustained if health outcomes are to be improved for all, in the long run.</w:t>
      </w:r>
      <w:r>
        <w:br w:type="page"/>
      </w:r>
    </w:p>
    <w:p w14:paraId="7B4D999D" w14:textId="77777777" w:rsidR="00834DBD" w:rsidRDefault="004C7B34">
      <w:pPr>
        <w:pStyle w:val="Heading1"/>
      </w:pPr>
      <w:bookmarkStart w:id="10" w:name="_2miglqgzlwk" w:colFirst="0" w:colLast="0"/>
      <w:bookmarkEnd w:id="10"/>
      <w:r>
        <w:t>Task 2:  Epidemiological Analysis</w:t>
      </w:r>
    </w:p>
    <w:p w14:paraId="6B0B15CB" w14:textId="77777777" w:rsidR="00834DBD" w:rsidRDefault="004C7B34">
      <w:pPr>
        <w:pStyle w:val="Heading2"/>
      </w:pPr>
      <w:bookmarkStart w:id="11" w:name="_dr2r93oxn6gj" w:colFirst="0" w:colLast="0"/>
      <w:bookmarkEnd w:id="11"/>
      <w:r>
        <w:t>Introduction</w:t>
      </w:r>
    </w:p>
    <w:p w14:paraId="234FED08" w14:textId="77777777" w:rsidR="00834DBD" w:rsidRDefault="004C7B34">
      <w:pPr>
        <w:pStyle w:val="Heading3"/>
      </w:pPr>
      <w:bookmarkStart w:id="12" w:name="_qwr029mdyuz" w:colFirst="0" w:colLast="0"/>
      <w:bookmarkEnd w:id="12"/>
      <w:r>
        <w:t>Definition of a health problem</w:t>
      </w:r>
    </w:p>
    <w:p w14:paraId="4C450F1E" w14:textId="77777777" w:rsidR="00834DBD" w:rsidRDefault="004C7B34">
      <w:pPr>
        <w:spacing w:before="200" w:line="360" w:lineRule="auto"/>
        <w:jc w:val="both"/>
      </w:pPr>
      <w:r>
        <w:t xml:space="preserve">T2DM (Type 2 diabetes mellitus) is a non-communicable and chronic disease that is marked by insulin resistance and the inability to regulate glucose. It has been classified as one of the most rapidly spreading health issues worldwide with significant health, social, and economic impacts. </w:t>
      </w:r>
    </w:p>
    <w:p w14:paraId="1061C91E" w14:textId="77777777" w:rsidR="00834DBD" w:rsidRDefault="004C7B34">
      <w:pPr>
        <w:pStyle w:val="Heading3"/>
      </w:pPr>
      <w:bookmarkStart w:id="13" w:name="_tl844wjnwjsu" w:colFirst="0" w:colLast="0"/>
      <w:bookmarkEnd w:id="13"/>
      <w:r>
        <w:t>It's reported to have social, cultural, and health consequences.</w:t>
      </w:r>
    </w:p>
    <w:p w14:paraId="126D47DD" w14:textId="77777777" w:rsidR="00834DBD" w:rsidRDefault="004C7B34">
      <w:pPr>
        <w:spacing w:before="200" w:line="360" w:lineRule="auto"/>
        <w:jc w:val="both"/>
      </w:pPr>
      <w:r>
        <w:t>Cardiovascular disease, renal failure, blindness, and amputation of lower limbs are some of the serious complications associated with the disease, which have led to the occurrence of high morbidity and mortality. It has an impact on social factors that influence productivity, family well-being, and community health outcomes. As a cultural dimension, lifestyle has a big influence on the prevalence of diseases, diet, and lack of exercise.</w:t>
      </w:r>
    </w:p>
    <w:p w14:paraId="056A9319" w14:textId="77777777" w:rsidR="00834DBD" w:rsidRDefault="004C7B34">
      <w:pPr>
        <w:pStyle w:val="Heading3"/>
      </w:pPr>
      <w:bookmarkStart w:id="14" w:name="_sj6d2lv9q10b" w:colFirst="0" w:colLast="0"/>
      <w:bookmarkEnd w:id="14"/>
      <w:r>
        <w:t>Level of the incidence/prevalence</w:t>
      </w:r>
    </w:p>
    <w:p w14:paraId="6499E731" w14:textId="77777777" w:rsidR="00834DBD" w:rsidRDefault="004C7B34">
      <w:pPr>
        <w:spacing w:before="200" w:line="360" w:lineRule="auto"/>
        <w:jc w:val="both"/>
      </w:pPr>
      <w:r>
        <w:t>The World Health Organization (WHO) (2024) estimates that more than half a billion adults across the world are living with diabetes, and about 95 percent of these patients have Type 2 diabetes. 4.3 million individuals in the UK have been diagnosed, and 850,000 have not been diagnosed (Diabetes UK, 2023). In Lambeth, nearly 19000 adults are living with type 2 diabetes, with an estimated 4500 more underdiagnosed, indicating a huge gap in care and detection (Lambeth Together, 2024). This is a vital regional pu</w:t>
      </w:r>
      <w:r>
        <w:t>blic health issue, with the Black African adult population bearing the brunt of this burden (2-4 times more likely to develop the condition than White British adults) (NIHR, 2023).</w:t>
      </w:r>
    </w:p>
    <w:p w14:paraId="7F473D15" w14:textId="77777777" w:rsidR="00834DBD" w:rsidRDefault="004C7B34">
      <w:pPr>
        <w:pStyle w:val="Heading2"/>
      </w:pPr>
      <w:bookmarkStart w:id="15" w:name="_pngp2wdci9sp" w:colFirst="0" w:colLast="0"/>
      <w:bookmarkEnd w:id="15"/>
      <w:r>
        <w:t>Critical discussion</w:t>
      </w:r>
    </w:p>
    <w:p w14:paraId="6AFF3940" w14:textId="77777777" w:rsidR="00834DBD" w:rsidRDefault="004C7B34">
      <w:pPr>
        <w:pStyle w:val="Heading3"/>
      </w:pPr>
      <w:bookmarkStart w:id="16" w:name="_te2v0h5tkdhh" w:colFirst="0" w:colLast="0"/>
      <w:bookmarkEnd w:id="16"/>
      <w:r>
        <w:t>Public health measures</w:t>
      </w:r>
    </w:p>
    <w:p w14:paraId="5C44385F" w14:textId="77777777" w:rsidR="00834DBD" w:rsidRDefault="004C7B34">
      <w:pPr>
        <w:spacing w:before="200" w:line="360" w:lineRule="auto"/>
        <w:jc w:val="both"/>
      </w:pPr>
      <w:r>
        <w:t>The UK has enacted various measures of public health, meant to curb the burden of Type 2 diabetes by preventing, protecting, and promoting the 3Ps pillar.</w:t>
      </w:r>
    </w:p>
    <w:p w14:paraId="4033728C" w14:textId="77777777" w:rsidR="00834DBD" w:rsidRDefault="004C7B34">
      <w:pPr>
        <w:spacing w:before="200" w:line="360" w:lineRule="auto"/>
        <w:jc w:val="both"/>
      </w:pPr>
      <w:r>
        <w:rPr>
          <w:b/>
          <w:i/>
        </w:rPr>
        <w:t>Prevention</w:t>
      </w:r>
      <w:r>
        <w:t>: The NHS Diabetes Prevention Programme (NDPP) aims at detecting high-risk individuals and encouraging lifestyle changes by educating them on diet and engaging in physical exercise (NHS England, 2025). In Lambeth, screening for pre-diabetes in primary care is done in a targeted manner.</w:t>
      </w:r>
    </w:p>
    <w:p w14:paraId="10BE3D21" w14:textId="77777777" w:rsidR="00834DBD" w:rsidRDefault="004C7B34">
      <w:pPr>
        <w:spacing w:before="200" w:line="360" w:lineRule="auto"/>
        <w:jc w:val="both"/>
      </w:pPr>
      <w:r>
        <w:rPr>
          <w:b/>
          <w:i/>
        </w:rPr>
        <w:t>Protection</w:t>
      </w:r>
      <w:r>
        <w:t>: The NHS provides early detection with the help of annual blood glucose testing (HbA1c) of high-risk groups and community screening events (Diabetes UK, 2025). The clinics with vaccination and management of chronic diseases are also used in the prevention of complications.</w:t>
      </w:r>
    </w:p>
    <w:p w14:paraId="6D3BCD6A" w14:textId="77777777" w:rsidR="00834DBD" w:rsidRDefault="004C7B34">
      <w:pPr>
        <w:spacing w:before="200" w:line="360" w:lineRule="auto"/>
        <w:jc w:val="both"/>
      </w:pPr>
      <w:r>
        <w:rPr>
          <w:b/>
          <w:i/>
        </w:rPr>
        <w:t>Promotion</w:t>
      </w:r>
      <w:r>
        <w:t>: Large-scale campaigns such as Change4Life and Healthier You promote a healthy lifestyle and target the ethnic minority population with culturally sensitive outreach programs and workshops in churches and mosques.</w:t>
      </w:r>
    </w:p>
    <w:p w14:paraId="2A443EB7" w14:textId="77777777" w:rsidR="00834DBD" w:rsidRDefault="004C7B34">
      <w:pPr>
        <w:spacing w:before="200" w:line="360" w:lineRule="auto"/>
        <w:jc w:val="both"/>
      </w:pPr>
      <w:r>
        <w:t>Lambeth local public health teams work in partnership with the community organizations to ensure that they have access to available resources, cooking classes, and health checks (Lambeth Council, 2025). The goal of these interventions is to enhance awareness, empower patients, and decrease hospital admissions attributed to diabetic complications.</w:t>
      </w:r>
    </w:p>
    <w:p w14:paraId="1726B8D7" w14:textId="77777777" w:rsidR="00834DBD" w:rsidRDefault="004C7B34">
      <w:pPr>
        <w:pStyle w:val="Heading3"/>
      </w:pPr>
      <w:bookmarkStart w:id="17" w:name="_2q20qqrryjjo" w:colFirst="0" w:colLast="0"/>
      <w:bookmarkEnd w:id="17"/>
      <w:r>
        <w:t>Key determinants/risk factors</w:t>
      </w:r>
    </w:p>
    <w:p w14:paraId="438DD916" w14:textId="77777777" w:rsidR="00834DBD" w:rsidRDefault="004C7B34">
      <w:pPr>
        <w:spacing w:before="200" w:line="360" w:lineRule="auto"/>
        <w:jc w:val="both"/>
      </w:pPr>
      <w:r>
        <w:t>A Black African and Caribbean community has a mixture of biological, behavioral, socioeconomic, and cultural factors that contribute to type 2 diabetes.</w:t>
      </w:r>
    </w:p>
    <w:p w14:paraId="33CDF7AF" w14:textId="77777777" w:rsidR="00834DBD" w:rsidRDefault="004C7B34">
      <w:pPr>
        <w:spacing w:before="200" w:line="360" w:lineRule="auto"/>
        <w:jc w:val="both"/>
      </w:pPr>
      <w:r>
        <w:rPr>
          <w:b/>
          <w:i/>
        </w:rPr>
        <w:t>Genetic predisposition</w:t>
      </w:r>
      <w:r>
        <w:t>: It has been demonstrated that the genetic vulnerability to insulin resistance and obesity is greater in people of African origin (Chami et al., 2025).</w:t>
      </w:r>
    </w:p>
    <w:p w14:paraId="7FA3D47B" w14:textId="77777777" w:rsidR="00834DBD" w:rsidRDefault="004C7B34">
      <w:pPr>
        <w:spacing w:before="200" w:line="360" w:lineRule="auto"/>
        <w:jc w:val="both"/>
      </w:pPr>
      <w:r>
        <w:rPr>
          <w:b/>
          <w:i/>
        </w:rPr>
        <w:t>Socioeconomic disparity</w:t>
      </w:r>
      <w:r>
        <w:t>: In Lambeth, there are a high number of people residing in poor areas where they have low access to affordable, healthy food as well as safe physical environments (Lambeth Together, 2021).</w:t>
      </w:r>
    </w:p>
    <w:p w14:paraId="4B1B5FB4" w14:textId="77777777" w:rsidR="00834DBD" w:rsidRDefault="004C7B34">
      <w:pPr>
        <w:spacing w:before="200" w:line="360" w:lineRule="auto"/>
        <w:jc w:val="both"/>
      </w:pPr>
      <w:r>
        <w:rPr>
          <w:b/>
          <w:i/>
        </w:rPr>
        <w:t>Food consumption</w:t>
      </w:r>
      <w:r>
        <w:t>: The traditional high-carbohydrate diets and consumption of processed foods are the causes of obesity and high glucose levels.</w:t>
      </w:r>
    </w:p>
    <w:p w14:paraId="74336151" w14:textId="77777777" w:rsidR="00834DBD" w:rsidRDefault="004C7B34">
      <w:pPr>
        <w:spacing w:before="200" w:line="360" w:lineRule="auto"/>
        <w:jc w:val="both"/>
      </w:pPr>
      <w:r>
        <w:rPr>
          <w:b/>
          <w:i/>
        </w:rPr>
        <w:t>Physical inactivity</w:t>
      </w:r>
      <w:r>
        <w:t>: Sedentary lifestyles, especially in adults who hold low-income jobs, predispose people to it.</w:t>
      </w:r>
    </w:p>
    <w:p w14:paraId="722953F6" w14:textId="77777777" w:rsidR="00834DBD" w:rsidRDefault="004C7B34">
      <w:pPr>
        <w:spacing w:before="200" w:line="360" w:lineRule="auto"/>
        <w:jc w:val="both"/>
      </w:pPr>
      <w:r>
        <w:rPr>
          <w:b/>
          <w:i/>
        </w:rPr>
        <w:t>Barriers to accessing healthcare</w:t>
      </w:r>
      <w:r>
        <w:t>: Barriers to healthcare include cultural mistrust and low access to health services, which lead to early diagnosis and management.</w:t>
      </w:r>
    </w:p>
    <w:p w14:paraId="36870804" w14:textId="77777777" w:rsidR="00834DBD" w:rsidRDefault="004C7B34">
      <w:pPr>
        <w:spacing w:before="200" w:line="360" w:lineRule="auto"/>
        <w:jc w:val="both"/>
      </w:pPr>
      <w:r>
        <w:rPr>
          <w:b/>
          <w:i/>
        </w:rPr>
        <w:t>Cultural perceptions</w:t>
      </w:r>
      <w:r>
        <w:t>: This is because some members of the community think that diabetes is either by age or fate and not a behavior that can be avoided; thus, lowering the rate of participation in prevention programs.</w:t>
      </w:r>
    </w:p>
    <w:p w14:paraId="754B60D5" w14:textId="77777777" w:rsidR="00834DBD" w:rsidRDefault="004C7B34">
      <w:pPr>
        <w:spacing w:before="200" w:line="360" w:lineRule="auto"/>
        <w:jc w:val="both"/>
      </w:pPr>
      <w:r>
        <w:t>Poverty, ethnicity, and education interrelate to delay the diagnosis, lead to poor self-management, and increase the complication rates, which proves the influence of social determinants on influencing health disparities.</w:t>
      </w:r>
    </w:p>
    <w:p w14:paraId="67CED459" w14:textId="77777777" w:rsidR="00834DBD" w:rsidRDefault="004C7B34">
      <w:pPr>
        <w:pStyle w:val="Heading3"/>
      </w:pPr>
      <w:bookmarkStart w:id="18" w:name="_m6hr8bi1luqx" w:colFirst="0" w:colLast="0"/>
      <w:bookmarkEnd w:id="18"/>
      <w:r>
        <w:t>Identify those affected or/are at risk in a specific, defined population.</w:t>
      </w:r>
    </w:p>
    <w:p w14:paraId="04B535AC" w14:textId="77777777" w:rsidR="00834DBD" w:rsidRDefault="004C7B34">
      <w:pPr>
        <w:spacing w:before="200" w:line="360" w:lineRule="auto"/>
        <w:jc w:val="both"/>
      </w:pPr>
      <w:r>
        <w:t xml:space="preserve">Epidemiological research studies have revealed that the prevalence of Type 2 diabetes among the Black African and Caribbean adults in Lambeth is disproportionately high. The Joint Strategic Needs Assessment (JSNA) of Lambeth is a continuous process identifying the current and future health and social care and well-being needs of the local population (Lambeth Council, 2025a). It also reveals that major individuals diagnosed with diabetes in the borough belong to ethnic minorities. There is the greatest risk </w:t>
      </w:r>
      <w:r>
        <w:t>in adults aged 40-65 years, especially males. The prevalence of obesity among the members is about 38, whereas among the general population is 28.</w:t>
      </w:r>
    </w:p>
    <w:p w14:paraId="36D8CB12" w14:textId="77777777" w:rsidR="00834DBD" w:rsidRDefault="004C7B34">
      <w:pPr>
        <w:spacing w:before="200" w:line="360" w:lineRule="auto"/>
        <w:jc w:val="both"/>
      </w:pPr>
      <w:r>
        <w:t>It was also discovered that Black adults are more likely to be diagnosed at an earlier age with more complications, including hypertension and kidney disease (Hounkpatin and Brettle, 2019). A health needs assessment in Lambeth revealed that there were considerable gaps in services, such as less access to dieticians, less culturally sensitive health information, and underrepresentation of black healthcare staff. These results indicate the necessity of community-based, inclusive management of diabetes.</w:t>
      </w:r>
    </w:p>
    <w:p w14:paraId="35F3453C" w14:textId="77777777" w:rsidR="00834DBD" w:rsidRDefault="004C7B34">
      <w:pPr>
        <w:pStyle w:val="Heading3"/>
      </w:pPr>
      <w:bookmarkStart w:id="19" w:name="_g06y2mfpq5ao" w:colFirst="0" w:colLast="0"/>
      <w:bookmarkEnd w:id="19"/>
      <w:r>
        <w:t>Main public health approaches and strategies for monitoring</w:t>
      </w:r>
    </w:p>
    <w:p w14:paraId="50B3E484" w14:textId="77777777" w:rsidR="00834DBD" w:rsidRDefault="004C7B34">
      <w:pPr>
        <w:spacing w:before="200" w:line="360" w:lineRule="auto"/>
        <w:jc w:val="both"/>
      </w:pPr>
      <w:r>
        <w:t>There are various national and local surveillance systems that assist in epidemiological surveillance of Type 2 diabetes in Lambeth.</w:t>
      </w:r>
    </w:p>
    <w:p w14:paraId="20526E00" w14:textId="77777777" w:rsidR="00834DBD" w:rsidRDefault="004C7B34">
      <w:pPr>
        <w:spacing w:before="200" w:line="360" w:lineRule="auto"/>
        <w:jc w:val="both"/>
      </w:pPr>
      <w:r>
        <w:t>The National Diabetes Audit (NDA) is a data collection instrument, and it gathers the incidence, prevalence, and outcome of treatment (NHS England, 2025a). This allows benchmarking across boroughs. The Public Health Outcomes Framework (PHOF) is a tool that tracks the health disparities and health risk factors, including obesity and inactivity (Public Health England, 2025). Data on primary care in General Practices provides individual patient outcomes using QOF (Quality and Outcomes Framework) indicators. Lo</w:t>
      </w:r>
      <w:r>
        <w:t>cal screening events and health surveys of communities will give real-time statistics on cases of undiagnosed disease.</w:t>
      </w:r>
    </w:p>
    <w:p w14:paraId="1552CBDF" w14:textId="77777777" w:rsidR="00834DBD" w:rsidRDefault="004C7B34">
      <w:pPr>
        <w:spacing w:before="200" w:line="360" w:lineRule="auto"/>
        <w:jc w:val="both"/>
      </w:pPr>
      <w:r>
        <w:t>However, major limitations seem to persist, such as reducing participation, inconsistency in coding practices, and underreporting of ethnicity data among marginalised populations. Ethnicity-sensitive recordkeeping and patient involvement are important to improving data accuracy to facilitate successful surveillance.</w:t>
      </w:r>
    </w:p>
    <w:p w14:paraId="2463E3A2" w14:textId="77777777" w:rsidR="00834DBD" w:rsidRDefault="004C7B34">
      <w:pPr>
        <w:pStyle w:val="Heading3"/>
      </w:pPr>
      <w:bookmarkStart w:id="20" w:name="_yqpg1ngi80r8" w:colFirst="0" w:colLast="0"/>
      <w:bookmarkEnd w:id="20"/>
      <w:r>
        <w:t>Planning and using epidemiology to determine the public health impact/short- and long-term consequences/effects</w:t>
      </w:r>
    </w:p>
    <w:p w14:paraId="27208B7B" w14:textId="77777777" w:rsidR="00834DBD" w:rsidRDefault="004C7B34">
      <w:pPr>
        <w:spacing w:before="200" w:line="360" w:lineRule="auto"/>
        <w:jc w:val="both"/>
      </w:pPr>
      <w:r>
        <w:t xml:space="preserve">The epidemiological data can be used to determine the short-term and long-term effects of Type 2 diabetes on the population. </w:t>
      </w:r>
      <w:r>
        <w:rPr>
          <w:b/>
          <w:i/>
        </w:rPr>
        <w:t>Short-term effects</w:t>
      </w:r>
      <w:r>
        <w:t xml:space="preserve"> have included fatigue, absenteeism, low productivity at work, and psychological stress as a result of the diagnosis. </w:t>
      </w:r>
      <w:r>
        <w:rPr>
          <w:b/>
          <w:i/>
        </w:rPr>
        <w:t>Long-term effects</w:t>
      </w:r>
      <w:r>
        <w:t xml:space="preserve"> include the chronic effects of heart disease, neuropathy, and kidney failure that raise the mortality rate and health care expenses.</w:t>
      </w:r>
    </w:p>
    <w:p w14:paraId="2693A80E" w14:textId="77777777" w:rsidR="00834DBD" w:rsidRDefault="004C7B34">
      <w:pPr>
        <w:spacing w:before="200" w:line="360" w:lineRule="auto"/>
        <w:jc w:val="both"/>
      </w:pPr>
      <w:r>
        <w:t xml:space="preserve">Diabetes also has a leading role in long-term hospital admission in Lambeth, with it being a contributing factor to all hospital admissions. It has also led to a premature mortality rate that is more than the average in the borough. Epidemiology helps the planners in the field of health care by measuring them, establishing trends, and predicting future needs of health care. According to predictive modeling, diabetes prevalence may increase by 25% by 2030 and 51% by 2045 (Saeedi et al., 2019). This seems to </w:t>
      </w:r>
      <w:r>
        <w:t>be increasing unless appropriate interventions are implemented to curb the impact of diabetes on local healthcare systems.</w:t>
      </w:r>
    </w:p>
    <w:p w14:paraId="09A2E7AC" w14:textId="77777777" w:rsidR="00834DBD" w:rsidRDefault="004C7B34">
      <w:pPr>
        <w:pStyle w:val="Heading3"/>
      </w:pPr>
      <w:bookmarkStart w:id="21" w:name="_yw111vjoy9el" w:colFirst="0" w:colLast="0"/>
      <w:bookmarkEnd w:id="21"/>
      <w:r>
        <w:t>Designing an appropriate health intervention programme and evaluating the impact(s) of any proposed intervention(s)</w:t>
      </w:r>
    </w:p>
    <w:p w14:paraId="499E6902" w14:textId="77777777" w:rsidR="00834DBD" w:rsidRDefault="004C7B34">
      <w:pPr>
        <w:spacing w:before="200" w:line="360" w:lineRule="auto"/>
        <w:jc w:val="both"/>
      </w:pPr>
      <w:r>
        <w:t>A good solution is to develop culturally competent interventions that are community-based. The Lambeth Diabetes Equity Project proposed would unify the public health, primary care, and community organizations to combat the inequality of diabetes (Lambeth Together, 2025). Education and Community Screening has included free mobile clinics in community centres, mosques, and churches for promoting early detection. Peer Support Programmes include educating Black background community health champions on deliverin</w:t>
      </w:r>
      <w:r>
        <w:t xml:space="preserve">g peer education regarding diabetes management and healthy lifestyles. Digital Health Monitoring refers to providing wearable glucose sensors and telehealth visits to those who cannot visit their check-ups regularly (Rodriguez-León et al., 2021). Culturally Adapted Nutrition Workshops help to ensure cooperation with local chefs and dietitians to make the old-fashioned recipes healthier. </w:t>
      </w:r>
    </w:p>
    <w:p w14:paraId="5D2F3C0E" w14:textId="77777777" w:rsidR="00834DBD" w:rsidRDefault="004C7B34">
      <w:pPr>
        <w:spacing w:before="200" w:line="360" w:lineRule="auto"/>
        <w:jc w:val="both"/>
      </w:pPr>
      <w:r>
        <w:rPr>
          <w:b/>
          <w:i/>
        </w:rPr>
        <w:t>Evaluation</w:t>
      </w:r>
    </w:p>
    <w:p w14:paraId="781FC61D" w14:textId="77777777" w:rsidR="00834DBD" w:rsidRDefault="004C7B34">
      <w:pPr>
        <w:spacing w:before="200" w:line="360" w:lineRule="auto"/>
        <w:jc w:val="both"/>
      </w:pPr>
      <w:r>
        <w:t>Pre- and post-intervention data on the following can be used to measure the effect of the project based on a decline in the cases of diabetes (incidence), reduction in the mean HbA1c levels, increased attendance of screening and education programs, patient satisfaction, and self-management confidence. The evaluation would be done on a long-term basis, which would entail assessing the decrease in hospital admissions and health inequalities within a five-year period.</w:t>
      </w:r>
    </w:p>
    <w:p w14:paraId="76004F5A" w14:textId="77777777" w:rsidR="00834DBD" w:rsidRDefault="004C7B34">
      <w:pPr>
        <w:pStyle w:val="Heading3"/>
      </w:pPr>
      <w:bookmarkStart w:id="22" w:name="_gkfjpiiq4fca" w:colFirst="0" w:colLast="0"/>
      <w:bookmarkEnd w:id="22"/>
      <w:r>
        <w:t>Understanding of the strengths and weaknesses</w:t>
      </w:r>
    </w:p>
    <w:p w14:paraId="04F12377" w14:textId="77777777" w:rsidR="00834DBD" w:rsidRDefault="004C7B34">
      <w:pPr>
        <w:spacing w:before="200" w:line="360" w:lineRule="auto"/>
        <w:jc w:val="center"/>
      </w:pPr>
      <w:r>
        <w:rPr>
          <w:noProof/>
        </w:rPr>
        <w:drawing>
          <wp:inline distT="114300" distB="114300" distL="114300" distR="114300" wp14:anchorId="534EC74A" wp14:editId="10403522">
            <wp:extent cx="5731200" cy="36957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3695700"/>
                    </a:xfrm>
                    <a:prstGeom prst="rect">
                      <a:avLst/>
                    </a:prstGeom>
                    <a:ln w="12700">
                      <a:solidFill>
                        <a:srgbClr val="000000"/>
                      </a:solidFill>
                      <a:prstDash val="solid"/>
                    </a:ln>
                  </pic:spPr>
                </pic:pic>
              </a:graphicData>
            </a:graphic>
          </wp:inline>
        </w:drawing>
      </w:r>
    </w:p>
    <w:p w14:paraId="31EA31C5" w14:textId="77777777" w:rsidR="00834DBD" w:rsidRDefault="004C7B34">
      <w:pPr>
        <w:spacing w:before="200" w:line="360" w:lineRule="auto"/>
        <w:jc w:val="center"/>
        <w:rPr>
          <w:b/>
        </w:rPr>
      </w:pPr>
      <w:r>
        <w:rPr>
          <w:b/>
        </w:rPr>
        <w:t>Table 1: Strengths and weaknesses</w:t>
      </w:r>
    </w:p>
    <w:p w14:paraId="00842C7C" w14:textId="77777777" w:rsidR="00834DBD" w:rsidRDefault="004C7B34">
      <w:pPr>
        <w:spacing w:before="200" w:line="360" w:lineRule="auto"/>
        <w:jc w:val="center"/>
      </w:pPr>
      <w:r>
        <w:t>(Source: Self-developed)</w:t>
      </w:r>
    </w:p>
    <w:p w14:paraId="69AB4352" w14:textId="77777777" w:rsidR="00834DBD" w:rsidRDefault="004C7B34">
      <w:pPr>
        <w:spacing w:before="200" w:line="360" w:lineRule="auto"/>
        <w:jc w:val="both"/>
      </w:pPr>
      <w:r>
        <w:t>Future epidemiological analysis can be reinforced by improving the involvement of the community, incorporating qualitative research, and improving the data connection between the NHS and local authorities.</w:t>
      </w:r>
    </w:p>
    <w:p w14:paraId="6A429C6B" w14:textId="77777777" w:rsidR="00834DBD" w:rsidRDefault="004C7B34">
      <w:pPr>
        <w:pStyle w:val="Heading2"/>
      </w:pPr>
      <w:bookmarkStart w:id="23" w:name="_f88cs2qkkcum" w:colFirst="0" w:colLast="0"/>
      <w:bookmarkEnd w:id="23"/>
      <w:r>
        <w:t>Conclusion</w:t>
      </w:r>
    </w:p>
    <w:p w14:paraId="1877B54D" w14:textId="77777777" w:rsidR="00834DBD" w:rsidRDefault="004C7B34">
      <w:pPr>
        <w:spacing w:before="200" w:line="360" w:lineRule="auto"/>
        <w:jc w:val="both"/>
      </w:pPr>
      <w:r>
        <w:t>Diabetes Type 2 in black Africans and Caribbean adults in Lambeth is a longstanding issue in the population, which can be attributed to genetic, socioeconomic, and cultural determinants. High prevalence rates of the disease, delayed diagnosis, and disproportionate complications are listed as epidemiological evidence in this community. Although there has been some improvement in the national and local interventions, more achievements will require culturally specific prevention, early detection, and equal acc</w:t>
      </w:r>
      <w:r>
        <w:t>ess to care. Increased monitoring, community inclusion, and continuous assessment will be the key to equity in diabetes in Lambeth in the long term.</w:t>
      </w:r>
    </w:p>
    <w:p w14:paraId="43730B30" w14:textId="77777777" w:rsidR="00834DBD" w:rsidRDefault="00834DBD">
      <w:pPr>
        <w:spacing w:before="200" w:line="360" w:lineRule="auto"/>
        <w:jc w:val="both"/>
      </w:pPr>
    </w:p>
    <w:p w14:paraId="2F80FD77" w14:textId="77777777" w:rsidR="00834DBD" w:rsidRDefault="00834DBD">
      <w:pPr>
        <w:spacing w:before="200" w:line="360" w:lineRule="auto"/>
        <w:jc w:val="both"/>
        <w:rPr>
          <w:b/>
          <w:sz w:val="24"/>
          <w:szCs w:val="24"/>
        </w:rPr>
      </w:pPr>
    </w:p>
    <w:p w14:paraId="02888D95" w14:textId="77777777" w:rsidR="00834DBD" w:rsidRDefault="004C7B34">
      <w:pPr>
        <w:pStyle w:val="Heading1"/>
      </w:pPr>
      <w:bookmarkStart w:id="24" w:name="_bi8mbx831wc8" w:colFirst="0" w:colLast="0"/>
      <w:bookmarkEnd w:id="24"/>
      <w:r>
        <w:t>References</w:t>
      </w:r>
    </w:p>
    <w:p w14:paraId="4BAC4E51" w14:textId="77777777" w:rsidR="00834DBD" w:rsidRDefault="004C7B34">
      <w:pPr>
        <w:pStyle w:val="Heading2"/>
      </w:pPr>
      <w:bookmarkStart w:id="25" w:name="_du8978cqwpi6" w:colFirst="0" w:colLast="0"/>
      <w:bookmarkEnd w:id="25"/>
      <w:r>
        <w:t>Task 1</w:t>
      </w:r>
    </w:p>
    <w:p w14:paraId="2C455451" w14:textId="77777777" w:rsidR="00834DBD" w:rsidRDefault="004C7B34">
      <w:pPr>
        <w:spacing w:before="200" w:after="280" w:line="360" w:lineRule="auto"/>
        <w:jc w:val="both"/>
      </w:pPr>
      <w:r>
        <w:t xml:space="preserve">Chang, R., Javed, Z., Taha, M., Yahya, T., Valero-Elizondo, J., Brandt, E. J., ... and Nasir, K. (2022). Food insecurity and cardiovascular disease: Current trends and future directions. </w:t>
      </w:r>
      <w:r>
        <w:rPr>
          <w:i/>
        </w:rPr>
        <w:t xml:space="preserve">American Journal of Preventive Cardiology, 9, </w:t>
      </w:r>
      <w:r>
        <w:t xml:space="preserve">100303. Available at: </w:t>
      </w:r>
      <w:hyperlink r:id="rId7">
        <w:r>
          <w:rPr>
            <w:color w:val="1155CC"/>
            <w:u w:val="single"/>
          </w:rPr>
          <w:t>https://doi.org/10.1016/j.ajpc.2021.100303</w:t>
        </w:r>
      </w:hyperlink>
      <w:r>
        <w:t xml:space="preserve"> [Accessed 12 November 2025]</w:t>
      </w:r>
    </w:p>
    <w:p w14:paraId="7AC07E90" w14:textId="77777777" w:rsidR="00834DBD" w:rsidRDefault="004C7B34">
      <w:pPr>
        <w:spacing w:before="280" w:after="280" w:line="360" w:lineRule="auto"/>
        <w:jc w:val="both"/>
      </w:pPr>
      <w:r>
        <w:t xml:space="preserve">Devonport, T.J., Ward, G., Morrissey, H., Burt, C., Harris, J., Burt, S., Patel, R., Manning, R., Paredes, R., and Nicholls, W. (2023). A systematic review of inequalities in the mental health experiences of Black African, Black Caribbean and Black-mixed UK populations: Implications for action. </w:t>
      </w:r>
      <w:r>
        <w:rPr>
          <w:i/>
        </w:rPr>
        <w:t>Journal of racial and ethnic health disparities, 10</w:t>
      </w:r>
      <w:r>
        <w:t>(4), pp.1669-1681. Available from: from:</w:t>
      </w:r>
      <w:hyperlink r:id="rId8">
        <w:r>
          <w:rPr>
            <w:color w:val="0000FF"/>
            <w:u w:val="single"/>
          </w:rPr>
          <w:t>https://wlv.openrepository.com/bitstreams/d0912df6-dd10-4c76-b6ec-83543571a447/download</w:t>
        </w:r>
      </w:hyperlink>
      <w:r>
        <w:t xml:space="preserve"> [Accessed 5 November 2025]</w:t>
      </w:r>
    </w:p>
    <w:p w14:paraId="45C46408" w14:textId="77777777" w:rsidR="00834DBD" w:rsidRDefault="004C7B34">
      <w:pPr>
        <w:spacing w:before="200" w:after="280" w:line="360" w:lineRule="auto"/>
        <w:jc w:val="both"/>
      </w:pPr>
      <w:r>
        <w:t xml:space="preserve">Diabetes UK, (2025). </w:t>
      </w:r>
      <w:r>
        <w:rPr>
          <w:i/>
        </w:rPr>
        <w:t xml:space="preserve">Ethnicity and type 2 diabetes. </w:t>
      </w:r>
      <w:r>
        <w:t xml:space="preserve">Available at: </w:t>
      </w:r>
      <w:hyperlink r:id="rId9">
        <w:r>
          <w:rPr>
            <w:color w:val="1155CC"/>
            <w:u w:val="single"/>
          </w:rPr>
          <w:t>https://www.diabetes.org.uk/about-diabetes/type-2-diabetes/diabetes-ethnicity</w:t>
        </w:r>
      </w:hyperlink>
      <w:r>
        <w:t xml:space="preserve"> [Accessed 12 November 2025]</w:t>
      </w:r>
    </w:p>
    <w:p w14:paraId="1A3E5B34" w14:textId="77777777" w:rsidR="00834DBD" w:rsidRDefault="004C7B34">
      <w:pPr>
        <w:spacing w:before="200" w:after="280" w:line="360" w:lineRule="auto"/>
        <w:jc w:val="both"/>
      </w:pPr>
      <w:r>
        <w:t xml:space="preserve">EHRC, (2023). </w:t>
      </w:r>
      <w:r>
        <w:rPr>
          <w:i/>
        </w:rPr>
        <w:t xml:space="preserve">Equality and Human Rights Monitor. </w:t>
      </w:r>
      <w:r>
        <w:t xml:space="preserve">Available at: </w:t>
      </w:r>
      <w:hyperlink r:id="rId10">
        <w:r>
          <w:rPr>
            <w:color w:val="1155CC"/>
            <w:u w:val="single"/>
          </w:rPr>
          <w:t>https://www.equalityhumanrights.com/sites/default/files/2023/Great%20Britain%20Equality%20and%20Human%20Rights%20Monitor-%20accessible%20PDF.pdf</w:t>
        </w:r>
      </w:hyperlink>
      <w:r>
        <w:t xml:space="preserve"> [Accessed 12 November 2025]</w:t>
      </w:r>
    </w:p>
    <w:p w14:paraId="653D9AA0" w14:textId="77777777" w:rsidR="00834DBD" w:rsidRDefault="004C7B34">
      <w:pPr>
        <w:spacing w:before="200" w:after="280" w:line="360" w:lineRule="auto"/>
        <w:jc w:val="both"/>
      </w:pPr>
      <w:r>
        <w:t xml:space="preserve">Gonzalez-Barrera, A., Hamel, L., Artiga, S. and Presiado, M., (2024). </w:t>
      </w:r>
      <w:r>
        <w:rPr>
          <w:i/>
        </w:rPr>
        <w:t xml:space="preserve">Language Barriers in Health Care: Findings from the KFF Survey on Racism, Discrimination, and Health. </w:t>
      </w:r>
      <w:r>
        <w:t xml:space="preserve">Available at: </w:t>
      </w:r>
      <w:hyperlink r:id="rId11">
        <w:r>
          <w:rPr>
            <w:color w:val="1155CC"/>
            <w:u w:val="single"/>
          </w:rPr>
          <w:t>https://www.kff.org/racial-equity-and-health-policy/language-barriers-in-health-care-findings-from-the-kff-survey-on-racism-discrimination-and-health/</w:t>
        </w:r>
      </w:hyperlink>
      <w:r>
        <w:t xml:space="preserve"> [Accessed 12 November 2025]</w:t>
      </w:r>
    </w:p>
    <w:p w14:paraId="0761E9EF" w14:textId="77777777" w:rsidR="00834DBD" w:rsidRDefault="004C7B34">
      <w:pPr>
        <w:spacing w:before="200" w:after="280" w:line="360" w:lineRule="auto"/>
        <w:jc w:val="both"/>
      </w:pPr>
      <w:r>
        <w:t xml:space="preserve">NHS Blood and Transplant, (2025). </w:t>
      </w:r>
      <w:r>
        <w:rPr>
          <w:i/>
        </w:rPr>
        <w:t xml:space="preserve">The Sound of Sickle. </w:t>
      </w:r>
      <w:r>
        <w:t xml:space="preserve">Available at: </w:t>
      </w:r>
      <w:hyperlink r:id="rId12">
        <w:r>
          <w:rPr>
            <w:color w:val="1155CC"/>
            <w:u w:val="single"/>
          </w:rPr>
          <w:t>https://www.blood.co.uk/news-and-campaigns/the-donor/the-sound-of-sickle/</w:t>
        </w:r>
      </w:hyperlink>
      <w:r>
        <w:t xml:space="preserve"> [Accessed 12 November 2025]</w:t>
      </w:r>
    </w:p>
    <w:p w14:paraId="52582853" w14:textId="77777777" w:rsidR="00834DBD" w:rsidRDefault="004C7B34">
      <w:pPr>
        <w:spacing w:before="200" w:after="280" w:line="360" w:lineRule="auto"/>
        <w:jc w:val="both"/>
      </w:pPr>
      <w:r>
        <w:t xml:space="preserve">NHS England, (2025). </w:t>
      </w:r>
      <w:r>
        <w:rPr>
          <w:i/>
        </w:rPr>
        <w:t xml:space="preserve">Core20PLUS5 (adults) – an approach to reducing healthcare inequalities. </w:t>
      </w:r>
      <w:r>
        <w:t xml:space="preserve">Available at: </w:t>
      </w:r>
      <w:hyperlink r:id="rId13">
        <w:r>
          <w:rPr>
            <w:color w:val="1155CC"/>
            <w:u w:val="single"/>
          </w:rPr>
          <w:t>https://www.england.nhs.uk/about/equality/equality-hub/national-healthcare-inequalities-improvement-programme/core20plus5/</w:t>
        </w:r>
      </w:hyperlink>
      <w:r>
        <w:t xml:space="preserve">  [Accessed 12 November 2025]</w:t>
      </w:r>
    </w:p>
    <w:p w14:paraId="1B0FE254" w14:textId="77777777" w:rsidR="00834DBD" w:rsidRDefault="004C7B34">
      <w:pPr>
        <w:spacing w:before="200" w:after="280" w:line="360" w:lineRule="auto"/>
        <w:jc w:val="both"/>
      </w:pPr>
      <w:r>
        <w:t xml:space="preserve">NHS, (2023). </w:t>
      </w:r>
      <w:r>
        <w:rPr>
          <w:i/>
        </w:rPr>
        <w:t xml:space="preserve">NHS Workforce Race Equality Standard (WRES). </w:t>
      </w:r>
      <w:r>
        <w:t xml:space="preserve">Available at: </w:t>
      </w:r>
      <w:hyperlink r:id="rId14">
        <w:r>
          <w:rPr>
            <w:color w:val="1155CC"/>
            <w:u w:val="single"/>
          </w:rPr>
          <w:t>https://www.england.nhs.uk/wp-content/uploads/2023/02/workforce-race-equality-standard.pdf</w:t>
        </w:r>
      </w:hyperlink>
      <w:r>
        <w:t xml:space="preserve"> [Accessed 12 November 2025]</w:t>
      </w:r>
    </w:p>
    <w:p w14:paraId="4B6A72C0" w14:textId="77777777" w:rsidR="00834DBD" w:rsidRDefault="004C7B34">
      <w:pPr>
        <w:spacing w:before="280" w:after="280" w:line="360" w:lineRule="auto"/>
        <w:jc w:val="both"/>
      </w:pPr>
      <w:r>
        <w:t xml:space="preserve">NHS, (2025), </w:t>
      </w:r>
      <w:r>
        <w:rPr>
          <w:i/>
        </w:rPr>
        <w:t>Breaking barriers: Tackling health inequalities in Black African and Caribbean Communities.</w:t>
      </w:r>
      <w:r>
        <w:t xml:space="preserve"> Available at: </w:t>
      </w:r>
      <w:hyperlink r:id="rId15">
        <w:r>
          <w:rPr>
            <w:color w:val="1155CC"/>
            <w:u w:val="single"/>
          </w:rPr>
          <w:t>https://northeastlondon.icb.nhs.uk/blog/breaking-barriers-tackling-health-inequalities-in-black-african-and-caribbean-communities/</w:t>
        </w:r>
      </w:hyperlink>
      <w:r>
        <w:t xml:space="preserve">  [Accessed 5 November 2025]</w:t>
      </w:r>
    </w:p>
    <w:p w14:paraId="4DC11F78" w14:textId="77777777" w:rsidR="00834DBD" w:rsidRDefault="004C7B34">
      <w:pPr>
        <w:spacing w:before="200" w:after="280" w:line="360" w:lineRule="auto"/>
        <w:jc w:val="both"/>
      </w:pPr>
      <w:r>
        <w:t xml:space="preserve">Public Health England, (2019). </w:t>
      </w:r>
      <w:r>
        <w:rPr>
          <w:i/>
        </w:rPr>
        <w:t xml:space="preserve">Health matters: preventing cardiovascular disease. </w:t>
      </w:r>
      <w:r>
        <w:t xml:space="preserve">Available at: </w:t>
      </w:r>
      <w:hyperlink r:id="rId16">
        <w:r>
          <w:rPr>
            <w:color w:val="1155CC"/>
            <w:u w:val="single"/>
          </w:rPr>
          <w:t>https://www.gov.uk/government/publications/health-matters-preventing-cardiovascular-disease/health-matters-preventing-cardiovascular-disease</w:t>
        </w:r>
      </w:hyperlink>
      <w:r>
        <w:t xml:space="preserve"> [Accessed 12 November 2025]</w:t>
      </w:r>
    </w:p>
    <w:p w14:paraId="04E111C5" w14:textId="77777777" w:rsidR="00834DBD" w:rsidRDefault="004C7B34">
      <w:pPr>
        <w:spacing w:before="200" w:after="280" w:line="360" w:lineRule="auto"/>
        <w:jc w:val="both"/>
        <w:rPr>
          <w:b/>
          <w:sz w:val="24"/>
          <w:szCs w:val="24"/>
        </w:rPr>
      </w:pPr>
      <w:r>
        <w:t xml:space="preserve">Sickle Cell Society, (2023). </w:t>
      </w:r>
      <w:r>
        <w:rPr>
          <w:i/>
        </w:rPr>
        <w:t xml:space="preserve">IMPACT REPORT 2022-2023. </w:t>
      </w:r>
      <w:r>
        <w:t xml:space="preserve">Available at: </w:t>
      </w:r>
      <w:hyperlink r:id="rId17">
        <w:r>
          <w:rPr>
            <w:color w:val="1155CC"/>
            <w:u w:val="single"/>
          </w:rPr>
          <w:t>https://www.sicklecellsociety.org/wp-content/uploads/2023/12/FINAL-SCS-IMPACT-REPORT-2023.pdf</w:t>
        </w:r>
      </w:hyperlink>
      <w:r>
        <w:t xml:space="preserve"> [Accessed 12 November 2025]</w:t>
      </w:r>
    </w:p>
    <w:p w14:paraId="49735781" w14:textId="77777777" w:rsidR="00834DBD" w:rsidRDefault="004C7B34">
      <w:pPr>
        <w:spacing w:before="200" w:after="280" w:line="360" w:lineRule="auto"/>
        <w:jc w:val="both"/>
      </w:pPr>
      <w:r>
        <w:t xml:space="preserve">Sickle Cell Society, (2025). </w:t>
      </w:r>
      <w:r>
        <w:rPr>
          <w:i/>
        </w:rPr>
        <w:t xml:space="preserve">Home. </w:t>
      </w:r>
      <w:r>
        <w:t xml:space="preserve">Available at: </w:t>
      </w:r>
      <w:hyperlink r:id="rId18">
        <w:r>
          <w:rPr>
            <w:color w:val="1155CC"/>
            <w:u w:val="single"/>
          </w:rPr>
          <w:t>https://www.sicklecellsociety.org/</w:t>
        </w:r>
      </w:hyperlink>
      <w:r>
        <w:t xml:space="preserve"> [Accessed 12 November 2025]</w:t>
      </w:r>
    </w:p>
    <w:p w14:paraId="68F0DEC1" w14:textId="77777777" w:rsidR="00834DBD" w:rsidRDefault="004C7B34">
      <w:pPr>
        <w:spacing w:before="200" w:after="280" w:line="360" w:lineRule="auto"/>
        <w:jc w:val="both"/>
      </w:pPr>
      <w:r>
        <w:t xml:space="preserve">The British Heart Foundation, (2021). </w:t>
      </w:r>
      <w:r>
        <w:rPr>
          <w:i/>
        </w:rPr>
        <w:t xml:space="preserve">How your ethnic background affects your risk of heart and circulatory diseases. </w:t>
      </w:r>
      <w:r>
        <w:t xml:space="preserve">Available at: </w:t>
      </w:r>
      <w:hyperlink r:id="rId19">
        <w:r>
          <w:rPr>
            <w:color w:val="1155CC"/>
            <w:u w:val="single"/>
          </w:rPr>
          <w:t>https://www.bhf.org.uk/what-we-do/our-research/research-successes/risk-factors/ethnicity-and-heart-disease</w:t>
        </w:r>
      </w:hyperlink>
      <w:r>
        <w:t xml:space="preserve"> [Accessed 12 November 2025]</w:t>
      </w:r>
    </w:p>
    <w:p w14:paraId="7B9E8BB8" w14:textId="77777777" w:rsidR="00834DBD" w:rsidRDefault="004C7B34">
      <w:pPr>
        <w:spacing w:before="200" w:after="280" w:line="360" w:lineRule="auto"/>
        <w:jc w:val="both"/>
      </w:pPr>
      <w:r>
        <w:t xml:space="preserve">UK Parliament, (2024). </w:t>
      </w:r>
      <w:r>
        <w:rPr>
          <w:i/>
        </w:rPr>
        <w:t xml:space="preserve">DIABETES UK - WRITTEN EVIDENCE (FDO0074). </w:t>
      </w:r>
      <w:r>
        <w:t xml:space="preserve">Available at: </w:t>
      </w:r>
      <w:hyperlink r:id="rId20">
        <w:r>
          <w:rPr>
            <w:color w:val="1155CC"/>
            <w:u w:val="single"/>
          </w:rPr>
          <w:t>https://committees.parliament.uk/writtenevidence/129467/html/</w:t>
        </w:r>
      </w:hyperlink>
      <w:r>
        <w:t xml:space="preserve"> [Accessed 12 November 2025]</w:t>
      </w:r>
    </w:p>
    <w:p w14:paraId="0C630A7B" w14:textId="77777777" w:rsidR="00834DBD" w:rsidRDefault="004C7B34">
      <w:pPr>
        <w:pStyle w:val="Heading2"/>
      </w:pPr>
      <w:bookmarkStart w:id="26" w:name="_18regorg1ygh" w:colFirst="0" w:colLast="0"/>
      <w:bookmarkEnd w:id="26"/>
      <w:r>
        <w:t>Task 2</w:t>
      </w:r>
    </w:p>
    <w:p w14:paraId="4E95D518" w14:textId="77777777" w:rsidR="00834DBD" w:rsidRDefault="004C7B34">
      <w:pPr>
        <w:spacing w:before="200" w:after="280" w:line="360" w:lineRule="auto"/>
        <w:jc w:val="both"/>
      </w:pPr>
      <w:r>
        <w:t xml:space="preserve">Chami, N., Wang, Z., Svenstrup, V., Obrero, V. D., Hemerich, D., Huang, Y., ... and Loos, R. J. (2025). Genetic subtyping of obesity reveals biological insights into the uncoupling of adiposity from its cardiometabolic comorbidities. medRxiv. Available at: </w:t>
      </w:r>
      <w:hyperlink r:id="rId21">
        <w:r>
          <w:rPr>
            <w:color w:val="1155CC"/>
            <w:u w:val="single"/>
          </w:rPr>
          <w:t>https://doi.org/10.1038/s41591-025-03931-0</w:t>
        </w:r>
      </w:hyperlink>
      <w:r>
        <w:t xml:space="preserve"> [Accessed 12 November 2025]</w:t>
      </w:r>
    </w:p>
    <w:p w14:paraId="651CCD56" w14:textId="77777777" w:rsidR="00834DBD" w:rsidRDefault="004C7B34">
      <w:pPr>
        <w:spacing w:before="200" w:after="280" w:line="360" w:lineRule="auto"/>
        <w:jc w:val="both"/>
      </w:pPr>
      <w:r>
        <w:t xml:space="preserve">Diabetes UK, (2023). </w:t>
      </w:r>
      <w:r>
        <w:rPr>
          <w:i/>
        </w:rPr>
        <w:t xml:space="preserve">Number of people living with diabetes in the UK tops 5 million for the first time. </w:t>
      </w:r>
      <w:r>
        <w:t xml:space="preserve">Available at: </w:t>
      </w:r>
      <w:hyperlink r:id="rId22">
        <w:r>
          <w:rPr>
            <w:color w:val="1155CC"/>
            <w:u w:val="single"/>
          </w:rPr>
          <w:t>https://www.diabetes.org.uk/about-us/news-and-views/number-people-living-diabetes-uk-tops-5-million-first-time</w:t>
        </w:r>
      </w:hyperlink>
      <w:r>
        <w:t xml:space="preserve"> [Accessed 12 November 2025]</w:t>
      </w:r>
    </w:p>
    <w:p w14:paraId="1CFE515C" w14:textId="77777777" w:rsidR="00834DBD" w:rsidRDefault="004C7B34">
      <w:pPr>
        <w:spacing w:before="200" w:after="280" w:line="360" w:lineRule="auto"/>
        <w:jc w:val="both"/>
      </w:pPr>
      <w:r>
        <w:t xml:space="preserve">Diabetes UK, (2025). </w:t>
      </w:r>
      <w:r>
        <w:rPr>
          <w:i/>
        </w:rPr>
        <w:t xml:space="preserve">Diabetes health checks (annual review). </w:t>
      </w:r>
      <w:r>
        <w:t xml:space="preserve">Available at: </w:t>
      </w:r>
      <w:hyperlink r:id="rId23">
        <w:r>
          <w:rPr>
            <w:color w:val="1155CC"/>
            <w:u w:val="single"/>
          </w:rPr>
          <w:t>https://www.diabetes.org.uk/about-diabetes/looking-after-diabetes/care-to-expect</w:t>
        </w:r>
      </w:hyperlink>
      <w:r>
        <w:t xml:space="preserve"> [Accessed 12 November 2025]</w:t>
      </w:r>
    </w:p>
    <w:p w14:paraId="6383E639" w14:textId="77777777" w:rsidR="00834DBD" w:rsidRDefault="004C7B34">
      <w:pPr>
        <w:spacing w:before="200" w:after="280" w:line="360" w:lineRule="auto"/>
        <w:jc w:val="both"/>
      </w:pPr>
      <w:r>
        <w:t xml:space="preserve">Hounkpatin, H. and Brettle, A., (2019). </w:t>
      </w:r>
      <w:r>
        <w:rPr>
          <w:i/>
        </w:rPr>
        <w:t xml:space="preserve">Are people with CKD from ethnic minority groups more likely to experience faster progression and poorer outcomes than people with CKD from non-ethnic minority groups? </w:t>
      </w:r>
      <w:r>
        <w:t xml:space="preserve">Available at: </w:t>
      </w:r>
      <w:hyperlink r:id="rId24">
        <w:r>
          <w:rPr>
            <w:color w:val="1155CC"/>
            <w:u w:val="single"/>
          </w:rPr>
          <w:t>https://kidneyresearchuk.org/wp-content/uploads/2019/09/Appendix_6.pdf</w:t>
        </w:r>
      </w:hyperlink>
      <w:r>
        <w:t xml:space="preserve"> [Accessed 12 November 2025]</w:t>
      </w:r>
    </w:p>
    <w:p w14:paraId="56241490" w14:textId="77777777" w:rsidR="00834DBD" w:rsidRDefault="004C7B34">
      <w:pPr>
        <w:spacing w:before="200" w:after="280" w:line="360" w:lineRule="auto"/>
        <w:jc w:val="both"/>
      </w:pPr>
      <w:r>
        <w:t xml:space="preserve">Lambeth Council, (2025). </w:t>
      </w:r>
      <w:r>
        <w:rPr>
          <w:i/>
        </w:rPr>
        <w:t xml:space="preserve">Healthy eating. </w:t>
      </w:r>
      <w:r>
        <w:t xml:space="preserve">Available at: </w:t>
      </w:r>
      <w:hyperlink r:id="rId25">
        <w:r>
          <w:rPr>
            <w:color w:val="1155CC"/>
            <w:u w:val="single"/>
          </w:rPr>
          <w:t>https://www.lambeth.gov.uk/adult-social-care-and-health/health-and-wellbeing/healthy-eating/eat-well</w:t>
        </w:r>
      </w:hyperlink>
      <w:r>
        <w:t xml:space="preserve"> [Accessed 12 November 2025]</w:t>
      </w:r>
    </w:p>
    <w:p w14:paraId="4135BBD1" w14:textId="77777777" w:rsidR="00834DBD" w:rsidRDefault="004C7B34">
      <w:pPr>
        <w:spacing w:before="200" w:after="280" w:line="360" w:lineRule="auto"/>
        <w:jc w:val="both"/>
      </w:pPr>
      <w:r>
        <w:t xml:space="preserve">Lambeth Council, (2025a). </w:t>
      </w:r>
      <w:r>
        <w:rPr>
          <w:i/>
        </w:rPr>
        <w:t xml:space="preserve">Joint Strategic Needs Assessment - JSNA. </w:t>
      </w:r>
      <w:r>
        <w:t xml:space="preserve">Available at: </w:t>
      </w:r>
      <w:hyperlink r:id="rId26">
        <w:r>
          <w:rPr>
            <w:color w:val="1155CC"/>
            <w:u w:val="single"/>
          </w:rPr>
          <w:t>https://www.lambeth.gov.uk/adult-social-care-and-health/health-and-wellbeing/lambeth-health-profile/joint-strategic-needs-assessment-jsna</w:t>
        </w:r>
      </w:hyperlink>
      <w:r>
        <w:t xml:space="preserve"> [Accessed 12 November 2025]</w:t>
      </w:r>
    </w:p>
    <w:p w14:paraId="45732328" w14:textId="77777777" w:rsidR="00834DBD" w:rsidRDefault="004C7B34">
      <w:pPr>
        <w:spacing w:before="200" w:after="280" w:line="360" w:lineRule="auto"/>
        <w:jc w:val="both"/>
      </w:pPr>
      <w:r>
        <w:t xml:space="preserve">Lambeth Together, (2021). </w:t>
      </w:r>
      <w:r>
        <w:rPr>
          <w:i/>
        </w:rPr>
        <w:t xml:space="preserve">Lambeth Food Poverty and Insecurity Action Plan 2021-2024. </w:t>
      </w:r>
      <w:r>
        <w:t xml:space="preserve">Available at: </w:t>
      </w:r>
      <w:hyperlink r:id="rId27">
        <w:r>
          <w:rPr>
            <w:color w:val="1155CC"/>
            <w:u w:val="single"/>
          </w:rPr>
          <w:t>https://www.lambeth.gov.uk/sites/default/files/2021-01/Lambeth%20Food%20Poverty%20and%20Insecuity%20action%20plan%20final%20draft.pdf</w:t>
        </w:r>
      </w:hyperlink>
      <w:r>
        <w:t xml:space="preserve"> [Accessed 12 November 2025]</w:t>
      </w:r>
    </w:p>
    <w:p w14:paraId="6D189463" w14:textId="77777777" w:rsidR="00834DBD" w:rsidRDefault="004C7B34">
      <w:pPr>
        <w:spacing w:before="200" w:after="280" w:line="360" w:lineRule="auto"/>
        <w:jc w:val="both"/>
      </w:pPr>
      <w:r>
        <w:t xml:space="preserve">Lambeth Together, (2024). </w:t>
      </w:r>
      <w:r>
        <w:rPr>
          <w:i/>
        </w:rPr>
        <w:t xml:space="preserve">Neighbourhood and Wellbeing Delivery Alliance Progress Report 2023-24. </w:t>
      </w:r>
      <w:r>
        <w:t xml:space="preserve">Available at: </w:t>
      </w:r>
      <w:hyperlink r:id="rId28">
        <w:r>
          <w:rPr>
            <w:color w:val="1155CC"/>
            <w:u w:val="single"/>
          </w:rPr>
          <w:t>https://www.lambethtogether.net/long-read/neighbourhood-and-wellbeing-delivery-alliance-progress-report-2023-24/strategic-priority-3-living-well-for-longer/</w:t>
        </w:r>
      </w:hyperlink>
      <w:r>
        <w:t xml:space="preserve"> [Accessed 12 November 2025]</w:t>
      </w:r>
    </w:p>
    <w:p w14:paraId="63019884" w14:textId="77777777" w:rsidR="00834DBD" w:rsidRDefault="004C7B34">
      <w:pPr>
        <w:spacing w:before="200" w:after="280" w:line="360" w:lineRule="auto"/>
        <w:jc w:val="both"/>
      </w:pPr>
      <w:r>
        <w:t xml:space="preserve">Lambeth Together, (2025). </w:t>
      </w:r>
      <w:r>
        <w:rPr>
          <w:i/>
        </w:rPr>
        <w:t xml:space="preserve">Equality, diversity and inclusion. </w:t>
      </w:r>
      <w:r>
        <w:t xml:space="preserve">Available at: </w:t>
      </w:r>
      <w:hyperlink r:id="rId29" w:anchor=":~:text=The%20Lambeth%20Together%20Equality%20Diversity,who%20receive%20a%20cancer%20diagnosis">
        <w:r>
          <w:rPr>
            <w:color w:val="1155CC"/>
            <w:u w:val="single"/>
          </w:rPr>
          <w:t>https://www.lambethtogether.net/about-us/equality-diversity-and-inclusion/#:~:text=The%20Lambeth%20Together%20Equality%20Diversity,who%20receive%20a%20cancer%20diagnosis</w:t>
        </w:r>
      </w:hyperlink>
      <w:r>
        <w:t>. [Accessed 12 November 2025]</w:t>
      </w:r>
    </w:p>
    <w:p w14:paraId="4F44F836" w14:textId="77777777" w:rsidR="00834DBD" w:rsidRDefault="004C7B34">
      <w:pPr>
        <w:spacing w:before="200" w:after="280" w:line="360" w:lineRule="auto"/>
        <w:jc w:val="both"/>
      </w:pPr>
      <w:r>
        <w:t xml:space="preserve">NHS England, (2025). </w:t>
      </w:r>
      <w:r>
        <w:rPr>
          <w:i/>
        </w:rPr>
        <w:t xml:space="preserve">NHS Diabetes Prevention Programme (NHS DPP). </w:t>
      </w:r>
      <w:r>
        <w:t xml:space="preserve">Available at: </w:t>
      </w:r>
      <w:hyperlink r:id="rId30">
        <w:r>
          <w:rPr>
            <w:color w:val="1155CC"/>
            <w:u w:val="single"/>
          </w:rPr>
          <w:t>https://www.england.nhs.uk/diabetes/diabetes-prevention/</w:t>
        </w:r>
      </w:hyperlink>
      <w:r>
        <w:t xml:space="preserve"> [Accessed 12 November 2025]</w:t>
      </w:r>
    </w:p>
    <w:p w14:paraId="23F31DEA" w14:textId="77777777" w:rsidR="00834DBD" w:rsidRDefault="004C7B34">
      <w:pPr>
        <w:spacing w:before="200" w:after="280" w:line="360" w:lineRule="auto"/>
        <w:jc w:val="both"/>
      </w:pPr>
      <w:r>
        <w:t xml:space="preserve">NHS England, (2025a). </w:t>
      </w:r>
      <w:r>
        <w:rPr>
          <w:i/>
        </w:rPr>
        <w:t xml:space="preserve">National Diabetes Audit. </w:t>
      </w:r>
      <w:r>
        <w:t xml:space="preserve">Available at: </w:t>
      </w:r>
      <w:hyperlink r:id="rId31">
        <w:r>
          <w:rPr>
            <w:color w:val="1155CC"/>
            <w:u w:val="single"/>
          </w:rPr>
          <w:t>https://digital.nhs.uk/data-and-information/publications/statistical/national-diabetes-audit</w:t>
        </w:r>
      </w:hyperlink>
      <w:r>
        <w:t xml:space="preserve"> [Accessed 12 November 2025]</w:t>
      </w:r>
    </w:p>
    <w:p w14:paraId="40CF5BDF" w14:textId="77777777" w:rsidR="00834DBD" w:rsidRDefault="004C7B34">
      <w:pPr>
        <w:spacing w:before="200" w:after="280" w:line="360" w:lineRule="auto"/>
        <w:jc w:val="both"/>
      </w:pPr>
      <w:r>
        <w:t xml:space="preserve">NIHR, (2023). </w:t>
      </w:r>
      <w:r>
        <w:rPr>
          <w:i/>
        </w:rPr>
        <w:t xml:space="preserve">HEAL-D: a new diabetes self-management programme for African and Caribbean adults. </w:t>
      </w:r>
      <w:r>
        <w:t xml:space="preserve">Available at: </w:t>
      </w:r>
      <w:hyperlink r:id="rId32">
        <w:r>
          <w:rPr>
            <w:color w:val="1155CC"/>
            <w:u w:val="single"/>
          </w:rPr>
          <w:t>https://arc-sl.nihr.ac.uk/research-and-implementation/our-research-areas/public-health-and-multimorbidity/heal-d-new-diabetes</w:t>
        </w:r>
      </w:hyperlink>
      <w:r>
        <w:t xml:space="preserve"> [Accessed 12 November 2025]</w:t>
      </w:r>
    </w:p>
    <w:p w14:paraId="6E0446E3" w14:textId="77777777" w:rsidR="00834DBD" w:rsidRDefault="004C7B34">
      <w:pPr>
        <w:spacing w:before="200" w:after="280" w:line="360" w:lineRule="auto"/>
        <w:jc w:val="both"/>
      </w:pPr>
      <w:r>
        <w:t xml:space="preserve">Public Health England, (2025). </w:t>
      </w:r>
      <w:r>
        <w:rPr>
          <w:i/>
        </w:rPr>
        <w:t xml:space="preserve">Public Health Outcomes Framework: Health Equity Report. </w:t>
      </w:r>
      <w:r>
        <w:t xml:space="preserve">Available at: </w:t>
      </w:r>
      <w:hyperlink r:id="rId33">
        <w:r>
          <w:rPr>
            <w:color w:val="1155CC"/>
            <w:u w:val="single"/>
          </w:rPr>
          <w:t>https://assets.publishing.service.gov.uk/media/5b6c4f54e5274a29643d0f6e/PHOF_Health_Equity_Report.pdf</w:t>
        </w:r>
      </w:hyperlink>
      <w:r>
        <w:t xml:space="preserve"> [Accessed 12 November 2025]</w:t>
      </w:r>
    </w:p>
    <w:p w14:paraId="35205A3E" w14:textId="77777777" w:rsidR="00834DBD" w:rsidRDefault="004C7B34">
      <w:pPr>
        <w:spacing w:before="200" w:after="280" w:line="360" w:lineRule="auto"/>
        <w:jc w:val="both"/>
      </w:pPr>
      <w:r>
        <w:t xml:space="preserve">Rodriguez-León, C., Villalonga, C., Munoz-Torres, M., Ruiz, J. R., and Banos, O. (2021). Mobile and wearable technology for the monitoring of diabetes-related parameters: Systematic review. </w:t>
      </w:r>
      <w:r>
        <w:rPr>
          <w:i/>
        </w:rPr>
        <w:t>JMIR mHealth and uHealth, 9(</w:t>
      </w:r>
      <w:r>
        <w:t xml:space="preserve">6), e25138. Available at: </w:t>
      </w:r>
      <w:hyperlink r:id="rId34">
        <w:r>
          <w:rPr>
            <w:color w:val="1155CC"/>
            <w:u w:val="single"/>
          </w:rPr>
          <w:t>https://mhealth.jmir.org/2021/6/e25138</w:t>
        </w:r>
      </w:hyperlink>
      <w:r>
        <w:t xml:space="preserve"> [Accessed 12 November 2025]</w:t>
      </w:r>
    </w:p>
    <w:p w14:paraId="3532C607" w14:textId="77777777" w:rsidR="00834DBD" w:rsidRDefault="004C7B34">
      <w:pPr>
        <w:spacing w:before="200" w:after="280" w:line="360" w:lineRule="auto"/>
        <w:jc w:val="both"/>
      </w:pPr>
      <w:bookmarkStart w:id="27" w:name="_43h07s8p32is" w:colFirst="0" w:colLast="0"/>
      <w:bookmarkEnd w:id="27"/>
      <w:r>
        <w:t xml:space="preserve">Saeedi, P., Petersohn, I., Salpea, P., Malanda, B., Karuranga, S., Unwin, N., ... and IDF Diabetes Atlas Committee. (2019). Global and regional diabetes prevalence estimates for 2019 and projections for 2030 and 2045: Results from the International Diabetes Federation Diabetes Atlas. </w:t>
      </w:r>
      <w:r>
        <w:rPr>
          <w:i/>
        </w:rPr>
        <w:t>Diabetes research and clinical practice, 157,</w:t>
      </w:r>
      <w:r>
        <w:t xml:space="preserve"> 107843. Available at: </w:t>
      </w:r>
      <w:hyperlink r:id="rId35">
        <w:r>
          <w:rPr>
            <w:color w:val="1155CC"/>
            <w:u w:val="single"/>
          </w:rPr>
          <w:t>https://doi.org/10.1016/j.diabres.2019.107843</w:t>
        </w:r>
      </w:hyperlink>
      <w:r>
        <w:t xml:space="preserve"> [Accessed 12 November 2025]</w:t>
      </w:r>
    </w:p>
    <w:p w14:paraId="77E3DBA6" w14:textId="77777777" w:rsidR="00834DBD" w:rsidRDefault="004C7B34">
      <w:pPr>
        <w:spacing w:before="200" w:after="280" w:line="360" w:lineRule="auto"/>
        <w:jc w:val="both"/>
      </w:pPr>
      <w:r>
        <w:t xml:space="preserve">World Health Organization (WHO), (2024). </w:t>
      </w:r>
      <w:r>
        <w:rPr>
          <w:i/>
        </w:rPr>
        <w:t xml:space="preserve">Diabetes. </w:t>
      </w:r>
      <w:r>
        <w:t xml:space="preserve">Available at: </w:t>
      </w:r>
      <w:hyperlink r:id="rId36">
        <w:r>
          <w:rPr>
            <w:color w:val="1155CC"/>
            <w:u w:val="single"/>
          </w:rPr>
          <w:t>https://www.who.int/news-room/fact-sheets/detail/diabetes</w:t>
        </w:r>
      </w:hyperlink>
      <w:r>
        <w:t xml:space="preserve"> [Accessed 12 November 2025]</w:t>
      </w:r>
    </w:p>
    <w:p w14:paraId="7B6E58BA" w14:textId="77777777" w:rsidR="00834DBD" w:rsidRDefault="00834DBD">
      <w:pPr>
        <w:spacing w:before="200" w:line="360" w:lineRule="auto"/>
        <w:jc w:val="both"/>
      </w:pPr>
    </w:p>
    <w:sectPr w:rsidR="00834DBD">
      <w:footerReference w:type="default" r:id="rId3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FB95A" w14:textId="77777777" w:rsidR="004C7B34" w:rsidRDefault="004C7B34">
      <w:pPr>
        <w:spacing w:line="240" w:lineRule="auto"/>
      </w:pPr>
      <w:r>
        <w:separator/>
      </w:r>
    </w:p>
  </w:endnote>
  <w:endnote w:type="continuationSeparator" w:id="0">
    <w:p w14:paraId="7A160C2B" w14:textId="77777777" w:rsidR="004C7B34" w:rsidRDefault="004C7B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EAC3E" w14:textId="77777777" w:rsidR="00834DBD" w:rsidRDefault="004C7B34">
    <w:pPr>
      <w:pBdr>
        <w:top w:val="nil"/>
        <w:left w:val="nil"/>
        <w:bottom w:val="nil"/>
        <w:right w:val="nil"/>
        <w:between w:val="nil"/>
      </w:pBdr>
      <w:tabs>
        <w:tab w:val="center" w:pos="4513"/>
        <w:tab w:val="right" w:pos="9026"/>
      </w:tabs>
      <w:spacing w:line="240" w:lineRule="auto"/>
      <w:jc w:val="right"/>
      <w:rPr>
        <w:color w:val="000000"/>
      </w:rPr>
    </w:pPr>
    <w:r>
      <w:rPr>
        <w:rFonts w:ascii="Calibri" w:eastAsia="Calibri" w:hAnsi="Calibri" w:cs="Calibri"/>
        <w:color w:val="000000"/>
        <w:sz w:val="20"/>
        <w:szCs w:val="20"/>
      </w:rPr>
      <w:t xml:space="preserve">Page </w:t>
    </w:r>
    <w:r>
      <w:rPr>
        <w:rFonts w:ascii="Calibri" w:eastAsia="Calibri" w:hAnsi="Calibri" w:cs="Calibri"/>
        <w:color w:val="000000"/>
        <w:sz w:val="20"/>
        <w:szCs w:val="20"/>
      </w:rPr>
      <w:fldChar w:fldCharType="begin"/>
    </w:r>
    <w:r>
      <w:rPr>
        <w:rFonts w:ascii="Calibri" w:eastAsia="Calibri" w:hAnsi="Calibri" w:cs="Calibri"/>
        <w:color w:val="000000"/>
        <w:sz w:val="20"/>
        <w:szCs w:val="20"/>
      </w:rPr>
      <w:instrText>PAGE</w:instrText>
    </w:r>
    <w:r>
      <w:rPr>
        <w:rFonts w:ascii="Calibri" w:eastAsia="Calibri" w:hAnsi="Calibri" w:cs="Calibri"/>
        <w:color w:val="000000"/>
        <w:sz w:val="20"/>
        <w:szCs w:val="20"/>
      </w:rPr>
      <w:fldChar w:fldCharType="separate"/>
    </w:r>
    <w:r>
      <w:rPr>
        <w:rFonts w:ascii="Calibri" w:eastAsia="Calibri" w:hAnsi="Calibri" w:cs="Calibri"/>
        <w:color w:val="000000"/>
        <w:sz w:val="20"/>
        <w:szCs w:val="20"/>
      </w:rPr>
      <w:fldChar w:fldCharType="end"/>
    </w:r>
    <w:r>
      <w:rPr>
        <w:rFonts w:ascii="Calibri" w:eastAsia="Calibri" w:hAnsi="Calibri" w:cs="Calibri"/>
        <w:color w:val="000000"/>
        <w:sz w:val="20"/>
        <w:szCs w:val="20"/>
      </w:rPr>
      <w:t xml:space="preserve"> of </w:t>
    </w:r>
    <w:r>
      <w:rPr>
        <w:rFonts w:ascii="Calibri" w:eastAsia="Calibri" w:hAnsi="Calibri" w:cs="Calibri"/>
        <w:color w:val="000000"/>
        <w:sz w:val="20"/>
        <w:szCs w:val="20"/>
      </w:rPr>
      <w:fldChar w:fldCharType="begin"/>
    </w:r>
    <w:r>
      <w:rPr>
        <w:rFonts w:ascii="Calibri" w:eastAsia="Calibri" w:hAnsi="Calibri" w:cs="Calibri"/>
        <w:color w:val="000000"/>
        <w:sz w:val="20"/>
        <w:szCs w:val="20"/>
      </w:rPr>
      <w:instrText>NUMPAGES</w:instrText>
    </w:r>
    <w:r>
      <w:rPr>
        <w:rFonts w:ascii="Calibri" w:eastAsia="Calibri" w:hAnsi="Calibri" w:cs="Calibri"/>
        <w:color w:val="000000"/>
        <w:sz w:val="20"/>
        <w:szCs w:val="20"/>
      </w:rPr>
      <w:fldChar w:fldCharType="separate"/>
    </w:r>
    <w:r>
      <w:rPr>
        <w:rFonts w:ascii="Calibri" w:eastAsia="Calibri" w:hAnsi="Calibri" w:cs="Calibri"/>
        <w:color w:val="000000"/>
        <w:sz w:val="20"/>
        <w:szCs w:val="20"/>
      </w:rPr>
      <w:fldChar w:fldCharType="end"/>
    </w:r>
  </w:p>
  <w:p w14:paraId="0452B4D2" w14:textId="77777777" w:rsidR="00834DBD" w:rsidRDefault="00834DB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65C5F" w14:textId="77777777" w:rsidR="004C7B34" w:rsidRDefault="004C7B34">
      <w:pPr>
        <w:spacing w:line="240" w:lineRule="auto"/>
      </w:pPr>
      <w:r>
        <w:separator/>
      </w:r>
    </w:p>
  </w:footnote>
  <w:footnote w:type="continuationSeparator" w:id="0">
    <w:p w14:paraId="42461B82" w14:textId="77777777" w:rsidR="004C7B34" w:rsidRDefault="004C7B3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DBD"/>
    <w:rsid w:val="00432F29"/>
    <w:rsid w:val="004C7B34"/>
    <w:rsid w:val="00834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A22B7E"/>
  <w15:docId w15:val="{80D6A8A6-8BD2-F147-B5F6-4DD41E79B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00" w:line="360" w:lineRule="auto"/>
      <w:jc w:val="both"/>
      <w:outlineLvl w:val="0"/>
    </w:pPr>
    <w:rPr>
      <w:b/>
      <w:sz w:val="28"/>
      <w:szCs w:val="28"/>
    </w:rPr>
  </w:style>
  <w:style w:type="paragraph" w:styleId="Heading2">
    <w:name w:val="heading 2"/>
    <w:basedOn w:val="Normal"/>
    <w:next w:val="Normal"/>
    <w:uiPriority w:val="9"/>
    <w:unhideWhenUsed/>
    <w:qFormat/>
    <w:pPr>
      <w:spacing w:before="200" w:line="360" w:lineRule="auto"/>
      <w:jc w:val="both"/>
      <w:outlineLvl w:val="1"/>
    </w:pPr>
    <w:rPr>
      <w:b/>
      <w:sz w:val="24"/>
      <w:szCs w:val="24"/>
    </w:rPr>
  </w:style>
  <w:style w:type="paragraph" w:styleId="Heading3">
    <w:name w:val="heading 3"/>
    <w:basedOn w:val="Normal"/>
    <w:next w:val="Normal"/>
    <w:uiPriority w:val="9"/>
    <w:unhideWhenUsed/>
    <w:qFormat/>
    <w:pPr>
      <w:spacing w:before="200" w:line="360" w:lineRule="auto"/>
      <w:jc w:val="both"/>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england.nhs.uk/about/equality/equality-hub/national-healthcare-inequalities-improvement-programme/core20plus5/" TargetMode="External"/><Relationship Id="rId18" Type="http://schemas.openxmlformats.org/officeDocument/2006/relationships/hyperlink" Target="https://www.sicklecellsociety.org/" TargetMode="External"/><Relationship Id="rId26" Type="http://schemas.openxmlformats.org/officeDocument/2006/relationships/hyperlink" Target="https://www.lambeth.gov.uk/adult-social-care-and-health/health-and-wellbeing/lambeth-health-profile/joint-strategic-needs-assessment-jsna" TargetMode="External"/><Relationship Id="rId39" Type="http://schemas.openxmlformats.org/officeDocument/2006/relationships/theme" Target="theme/theme1.xml"/><Relationship Id="rId21" Type="http://schemas.openxmlformats.org/officeDocument/2006/relationships/hyperlink" Target="https://doi.org/10.1038/s41591-025-03931-0" TargetMode="External"/><Relationship Id="rId34" Type="http://schemas.openxmlformats.org/officeDocument/2006/relationships/hyperlink" Target="https://mhealth.jmir.org/2021/6/e25138" TargetMode="External"/><Relationship Id="rId7" Type="http://schemas.openxmlformats.org/officeDocument/2006/relationships/hyperlink" Target="https://doi.org/10.1016/j.ajpc.2021.100303" TargetMode="External"/><Relationship Id="rId12" Type="http://schemas.openxmlformats.org/officeDocument/2006/relationships/hyperlink" Target="https://www.blood.co.uk/news-and-campaigns/the-donor/the-sound-of-sickle/" TargetMode="External"/><Relationship Id="rId17" Type="http://schemas.openxmlformats.org/officeDocument/2006/relationships/hyperlink" Target="https://www.sicklecellsociety.org/wp-content/uploads/2023/12/FINAL-SCS-IMPACT-REPORT-2023.pdf" TargetMode="External"/><Relationship Id="rId25" Type="http://schemas.openxmlformats.org/officeDocument/2006/relationships/hyperlink" Target="https://www.lambeth.gov.uk/adult-social-care-and-health/health-and-wellbeing/healthy-eating/eat-well" TargetMode="External"/><Relationship Id="rId33" Type="http://schemas.openxmlformats.org/officeDocument/2006/relationships/hyperlink" Target="https://assets.publishing.service.gov.uk/media/5b6c4f54e5274a29643d0f6e/PHOF_Health_Equity_Report.pdf"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gov.uk/government/publications/health-matters-preventing-cardiovascular-disease/health-matters-preventing-cardiovascular-disease" TargetMode="External"/><Relationship Id="rId20" Type="http://schemas.openxmlformats.org/officeDocument/2006/relationships/hyperlink" Target="https://committees.parliament.uk/writtenevidence/129467/html/" TargetMode="External"/><Relationship Id="rId29" Type="http://schemas.openxmlformats.org/officeDocument/2006/relationships/hyperlink" Target="https://www.lambethtogether.net/about-us/equality-diversity-and-inclusion/"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kff.org/racial-equity-and-health-policy/language-barriers-in-health-care-findings-from-the-kff-survey-on-racism-discrimination-and-health/" TargetMode="External"/><Relationship Id="rId24" Type="http://schemas.openxmlformats.org/officeDocument/2006/relationships/hyperlink" Target="https://kidneyresearchuk.org/wp-content/uploads/2019/09/Appendix_6.pdf" TargetMode="External"/><Relationship Id="rId32" Type="http://schemas.openxmlformats.org/officeDocument/2006/relationships/hyperlink" Target="https://arc-sl.nihr.ac.uk/research-and-implementation/our-research-areas/public-health-and-multimorbidity/heal-d-new-diabetes" TargetMode="External"/><Relationship Id="rId37"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northeastlondon.icb.nhs.uk/blog/breaking-barriers-tackling-health-inequalities-in-black-african-and-caribbean-communities/" TargetMode="External"/><Relationship Id="rId23" Type="http://schemas.openxmlformats.org/officeDocument/2006/relationships/hyperlink" Target="https://www.diabetes.org.uk/about-diabetes/looking-after-diabetes/care-to-expect" TargetMode="External"/><Relationship Id="rId28" Type="http://schemas.openxmlformats.org/officeDocument/2006/relationships/hyperlink" Target="https://www.lambethtogether.net/long-read/neighbourhood-and-wellbeing-delivery-alliance-progress-report-2023-24/strategic-priority-3-living-well-for-longer/" TargetMode="External"/><Relationship Id="rId36" Type="http://schemas.openxmlformats.org/officeDocument/2006/relationships/hyperlink" Target="https://www.who.int/news-room/fact-sheets/detail/diabetes" TargetMode="External"/><Relationship Id="rId10" Type="http://schemas.openxmlformats.org/officeDocument/2006/relationships/hyperlink" Target="https://www.equalityhumanrights.com/sites/default/files/2023/Great%20Britain%20Equality%20and%20Human%20Rights%20Monitor-%20accessible%20PDF.pdf" TargetMode="External"/><Relationship Id="rId19" Type="http://schemas.openxmlformats.org/officeDocument/2006/relationships/hyperlink" Target="https://www.bhf.org.uk/what-we-do/our-research/research-successes/risk-factors/ethnicity-and-heart-disease" TargetMode="External"/><Relationship Id="rId31" Type="http://schemas.openxmlformats.org/officeDocument/2006/relationships/hyperlink" Target="https://digital.nhs.uk/data-and-information/publications/statistical/national-diabetes-audit" TargetMode="External"/><Relationship Id="rId4" Type="http://schemas.openxmlformats.org/officeDocument/2006/relationships/footnotes" Target="footnotes.xml"/><Relationship Id="rId9" Type="http://schemas.openxmlformats.org/officeDocument/2006/relationships/hyperlink" Target="https://www.diabetes.org.uk/about-diabetes/type-2-diabetes/diabetes-ethnicity" TargetMode="External"/><Relationship Id="rId14" Type="http://schemas.openxmlformats.org/officeDocument/2006/relationships/hyperlink" Target="https://www.england.nhs.uk/wp-content/uploads/2023/02/workforce-race-equality-standard.pdf" TargetMode="External"/><Relationship Id="rId22" Type="http://schemas.openxmlformats.org/officeDocument/2006/relationships/hyperlink" Target="https://www.diabetes.org.uk/about-us/news-and-views/number-people-living-diabetes-uk-tops-5-million-first-time" TargetMode="External"/><Relationship Id="rId27" Type="http://schemas.openxmlformats.org/officeDocument/2006/relationships/hyperlink" Target="https://www.lambeth.gov.uk/sites/default/files/2021-01/Lambeth%20Food%20Poverty%20and%20Insecuity%20action%20plan%20final%20draft.pdf" TargetMode="External"/><Relationship Id="rId30" Type="http://schemas.openxmlformats.org/officeDocument/2006/relationships/hyperlink" Target="https://www.england.nhs.uk/diabetes/diabetes-prevention/" TargetMode="External"/><Relationship Id="rId35" Type="http://schemas.openxmlformats.org/officeDocument/2006/relationships/hyperlink" Target="https://doi.org/10.1016/j.diabres.2019.107843" TargetMode="External"/><Relationship Id="rId8" Type="http://schemas.openxmlformats.org/officeDocument/2006/relationships/hyperlink" Target="https://wlv.openrepository.com/bitstreams/d0912df6-dd10-4c76-b6ec-83543571a447/download"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4884</Words>
  <Characters>27839</Characters>
  <Application>Microsoft Office Word</Application>
  <DocSecurity>0</DocSecurity>
  <Lines>231</Lines>
  <Paragraphs>65</Paragraphs>
  <ScaleCrop>false</ScaleCrop>
  <Company/>
  <LinksUpToDate>false</LinksUpToDate>
  <CharactersWithSpaces>32658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Vidhi Prajapati</cp:lastModifiedBy>
  <cp:revision>2</cp:revision>
  <dcterms:created xsi:type="dcterms:W3CDTF">2025-11-14T22:51:00Z</dcterms:created>
  <dcterms:modified xsi:type="dcterms:W3CDTF">2025-11-14T22:51:00Z</dcterms:modified>
</cp:coreProperties>
</file>