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B3739F" w:rsidP="2F673BD6" w:rsidRDefault="42B3739F" w14:paraId="7319F425" w14:textId="277B5EF1">
      <w:pPr>
        <w:pStyle w:val="Normal"/>
        <w:spacing w:line="480" w:lineRule="auto"/>
        <w:rPr>
          <w:rFonts w:ascii="Arial" w:hAnsi="Arial" w:eastAsia="Arial" w:cs="Arial"/>
          <w:b w:val="1"/>
          <w:bCs w:val="1"/>
          <w:noProof w:val="0"/>
          <w:color w:val="000000" w:themeColor="text1" w:themeTint="FF" w:themeShade="FF"/>
          <w:sz w:val="24"/>
          <w:szCs w:val="24"/>
          <w:lang w:val="en-US"/>
        </w:rPr>
      </w:pPr>
      <w:r w:rsidRPr="2F673BD6" w:rsidR="2F673BD6">
        <w:rPr>
          <w:rFonts w:ascii="Arial" w:hAnsi="Arial" w:eastAsia="Arial" w:cs="Arial"/>
          <w:b w:val="1"/>
          <w:bCs w:val="1"/>
          <w:noProof w:val="0"/>
          <w:color w:val="000000" w:themeColor="text1" w:themeTint="FF" w:themeShade="FF"/>
          <w:sz w:val="24"/>
          <w:szCs w:val="24"/>
          <w:lang w:val="en-US"/>
        </w:rPr>
        <w:t>Melina Sullivan</w:t>
      </w:r>
    </w:p>
    <w:p w:rsidR="712CD17D" w:rsidP="2F673BD6" w:rsidRDefault="712CD17D" w14:paraId="6CBE88EE" w14:textId="1E9157D1">
      <w:pPr>
        <w:pStyle w:val="Normal"/>
        <w:spacing w:line="480" w:lineRule="auto"/>
        <w:rPr>
          <w:rFonts w:ascii="Arial" w:hAnsi="Arial" w:eastAsia="Arial" w:cs="Arial"/>
          <w:b w:val="1"/>
          <w:bCs w:val="1"/>
          <w:noProof w:val="0"/>
          <w:color w:val="000000" w:themeColor="text1" w:themeTint="FF" w:themeShade="FF"/>
          <w:sz w:val="24"/>
          <w:szCs w:val="24"/>
          <w:lang w:val="en-US"/>
        </w:rPr>
      </w:pPr>
      <w:r w:rsidRPr="2F673BD6" w:rsidR="2F673BD6">
        <w:rPr>
          <w:rFonts w:ascii="Arial" w:hAnsi="Arial" w:eastAsia="Arial" w:cs="Arial"/>
          <w:b w:val="1"/>
          <w:bCs w:val="1"/>
          <w:noProof w:val="0"/>
          <w:color w:val="000000" w:themeColor="text1" w:themeTint="FF" w:themeShade="FF"/>
          <w:sz w:val="24"/>
          <w:szCs w:val="24"/>
          <w:lang w:val="en-US"/>
        </w:rPr>
        <w:t>Write an evaluative self-reflective report on your submitted Panopto practice recording. Consider your own process and awareness in developing and maintaining the therapeutic relationship. Support your reflection with reference to both engagement with the client and interruptions to the process.</w:t>
      </w:r>
    </w:p>
    <w:p w:rsidR="732EEC30" w:rsidP="3D897F83" w:rsidRDefault="732EEC30" w14:paraId="354593DA" w14:textId="0B389616">
      <w:pPr>
        <w:pStyle w:val="Normal"/>
        <w:spacing w:after="160" w:line="480" w:lineRule="auto"/>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The ability to self-reflect is considered vital to competent practice in counselling and psychotherapy (</w:t>
      </w:r>
      <w:hyperlink r:id="R893ec11cec404eb0">
        <w:r w:rsidRPr="6E3E6D95" w:rsidR="6E3E6D95">
          <w:rPr>
            <w:rStyle w:val="Hyperlink"/>
            <w:rFonts w:ascii="Arial" w:hAnsi="Arial" w:eastAsia="Arial" w:cs="Arial"/>
            <w:b w:val="0"/>
            <w:bCs w:val="0"/>
            <w:noProof w:val="0"/>
            <w:color w:val="000000" w:themeColor="text1" w:themeTint="FF" w:themeShade="FF"/>
            <w:sz w:val="24"/>
            <w:szCs w:val="24"/>
            <w:u w:val="none"/>
            <w:lang w:val="en-US"/>
          </w:rPr>
          <w:t xml:space="preserve">De Stefano, </w:t>
        </w:r>
      </w:hyperlink>
      <w:hyperlink r:id="R1948469735d84e1f">
        <w:r w:rsidRPr="6E3E6D95" w:rsidR="6E3E6D95">
          <w:rPr>
            <w:rStyle w:val="Hyperlink"/>
            <w:rFonts w:ascii="Arial" w:hAnsi="Arial" w:eastAsia="Arial" w:cs="Arial"/>
            <w:b w:val="0"/>
            <w:bCs w:val="0"/>
            <w:noProof w:val="0"/>
            <w:color w:val="000000" w:themeColor="text1" w:themeTint="FF" w:themeShade="FF"/>
            <w:sz w:val="24"/>
            <w:szCs w:val="24"/>
            <w:u w:val="none"/>
            <w:lang w:val="en-US"/>
          </w:rPr>
          <w:t>Overington and</w:t>
        </w:r>
      </w:hyperlink>
      <w:r w:rsidRPr="6E3E6D95" w:rsidR="6E3E6D95">
        <w:rPr>
          <w:rFonts w:ascii="Arial" w:hAnsi="Arial" w:eastAsia="Arial" w:cs="Arial"/>
          <w:noProof w:val="0"/>
          <w:color w:val="000000" w:themeColor="text1" w:themeTint="FF" w:themeShade="FF"/>
          <w:sz w:val="24"/>
          <w:szCs w:val="24"/>
          <w:lang w:val="en-US"/>
        </w:rPr>
        <w:t xml:space="preserve"> </w:t>
      </w:r>
      <w:hyperlink r:id="R6a8a89e52dde4c24">
        <w:r w:rsidRPr="6E3E6D95" w:rsidR="6E3E6D95">
          <w:rPr>
            <w:rStyle w:val="Hyperlink"/>
            <w:rFonts w:ascii="Arial" w:hAnsi="Arial" w:eastAsia="Arial" w:cs="Arial"/>
            <w:b w:val="0"/>
            <w:bCs w:val="0"/>
            <w:noProof w:val="0"/>
            <w:color w:val="000000" w:themeColor="text1" w:themeTint="FF" w:themeShade="FF"/>
            <w:sz w:val="24"/>
            <w:szCs w:val="24"/>
            <w:u w:val="none"/>
            <w:lang w:val="en-US"/>
          </w:rPr>
          <w:t>Bradley, 2014)</w:t>
        </w:r>
      </w:hyperlink>
      <w:r w:rsidRPr="6E3E6D95" w:rsidR="6E3E6D95">
        <w:rPr>
          <w:rFonts w:ascii="Arial" w:hAnsi="Arial" w:eastAsia="Arial" w:cs="Arial"/>
          <w:b w:val="0"/>
          <w:bCs w:val="0"/>
          <w:noProof w:val="0"/>
          <w:color w:val="000000" w:themeColor="text1" w:themeTint="FF" w:themeShade="FF"/>
          <w:sz w:val="24"/>
          <w:szCs w:val="24"/>
          <w:u w:val="none"/>
          <w:lang w:val="en-US"/>
        </w:rPr>
        <w:t xml:space="preserve">. Self-reflection is described by Schön (1983) as the therapist’s ability to examine their experiences and learn from them in order to enhance their professional development, enabling therapists to become more self-aware, more in control and more able to see their strengths and areas in need of development (Tarrant, 2017). This can be achieved by challenging, for example, assumptions, ideologies, biases and inequalities (Bolton, 2018). Authors such as Tolan (2017) and Schön (1983) suggest developing self-awareness is a continuous and lifelong quest for the therapist striving to become more self-knowing and open and is key to counsellor maturity and personal development (Cochran and Cochran, 2015).  Counselling students may have varying levels of self-awareness and unresolved personal </w:t>
      </w:r>
      <w:proofErr w:type="gramStart"/>
      <w:r w:rsidRPr="6E3E6D95" w:rsidR="6E3E6D95">
        <w:rPr>
          <w:rFonts w:ascii="Arial" w:hAnsi="Arial" w:eastAsia="Arial" w:cs="Arial"/>
          <w:b w:val="0"/>
          <w:bCs w:val="0"/>
          <w:noProof w:val="0"/>
          <w:color w:val="000000" w:themeColor="text1" w:themeTint="FF" w:themeShade="FF"/>
          <w:sz w:val="24"/>
          <w:szCs w:val="24"/>
          <w:u w:val="none"/>
          <w:lang w:val="en-US"/>
        </w:rPr>
        <w:t>issues,</w:t>
      </w:r>
      <w:proofErr w:type="gramEnd"/>
      <w:r w:rsidRPr="6E3E6D95" w:rsidR="6E3E6D95">
        <w:rPr>
          <w:rFonts w:ascii="Arial" w:hAnsi="Arial" w:eastAsia="Arial" w:cs="Arial"/>
          <w:b w:val="0"/>
          <w:bCs w:val="0"/>
          <w:noProof w:val="0"/>
          <w:color w:val="000000" w:themeColor="text1" w:themeTint="FF" w:themeShade="FF"/>
          <w:sz w:val="24"/>
          <w:szCs w:val="24"/>
          <w:u w:val="none"/>
          <w:lang w:val="en-US"/>
        </w:rPr>
        <w:t xml:space="preserve"> therefore self-reflection is believed to be key to achieving a better understanding of their emotions (Stella, 2016). Ways in which trainee counsellors can achieve greater self-awareness, offers Tolan (2017), include personal therapy, which helps the trainee to focus on themselves, personal development groups, in which they can reflect on themselves in relation to others, and supervision, which focuses on the trainee in relationship with clients. These all take place within agreed boundaries which offer the psychological safety deemed necessary to encourage the exploration of thoughts, feelings and emotions (BACP, 2019). A further way of achieving greater self-awareness is through journaling or reflective writing; helping to connect with and explore thoughts, feelings and experiences at a deeper, more thorough and creative level than may be possible through talking about them (Bolton, 2018). It therefore appears that self-reflection is key to achieving greater self-awareness and personal and professional development and is important for career counsellors as well as trainees because it is a lifelong process. It can also be achieved through a variety of different means, which perhaps adds weight to its importance.</w:t>
      </w:r>
      <w:hyperlink r:id="Rcce138c5acdd4d0a"/>
    </w:p>
    <w:p w:rsidR="42B3739F" w:rsidP="2F673BD6" w:rsidRDefault="42B3739F" w14:paraId="42EC2BEF" w14:textId="1F4E44D5">
      <w:pPr>
        <w:pStyle w:val="Normal"/>
        <w:spacing w:after="160" w:line="480" w:lineRule="auto"/>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This report aims to evaluate and reflect on the first 23 minutes of a 47-minute recording of myself in the role of counsellor and person X in the client’s role, using Gibbs’ Reflective Cycle (1988) as a framework. The model encourages systematic thinking and reflection on six phases of the experience – description, feelings, evaluation, analysis, conclusion and action plan. The recording I have submitted alongside this essay is of my first session in the role of counsellor with person X, who</w:t>
      </w:r>
      <w:r w:rsidRPr="2F673BD6" w:rsidR="2F673BD6">
        <w:rPr>
          <w:rFonts w:ascii="Arial" w:hAnsi="Arial" w:eastAsia="Arial" w:cs="Arial"/>
          <w:noProof w:val="0"/>
          <w:color w:val="000000" w:themeColor="text1" w:themeTint="FF" w:themeShade="FF"/>
          <w:sz w:val="24"/>
          <w:szCs w:val="24"/>
          <w:lang w:val="en-US"/>
        </w:rPr>
        <w:t>se presenting problem involved her</w:t>
      </w:r>
      <w:r w:rsidRPr="2F673BD6" w:rsidR="2F673BD6">
        <w:rPr>
          <w:rFonts w:ascii="Arial" w:hAnsi="Arial" w:eastAsia="Arial" w:cs="Arial"/>
          <w:noProof w:val="0"/>
          <w:color w:val="000000" w:themeColor="text1" w:themeTint="FF" w:themeShade="FF"/>
          <w:sz w:val="24"/>
          <w:szCs w:val="24"/>
          <w:lang w:val="en-US"/>
        </w:rPr>
        <w:t xml:space="preserve"> confusion relating to her relationship with her mother and how this had recently led to her questioning her own parenting style. I felt apprehensive because not only was I working as part of a new </w:t>
      </w:r>
      <w:proofErr w:type="gramStart"/>
      <w:r w:rsidRPr="2F673BD6" w:rsidR="2F673BD6">
        <w:rPr>
          <w:rFonts w:ascii="Arial" w:hAnsi="Arial" w:eastAsia="Arial" w:cs="Arial"/>
          <w:noProof w:val="0"/>
          <w:color w:val="000000" w:themeColor="text1" w:themeTint="FF" w:themeShade="FF"/>
          <w:sz w:val="24"/>
          <w:szCs w:val="24"/>
          <w:lang w:val="en-US"/>
        </w:rPr>
        <w:t>dyad, but</w:t>
      </w:r>
      <w:proofErr w:type="gramEnd"/>
      <w:r w:rsidRPr="2F673BD6" w:rsidR="2F673BD6">
        <w:rPr>
          <w:rFonts w:ascii="Arial" w:hAnsi="Arial" w:eastAsia="Arial" w:cs="Arial"/>
          <w:noProof w:val="0"/>
          <w:color w:val="000000" w:themeColor="text1" w:themeTint="FF" w:themeShade="FF"/>
          <w:sz w:val="24"/>
          <w:szCs w:val="24"/>
          <w:lang w:val="en-US"/>
        </w:rPr>
        <w:t xml:space="preserve"> working in a dyad was also a relatively new experience for me, having previously worked in triads with the third person being an observer. I did not feel completely comfortable in the absence of an observer due to timekeeping concerns and I also felt a little under pressure to produce a good recording because I did not feel my previous ones were of a good enough standard to submit for assessment. As a </w:t>
      </w:r>
      <w:proofErr w:type="gramStart"/>
      <w:r w:rsidRPr="2F673BD6" w:rsidR="2F673BD6">
        <w:rPr>
          <w:rFonts w:ascii="Arial" w:hAnsi="Arial" w:eastAsia="Arial" w:cs="Arial"/>
          <w:noProof w:val="0"/>
          <w:color w:val="000000" w:themeColor="text1" w:themeTint="FF" w:themeShade="FF"/>
          <w:sz w:val="24"/>
          <w:szCs w:val="24"/>
          <w:lang w:val="en-US"/>
        </w:rPr>
        <w:t>result</w:t>
      </w:r>
      <w:proofErr w:type="gramEnd"/>
      <w:r w:rsidRPr="2F673BD6" w:rsidR="2F673BD6">
        <w:rPr>
          <w:rFonts w:ascii="Arial" w:hAnsi="Arial" w:eastAsia="Arial" w:cs="Arial"/>
          <w:noProof w:val="0"/>
          <w:color w:val="000000" w:themeColor="text1" w:themeTint="FF" w:themeShade="FF"/>
          <w:sz w:val="24"/>
          <w:szCs w:val="24"/>
          <w:lang w:val="en-US"/>
        </w:rPr>
        <w:t xml:space="preserve"> I felt distracted by whether I’d set the computer software to record correctly because it was so important that the session was not compromised by technical difficulties. </w:t>
      </w:r>
    </w:p>
    <w:p w:rsidR="3845F2BC" w:rsidP="3D897F83" w:rsidRDefault="3845F2BC" w14:paraId="53FB2EB8" w14:textId="204CC076">
      <w:pPr>
        <w:pStyle w:val="Normal"/>
        <w:bidi w:val="0"/>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I set up the therapeutic relationship by explaining important factors relating to counsellor and client working together (Midwinter and Dickson, 2015), such as confidentiality and its limitations, the length of the session and, in this case, that it was being recorded for my training purposes. The BACP (2019) describes these as ethical boundaries within which psychological safety is provided and agreed limits which protect counsellors and clients. Confidentiality is considered one of the most important aspects of the therapeutic relationship because it helps to foster trust (Hough, 2014); clients must be able to trust that their most intimate thoughts and feelings will be kept private. It often takes clients some time to trust their counsellor, states Hough (2014), an indication of which is when they initially focus on peripheral issues before revealing the real problem. This did not seem to be the case with person X; I felt a level of trust had indeed been reached because she was able to reveal some personal and emotional issues straight away and no attempt was made to skirt around the subject. Th</w:t>
      </w:r>
      <w:r w:rsidRPr="6E3E6D95" w:rsidR="6E3E6D95">
        <w:rPr>
          <w:rFonts w:ascii="Arial" w:hAnsi="Arial" w:eastAsia="Arial" w:cs="Arial"/>
          <w:noProof w:val="0"/>
          <w:color w:val="000000" w:themeColor="text1" w:themeTint="FF" w:themeShade="FF"/>
          <w:sz w:val="24"/>
          <w:szCs w:val="24"/>
          <w:lang w:val="en-US"/>
        </w:rPr>
        <w:t>is</w:t>
      </w:r>
      <w:r w:rsidRPr="6E3E6D95" w:rsidR="6E3E6D95">
        <w:rPr>
          <w:rFonts w:ascii="Arial" w:hAnsi="Arial" w:eastAsia="Arial" w:cs="Arial"/>
          <w:noProof w:val="0"/>
          <w:color w:val="000000" w:themeColor="text1" w:themeTint="FF" w:themeShade="FF"/>
          <w:sz w:val="24"/>
          <w:szCs w:val="24"/>
          <w:lang w:val="en-US"/>
        </w:rPr>
        <w:t xml:space="preserve"> suggested that person X felt safe within the therapeutic space and with me and that a connection had been made through </w:t>
      </w:r>
      <w:r w:rsidRPr="6E3E6D95" w:rsidR="6E3E6D95">
        <w:rPr>
          <w:rFonts w:ascii="Arial" w:hAnsi="Arial" w:eastAsia="Arial" w:cs="Arial"/>
          <w:noProof w:val="0"/>
          <w:color w:val="000000" w:themeColor="text1" w:themeTint="FF" w:themeShade="FF"/>
          <w:sz w:val="24"/>
          <w:szCs w:val="24"/>
          <w:lang w:val="en-US"/>
        </w:rPr>
        <w:t xml:space="preserve">successfully laying </w:t>
      </w:r>
      <w:r w:rsidRPr="6E3E6D95" w:rsidR="6E3E6D95">
        <w:rPr>
          <w:rFonts w:ascii="Arial" w:hAnsi="Arial" w:eastAsia="Arial" w:cs="Arial"/>
          <w:noProof w:val="0"/>
          <w:color w:val="000000" w:themeColor="text1" w:themeTint="FF" w:themeShade="FF"/>
          <w:sz w:val="24"/>
          <w:szCs w:val="24"/>
          <w:lang w:val="en-US"/>
        </w:rPr>
        <w:t xml:space="preserve">the foundations necessary for a </w:t>
      </w:r>
      <w:r w:rsidRPr="6E3E6D95" w:rsidR="6E3E6D95">
        <w:rPr>
          <w:rFonts w:ascii="Arial" w:hAnsi="Arial" w:eastAsia="Arial" w:cs="Arial"/>
          <w:noProof w:val="0"/>
          <w:color w:val="000000" w:themeColor="text1" w:themeTint="FF" w:themeShade="FF"/>
          <w:sz w:val="24"/>
          <w:szCs w:val="24"/>
          <w:lang w:val="en-US"/>
        </w:rPr>
        <w:t xml:space="preserve">positive therapeutic </w:t>
      </w:r>
      <w:r w:rsidRPr="6E3E6D95" w:rsidR="6E3E6D95">
        <w:rPr>
          <w:rFonts w:ascii="Arial" w:hAnsi="Arial" w:eastAsia="Arial" w:cs="Arial"/>
          <w:noProof w:val="0"/>
          <w:color w:val="000000" w:themeColor="text1" w:themeTint="FF" w:themeShade="FF"/>
          <w:sz w:val="24"/>
          <w:szCs w:val="24"/>
          <w:lang w:val="en-US"/>
        </w:rPr>
        <w:t xml:space="preserve">relationship. Through reflecting on this part of the session I have also realised the importance of confidentiality in relation to trust and how a client is more able to open up if they trust their counsellor, which offers greater potential for them to explore their feelings at a deeper level. As a </w:t>
      </w:r>
      <w:proofErr w:type="gramStart"/>
      <w:r w:rsidRPr="6E3E6D95" w:rsidR="6E3E6D95">
        <w:rPr>
          <w:rFonts w:ascii="Arial" w:hAnsi="Arial" w:eastAsia="Arial" w:cs="Arial"/>
          <w:noProof w:val="0"/>
          <w:color w:val="000000" w:themeColor="text1" w:themeTint="FF" w:themeShade="FF"/>
          <w:sz w:val="24"/>
          <w:szCs w:val="24"/>
          <w:lang w:val="en-US"/>
        </w:rPr>
        <w:t>result</w:t>
      </w:r>
      <w:proofErr w:type="gramEnd"/>
      <w:r w:rsidRPr="6E3E6D95" w:rsidR="6E3E6D95">
        <w:rPr>
          <w:rFonts w:ascii="Arial" w:hAnsi="Arial" w:eastAsia="Arial" w:cs="Arial"/>
          <w:noProof w:val="0"/>
          <w:color w:val="000000" w:themeColor="text1" w:themeTint="FF" w:themeShade="FF"/>
          <w:sz w:val="24"/>
          <w:szCs w:val="24"/>
          <w:lang w:val="en-US"/>
        </w:rPr>
        <w:t xml:space="preserve"> it has confirmed the importance of outlining boundaries at the beginning of a session with a new client.</w:t>
      </w:r>
      <w:hyperlink r:id="R9992b5193ab14975"/>
    </w:p>
    <w:p w:rsidR="3845F2BC" w:rsidP="2F673BD6" w:rsidRDefault="3845F2BC" w14:paraId="4A3F9493" w14:textId="370E2454">
      <w:pPr>
        <w:pStyle w:val="Normal"/>
        <w:bidi w:val="0"/>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During the session I demonstrated active listening through my open, relaxed posture, use of minimal encouragers such as smiling, nodding and maintaining eye contact. Microskills such as these help the therapist to </w:t>
      </w:r>
      <w:proofErr w:type="gramStart"/>
      <w:r w:rsidRPr="2F673BD6" w:rsidR="2F673BD6">
        <w:rPr>
          <w:rFonts w:ascii="Arial" w:hAnsi="Arial" w:eastAsia="Arial" w:cs="Arial"/>
          <w:noProof w:val="0"/>
          <w:color w:val="000000" w:themeColor="text1" w:themeTint="FF" w:themeShade="FF"/>
          <w:sz w:val="24"/>
          <w:szCs w:val="24"/>
          <w:lang w:val="en-US"/>
        </w:rPr>
        <w:t>convey</w:t>
      </w:r>
      <w:proofErr w:type="gramEnd"/>
      <w:r w:rsidRPr="2F673BD6" w:rsidR="2F673BD6">
        <w:rPr>
          <w:rFonts w:ascii="Arial" w:hAnsi="Arial" w:eastAsia="Arial" w:cs="Arial"/>
          <w:noProof w:val="0"/>
          <w:color w:val="000000" w:themeColor="text1" w:themeTint="FF" w:themeShade="FF"/>
          <w:sz w:val="24"/>
          <w:szCs w:val="24"/>
          <w:lang w:val="en-US"/>
        </w:rPr>
        <w:t xml:space="preserve"> they are really hearing the client and are understanding and empathic towards them, as well as encouraging the client to continue talking (Midwinter and Dickson, 2015). Paraphrasing, which can be seen during minute 5, is described by Nelson-Jones (201</w:t>
      </w:r>
      <w:r w:rsidRPr="2F673BD6" w:rsidR="2F673BD6">
        <w:rPr>
          <w:rFonts w:ascii="Arial" w:hAnsi="Arial" w:eastAsia="Arial" w:cs="Arial"/>
          <w:noProof w:val="0"/>
          <w:color w:val="000000" w:themeColor="text1" w:themeTint="FF" w:themeShade="FF"/>
          <w:sz w:val="24"/>
          <w:szCs w:val="24"/>
          <w:lang w:val="en-US"/>
        </w:rPr>
        <w:t>6</w:t>
      </w:r>
      <w:r w:rsidRPr="2F673BD6" w:rsidR="2F673BD6">
        <w:rPr>
          <w:rFonts w:ascii="Arial" w:hAnsi="Arial" w:eastAsia="Arial" w:cs="Arial"/>
          <w:noProof w:val="0"/>
          <w:color w:val="000000" w:themeColor="text1" w:themeTint="FF" w:themeShade="FF"/>
          <w:sz w:val="24"/>
          <w:szCs w:val="24"/>
          <w:lang w:val="en-US"/>
        </w:rPr>
        <w:t>) as potentially the main skill of active listening and involves reflecting a client’s statement back to them using different words. In successfully doing so I felt pleased I had shown empathic understanding of person X’s frame of reference and that this understanding had been acknowledged by her. I also felt I conveyed engagement with and interest in person X’s story, and enjoyed getting to know her on what I thought was an equal footing, which is in line with Rogers’ (1959) belief that a therapist should be a companion to the client rather than an expert on their lives because no-one knows the client better than themselves. I felt this may have further contributed towards what I sensed to be a sufficient start in helping to build the bond and rapport believed necessary for a successful therapeutic relationship (Bordin, 1979). I will endeavour to continue using these skills in future practice as I feel they contributed positively towards the session with person X.</w:t>
      </w:r>
    </w:p>
    <w:p w:rsidR="3845F2BC" w:rsidP="2F673BD6" w:rsidRDefault="3845F2BC" w14:paraId="32F1D45B" w14:textId="31A440A5">
      <w:pPr>
        <w:pStyle w:val="Normal"/>
        <w:bidi w:val="0"/>
        <w:spacing w:before="0" w:beforeAutospacing="off" w:after="160" w:afterAutospacing="off" w:line="480" w:lineRule="auto"/>
        <w:ind/>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In terms of the content of the session, person X feels she has been overstretching herself in terms of what she </w:t>
      </w:r>
      <w:proofErr w:type="gramStart"/>
      <w:r w:rsidRPr="2F673BD6" w:rsidR="2F673BD6">
        <w:rPr>
          <w:rFonts w:ascii="Arial" w:hAnsi="Arial" w:eastAsia="Arial" w:cs="Arial"/>
          <w:noProof w:val="0"/>
          <w:color w:val="000000" w:themeColor="text1" w:themeTint="FF" w:themeShade="FF"/>
          <w:sz w:val="24"/>
          <w:szCs w:val="24"/>
          <w:lang w:val="en-US"/>
        </w:rPr>
        <w:t>is capable of doing</w:t>
      </w:r>
      <w:proofErr w:type="gramEnd"/>
      <w:r w:rsidRPr="2F673BD6" w:rsidR="2F673BD6">
        <w:rPr>
          <w:rFonts w:ascii="Arial" w:hAnsi="Arial" w:eastAsia="Arial" w:cs="Arial"/>
          <w:noProof w:val="0"/>
          <w:color w:val="000000" w:themeColor="text1" w:themeTint="FF" w:themeShade="FF"/>
          <w:sz w:val="24"/>
          <w:szCs w:val="24"/>
          <w:lang w:val="en-US"/>
        </w:rPr>
        <w:t xml:space="preserve">. She described this using the metaphor of having a lot of balls to juggle. However, there appears to have been a moment when she “couldn’t take any more of being there for others”. She said she dropped the metaphorical balls and didn’t know which one to pick up first, also likening the situation to a bottle of pop that exploded. I felt person X’s use of metaphors during the session were powerful in helping to explain how a stressful situation had made her feel. Indeed, Tolan (2017) states metaphors are used by both clients and counsellors to give more weight to a situation in an imaginative way. However, I later felt </w:t>
      </w:r>
      <w:r w:rsidRPr="2F673BD6" w:rsidR="2F673BD6">
        <w:rPr>
          <w:rFonts w:ascii="Arial" w:hAnsi="Arial" w:eastAsia="Arial" w:cs="Arial"/>
          <w:noProof w:val="0"/>
          <w:color w:val="000000" w:themeColor="text1" w:themeTint="FF" w:themeShade="FF"/>
          <w:sz w:val="24"/>
          <w:szCs w:val="24"/>
          <w:lang w:val="en-US"/>
        </w:rPr>
        <w:t>exploring</w:t>
      </w:r>
      <w:r w:rsidRPr="2F673BD6" w:rsidR="2F673BD6">
        <w:rPr>
          <w:rFonts w:ascii="Arial" w:hAnsi="Arial" w:eastAsia="Arial" w:cs="Arial"/>
          <w:noProof w:val="0"/>
          <w:color w:val="000000" w:themeColor="text1" w:themeTint="FF" w:themeShade="FF"/>
          <w:sz w:val="24"/>
          <w:szCs w:val="24"/>
          <w:lang w:val="en-US"/>
        </w:rPr>
        <w:t xml:space="preserve"> person X's use of metaphors </w:t>
      </w:r>
      <w:r w:rsidRPr="2F673BD6" w:rsidR="2F673BD6">
        <w:rPr>
          <w:rFonts w:ascii="Arial" w:hAnsi="Arial" w:eastAsia="Arial" w:cs="Arial"/>
          <w:noProof w:val="0"/>
          <w:color w:val="000000" w:themeColor="text1" w:themeTint="FF" w:themeShade="FF"/>
          <w:sz w:val="24"/>
          <w:szCs w:val="24"/>
          <w:lang w:val="en-US"/>
        </w:rPr>
        <w:t>m</w:t>
      </w:r>
      <w:r w:rsidRPr="2F673BD6" w:rsidR="2F673BD6">
        <w:rPr>
          <w:rFonts w:ascii="Arial" w:hAnsi="Arial" w:eastAsia="Arial" w:cs="Arial"/>
          <w:noProof w:val="0"/>
          <w:color w:val="000000" w:themeColor="text1" w:themeTint="FF" w:themeShade="FF"/>
          <w:sz w:val="24"/>
          <w:szCs w:val="24"/>
          <w:lang w:val="en-US"/>
        </w:rPr>
        <w:t>ay have offered a greater insight into her emotion</w:t>
      </w:r>
      <w:r w:rsidRPr="2F673BD6" w:rsidR="2F673BD6">
        <w:rPr>
          <w:rFonts w:ascii="Arial" w:hAnsi="Arial" w:eastAsia="Arial" w:cs="Arial"/>
          <w:noProof w:val="0"/>
          <w:color w:val="000000" w:themeColor="text1" w:themeTint="FF" w:themeShade="FF"/>
          <w:sz w:val="24"/>
          <w:szCs w:val="24"/>
          <w:lang w:val="en-US"/>
        </w:rPr>
        <w:t>s</w:t>
      </w:r>
      <w:r w:rsidRPr="2F673BD6" w:rsidR="2F673BD6">
        <w:rPr>
          <w:rFonts w:ascii="Arial" w:hAnsi="Arial" w:eastAsia="Arial" w:cs="Arial"/>
          <w:noProof w:val="0"/>
          <w:color w:val="000000" w:themeColor="text1" w:themeTint="FF" w:themeShade="FF"/>
          <w:sz w:val="24"/>
          <w:szCs w:val="24"/>
          <w:lang w:val="en-US"/>
        </w:rPr>
        <w:t xml:space="preserve"> and could therefore lead to me achieving greater understanding</w:t>
      </w:r>
      <w:r w:rsidRPr="2F673BD6" w:rsidR="2F673BD6">
        <w:rPr>
          <w:rFonts w:ascii="Arial" w:hAnsi="Arial" w:eastAsia="Arial" w:cs="Arial"/>
          <w:noProof w:val="0"/>
          <w:color w:val="000000" w:themeColor="text1" w:themeTint="FF" w:themeShade="FF"/>
          <w:sz w:val="24"/>
          <w:szCs w:val="24"/>
          <w:lang w:val="en-US"/>
        </w:rPr>
        <w:t xml:space="preserve"> of her frame of reference. I</w:t>
      </w:r>
      <w:r w:rsidRPr="2F673BD6" w:rsidR="2F673BD6">
        <w:rPr>
          <w:rFonts w:ascii="Arial" w:hAnsi="Arial" w:eastAsia="Arial" w:cs="Arial"/>
          <w:noProof w:val="0"/>
          <w:color w:val="000000" w:themeColor="text1" w:themeTint="FF" w:themeShade="FF"/>
          <w:sz w:val="24"/>
          <w:szCs w:val="24"/>
          <w:lang w:val="en-US"/>
        </w:rPr>
        <w:t>n relation to the idea of an exploding bottle of pop, th</w:t>
      </w:r>
      <w:r w:rsidRPr="2F673BD6" w:rsidR="2F673BD6">
        <w:rPr>
          <w:rFonts w:ascii="Arial" w:hAnsi="Arial" w:eastAsia="Arial" w:cs="Arial"/>
          <w:noProof w:val="0"/>
          <w:color w:val="000000" w:themeColor="text1" w:themeTint="FF" w:themeShade="FF"/>
          <w:sz w:val="24"/>
          <w:szCs w:val="24"/>
          <w:lang w:val="en-US"/>
        </w:rPr>
        <w:t>e</w:t>
      </w:r>
      <w:r w:rsidRPr="2F673BD6" w:rsidR="2F673BD6">
        <w:rPr>
          <w:rFonts w:ascii="Arial" w:hAnsi="Arial" w:eastAsia="Arial" w:cs="Arial"/>
          <w:noProof w:val="0"/>
          <w:color w:val="000000" w:themeColor="text1" w:themeTint="FF" w:themeShade="FF"/>
          <w:sz w:val="24"/>
          <w:szCs w:val="24"/>
          <w:lang w:val="en-US"/>
        </w:rPr>
        <w:t xml:space="preserve"> explosion </w:t>
      </w:r>
      <w:r w:rsidRPr="2F673BD6" w:rsidR="2F673BD6">
        <w:rPr>
          <w:rFonts w:ascii="Arial" w:hAnsi="Arial" w:eastAsia="Arial" w:cs="Arial"/>
          <w:noProof w:val="0"/>
          <w:color w:val="000000" w:themeColor="text1" w:themeTint="FF" w:themeShade="FF"/>
          <w:sz w:val="24"/>
          <w:szCs w:val="24"/>
          <w:lang w:val="en-US"/>
        </w:rPr>
        <w:t xml:space="preserve">could </w:t>
      </w:r>
      <w:r w:rsidRPr="2F673BD6" w:rsidR="2F673BD6">
        <w:rPr>
          <w:rFonts w:ascii="Arial" w:hAnsi="Arial" w:eastAsia="Arial" w:cs="Arial"/>
          <w:noProof w:val="0"/>
          <w:color w:val="000000" w:themeColor="text1" w:themeTint="FF" w:themeShade="FF"/>
          <w:sz w:val="24"/>
          <w:szCs w:val="24"/>
          <w:lang w:val="en-US"/>
        </w:rPr>
        <w:t>represent</w:t>
      </w:r>
      <w:r w:rsidRPr="2F673BD6" w:rsidR="2F673BD6">
        <w:rPr>
          <w:rFonts w:ascii="Arial" w:hAnsi="Arial" w:eastAsia="Arial" w:cs="Arial"/>
          <w:noProof w:val="0"/>
          <w:color w:val="000000" w:themeColor="text1" w:themeTint="FF" w:themeShade="FF"/>
          <w:sz w:val="24"/>
          <w:szCs w:val="24"/>
          <w:lang w:val="en-US"/>
        </w:rPr>
        <w:t>,</w:t>
      </w:r>
      <w:r w:rsidRPr="2F673BD6" w:rsidR="2F673BD6">
        <w:rPr>
          <w:rFonts w:ascii="Arial" w:hAnsi="Arial" w:eastAsia="Arial" w:cs="Arial"/>
          <w:noProof w:val="0"/>
          <w:color w:val="000000" w:themeColor="text1" w:themeTint="FF" w:themeShade="FF"/>
          <w:sz w:val="24"/>
          <w:szCs w:val="24"/>
          <w:lang w:val="en-US"/>
        </w:rPr>
        <w:t xml:space="preserve"> </w:t>
      </w:r>
      <w:r w:rsidRPr="2F673BD6" w:rsidR="2F673BD6">
        <w:rPr>
          <w:rFonts w:ascii="Arial" w:hAnsi="Arial" w:eastAsia="Arial" w:cs="Arial"/>
          <w:noProof w:val="0"/>
          <w:color w:val="000000" w:themeColor="text1" w:themeTint="FF" w:themeShade="FF"/>
          <w:sz w:val="24"/>
          <w:szCs w:val="24"/>
          <w:lang w:val="en-US"/>
        </w:rPr>
        <w:t xml:space="preserve">for example, feelings of </w:t>
      </w:r>
      <w:r w:rsidRPr="2F673BD6" w:rsidR="2F673BD6">
        <w:rPr>
          <w:rFonts w:ascii="Arial" w:hAnsi="Arial" w:eastAsia="Arial" w:cs="Arial"/>
          <w:noProof w:val="0"/>
          <w:color w:val="000000" w:themeColor="text1" w:themeTint="FF" w:themeShade="FF"/>
          <w:sz w:val="24"/>
          <w:szCs w:val="24"/>
          <w:lang w:val="en-US"/>
        </w:rPr>
        <w:t>anger</w:t>
      </w:r>
      <w:r w:rsidRPr="2F673BD6" w:rsidR="2F673BD6">
        <w:rPr>
          <w:rFonts w:ascii="Arial" w:hAnsi="Arial" w:eastAsia="Arial" w:cs="Arial"/>
          <w:noProof w:val="0"/>
          <w:color w:val="000000" w:themeColor="text1" w:themeTint="FF" w:themeShade="FF"/>
          <w:sz w:val="24"/>
          <w:szCs w:val="24"/>
          <w:lang w:val="en-US"/>
        </w:rPr>
        <w:t xml:space="preserve"> or frustration which could then be explored further. Furthermore, showing a commitment to striving to understand person X’s experience and communicating that understanding would demonstrate the core condition of empathy. Rogers (1959) believed empathic counsellors can sense a client’s feelings and meanings and see the world as the client sees it; as if the therapist was the client. This deep understanding makes the client feel valued and promotes greater feelings of safety and trust (Macfarlane et al., 2017) which enable the client to allow their real selves to emerge. It can therefore be suggested that by failing to explore person X’s use of metaphors I missed a potential opportunity to demonstrate empathy.</w:t>
      </w:r>
      <w:r w:rsidRPr="2F673BD6" w:rsidR="2F673BD6">
        <w:rPr>
          <w:rFonts w:ascii="Arial" w:hAnsi="Arial" w:eastAsia="Arial" w:cs="Arial"/>
          <w:noProof w:val="0"/>
          <w:color w:val="000000" w:themeColor="text1" w:themeTint="FF" w:themeShade="FF"/>
          <w:sz w:val="24"/>
          <w:szCs w:val="24"/>
          <w:lang w:val="en-US"/>
        </w:rPr>
        <w:t xml:space="preserve">  </w:t>
      </w:r>
      <w:proofErr w:type="gramStart"/>
      <w:proofErr w:type="gramEnd"/>
    </w:p>
    <w:p w:rsidR="3845F2BC" w:rsidP="2F673BD6" w:rsidRDefault="3845F2BC" w14:paraId="4DF6A821" w14:textId="06FB7493">
      <w:pPr>
        <w:pStyle w:val="Normal"/>
        <w:spacing w:before="0" w:beforeAutospacing="off" w:after="160" w:afterAutospacing="off" w:line="480" w:lineRule="auto"/>
        <w:ind/>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I felt the theme of feeling alone punctuated the session. It first surfaced when I was imagining person X as a child having to take herself to activities and again while she was describing life as a young, single mother. I tentatively suggested that feeling alone was a possible link in her story, however this was not supported by person X who said she had not considered the possibility before but would perhaps now explore it. I was disappointed person X had not agreed because my gut feeling arising from person X’s perceived lack of emotional support was one of profound aloneness. On reflection, I wondered if I had more experience and confidence in the role of </w:t>
      </w:r>
      <w:proofErr w:type="gramStart"/>
      <w:r w:rsidRPr="2F673BD6" w:rsidR="2F673BD6">
        <w:rPr>
          <w:rFonts w:ascii="Arial" w:hAnsi="Arial" w:eastAsia="Arial" w:cs="Arial"/>
          <w:noProof w:val="0"/>
          <w:color w:val="000000" w:themeColor="text1" w:themeTint="FF" w:themeShade="FF"/>
          <w:sz w:val="24"/>
          <w:szCs w:val="24"/>
          <w:lang w:val="en-US"/>
        </w:rPr>
        <w:t>therapist</w:t>
      </w:r>
      <w:proofErr w:type="gramEnd"/>
      <w:r w:rsidRPr="2F673BD6" w:rsidR="2F673BD6">
        <w:rPr>
          <w:rFonts w:ascii="Arial" w:hAnsi="Arial" w:eastAsia="Arial" w:cs="Arial"/>
          <w:noProof w:val="0"/>
          <w:color w:val="000000" w:themeColor="text1" w:themeTint="FF" w:themeShade="FF"/>
          <w:sz w:val="24"/>
          <w:szCs w:val="24"/>
          <w:lang w:val="en-US"/>
        </w:rPr>
        <w:t xml:space="preserve"> we could have explored this concept further.</w:t>
      </w:r>
      <w:r w:rsidRPr="2F673BD6" w:rsidR="2F673BD6">
        <w:rPr>
          <w:rFonts w:ascii="Arial" w:hAnsi="Arial" w:eastAsia="Arial" w:cs="Arial"/>
          <w:noProof w:val="0"/>
          <w:color w:val="000000" w:themeColor="text1" w:themeTint="FF" w:themeShade="FF"/>
          <w:sz w:val="24"/>
          <w:szCs w:val="24"/>
          <w:lang w:val="en-US"/>
        </w:rPr>
        <w:t xml:space="preserve"> </w:t>
      </w:r>
      <w:r w:rsidRPr="2F673BD6" w:rsidR="2F673BD6">
        <w:rPr>
          <w:rFonts w:ascii="Arial" w:hAnsi="Arial" w:eastAsia="Arial" w:cs="Arial"/>
          <w:noProof w:val="0"/>
          <w:color w:val="000000" w:themeColor="text1" w:themeTint="FF" w:themeShade="FF"/>
          <w:sz w:val="24"/>
          <w:szCs w:val="24"/>
          <w:lang w:val="en-US"/>
        </w:rPr>
        <w:t xml:space="preserve">Instead I felt I had been wrong, which dented my confidence, and my immediate reaction was of wanting to steer the session away from what I believed in the moment to have been a mistake. I also did not want to risk the possibility of a rupture at this early stage of the therapeutic relationship due to my perceived error. </w:t>
      </w:r>
      <w:r w:rsidRPr="2F673BD6" w:rsidR="2F673BD6">
        <w:rPr>
          <w:rFonts w:ascii="Arial" w:hAnsi="Arial" w:eastAsia="Arial" w:cs="Arial"/>
          <w:noProof w:val="0"/>
          <w:color w:val="000000" w:themeColor="text1" w:themeTint="FF" w:themeShade="FF"/>
          <w:sz w:val="24"/>
          <w:szCs w:val="24"/>
          <w:lang w:val="en-US"/>
        </w:rPr>
        <w:t xml:space="preserve">Ruptures are defined as a deterioration in the relationship due to missteps perceived by the client or therapist, or both (Safran and Muran, 2006). Studies have found the negative impact of ruptures include clients’ disengagement and mistrust of therapists (Bartholomew, Gundel and Scheel, 2017). I feared a rupture could lead to person X’s lack of trust in me in the therapist’s role </w:t>
      </w:r>
      <w:proofErr w:type="gramStart"/>
      <w:r w:rsidRPr="2F673BD6" w:rsidR="2F673BD6">
        <w:rPr>
          <w:rFonts w:ascii="Arial" w:hAnsi="Arial" w:eastAsia="Arial" w:cs="Arial"/>
          <w:noProof w:val="0"/>
          <w:color w:val="000000" w:themeColor="text1" w:themeTint="FF" w:themeShade="FF"/>
          <w:sz w:val="24"/>
          <w:szCs w:val="24"/>
          <w:lang w:val="en-US"/>
        </w:rPr>
        <w:t>and also</w:t>
      </w:r>
      <w:proofErr w:type="gramEnd"/>
      <w:r w:rsidRPr="2F673BD6" w:rsidR="2F673BD6">
        <w:rPr>
          <w:rFonts w:ascii="Arial" w:hAnsi="Arial" w:eastAsia="Arial" w:cs="Arial"/>
          <w:noProof w:val="0"/>
          <w:color w:val="000000" w:themeColor="text1" w:themeTint="FF" w:themeShade="FF"/>
          <w:sz w:val="24"/>
          <w:szCs w:val="24"/>
          <w:lang w:val="en-US"/>
        </w:rPr>
        <w:t xml:space="preserve"> that I would not immediately be able to recall the skills needed to repair a rupture should it occur. </w:t>
      </w:r>
    </w:p>
    <w:p w:rsidR="2F673BD6" w:rsidP="6E3E6D95" w:rsidRDefault="2F673BD6" w14:paraId="78FB5E17" w14:textId="523CDDD4">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 xml:space="preserve">I felt the theme of aloneness arise again when person X was discussing a conversation with her mother following the sudden death of her father. Person X’s mother had told her she was not worried about her because she had a family of her own to provide emotional support but would instead have to support X’s siblings because they had no partners. Person X felt having a partner was irrelevant, her emotions as a result of losing her father were the same as her siblings. She spoke about telling her husband “I have nobody”, which seemed a particularly powerful statement relating to feeling alone. Importantly, this part of the session resonated with me on a deeply personal level having experienced a very similar situation following the death of my own father some seven years previously. However, I felt able to </w:t>
      </w:r>
      <w:proofErr w:type="spellStart"/>
      <w:r w:rsidRPr="6E3E6D95" w:rsidR="6E3E6D95">
        <w:rPr>
          <w:rFonts w:ascii="Arial" w:hAnsi="Arial" w:eastAsia="Arial" w:cs="Arial"/>
          <w:noProof w:val="0"/>
          <w:color w:val="000000" w:themeColor="text1" w:themeTint="FF" w:themeShade="FF"/>
          <w:sz w:val="24"/>
          <w:szCs w:val="24"/>
          <w:lang w:val="en-US"/>
        </w:rPr>
        <w:t>recognise</w:t>
      </w:r>
      <w:proofErr w:type="spellEnd"/>
      <w:r w:rsidRPr="6E3E6D95" w:rsidR="6E3E6D95">
        <w:rPr>
          <w:rFonts w:ascii="Arial" w:hAnsi="Arial" w:eastAsia="Arial" w:cs="Arial"/>
          <w:noProof w:val="0"/>
          <w:color w:val="000000" w:themeColor="text1" w:themeTint="FF" w:themeShade="FF"/>
          <w:sz w:val="24"/>
          <w:szCs w:val="24"/>
          <w:lang w:val="en-US"/>
        </w:rPr>
        <w:t xml:space="preserve"> my own feelings and not perceive them to be the same as person X’s, which I believe is due to my recent exploration of the issue during personal therapy. Interestingly, Messina et al. (2018) found that trainee therapists associate their perceived development and healing involvement with having had personal therapy</w:t>
      </w:r>
      <w:r w:rsidRPr="6E3E6D95" w:rsidR="6E3E6D95">
        <w:rPr>
          <w:rFonts w:ascii="Arial" w:hAnsi="Arial" w:eastAsia="Arial" w:cs="Arial"/>
          <w:noProof w:val="0"/>
          <w:color w:val="000000" w:themeColor="text1" w:themeTint="FF" w:themeShade="FF"/>
          <w:sz w:val="24"/>
          <w:szCs w:val="24"/>
          <w:lang w:val="en-US"/>
        </w:rPr>
        <w:t xml:space="preserve"> -</w:t>
      </w:r>
      <w:r w:rsidRPr="6E3E6D95" w:rsidR="6E3E6D95">
        <w:rPr>
          <w:rFonts w:ascii="Arial" w:hAnsi="Arial" w:eastAsia="Arial" w:cs="Arial"/>
          <w:noProof w:val="0"/>
          <w:color w:val="000000" w:themeColor="text1" w:themeTint="FF" w:themeShade="FF"/>
          <w:sz w:val="24"/>
          <w:szCs w:val="24"/>
          <w:lang w:val="en-US"/>
        </w:rPr>
        <w:t xml:space="preserve"> healing involvement relating to factors including </w:t>
      </w:r>
      <w:r w:rsidRPr="6E3E6D95" w:rsidR="6E3E6D95">
        <w:rPr>
          <w:rFonts w:ascii="Arial" w:hAnsi="Arial" w:eastAsia="Arial" w:cs="Arial"/>
          <w:noProof w:val="0"/>
          <w:color w:val="000000" w:themeColor="text1" w:themeTint="FF" w:themeShade="FF"/>
          <w:sz w:val="24"/>
          <w:szCs w:val="24"/>
          <w:lang w:val="en-US"/>
        </w:rPr>
        <w:t>being able to rely on</w:t>
      </w:r>
      <w:r w:rsidRPr="6E3E6D95" w:rsidR="6E3E6D95">
        <w:rPr>
          <w:rFonts w:ascii="Arial" w:hAnsi="Arial" w:eastAsia="Arial" w:cs="Arial"/>
          <w:noProof w:val="0"/>
          <w:color w:val="000000" w:themeColor="text1" w:themeTint="FF" w:themeShade="FF"/>
          <w:sz w:val="24"/>
          <w:szCs w:val="24"/>
          <w:lang w:val="en-US"/>
        </w:rPr>
        <w:t xml:space="preserve"> coping strategies if difficulties arise during practice</w:t>
      </w:r>
      <w:r w:rsidRPr="6E3E6D95" w:rsidR="6E3E6D95">
        <w:rPr>
          <w:rFonts w:ascii="Arial" w:hAnsi="Arial" w:eastAsia="Arial" w:cs="Arial"/>
          <w:noProof w:val="0"/>
          <w:color w:val="000000" w:themeColor="text1" w:themeTint="FF" w:themeShade="FF"/>
          <w:sz w:val="24"/>
          <w:szCs w:val="24"/>
          <w:lang w:val="en-US"/>
        </w:rPr>
        <w:t>. This research</w:t>
      </w:r>
      <w:r w:rsidRPr="6E3E6D95" w:rsidR="6E3E6D95">
        <w:rPr>
          <w:rFonts w:ascii="Arial" w:hAnsi="Arial" w:eastAsia="Arial" w:cs="Arial"/>
          <w:noProof w:val="0"/>
          <w:color w:val="000000" w:themeColor="text1" w:themeTint="FF" w:themeShade="FF"/>
          <w:sz w:val="24"/>
          <w:szCs w:val="24"/>
          <w:lang w:val="en-US"/>
        </w:rPr>
        <w:t xml:space="preserve"> appears to support my experience</w:t>
      </w:r>
      <w:r w:rsidRPr="6E3E6D95" w:rsidR="6E3E6D95">
        <w:rPr>
          <w:rFonts w:ascii="Arial" w:hAnsi="Arial" w:eastAsia="Arial" w:cs="Arial"/>
          <w:noProof w:val="0"/>
          <w:color w:val="000000" w:themeColor="text1" w:themeTint="FF" w:themeShade="FF"/>
          <w:sz w:val="24"/>
          <w:szCs w:val="24"/>
          <w:lang w:val="en-US"/>
        </w:rPr>
        <w:t>; I acknowledged my own experience but was able to put it aside without it triggering any negative emotions</w:t>
      </w:r>
      <w:r w:rsidRPr="6E3E6D95" w:rsidR="6E3E6D95">
        <w:rPr>
          <w:rFonts w:ascii="Arial" w:hAnsi="Arial" w:eastAsia="Arial" w:cs="Arial"/>
          <w:noProof w:val="0"/>
          <w:color w:val="000000" w:themeColor="text1" w:themeTint="FF" w:themeShade="FF"/>
          <w:sz w:val="24"/>
          <w:szCs w:val="24"/>
          <w:lang w:val="en-US"/>
        </w:rPr>
        <w:t>. I</w:t>
      </w:r>
      <w:r w:rsidRPr="6E3E6D95" w:rsidR="6E3E6D95">
        <w:rPr>
          <w:rFonts w:ascii="Arial" w:hAnsi="Arial" w:eastAsia="Arial" w:cs="Arial"/>
          <w:noProof w:val="0"/>
          <w:color w:val="000000" w:themeColor="text1" w:themeTint="FF" w:themeShade="FF"/>
          <w:sz w:val="24"/>
          <w:szCs w:val="24"/>
          <w:lang w:val="en-US"/>
        </w:rPr>
        <w:t xml:space="preserve"> later felt I had been able to do that due to growth and awareness which had been a product of personal therapy. I</w:t>
      </w:r>
      <w:r w:rsidRPr="6E3E6D95" w:rsidR="6E3E6D95">
        <w:rPr>
          <w:rFonts w:ascii="Arial" w:hAnsi="Arial" w:eastAsia="Arial" w:cs="Arial"/>
          <w:noProof w:val="0"/>
          <w:color w:val="000000" w:themeColor="text1" w:themeTint="FF" w:themeShade="FF"/>
          <w:sz w:val="24"/>
          <w:szCs w:val="24"/>
          <w:lang w:val="en-US"/>
        </w:rPr>
        <w:t xml:space="preserve"> also feel it is important to note my perception of aloneness arose before our linked experience regarding the deaths of our fathers came to light, which further suggests the theme could indeed be worth exploring and suggests it was not merely a projection of my own emotions.</w:t>
      </w:r>
    </w:p>
    <w:p w:rsidR="2F673BD6" w:rsidP="2F673BD6" w:rsidRDefault="2F673BD6" w14:paraId="275D7CE6" w14:textId="31D4C3FB">
      <w:pPr>
        <w:pStyle w:val="Normal"/>
        <w:bidi w:val="0"/>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During this part of the session, person X spoke about “unfinished business” relating to the comment made by her mother following her father’s death; that it still “bugs” her many years later because she has never understood why </w:t>
      </w:r>
      <w:r w:rsidRPr="2F673BD6" w:rsidR="2F673BD6">
        <w:rPr>
          <w:rFonts w:ascii="Arial" w:hAnsi="Arial" w:eastAsia="Arial" w:cs="Arial"/>
          <w:noProof w:val="0"/>
          <w:color w:val="000000" w:themeColor="text1" w:themeTint="FF" w:themeShade="FF"/>
          <w:sz w:val="24"/>
          <w:szCs w:val="24"/>
          <w:lang w:val="en-US"/>
        </w:rPr>
        <w:t>it was said</w:t>
      </w:r>
      <w:r w:rsidRPr="2F673BD6" w:rsidR="2F673BD6">
        <w:rPr>
          <w:rFonts w:ascii="Arial" w:hAnsi="Arial" w:eastAsia="Arial" w:cs="Arial"/>
          <w:noProof w:val="0"/>
          <w:color w:val="000000" w:themeColor="text1" w:themeTint="FF" w:themeShade="FF"/>
          <w:sz w:val="24"/>
          <w:szCs w:val="24"/>
          <w:lang w:val="en-US"/>
        </w:rPr>
        <w:t xml:space="preserve">. The idea of “unfinished business” can be linked to </w:t>
      </w:r>
      <w:proofErr w:type="spellStart"/>
      <w:r w:rsidRPr="2F673BD6" w:rsidR="2F673BD6">
        <w:rPr>
          <w:rFonts w:ascii="Arial" w:hAnsi="Arial" w:eastAsia="Arial" w:cs="Arial"/>
          <w:noProof w:val="0"/>
          <w:color w:val="000000" w:themeColor="text1" w:themeTint="FF" w:themeShade="FF"/>
          <w:sz w:val="24"/>
          <w:szCs w:val="24"/>
          <w:lang w:val="en-US"/>
        </w:rPr>
        <w:t>Perls</w:t>
      </w:r>
      <w:proofErr w:type="spellEnd"/>
      <w:r w:rsidRPr="2F673BD6" w:rsidR="2F673BD6">
        <w:rPr>
          <w:rFonts w:ascii="Arial" w:hAnsi="Arial" w:eastAsia="Arial" w:cs="Arial"/>
          <w:noProof w:val="0"/>
          <w:color w:val="000000" w:themeColor="text1" w:themeTint="FF" w:themeShade="FF"/>
          <w:sz w:val="24"/>
          <w:szCs w:val="24"/>
          <w:lang w:val="en-US"/>
        </w:rPr>
        <w:t>’ Gestalt approach which refers to difficult issues from the past which remain unresolved (Joyce and Sills, 2018), with the therapist’s task being to find out what needs to happen in order for the client to be able to move on. The approach is wholly rooted in the here and now so the therapy is concerned with “resolving the past in the present” (Joyce and Sills, 2018, pp. 163), which can be achieved through activities such as empty chair work. This involves the client engaging in a dialogue with an imagined ‘other’ represented by the empty chair</w:t>
      </w:r>
      <w:r w:rsidRPr="2F673BD6" w:rsidR="2F673BD6">
        <w:rPr>
          <w:rFonts w:ascii="Arial" w:hAnsi="Arial" w:eastAsia="Arial" w:cs="Arial"/>
          <w:noProof w:val="0"/>
          <w:color w:val="000000" w:themeColor="text1" w:themeTint="FF" w:themeShade="FF"/>
          <w:sz w:val="24"/>
          <w:szCs w:val="24"/>
          <w:lang w:val="en-US"/>
        </w:rPr>
        <w:t xml:space="preserve"> (Ghahari, Zandnia et al., 2019)</w:t>
      </w:r>
      <w:r w:rsidRPr="2F673BD6" w:rsidR="2F673BD6">
        <w:rPr>
          <w:rFonts w:ascii="Arial" w:hAnsi="Arial" w:eastAsia="Arial" w:cs="Arial"/>
          <w:noProof w:val="0"/>
          <w:color w:val="000000" w:themeColor="text1" w:themeTint="FF" w:themeShade="FF"/>
          <w:sz w:val="24"/>
          <w:szCs w:val="24"/>
          <w:lang w:val="en-US"/>
        </w:rPr>
        <w:t xml:space="preserve">. </w:t>
      </w:r>
      <w:r w:rsidRPr="2F673BD6" w:rsidR="2F673BD6">
        <w:rPr>
          <w:rFonts w:ascii="Arial" w:hAnsi="Arial" w:eastAsia="Arial" w:cs="Arial"/>
          <w:noProof w:val="0"/>
          <w:color w:val="000000" w:themeColor="text1" w:themeTint="FF" w:themeShade="FF"/>
          <w:sz w:val="24"/>
          <w:szCs w:val="24"/>
          <w:lang w:val="en-US"/>
        </w:rPr>
        <w:t>It struck me that person X may find this activity helpful because she seemed adamant there was no point in discussing her “unfinished business” directly with her mother. Having only recently be</w:t>
      </w:r>
      <w:r w:rsidRPr="2F673BD6" w:rsidR="2F673BD6">
        <w:rPr>
          <w:rFonts w:ascii="Arial" w:hAnsi="Arial" w:eastAsia="Arial" w:cs="Arial"/>
          <w:noProof w:val="0"/>
          <w:color w:val="000000" w:themeColor="text1" w:themeTint="FF" w:themeShade="FF"/>
          <w:sz w:val="24"/>
          <w:szCs w:val="24"/>
          <w:lang w:val="en-US"/>
        </w:rPr>
        <w:t xml:space="preserve">come aware of </w:t>
      </w:r>
      <w:r w:rsidRPr="2F673BD6" w:rsidR="2F673BD6">
        <w:rPr>
          <w:rFonts w:ascii="Arial" w:hAnsi="Arial" w:eastAsia="Arial" w:cs="Arial"/>
          <w:noProof w:val="0"/>
          <w:color w:val="000000" w:themeColor="text1" w:themeTint="FF" w:themeShade="FF"/>
          <w:sz w:val="24"/>
          <w:szCs w:val="24"/>
          <w:lang w:val="en-US"/>
        </w:rPr>
        <w:t xml:space="preserve">the Gestalt approach, I </w:t>
      </w:r>
      <w:proofErr w:type="spellStart"/>
      <w:r w:rsidRPr="2F673BD6" w:rsidR="2F673BD6">
        <w:rPr>
          <w:rFonts w:ascii="Arial" w:hAnsi="Arial" w:eastAsia="Arial" w:cs="Arial"/>
          <w:noProof w:val="0"/>
          <w:color w:val="000000" w:themeColor="text1" w:themeTint="FF" w:themeShade="FF"/>
          <w:sz w:val="24"/>
          <w:szCs w:val="24"/>
          <w:lang w:val="en-US"/>
        </w:rPr>
        <w:t>realised</w:t>
      </w:r>
      <w:proofErr w:type="spellEnd"/>
      <w:r w:rsidRPr="2F673BD6" w:rsidR="2F673BD6">
        <w:rPr>
          <w:rFonts w:ascii="Arial" w:hAnsi="Arial" w:eastAsia="Arial" w:cs="Arial"/>
          <w:noProof w:val="0"/>
          <w:color w:val="000000" w:themeColor="text1" w:themeTint="FF" w:themeShade="FF"/>
          <w:sz w:val="24"/>
          <w:szCs w:val="24"/>
          <w:lang w:val="en-US"/>
        </w:rPr>
        <w:t xml:space="preserve"> following the session with person X that</w:t>
      </w:r>
      <w:r w:rsidRPr="2F673BD6" w:rsidR="2F673BD6">
        <w:rPr>
          <w:rFonts w:ascii="Arial" w:hAnsi="Arial" w:eastAsia="Arial" w:cs="Arial"/>
          <w:noProof w:val="0"/>
          <w:color w:val="000000" w:themeColor="text1" w:themeTint="FF" w:themeShade="FF"/>
          <w:sz w:val="24"/>
          <w:szCs w:val="24"/>
          <w:lang w:val="en-US"/>
        </w:rPr>
        <w:t xml:space="preserve"> </w:t>
      </w:r>
      <w:r w:rsidRPr="2F673BD6" w:rsidR="2F673BD6">
        <w:rPr>
          <w:rFonts w:ascii="Arial" w:hAnsi="Arial" w:eastAsia="Arial" w:cs="Arial"/>
          <w:noProof w:val="0"/>
          <w:color w:val="000000" w:themeColor="text1" w:themeTint="FF" w:themeShade="FF"/>
          <w:sz w:val="24"/>
          <w:szCs w:val="24"/>
          <w:lang w:val="en-US"/>
        </w:rPr>
        <w:t>the potential power of the empty chair exercise to heal is</w:t>
      </w:r>
      <w:r w:rsidRPr="2F673BD6" w:rsidR="2F673BD6">
        <w:rPr>
          <w:rFonts w:ascii="Arial" w:hAnsi="Arial" w:eastAsia="Arial" w:cs="Arial"/>
          <w:noProof w:val="0"/>
          <w:color w:val="000000" w:themeColor="text1" w:themeTint="FF" w:themeShade="FF"/>
          <w:sz w:val="24"/>
          <w:szCs w:val="24"/>
          <w:lang w:val="en-US"/>
        </w:rPr>
        <w:t xml:space="preserve"> </w:t>
      </w:r>
      <w:r w:rsidRPr="2F673BD6" w:rsidR="2F673BD6">
        <w:rPr>
          <w:rFonts w:ascii="Arial" w:hAnsi="Arial" w:eastAsia="Arial" w:cs="Arial"/>
          <w:noProof w:val="0"/>
          <w:color w:val="000000" w:themeColor="text1" w:themeTint="FF" w:themeShade="FF"/>
          <w:sz w:val="24"/>
          <w:szCs w:val="24"/>
          <w:lang w:val="en-US"/>
        </w:rPr>
        <w:t xml:space="preserve">something I would like to study in greater depth.  </w:t>
      </w:r>
    </w:p>
    <w:p w:rsidR="2F673BD6" w:rsidP="2F673BD6" w:rsidRDefault="2F673BD6" w14:paraId="0AB78027" w14:textId="29D7207E">
      <w:pPr>
        <w:pStyle w:val="Normal"/>
        <w:bidi w:val="0"/>
        <w:spacing w:before="0" w:beforeAutospacing="off" w:after="160" w:afterAutospacing="off" w:line="480" w:lineRule="auto"/>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I felt unprepared going into the session and was aware that this feeling was distracting me; in </w:t>
      </w:r>
      <w:proofErr w:type="gramStart"/>
      <w:r w:rsidRPr="2F673BD6" w:rsidR="2F673BD6">
        <w:rPr>
          <w:rFonts w:ascii="Arial" w:hAnsi="Arial" w:eastAsia="Arial" w:cs="Arial"/>
          <w:noProof w:val="0"/>
          <w:color w:val="000000" w:themeColor="text1" w:themeTint="FF" w:themeShade="FF"/>
          <w:sz w:val="24"/>
          <w:szCs w:val="24"/>
          <w:lang w:val="en-US"/>
        </w:rPr>
        <w:t>fact</w:t>
      </w:r>
      <w:proofErr w:type="gramEnd"/>
      <w:r w:rsidRPr="2F673BD6" w:rsidR="2F673BD6">
        <w:rPr>
          <w:rFonts w:ascii="Arial" w:hAnsi="Arial" w:eastAsia="Arial" w:cs="Arial"/>
          <w:noProof w:val="0"/>
          <w:color w:val="000000" w:themeColor="text1" w:themeTint="FF" w:themeShade="FF"/>
          <w:sz w:val="24"/>
          <w:szCs w:val="24"/>
          <w:lang w:val="en-US"/>
        </w:rPr>
        <w:t xml:space="preserve"> throughout the session I was unable to shake the feeling that I was not myself but could not work out why. It was as if I was watching myself going through the motions of demonstrating counselling skills without really being fully part of the process. Afterwards I was confused and frustrated because my sense of detachment seemed to contradict my engagement and interest in person X’s story. My first thought in trying to make meaning of my feelings was that I had become too engrossed in her experience and had lost sight of what I was supposed to be doing, which left me disappointed and feeling inadequate.</w:t>
      </w:r>
    </w:p>
    <w:p w:rsidR="2F673BD6" w:rsidP="2F673BD6" w:rsidRDefault="2F673BD6" w14:paraId="52A57E76" w14:textId="45E8D9F9">
      <w:pPr>
        <w:pStyle w:val="Normal"/>
        <w:bidi w:val="0"/>
        <w:spacing w:before="0" w:beforeAutospacing="off" w:after="160" w:afterAutospacing="off" w:line="480" w:lineRule="auto"/>
        <w:rPr>
          <w:rFonts w:ascii="Arial" w:hAnsi="Arial" w:eastAsia="Arial" w:cs="Arial"/>
          <w:noProof w:val="0"/>
          <w:color w:val="000000" w:themeColor="text1" w:themeTint="FF" w:themeShade="FF"/>
          <w:sz w:val="24"/>
          <w:szCs w:val="24"/>
          <w:lang w:val="en-US"/>
        </w:rPr>
      </w:pPr>
      <w:r w:rsidRPr="2F673BD6" w:rsidR="2F673BD6">
        <w:rPr>
          <w:rFonts w:ascii="Arial" w:hAnsi="Arial" w:eastAsia="Arial" w:cs="Arial"/>
          <w:noProof w:val="0"/>
          <w:color w:val="000000" w:themeColor="text1" w:themeTint="FF" w:themeShade="FF"/>
          <w:sz w:val="24"/>
          <w:szCs w:val="24"/>
          <w:lang w:val="en-US"/>
        </w:rPr>
        <w:t xml:space="preserve">I later </w:t>
      </w:r>
      <w:proofErr w:type="spellStart"/>
      <w:r w:rsidRPr="2F673BD6" w:rsidR="2F673BD6">
        <w:rPr>
          <w:rFonts w:ascii="Arial" w:hAnsi="Arial" w:eastAsia="Arial" w:cs="Arial"/>
          <w:noProof w:val="0"/>
          <w:color w:val="000000" w:themeColor="text1" w:themeTint="FF" w:themeShade="FF"/>
          <w:sz w:val="24"/>
          <w:szCs w:val="24"/>
          <w:lang w:val="en-US"/>
        </w:rPr>
        <w:t>realised</w:t>
      </w:r>
      <w:proofErr w:type="spellEnd"/>
      <w:r w:rsidRPr="2F673BD6" w:rsidR="2F673BD6">
        <w:rPr>
          <w:rFonts w:ascii="Arial" w:hAnsi="Arial" w:eastAsia="Arial" w:cs="Arial"/>
          <w:noProof w:val="0"/>
          <w:color w:val="000000" w:themeColor="text1" w:themeTint="FF" w:themeShade="FF"/>
          <w:sz w:val="24"/>
          <w:szCs w:val="24"/>
          <w:lang w:val="en-US"/>
        </w:rPr>
        <w:t xml:space="preserve"> I had been struggling with these same feelings for </w:t>
      </w:r>
      <w:proofErr w:type="gramStart"/>
      <w:r w:rsidRPr="2F673BD6" w:rsidR="2F673BD6">
        <w:rPr>
          <w:rFonts w:ascii="Arial" w:hAnsi="Arial" w:eastAsia="Arial" w:cs="Arial"/>
          <w:noProof w:val="0"/>
          <w:color w:val="000000" w:themeColor="text1" w:themeTint="FF" w:themeShade="FF"/>
          <w:sz w:val="24"/>
          <w:szCs w:val="24"/>
          <w:lang w:val="en-US"/>
        </w:rPr>
        <w:t>a number of</w:t>
      </w:r>
      <w:proofErr w:type="gramEnd"/>
      <w:r w:rsidRPr="2F673BD6" w:rsidR="2F673BD6">
        <w:rPr>
          <w:rFonts w:ascii="Arial" w:hAnsi="Arial" w:eastAsia="Arial" w:cs="Arial"/>
          <w:noProof w:val="0"/>
          <w:color w:val="000000" w:themeColor="text1" w:themeTint="FF" w:themeShade="FF"/>
          <w:sz w:val="24"/>
          <w:szCs w:val="24"/>
          <w:lang w:val="en-US"/>
        </w:rPr>
        <w:t xml:space="preserve"> weeks while working in different dyads/triads. I wondered whether this might be because I was finding it difficult to put aside theoretical learnings from earlier in the day to concentrate on practical work in the afternoon, therefore I was not fully present in the dyad. I raised my concerns with one of my tutors who offered reassurance in relation to my early stage of training. This reassurance went some way in alleviating my feelings of inadequacy but still left me with a strange sense of disconnection. I wondered why person X did not pick up on it during or after the session, and whether this was perhaps because the disconnection was not between her and I but contained within myself. This may explain why our relationship seemed to have started on a sound footing; we felt a connection with each other despite the disconnection I was experiencing internally. </w:t>
      </w:r>
    </w:p>
    <w:p w:rsidR="6E3E6D95" w:rsidP="6E3E6D95" w:rsidRDefault="6E3E6D95" w14:paraId="0968A73D" w14:textId="76572EA3">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 xml:space="preserve">Research by Cartwright and Gardner (2016) found trainees in the role of therapist experienced a sense of </w:t>
      </w:r>
      <w:proofErr w:type="spellStart"/>
      <w:r w:rsidRPr="6E3E6D95" w:rsidR="6E3E6D95">
        <w:rPr>
          <w:rFonts w:ascii="Arial" w:hAnsi="Arial" w:eastAsia="Arial" w:cs="Arial"/>
          <w:noProof w:val="0"/>
          <w:color w:val="000000" w:themeColor="text1" w:themeTint="FF" w:themeShade="FF"/>
          <w:sz w:val="24"/>
          <w:szCs w:val="24"/>
          <w:lang w:val="en-US"/>
        </w:rPr>
        <w:t>depersonalisation</w:t>
      </w:r>
      <w:proofErr w:type="spellEnd"/>
      <w:r w:rsidRPr="6E3E6D95" w:rsidR="6E3E6D95">
        <w:rPr>
          <w:rFonts w:ascii="Arial" w:hAnsi="Arial" w:eastAsia="Arial" w:cs="Arial"/>
          <w:noProof w:val="0"/>
          <w:color w:val="000000" w:themeColor="text1" w:themeTint="FF" w:themeShade="FF"/>
          <w:sz w:val="24"/>
          <w:szCs w:val="24"/>
          <w:lang w:val="en-US"/>
        </w:rPr>
        <w:t xml:space="preserve"> due to a split between the personal and the professional self, which resonates with my situation. The authors’ study on trainee difficulties with therapeutic engagement found some of their subjects wished to separate their personal selves from their trainee selves, a self-imposed distinction relating to their perception that they should not show too much of themselves when they are in training mode because it may be shameful or embarrassing to do so. I wonder if I therefore hid my real self and adopted a “mask” of how I thought a therapist should act in order to feel and be perceived as more capable. Feelings of inadequacy could also indicate imposter syndrome, defined as an inner belief that success is due to factors such as hard work or luck rather than abilities or intelligence (Wang, Sheveleva and </w:t>
      </w:r>
      <w:proofErr w:type="spellStart"/>
      <w:r w:rsidRPr="6E3E6D95" w:rsidR="6E3E6D95">
        <w:rPr>
          <w:rFonts w:ascii="Arial" w:hAnsi="Arial" w:eastAsia="Arial" w:cs="Arial"/>
          <w:noProof w:val="0"/>
          <w:color w:val="000000" w:themeColor="text1" w:themeTint="FF" w:themeShade="FF"/>
          <w:sz w:val="24"/>
          <w:szCs w:val="24"/>
          <w:lang w:val="en-US"/>
        </w:rPr>
        <w:t>Permyakova</w:t>
      </w:r>
      <w:proofErr w:type="spellEnd"/>
      <w:r w:rsidRPr="6E3E6D95" w:rsidR="6E3E6D95">
        <w:rPr>
          <w:rFonts w:ascii="Arial" w:hAnsi="Arial" w:eastAsia="Arial" w:cs="Arial"/>
          <w:noProof w:val="0"/>
          <w:color w:val="000000" w:themeColor="text1" w:themeTint="FF" w:themeShade="FF"/>
          <w:sz w:val="24"/>
          <w:szCs w:val="24"/>
          <w:lang w:val="en-US"/>
        </w:rPr>
        <w:t xml:space="preserve">, 2019), or that the person feels they do not belong in their academic or working environment despite their qualifications and achievements (Leonhardt, </w:t>
      </w:r>
      <w:proofErr w:type="spellStart"/>
      <w:r w:rsidRPr="6E3E6D95" w:rsidR="6E3E6D95">
        <w:rPr>
          <w:rFonts w:ascii="Arial" w:hAnsi="Arial" w:eastAsia="Arial" w:cs="Arial"/>
          <w:noProof w:val="0"/>
          <w:color w:val="000000" w:themeColor="text1" w:themeTint="FF" w:themeShade="FF"/>
          <w:sz w:val="24"/>
          <w:szCs w:val="24"/>
          <w:lang w:val="en-US"/>
        </w:rPr>
        <w:t>Bechtoldt</w:t>
      </w:r>
      <w:proofErr w:type="spellEnd"/>
      <w:r w:rsidRPr="6E3E6D95" w:rsidR="6E3E6D95">
        <w:rPr>
          <w:rFonts w:ascii="Arial" w:hAnsi="Arial" w:eastAsia="Arial" w:cs="Arial"/>
          <w:noProof w:val="0"/>
          <w:color w:val="000000" w:themeColor="text1" w:themeTint="FF" w:themeShade="FF"/>
          <w:sz w:val="24"/>
          <w:szCs w:val="24"/>
          <w:lang w:val="en-US"/>
        </w:rPr>
        <w:t xml:space="preserve"> and </w:t>
      </w:r>
      <w:proofErr w:type="spellStart"/>
      <w:r w:rsidRPr="6E3E6D95" w:rsidR="6E3E6D95">
        <w:rPr>
          <w:rFonts w:ascii="Arial" w:hAnsi="Arial" w:eastAsia="Arial" w:cs="Arial"/>
          <w:b w:val="0"/>
          <w:bCs w:val="0"/>
          <w:noProof w:val="0"/>
          <w:color w:val="000000" w:themeColor="text1" w:themeTint="FF" w:themeShade="FF"/>
          <w:sz w:val="24"/>
          <w:szCs w:val="24"/>
          <w:u w:val="none"/>
          <w:lang w:val="en-US"/>
        </w:rPr>
        <w:t>Rohrmann</w:t>
      </w:r>
      <w:proofErr w:type="spellEnd"/>
      <w:r w:rsidRPr="6E3E6D95" w:rsidR="6E3E6D95">
        <w:rPr>
          <w:rFonts w:ascii="Arial" w:hAnsi="Arial" w:eastAsia="Arial" w:cs="Arial"/>
          <w:b w:val="0"/>
          <w:bCs w:val="0"/>
          <w:noProof w:val="0"/>
          <w:color w:val="000000" w:themeColor="text1" w:themeTint="FF" w:themeShade="FF"/>
          <w:sz w:val="24"/>
          <w:szCs w:val="24"/>
          <w:u w:val="none"/>
          <w:lang w:val="en-US"/>
        </w:rPr>
        <w:t>, 2017), which may also hold some weight in relation to my situation.</w:t>
      </w:r>
    </w:p>
    <w:p w:rsidR="6E3E6D95" w:rsidP="6E3E6D95" w:rsidRDefault="6E3E6D95" w14:paraId="0DCB078A" w14:textId="29AC2913">
      <w:pPr>
        <w:pStyle w:val="Normal"/>
        <w:bidi w:val="0"/>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Through reflecting on my skills practice I have concluded that I was not being my genuine self, or congruent, in the role of counsellor. Nelson-Jones (2015) states a congruent counsellor communicates how they really are rather than how they think they should be, while Proctor (2017), believes a therapist’s incongruence occurs when their experience and awareness do not match, both of which appear to support my reflection and perhaps explain my feelings of detachment and confusion in relation to the session. Congruence, believed Rogers (1980), is the most basic of the three core conditions of the person-</w:t>
      </w:r>
      <w:proofErr w:type="spellStart"/>
      <w:r w:rsidRPr="6E3E6D95" w:rsidR="6E3E6D95">
        <w:rPr>
          <w:rFonts w:ascii="Arial" w:hAnsi="Arial" w:eastAsia="Arial" w:cs="Arial"/>
          <w:noProof w:val="0"/>
          <w:color w:val="000000" w:themeColor="text1" w:themeTint="FF" w:themeShade="FF"/>
          <w:sz w:val="24"/>
          <w:szCs w:val="24"/>
          <w:lang w:val="en-US"/>
        </w:rPr>
        <w:t>centred</w:t>
      </w:r>
      <w:proofErr w:type="spellEnd"/>
      <w:r w:rsidRPr="6E3E6D95" w:rsidR="6E3E6D95">
        <w:rPr>
          <w:rFonts w:ascii="Arial" w:hAnsi="Arial" w:eastAsia="Arial" w:cs="Arial"/>
          <w:noProof w:val="0"/>
          <w:color w:val="000000" w:themeColor="text1" w:themeTint="FF" w:themeShade="FF"/>
          <w:sz w:val="24"/>
          <w:szCs w:val="24"/>
          <w:lang w:val="en-US"/>
        </w:rPr>
        <w:t xml:space="preserve"> approach – the others being empathy and unconditional positive regard (UPR) – and involves the therapist being genuine, open and authentic in relation to the client. The more the therapist is able to be themselves – without hiding behind a professional front or personal façade – the more the therapeutic relationship is thought to deepen, which helps clients feel more comfortable in exploring and processing their emotions (</w:t>
      </w:r>
      <w:proofErr w:type="spellStart"/>
      <w:r w:rsidRPr="6E3E6D95" w:rsidR="6E3E6D95">
        <w:rPr>
          <w:rFonts w:ascii="Arial" w:hAnsi="Arial" w:eastAsia="Arial" w:cs="Arial"/>
          <w:noProof w:val="0"/>
          <w:color w:val="000000" w:themeColor="text1" w:themeTint="FF" w:themeShade="FF"/>
          <w:sz w:val="24"/>
          <w:szCs w:val="24"/>
          <w:lang w:val="en-US"/>
        </w:rPr>
        <w:t>Koole</w:t>
      </w:r>
      <w:proofErr w:type="spellEnd"/>
      <w:r w:rsidRPr="6E3E6D95" w:rsidR="6E3E6D95">
        <w:rPr>
          <w:rFonts w:ascii="Arial" w:hAnsi="Arial" w:eastAsia="Arial" w:cs="Arial"/>
          <w:noProof w:val="0"/>
          <w:color w:val="000000" w:themeColor="text1" w:themeTint="FF" w:themeShade="FF"/>
          <w:sz w:val="24"/>
          <w:szCs w:val="24"/>
          <w:lang w:val="en-US"/>
        </w:rPr>
        <w:t xml:space="preserve"> and </w:t>
      </w:r>
      <w:proofErr w:type="spellStart"/>
      <w:r w:rsidRPr="6E3E6D95" w:rsidR="6E3E6D95">
        <w:rPr>
          <w:rFonts w:ascii="Arial" w:hAnsi="Arial" w:eastAsia="Arial" w:cs="Arial"/>
          <w:noProof w:val="0"/>
          <w:color w:val="000000" w:themeColor="text1" w:themeTint="FF" w:themeShade="FF"/>
          <w:sz w:val="24"/>
          <w:szCs w:val="24"/>
          <w:lang w:val="en-US"/>
        </w:rPr>
        <w:t>Tschacher</w:t>
      </w:r>
      <w:proofErr w:type="spellEnd"/>
      <w:r w:rsidRPr="6E3E6D95" w:rsidR="6E3E6D95">
        <w:rPr>
          <w:rFonts w:ascii="Arial" w:hAnsi="Arial" w:eastAsia="Arial" w:cs="Arial"/>
          <w:noProof w:val="0"/>
          <w:color w:val="000000" w:themeColor="text1" w:themeTint="FF" w:themeShade="FF"/>
          <w:sz w:val="24"/>
          <w:szCs w:val="24"/>
          <w:lang w:val="en-US"/>
        </w:rPr>
        <w:t>, 2016), and therefore contributes to their growth and development. Indeed, greater congruence in the relationship between counsellor and client has been found to predict more successful therapeutic outcomes (Laws et al., 2016). Its importance has also been noted by authors such as Proctor (2017), who suggests empathy and UPR are born out of congruence. It therefore appears that congruence is a vital ingredient in person-</w:t>
      </w:r>
      <w:proofErr w:type="spellStart"/>
      <w:r w:rsidRPr="6E3E6D95" w:rsidR="6E3E6D95">
        <w:rPr>
          <w:rFonts w:ascii="Arial" w:hAnsi="Arial" w:eastAsia="Arial" w:cs="Arial"/>
          <w:noProof w:val="0"/>
          <w:color w:val="000000" w:themeColor="text1" w:themeTint="FF" w:themeShade="FF"/>
          <w:sz w:val="24"/>
          <w:szCs w:val="24"/>
          <w:lang w:val="en-US"/>
        </w:rPr>
        <w:t>centred</w:t>
      </w:r>
      <w:proofErr w:type="spellEnd"/>
      <w:r w:rsidRPr="6E3E6D95" w:rsidR="6E3E6D95">
        <w:rPr>
          <w:rFonts w:ascii="Arial" w:hAnsi="Arial" w:eastAsia="Arial" w:cs="Arial"/>
          <w:noProof w:val="0"/>
          <w:color w:val="000000" w:themeColor="text1" w:themeTint="FF" w:themeShade="FF"/>
          <w:sz w:val="24"/>
          <w:szCs w:val="24"/>
          <w:lang w:val="en-US"/>
        </w:rPr>
        <w:t xml:space="preserve"> therapy; without it a therapist is unable to demonstrate empathy and UPR. These are the core relational conditions Rogers (1957) deemed necessary for therapists to demonstrate </w:t>
      </w:r>
      <w:proofErr w:type="gramStart"/>
      <w:r w:rsidRPr="6E3E6D95" w:rsidR="6E3E6D95">
        <w:rPr>
          <w:rFonts w:ascii="Arial" w:hAnsi="Arial" w:eastAsia="Arial" w:cs="Arial"/>
          <w:noProof w:val="0"/>
          <w:color w:val="000000" w:themeColor="text1" w:themeTint="FF" w:themeShade="FF"/>
          <w:sz w:val="24"/>
          <w:szCs w:val="24"/>
          <w:lang w:val="en-US"/>
        </w:rPr>
        <w:t>in order for</w:t>
      </w:r>
      <w:proofErr w:type="gramEnd"/>
      <w:r w:rsidRPr="6E3E6D95" w:rsidR="6E3E6D95">
        <w:rPr>
          <w:rFonts w:ascii="Arial" w:hAnsi="Arial" w:eastAsia="Arial" w:cs="Arial"/>
          <w:noProof w:val="0"/>
          <w:color w:val="000000" w:themeColor="text1" w:themeTint="FF" w:themeShade="FF"/>
          <w:sz w:val="24"/>
          <w:szCs w:val="24"/>
          <w:lang w:val="en-US"/>
        </w:rPr>
        <w:t xml:space="preserve"> clients to become more fully functioning on a psychological level. I now </w:t>
      </w:r>
      <w:proofErr w:type="spellStart"/>
      <w:r w:rsidRPr="6E3E6D95" w:rsidR="6E3E6D95">
        <w:rPr>
          <w:rFonts w:ascii="Arial" w:hAnsi="Arial" w:eastAsia="Arial" w:cs="Arial"/>
          <w:noProof w:val="0"/>
          <w:color w:val="000000" w:themeColor="text1" w:themeTint="FF" w:themeShade="FF"/>
          <w:sz w:val="24"/>
          <w:szCs w:val="24"/>
          <w:lang w:val="en-US"/>
        </w:rPr>
        <w:t>realise</w:t>
      </w:r>
      <w:proofErr w:type="spellEnd"/>
      <w:r w:rsidRPr="6E3E6D95" w:rsidR="6E3E6D95">
        <w:rPr>
          <w:rFonts w:ascii="Arial" w:hAnsi="Arial" w:eastAsia="Arial" w:cs="Arial"/>
          <w:noProof w:val="0"/>
          <w:color w:val="000000" w:themeColor="text1" w:themeTint="FF" w:themeShade="FF"/>
          <w:sz w:val="24"/>
          <w:szCs w:val="24"/>
          <w:lang w:val="en-US"/>
        </w:rPr>
        <w:t xml:space="preserve"> it is likely that I was </w:t>
      </w:r>
      <w:r w:rsidRPr="6E3E6D95" w:rsidR="6E3E6D95">
        <w:rPr>
          <w:rFonts w:ascii="Arial" w:hAnsi="Arial" w:eastAsia="Arial" w:cs="Arial"/>
          <w:i w:val="1"/>
          <w:iCs w:val="1"/>
          <w:noProof w:val="0"/>
          <w:color w:val="000000" w:themeColor="text1" w:themeTint="FF" w:themeShade="FF"/>
          <w:sz w:val="24"/>
          <w:szCs w:val="24"/>
          <w:lang w:val="en-US"/>
        </w:rPr>
        <w:t xml:space="preserve">acting </w:t>
      </w:r>
      <w:r w:rsidRPr="6E3E6D95" w:rsidR="6E3E6D95">
        <w:rPr>
          <w:rFonts w:ascii="Arial" w:hAnsi="Arial" w:eastAsia="Arial" w:cs="Arial"/>
          <w:noProof w:val="0"/>
          <w:color w:val="000000" w:themeColor="text1" w:themeTint="FF" w:themeShade="FF"/>
          <w:sz w:val="24"/>
          <w:szCs w:val="24"/>
          <w:lang w:val="en-US"/>
        </w:rPr>
        <w:t xml:space="preserve">congruently rather than </w:t>
      </w:r>
      <w:r w:rsidRPr="6E3E6D95" w:rsidR="6E3E6D95">
        <w:rPr>
          <w:rFonts w:ascii="Arial" w:hAnsi="Arial" w:eastAsia="Arial" w:cs="Arial"/>
          <w:i w:val="1"/>
          <w:iCs w:val="1"/>
          <w:noProof w:val="0"/>
          <w:color w:val="000000" w:themeColor="text1" w:themeTint="FF" w:themeShade="FF"/>
          <w:sz w:val="24"/>
          <w:szCs w:val="24"/>
          <w:lang w:val="en-US"/>
        </w:rPr>
        <w:t xml:space="preserve">being </w:t>
      </w:r>
      <w:r w:rsidRPr="6E3E6D95" w:rsidR="6E3E6D95">
        <w:rPr>
          <w:rFonts w:ascii="Arial" w:hAnsi="Arial" w:eastAsia="Arial" w:cs="Arial"/>
          <w:noProof w:val="0"/>
          <w:color w:val="000000" w:themeColor="text1" w:themeTint="FF" w:themeShade="FF"/>
          <w:sz w:val="24"/>
          <w:szCs w:val="24"/>
          <w:lang w:val="en-US"/>
        </w:rPr>
        <w:t xml:space="preserve">congruent. I wonder if the professional “mask” I have learned to display through 20 years of my career as a journalist is proving difficult to strip away in skills practice. It seems this difficulty has been particularly apparent during the early stages of the therapeutic relationship. This possibly explains why I had felt a sense of disconnection for </w:t>
      </w:r>
      <w:proofErr w:type="gramStart"/>
      <w:r w:rsidRPr="6E3E6D95" w:rsidR="6E3E6D95">
        <w:rPr>
          <w:rFonts w:ascii="Arial" w:hAnsi="Arial" w:eastAsia="Arial" w:cs="Arial"/>
          <w:noProof w:val="0"/>
          <w:color w:val="000000" w:themeColor="text1" w:themeTint="FF" w:themeShade="FF"/>
          <w:sz w:val="24"/>
          <w:szCs w:val="24"/>
          <w:lang w:val="en-US"/>
        </w:rPr>
        <w:t>a number of</w:t>
      </w:r>
      <w:proofErr w:type="gramEnd"/>
      <w:r w:rsidRPr="6E3E6D95" w:rsidR="6E3E6D95">
        <w:rPr>
          <w:rFonts w:ascii="Arial" w:hAnsi="Arial" w:eastAsia="Arial" w:cs="Arial"/>
          <w:noProof w:val="0"/>
          <w:color w:val="000000" w:themeColor="text1" w:themeTint="FF" w:themeShade="FF"/>
          <w:sz w:val="24"/>
          <w:szCs w:val="24"/>
          <w:lang w:val="en-US"/>
        </w:rPr>
        <w:t xml:space="preserve"> weeks while working with a number of different people, often for the first time. It is also possible that my incongruence stems from a fear of showing my real self in the role of counsellor; hiding behind a professional façade acts as a metaphorical comfort blanket which disguises a lack of confidence in my abilities.</w:t>
      </w:r>
    </w:p>
    <w:p w:rsidR="2F673BD6" w:rsidP="6E3E6D95" w:rsidRDefault="2F673BD6" w14:paraId="565EE322" w14:textId="48BA6B98">
      <w:pPr>
        <w:pStyle w:val="Normal"/>
        <w:spacing w:before="0" w:beforeAutospacing="off" w:after="160" w:afterAutospacing="off" w:line="480" w:lineRule="auto"/>
        <w:ind w:left="0" w:right="0"/>
        <w:jc w:val="left"/>
        <w:rPr>
          <w:rFonts w:ascii="Arial" w:hAnsi="Arial" w:eastAsia="Arial" w:cs="Arial"/>
          <w:noProof w:val="0"/>
          <w:color w:val="000000" w:themeColor="text1" w:themeTint="FF" w:themeShade="FF"/>
          <w:sz w:val="24"/>
          <w:szCs w:val="24"/>
          <w:lang w:val="en-US"/>
        </w:rPr>
      </w:pPr>
      <w:r w:rsidRPr="6E3E6D95" w:rsidR="6E3E6D95">
        <w:rPr>
          <w:rFonts w:ascii="Arial" w:hAnsi="Arial" w:eastAsia="Arial" w:cs="Arial"/>
          <w:noProof w:val="0"/>
          <w:color w:val="000000" w:themeColor="text1" w:themeTint="FF" w:themeShade="FF"/>
          <w:sz w:val="24"/>
          <w:szCs w:val="24"/>
          <w:lang w:val="en-US"/>
        </w:rPr>
        <w:t xml:space="preserve">Developing congruence is vital within my skills practice. This will enable me to demonstrate empathy and UPR at more than just a superficial level, which I believe was the case during this and prior recordings. I would infer from the research noted in this report that without one (or more) of the core conditions being present, the chance of a strong therapeutic relationship and therefore a successful therapeutic outcome are at best limited, if not impossible, which confirms the importance of becoming more congruent in the role of counsellor. In other words, if I am not genuine in the role of </w:t>
      </w:r>
      <w:proofErr w:type="gramStart"/>
      <w:r w:rsidRPr="6E3E6D95" w:rsidR="6E3E6D95">
        <w:rPr>
          <w:rFonts w:ascii="Arial" w:hAnsi="Arial" w:eastAsia="Arial" w:cs="Arial"/>
          <w:noProof w:val="0"/>
          <w:color w:val="000000" w:themeColor="text1" w:themeTint="FF" w:themeShade="FF"/>
          <w:sz w:val="24"/>
          <w:szCs w:val="24"/>
          <w:lang w:val="en-US"/>
        </w:rPr>
        <w:t>counsellor</w:t>
      </w:r>
      <w:proofErr w:type="gramEnd"/>
      <w:r w:rsidRPr="6E3E6D95" w:rsidR="6E3E6D95">
        <w:rPr>
          <w:rFonts w:ascii="Arial" w:hAnsi="Arial" w:eastAsia="Arial" w:cs="Arial"/>
          <w:noProof w:val="0"/>
          <w:color w:val="000000" w:themeColor="text1" w:themeTint="FF" w:themeShade="FF"/>
          <w:sz w:val="24"/>
          <w:szCs w:val="24"/>
          <w:lang w:val="en-US"/>
        </w:rPr>
        <w:t xml:space="preserve"> I am unable to create the conditions in which growth occurs for my “client”. Congruence, states Tolan (2017), involves the therapist’s conscious awareness of their own instinctive reactions and motivations in relation to the client and their ability to create a “distortion-free zone” (pp. 45). This suggests my personal and professional selves could become more integrated – and therefore less distorted – through achieving greater self-awareness and being able to instinctively tap into this self-awareness in the moment as an immediate reaction to how I am feeling. As previously explored, self-awareness is a product of self-reflection, which is considered vital to professional development in the counselling field. As a trainee, I will continue to focus on self-reflection through personal therapy, personal development with my peer group, supervision from my tutors and when I begin my volunteer placement, </w:t>
      </w:r>
      <w:proofErr w:type="gramStart"/>
      <w:r w:rsidRPr="6E3E6D95" w:rsidR="6E3E6D95">
        <w:rPr>
          <w:rFonts w:ascii="Arial" w:hAnsi="Arial" w:eastAsia="Arial" w:cs="Arial"/>
          <w:noProof w:val="0"/>
          <w:color w:val="000000" w:themeColor="text1" w:themeTint="FF" w:themeShade="FF"/>
          <w:sz w:val="24"/>
          <w:szCs w:val="24"/>
          <w:lang w:val="en-US"/>
        </w:rPr>
        <w:t>and also</w:t>
      </w:r>
      <w:proofErr w:type="gramEnd"/>
      <w:r w:rsidRPr="6E3E6D95" w:rsidR="6E3E6D95">
        <w:rPr>
          <w:rFonts w:ascii="Arial" w:hAnsi="Arial" w:eastAsia="Arial" w:cs="Arial"/>
          <w:noProof w:val="0"/>
          <w:color w:val="000000" w:themeColor="text1" w:themeTint="FF" w:themeShade="FF"/>
          <w:sz w:val="24"/>
          <w:szCs w:val="24"/>
          <w:lang w:val="en-US"/>
        </w:rPr>
        <w:t xml:space="preserve"> through journaling and process notes following skills practice. This will help me achieve greater self-awareness of my internal experiences since they provide such an important link to congruence (Cochran and Cochran, 2015) and I am hopeful greater self-awareness will lead to greater confidence in my skills practice.</w:t>
      </w:r>
    </w:p>
    <w:p w:rsidR="2F673BD6" w:rsidP="2F673BD6" w:rsidRDefault="2F673BD6" w14:paraId="182C9CB4" w14:textId="3AA7F284">
      <w:pPr>
        <w:pStyle w:val="Normal"/>
        <w:spacing w:before="0" w:beforeAutospacing="off" w:after="160" w:afterAutospacing="off" w:line="480" w:lineRule="auto"/>
        <w:ind w:left="0" w:right="0"/>
        <w:jc w:val="left"/>
        <w:rPr>
          <w:rFonts w:ascii="Arial" w:hAnsi="Arial" w:eastAsia="Arial" w:cs="Arial"/>
          <w:b w:val="0"/>
          <w:bCs w:val="0"/>
          <w:noProof w:val="0"/>
          <w:color w:val="000000" w:themeColor="text1" w:themeTint="FF" w:themeShade="FF"/>
          <w:sz w:val="24"/>
          <w:szCs w:val="24"/>
          <w:u w:val="none"/>
          <w:lang w:val="en-US"/>
        </w:rPr>
      </w:pPr>
      <w:r w:rsidRPr="2F673BD6" w:rsidR="2F673BD6">
        <w:rPr>
          <w:rFonts w:ascii="Arial" w:hAnsi="Arial" w:eastAsia="Arial" w:cs="Arial"/>
          <w:b w:val="1"/>
          <w:bCs w:val="1"/>
          <w:noProof w:val="0"/>
          <w:color w:val="000000" w:themeColor="text1" w:themeTint="FF" w:themeShade="FF"/>
          <w:sz w:val="24"/>
          <w:szCs w:val="24"/>
          <w:u w:val="none"/>
          <w:lang w:val="en-US"/>
        </w:rPr>
        <w:t>References</w:t>
      </w:r>
    </w:p>
    <w:p w:rsidR="2F673BD6" w:rsidP="2F673BD6" w:rsidRDefault="2F673BD6" w14:paraId="78E258C6" w14:textId="56D7184A">
      <w:pPr>
        <w:spacing w:line="480" w:lineRule="auto"/>
        <w:jc w:val="left"/>
      </w:pPr>
      <w:r w:rsidRPr="2F673BD6" w:rsidR="2F673BD6">
        <w:rPr>
          <w:rFonts w:ascii="Arial" w:hAnsi="Arial" w:eastAsia="Arial" w:cs="Arial"/>
          <w:noProof w:val="0"/>
          <w:sz w:val="24"/>
          <w:szCs w:val="24"/>
          <w:lang w:val="en-US"/>
        </w:rPr>
        <w:t>British Association for Counselling and Psychotherapy</w:t>
      </w:r>
      <w:r w:rsidRPr="2F673BD6" w:rsidR="2F673BD6">
        <w:rPr>
          <w:rFonts w:ascii="Calibri" w:hAnsi="Calibri" w:eastAsia="Calibri" w:cs="Calibri"/>
          <w:noProof w:val="0"/>
          <w:sz w:val="22"/>
          <w:szCs w:val="22"/>
          <w:lang w:val="en-US"/>
        </w:rPr>
        <w:t xml:space="preserve"> (BACP)</w:t>
      </w:r>
      <w:r w:rsidRPr="2F673BD6" w:rsidR="2F673BD6">
        <w:rPr>
          <w:rFonts w:ascii="Arial" w:hAnsi="Arial" w:eastAsia="Arial" w:cs="Arial"/>
          <w:noProof w:val="0"/>
          <w:sz w:val="24"/>
          <w:szCs w:val="24"/>
          <w:lang w:val="en-US"/>
        </w:rPr>
        <w:t xml:space="preserve">, (2019). </w:t>
      </w:r>
      <w:r w:rsidRPr="2F673BD6" w:rsidR="2F673BD6">
        <w:rPr>
          <w:rFonts w:ascii="Arial" w:hAnsi="Arial" w:eastAsia="Arial" w:cs="Arial"/>
          <w:i w:val="1"/>
          <w:iCs w:val="1"/>
          <w:noProof w:val="0"/>
          <w:sz w:val="24"/>
          <w:szCs w:val="24"/>
          <w:lang w:val="en-US"/>
        </w:rPr>
        <w:t>What do counsellors and psychotherapists mean by ‘professional boundaries’?</w:t>
      </w:r>
      <w:r w:rsidRPr="2F673BD6" w:rsidR="2F673BD6">
        <w:rPr>
          <w:rFonts w:ascii="Arial" w:hAnsi="Arial" w:eastAsia="Arial" w:cs="Arial"/>
          <w:noProof w:val="0"/>
          <w:sz w:val="24"/>
          <w:szCs w:val="24"/>
          <w:lang w:val="en-US"/>
        </w:rPr>
        <w:t xml:space="preserve"> Available at: </w:t>
      </w:r>
      <w:hyperlink r:id="Rd40dff865e074ec1">
        <w:r w:rsidRPr="2F673BD6" w:rsidR="2F673BD6">
          <w:rPr>
            <w:rStyle w:val="Hyperlink"/>
            <w:rFonts w:ascii="Arial" w:hAnsi="Arial" w:eastAsia="Arial" w:cs="Arial"/>
            <w:noProof w:val="0"/>
            <w:color w:val="0563C1"/>
            <w:sz w:val="24"/>
            <w:szCs w:val="24"/>
            <w:u w:val="single"/>
            <w:lang w:val="en-US"/>
          </w:rPr>
          <w:t>https://www.bacp.co.uk/media/2638/bacp-what-therapists-mean-by-professional-boundaries-c4.pdf</w:t>
        </w:r>
      </w:hyperlink>
      <w:r w:rsidRPr="2F673BD6" w:rsidR="2F673BD6">
        <w:rPr>
          <w:rFonts w:ascii="Arial" w:hAnsi="Arial" w:eastAsia="Arial" w:cs="Arial"/>
          <w:noProof w:val="0"/>
          <w:color w:val="0563C1"/>
          <w:sz w:val="24"/>
          <w:szCs w:val="24"/>
          <w:u w:val="single"/>
          <w:lang w:val="en-US"/>
        </w:rPr>
        <w:t xml:space="preserve"> </w:t>
      </w:r>
      <w:r w:rsidRPr="2F673BD6" w:rsidR="2F673BD6">
        <w:rPr>
          <w:rFonts w:ascii="Arial" w:hAnsi="Arial" w:eastAsia="Arial" w:cs="Arial"/>
          <w:noProof w:val="0"/>
          <w:sz w:val="24"/>
          <w:szCs w:val="24"/>
          <w:lang w:val="en-US"/>
        </w:rPr>
        <w:t>(Accessed: 27 November, 2019).</w:t>
      </w:r>
    </w:p>
    <w:p w:rsidR="2F673BD6" w:rsidP="2F673BD6" w:rsidRDefault="2F673BD6" w14:paraId="0F0D0C01" w14:textId="79AFB3D9">
      <w:pPr>
        <w:spacing w:line="480" w:lineRule="auto"/>
        <w:jc w:val="left"/>
      </w:pPr>
      <w:r w:rsidRPr="2F673BD6" w:rsidR="2F673BD6">
        <w:rPr>
          <w:rFonts w:ascii="Arial" w:hAnsi="Arial" w:eastAsia="Arial" w:cs="Arial"/>
          <w:noProof w:val="0"/>
          <w:sz w:val="24"/>
          <w:szCs w:val="24"/>
          <w:lang w:val="en-US"/>
        </w:rPr>
        <w:t>Bartholomew, T.T.,</w:t>
      </w:r>
      <w:r w:rsidRPr="2F673BD6" w:rsidR="2F673BD6">
        <w:rPr>
          <w:rFonts w:ascii="Arial" w:hAnsi="Arial" w:eastAsia="Arial" w:cs="Arial"/>
          <w:noProof w:val="0"/>
          <w:color w:val="53565A"/>
          <w:sz w:val="24"/>
          <w:szCs w:val="24"/>
          <w:lang w:val="en-US"/>
        </w:rPr>
        <w:t xml:space="preserve"> </w:t>
      </w:r>
      <w:r w:rsidRPr="2F673BD6" w:rsidR="2F673BD6">
        <w:rPr>
          <w:rFonts w:ascii="Arial" w:hAnsi="Arial" w:eastAsia="Arial" w:cs="Arial"/>
          <w:noProof w:val="0"/>
          <w:sz w:val="24"/>
          <w:szCs w:val="24"/>
          <w:lang w:val="en-US"/>
        </w:rPr>
        <w:t>Gundel, B.E. and Scheel, M.J., (2017). The relationship between alliance ruptures and hope for change through counseling: A mixed methods study.</w:t>
      </w:r>
      <w:r w:rsidRPr="2F673BD6" w:rsidR="2F673BD6">
        <w:rPr>
          <w:rFonts w:ascii="Arial" w:hAnsi="Arial" w:eastAsia="Arial" w:cs="Arial"/>
          <w:noProof w:val="0"/>
          <w:color w:val="0066CC"/>
          <w:sz w:val="24"/>
          <w:szCs w:val="24"/>
          <w:lang w:val="en-US"/>
        </w:rPr>
        <w:t xml:space="preserve"> </w:t>
      </w:r>
      <w:r w:rsidRPr="2F673BD6" w:rsidR="2F673BD6">
        <w:rPr>
          <w:rFonts w:ascii="Arial" w:hAnsi="Arial" w:eastAsia="Arial" w:cs="Arial"/>
          <w:i w:val="1"/>
          <w:iCs w:val="1"/>
          <w:noProof w:val="0"/>
          <w:sz w:val="24"/>
          <w:szCs w:val="24"/>
          <w:lang w:val="en-US"/>
        </w:rPr>
        <w:t xml:space="preserve">Counselling Psychology Quarterly, </w:t>
      </w:r>
      <w:r w:rsidRPr="2F673BD6" w:rsidR="2F673BD6">
        <w:rPr>
          <w:rFonts w:ascii="Arial" w:hAnsi="Arial" w:eastAsia="Arial" w:cs="Arial"/>
          <w:b w:val="1"/>
          <w:bCs w:val="1"/>
          <w:noProof w:val="0"/>
          <w:sz w:val="24"/>
          <w:szCs w:val="24"/>
          <w:lang w:val="en-US"/>
        </w:rPr>
        <w:t>30</w:t>
      </w:r>
      <w:r w:rsidRPr="2F673BD6" w:rsidR="2F673BD6">
        <w:rPr>
          <w:rFonts w:ascii="Arial" w:hAnsi="Arial" w:eastAsia="Arial" w:cs="Arial"/>
          <w:noProof w:val="0"/>
          <w:sz w:val="24"/>
          <w:szCs w:val="24"/>
          <w:lang w:val="en-US"/>
        </w:rPr>
        <w:t>(1), pp. 1-19.</w:t>
      </w:r>
    </w:p>
    <w:p w:rsidR="2F673BD6" w:rsidP="2F673BD6" w:rsidRDefault="2F673BD6" w14:paraId="34112393" w14:textId="0A3F5476">
      <w:pPr>
        <w:spacing w:line="480" w:lineRule="auto"/>
        <w:jc w:val="left"/>
      </w:pPr>
      <w:r w:rsidRPr="2F673BD6" w:rsidR="2F673BD6">
        <w:rPr>
          <w:rFonts w:ascii="Arial" w:hAnsi="Arial" w:eastAsia="Arial" w:cs="Arial"/>
          <w:noProof w:val="0"/>
          <w:sz w:val="24"/>
          <w:szCs w:val="24"/>
          <w:lang w:val="en-US"/>
        </w:rPr>
        <w:t xml:space="preserve">Bolton, G., (2018). </w:t>
      </w:r>
      <w:r w:rsidRPr="2F673BD6" w:rsidR="2F673BD6">
        <w:rPr>
          <w:rFonts w:ascii="Arial" w:hAnsi="Arial" w:eastAsia="Arial" w:cs="Arial"/>
          <w:i w:val="1"/>
          <w:iCs w:val="1"/>
          <w:noProof w:val="0"/>
          <w:sz w:val="24"/>
          <w:szCs w:val="24"/>
          <w:lang w:val="en-US"/>
        </w:rPr>
        <w:t xml:space="preserve">Reflective practice: writing and professional development. </w:t>
      </w:r>
      <w:r w:rsidRPr="2F673BD6" w:rsidR="2F673BD6">
        <w:rPr>
          <w:rFonts w:ascii="Arial" w:hAnsi="Arial" w:eastAsia="Arial" w:cs="Arial"/>
          <w:noProof w:val="0"/>
          <w:sz w:val="24"/>
          <w:szCs w:val="24"/>
          <w:lang w:val="en-US"/>
        </w:rPr>
        <w:t>Fifth edition. London: Sage.</w:t>
      </w:r>
    </w:p>
    <w:p w:rsidR="2F673BD6" w:rsidP="2F673BD6" w:rsidRDefault="2F673BD6" w14:paraId="0C844647" w14:textId="18706F94">
      <w:pPr>
        <w:spacing w:line="480" w:lineRule="auto"/>
        <w:jc w:val="left"/>
      </w:pPr>
      <w:r w:rsidRPr="2F673BD6" w:rsidR="2F673BD6">
        <w:rPr>
          <w:rFonts w:ascii="Arial" w:hAnsi="Arial" w:eastAsia="Arial" w:cs="Arial"/>
          <w:noProof w:val="0"/>
          <w:sz w:val="24"/>
          <w:szCs w:val="24"/>
          <w:lang w:val="en-US"/>
        </w:rPr>
        <w:t xml:space="preserve">Bordin, E.S., (1979). The generalizability of the psychoanalytic concept of the working alliance. </w:t>
      </w:r>
      <w:r w:rsidRPr="2F673BD6" w:rsidR="2F673BD6">
        <w:rPr>
          <w:rFonts w:ascii="Arial" w:hAnsi="Arial" w:eastAsia="Arial" w:cs="Arial"/>
          <w:i w:val="1"/>
          <w:iCs w:val="1"/>
          <w:noProof w:val="0"/>
          <w:sz w:val="24"/>
          <w:szCs w:val="24"/>
          <w:lang w:val="en-US"/>
        </w:rPr>
        <w:t xml:space="preserve">Psychotherapy: Theory, Research &amp; Practice, </w:t>
      </w:r>
      <w:r w:rsidRPr="2F673BD6" w:rsidR="2F673BD6">
        <w:rPr>
          <w:rFonts w:ascii="Arial" w:hAnsi="Arial" w:eastAsia="Arial" w:cs="Arial"/>
          <w:b w:val="1"/>
          <w:bCs w:val="1"/>
          <w:noProof w:val="0"/>
          <w:sz w:val="24"/>
          <w:szCs w:val="24"/>
          <w:lang w:val="en-US"/>
        </w:rPr>
        <w:t>16</w:t>
      </w:r>
      <w:r w:rsidRPr="2F673BD6" w:rsidR="2F673BD6">
        <w:rPr>
          <w:rFonts w:ascii="Arial" w:hAnsi="Arial" w:eastAsia="Arial" w:cs="Arial"/>
          <w:noProof w:val="0"/>
          <w:sz w:val="24"/>
          <w:szCs w:val="24"/>
          <w:lang w:val="en-US"/>
        </w:rPr>
        <w:t>(3), pp. 252-260.</w:t>
      </w:r>
    </w:p>
    <w:p w:rsidR="2F673BD6" w:rsidP="2F673BD6" w:rsidRDefault="2F673BD6" w14:paraId="0548975C" w14:textId="2DC37832">
      <w:pPr>
        <w:spacing w:line="480" w:lineRule="auto"/>
        <w:jc w:val="left"/>
      </w:pPr>
      <w:r w:rsidRPr="2F673BD6" w:rsidR="2F673BD6">
        <w:rPr>
          <w:rFonts w:ascii="Arial" w:hAnsi="Arial" w:eastAsia="Arial" w:cs="Arial"/>
          <w:noProof w:val="0"/>
          <w:sz w:val="24"/>
          <w:szCs w:val="24"/>
          <w:lang w:val="en-US"/>
        </w:rPr>
        <w:t xml:space="preserve">Cartwright, D. and Gardner, M., (2016). Trainee difficulties with therapeutic engagement: a qualitative study of in-session critical incidents. </w:t>
      </w:r>
      <w:r w:rsidRPr="2F673BD6" w:rsidR="2F673BD6">
        <w:rPr>
          <w:rFonts w:ascii="Arial" w:hAnsi="Arial" w:eastAsia="Arial" w:cs="Arial"/>
          <w:i w:val="1"/>
          <w:iCs w:val="1"/>
          <w:noProof w:val="0"/>
          <w:sz w:val="24"/>
          <w:szCs w:val="24"/>
          <w:lang w:val="en-US"/>
        </w:rPr>
        <w:t xml:space="preserve">South African Journal of Psychology, </w:t>
      </w:r>
      <w:r w:rsidRPr="2F673BD6" w:rsidR="2F673BD6">
        <w:rPr>
          <w:rFonts w:ascii="Arial" w:hAnsi="Arial" w:eastAsia="Arial" w:cs="Arial"/>
          <w:b w:val="1"/>
          <w:bCs w:val="1"/>
          <w:noProof w:val="0"/>
          <w:sz w:val="24"/>
          <w:szCs w:val="24"/>
          <w:lang w:val="en-US"/>
        </w:rPr>
        <w:t>46</w:t>
      </w:r>
      <w:r w:rsidRPr="2F673BD6" w:rsidR="2F673BD6">
        <w:rPr>
          <w:rFonts w:ascii="Arial" w:hAnsi="Arial" w:eastAsia="Arial" w:cs="Arial"/>
          <w:noProof w:val="0"/>
          <w:sz w:val="24"/>
          <w:szCs w:val="24"/>
          <w:lang w:val="en-US"/>
        </w:rPr>
        <w:t>(2), pp. 254-265.</w:t>
      </w:r>
    </w:p>
    <w:p w:rsidR="2F673BD6" w:rsidP="2F673BD6" w:rsidRDefault="2F673BD6" w14:paraId="4984AA41" w14:textId="7183D1B9">
      <w:pPr>
        <w:spacing w:line="480" w:lineRule="auto"/>
        <w:jc w:val="left"/>
      </w:pPr>
      <w:r w:rsidRPr="2F673BD6" w:rsidR="2F673BD6">
        <w:rPr>
          <w:rFonts w:ascii="Arial" w:hAnsi="Arial" w:eastAsia="Arial" w:cs="Arial"/>
          <w:noProof w:val="0"/>
          <w:sz w:val="24"/>
          <w:szCs w:val="24"/>
          <w:lang w:val="en-US"/>
        </w:rPr>
        <w:t>Cochran, J. L. and Cochran, N. H., (2015).</w:t>
      </w:r>
      <w:r w:rsidRPr="2F673BD6" w:rsidR="2F673BD6">
        <w:rPr>
          <w:rFonts w:ascii="Arial" w:hAnsi="Arial" w:eastAsia="Arial" w:cs="Arial"/>
          <w:i w:val="1"/>
          <w:iCs w:val="1"/>
          <w:noProof w:val="0"/>
          <w:sz w:val="24"/>
          <w:szCs w:val="24"/>
          <w:lang w:val="en-US"/>
        </w:rPr>
        <w:t xml:space="preserve"> The heart of counseling: Counseling skills through therapeutic relationships.</w:t>
      </w:r>
      <w:r w:rsidRPr="2F673BD6" w:rsidR="2F673BD6">
        <w:rPr>
          <w:rFonts w:ascii="Arial" w:hAnsi="Arial" w:eastAsia="Arial" w:cs="Arial"/>
          <w:noProof w:val="0"/>
          <w:sz w:val="24"/>
          <w:szCs w:val="24"/>
          <w:lang w:val="en-US"/>
        </w:rPr>
        <w:t xml:space="preserve"> Routledge.</w:t>
      </w:r>
    </w:p>
    <w:p w:rsidR="2F673BD6" w:rsidP="2F673BD6" w:rsidRDefault="2F673BD6" w14:paraId="7E696896" w14:textId="17C74255">
      <w:pPr>
        <w:spacing w:line="480" w:lineRule="auto"/>
        <w:jc w:val="left"/>
      </w:pPr>
      <w:r w:rsidRPr="2F673BD6" w:rsidR="2F673BD6">
        <w:rPr>
          <w:rFonts w:ascii="Arial" w:hAnsi="Arial" w:eastAsia="Arial" w:cs="Arial"/>
          <w:noProof w:val="0"/>
          <w:sz w:val="24"/>
          <w:szCs w:val="24"/>
          <w:lang w:val="en-US"/>
        </w:rPr>
        <w:t xml:space="preserve">De Stefano, J., Overington, L. and Bradley, S., (2014). Developing Repertoire: A Qualitative Study of Trainees' Self-Reflection on Clinical Practice. </w:t>
      </w:r>
      <w:r w:rsidRPr="2F673BD6" w:rsidR="2F673BD6">
        <w:rPr>
          <w:rFonts w:ascii="Arial" w:hAnsi="Arial" w:eastAsia="Arial" w:cs="Arial"/>
          <w:i w:val="1"/>
          <w:iCs w:val="1"/>
          <w:noProof w:val="0"/>
          <w:sz w:val="24"/>
          <w:szCs w:val="24"/>
          <w:lang w:val="en-US"/>
        </w:rPr>
        <w:t xml:space="preserve">Canadian Journal of Counselling and Psychotherapy (Online), </w:t>
      </w:r>
      <w:r w:rsidRPr="2F673BD6" w:rsidR="2F673BD6">
        <w:rPr>
          <w:rFonts w:ascii="Arial" w:hAnsi="Arial" w:eastAsia="Arial" w:cs="Arial"/>
          <w:b w:val="1"/>
          <w:bCs w:val="1"/>
          <w:noProof w:val="0"/>
          <w:sz w:val="24"/>
          <w:szCs w:val="24"/>
          <w:lang w:val="en-US"/>
        </w:rPr>
        <w:t>48</w:t>
      </w:r>
      <w:r w:rsidRPr="2F673BD6" w:rsidR="2F673BD6">
        <w:rPr>
          <w:rFonts w:ascii="Arial" w:hAnsi="Arial" w:eastAsia="Arial" w:cs="Arial"/>
          <w:noProof w:val="0"/>
          <w:sz w:val="24"/>
          <w:szCs w:val="24"/>
          <w:lang w:val="en-US"/>
        </w:rPr>
        <w:t>(4), pp. 425-440.</w:t>
      </w:r>
    </w:p>
    <w:p w:rsidR="2F673BD6" w:rsidP="2F673BD6" w:rsidRDefault="2F673BD6" w14:paraId="05D1EF1F" w14:textId="68262159">
      <w:pPr>
        <w:spacing w:line="480" w:lineRule="auto"/>
        <w:jc w:val="left"/>
      </w:pPr>
      <w:r w:rsidRPr="2F673BD6" w:rsidR="2F673BD6">
        <w:rPr>
          <w:rFonts w:ascii="Arial" w:hAnsi="Arial" w:eastAsia="Arial" w:cs="Arial"/>
          <w:noProof w:val="0"/>
          <w:sz w:val="24"/>
          <w:szCs w:val="24"/>
          <w:lang w:val="en-US"/>
        </w:rPr>
        <w:t xml:space="preserve">Ghahari, S., Zandnia, F., Mazloumirad, M., Ghayoomi, R. and Gheitarani, B., (2019). The effectiveness of chair work intervention on anxiety and depression in divorced women using Cannabis. </w:t>
      </w:r>
      <w:r w:rsidRPr="2F673BD6" w:rsidR="2F673BD6">
        <w:rPr>
          <w:rFonts w:ascii="Arial" w:hAnsi="Arial" w:eastAsia="Arial" w:cs="Arial"/>
          <w:i w:val="1"/>
          <w:iCs w:val="1"/>
          <w:noProof w:val="0"/>
          <w:sz w:val="24"/>
          <w:szCs w:val="24"/>
          <w:lang w:val="en-US"/>
        </w:rPr>
        <w:t>Asian Journal of Psychiatry</w:t>
      </w:r>
      <w:r w:rsidRPr="2F673BD6" w:rsidR="2F673BD6">
        <w:rPr>
          <w:rFonts w:ascii="Arial" w:hAnsi="Arial" w:eastAsia="Arial" w:cs="Arial"/>
          <w:noProof w:val="0"/>
          <w:sz w:val="24"/>
          <w:szCs w:val="24"/>
          <w:lang w:val="en-US"/>
        </w:rPr>
        <w:t xml:space="preserve">, </w:t>
      </w:r>
      <w:r w:rsidRPr="2F673BD6" w:rsidR="2F673BD6">
        <w:rPr>
          <w:rFonts w:ascii="Arial" w:hAnsi="Arial" w:eastAsia="Arial" w:cs="Arial"/>
          <w:b w:val="1"/>
          <w:bCs w:val="1"/>
          <w:noProof w:val="0"/>
          <w:sz w:val="24"/>
          <w:szCs w:val="24"/>
          <w:lang w:val="en-US"/>
        </w:rPr>
        <w:t>44</w:t>
      </w:r>
      <w:r w:rsidRPr="2F673BD6" w:rsidR="2F673BD6">
        <w:rPr>
          <w:rFonts w:ascii="Arial" w:hAnsi="Arial" w:eastAsia="Arial" w:cs="Arial"/>
          <w:noProof w:val="0"/>
          <w:sz w:val="24"/>
          <w:szCs w:val="24"/>
          <w:lang w:val="en-US"/>
        </w:rPr>
        <w:t>, pp.161–162.</w:t>
      </w:r>
    </w:p>
    <w:p w:rsidR="2F673BD6" w:rsidP="2F673BD6" w:rsidRDefault="2F673BD6" w14:paraId="059DA7B8" w14:textId="5F41F126">
      <w:pPr>
        <w:spacing w:line="480" w:lineRule="auto"/>
        <w:jc w:val="left"/>
      </w:pPr>
      <w:r w:rsidRPr="2F673BD6" w:rsidR="2F673BD6">
        <w:rPr>
          <w:rFonts w:ascii="Arial" w:hAnsi="Arial" w:eastAsia="Arial" w:cs="Arial"/>
          <w:noProof w:val="0"/>
          <w:sz w:val="24"/>
          <w:szCs w:val="24"/>
          <w:lang w:val="en-US"/>
        </w:rPr>
        <w:t xml:space="preserve">Gibbs, G., (1988). </w:t>
      </w:r>
      <w:r w:rsidRPr="2F673BD6" w:rsidR="2F673BD6">
        <w:rPr>
          <w:rFonts w:ascii="Arial" w:hAnsi="Arial" w:eastAsia="Arial" w:cs="Arial"/>
          <w:i w:val="1"/>
          <w:iCs w:val="1"/>
          <w:noProof w:val="0"/>
          <w:sz w:val="24"/>
          <w:szCs w:val="24"/>
          <w:lang w:val="en-US"/>
        </w:rPr>
        <w:t xml:space="preserve">Learning by doing: a guide to teaching and learning methods. </w:t>
      </w:r>
      <w:r w:rsidRPr="2F673BD6" w:rsidR="2F673BD6">
        <w:rPr>
          <w:rFonts w:ascii="Arial" w:hAnsi="Arial" w:eastAsia="Arial" w:cs="Arial"/>
          <w:noProof w:val="0"/>
          <w:sz w:val="24"/>
          <w:szCs w:val="24"/>
          <w:lang w:val="en-US"/>
        </w:rPr>
        <w:t>London: London: FEU.</w:t>
      </w:r>
    </w:p>
    <w:p w:rsidR="2F673BD6" w:rsidP="2F673BD6" w:rsidRDefault="2F673BD6" w14:paraId="2B263BBC" w14:textId="432D2E9E">
      <w:pPr>
        <w:spacing w:line="480" w:lineRule="auto"/>
        <w:jc w:val="left"/>
      </w:pPr>
      <w:r w:rsidRPr="2F673BD6" w:rsidR="2F673BD6">
        <w:rPr>
          <w:rFonts w:ascii="Arial" w:hAnsi="Arial" w:eastAsia="Arial" w:cs="Arial"/>
          <w:noProof w:val="0"/>
          <w:sz w:val="24"/>
          <w:szCs w:val="24"/>
          <w:lang w:val="en-US"/>
        </w:rPr>
        <w:t xml:space="preserve">Hough, M., (2014). </w:t>
      </w:r>
      <w:r w:rsidRPr="2F673BD6" w:rsidR="2F673BD6">
        <w:rPr>
          <w:rFonts w:ascii="Arial" w:hAnsi="Arial" w:eastAsia="Arial" w:cs="Arial"/>
          <w:i w:val="1"/>
          <w:iCs w:val="1"/>
          <w:noProof w:val="0"/>
          <w:sz w:val="24"/>
          <w:szCs w:val="24"/>
          <w:lang w:val="en-US"/>
        </w:rPr>
        <w:t xml:space="preserve">Counselling Skills and Theory. </w:t>
      </w:r>
      <w:r w:rsidRPr="2F673BD6" w:rsidR="2F673BD6">
        <w:rPr>
          <w:rFonts w:ascii="Arial" w:hAnsi="Arial" w:eastAsia="Arial" w:cs="Arial"/>
          <w:noProof w:val="0"/>
          <w:sz w:val="24"/>
          <w:szCs w:val="24"/>
          <w:lang w:val="en-US"/>
        </w:rPr>
        <w:t>Fourth edition.</w:t>
      </w:r>
      <w:r w:rsidRPr="2F673BD6" w:rsidR="2F673BD6">
        <w:rPr>
          <w:rFonts w:ascii="Arial" w:hAnsi="Arial" w:eastAsia="Arial" w:cs="Arial"/>
          <w:i w:val="1"/>
          <w:iCs w:val="1"/>
          <w:noProof w:val="0"/>
          <w:sz w:val="24"/>
          <w:szCs w:val="24"/>
          <w:lang w:val="en-US"/>
        </w:rPr>
        <w:t xml:space="preserve"> </w:t>
      </w:r>
      <w:r w:rsidRPr="2F673BD6" w:rsidR="2F673BD6">
        <w:rPr>
          <w:rFonts w:ascii="Arial" w:hAnsi="Arial" w:eastAsia="Arial" w:cs="Arial"/>
          <w:noProof w:val="0"/>
          <w:sz w:val="24"/>
          <w:szCs w:val="24"/>
          <w:lang w:val="en-US"/>
        </w:rPr>
        <w:t>Hachette UK.</w:t>
      </w:r>
    </w:p>
    <w:p w:rsidR="2F673BD6" w:rsidP="2F673BD6" w:rsidRDefault="2F673BD6" w14:paraId="6FFEFD8D" w14:textId="4B069CC5">
      <w:pPr>
        <w:spacing w:line="480" w:lineRule="auto"/>
        <w:jc w:val="left"/>
      </w:pPr>
      <w:r w:rsidRPr="2F673BD6" w:rsidR="2F673BD6">
        <w:rPr>
          <w:rFonts w:ascii="Arial" w:hAnsi="Arial" w:eastAsia="Arial" w:cs="Arial"/>
          <w:noProof w:val="0"/>
          <w:sz w:val="24"/>
          <w:szCs w:val="24"/>
          <w:lang w:val="en-US"/>
        </w:rPr>
        <w:t xml:space="preserve">Joyce, P., (2018). </w:t>
      </w:r>
      <w:r w:rsidRPr="2F673BD6" w:rsidR="2F673BD6">
        <w:rPr>
          <w:rFonts w:ascii="Arial" w:hAnsi="Arial" w:eastAsia="Arial" w:cs="Arial"/>
          <w:i w:val="1"/>
          <w:iCs w:val="1"/>
          <w:noProof w:val="0"/>
          <w:sz w:val="24"/>
          <w:szCs w:val="24"/>
          <w:lang w:val="en-US"/>
        </w:rPr>
        <w:t xml:space="preserve">Skills in Gestalt counselling &amp; psychotherapy. </w:t>
      </w:r>
      <w:r w:rsidRPr="2F673BD6" w:rsidR="2F673BD6">
        <w:rPr>
          <w:rFonts w:ascii="Arial" w:hAnsi="Arial" w:eastAsia="Arial" w:cs="Arial"/>
          <w:noProof w:val="0"/>
          <w:sz w:val="24"/>
          <w:szCs w:val="24"/>
          <w:lang w:val="en-US"/>
        </w:rPr>
        <w:t>Fourth edition. Thousand Oaks, California: Sage Publications, Inc.</w:t>
      </w:r>
    </w:p>
    <w:p w:rsidR="2F673BD6" w:rsidP="3D897F83" w:rsidRDefault="2F673BD6" w14:paraId="15C8FF58" w14:textId="5A6B88AA">
      <w:pPr>
        <w:spacing w:line="480" w:lineRule="auto"/>
        <w:jc w:val="left"/>
        <w:rPr>
          <w:rFonts w:ascii="Arial" w:hAnsi="Arial" w:eastAsia="Arial" w:cs="Arial"/>
          <w:noProof w:val="0"/>
          <w:color w:val="000000" w:themeColor="text1" w:themeTint="FF" w:themeShade="FF"/>
          <w:sz w:val="24"/>
          <w:szCs w:val="24"/>
          <w:u w:val="none"/>
          <w:lang w:val="en-GB"/>
        </w:rPr>
      </w:pPr>
      <w:proofErr w:type="spellStart"/>
      <w:r w:rsidRPr="3D897F83" w:rsidR="3D897F83">
        <w:rPr>
          <w:rFonts w:ascii="Arial" w:hAnsi="Arial" w:eastAsia="Arial" w:cs="Arial"/>
          <w:noProof w:val="0"/>
          <w:sz w:val="24"/>
          <w:szCs w:val="24"/>
          <w:lang w:val="en-US"/>
        </w:rPr>
        <w:t>Koole</w:t>
      </w:r>
      <w:proofErr w:type="spellEnd"/>
      <w:r w:rsidRPr="3D897F83" w:rsidR="3D897F83">
        <w:rPr>
          <w:rFonts w:ascii="Arial" w:hAnsi="Arial" w:eastAsia="Arial" w:cs="Arial"/>
          <w:noProof w:val="0"/>
          <w:sz w:val="24"/>
          <w:szCs w:val="24"/>
          <w:lang w:val="en-US"/>
        </w:rPr>
        <w:t xml:space="preserve">, S. L., &amp; </w:t>
      </w:r>
      <w:proofErr w:type="spellStart"/>
      <w:r w:rsidRPr="3D897F83" w:rsidR="3D897F83">
        <w:rPr>
          <w:rFonts w:ascii="Arial" w:hAnsi="Arial" w:eastAsia="Arial" w:cs="Arial"/>
          <w:noProof w:val="0"/>
          <w:sz w:val="24"/>
          <w:szCs w:val="24"/>
          <w:lang w:val="en-US"/>
        </w:rPr>
        <w:t>Tschacher</w:t>
      </w:r>
      <w:proofErr w:type="spellEnd"/>
      <w:r w:rsidRPr="3D897F83" w:rsidR="3D897F83">
        <w:rPr>
          <w:rFonts w:ascii="Arial" w:hAnsi="Arial" w:eastAsia="Arial" w:cs="Arial"/>
          <w:noProof w:val="0"/>
          <w:sz w:val="24"/>
          <w:szCs w:val="24"/>
          <w:lang w:val="en-US"/>
        </w:rPr>
        <w:t xml:space="preserve">, W. (2016). Synchrony in psychotherapy: A review and an integrative framework for the therapeutic alliance. </w:t>
      </w:r>
      <w:r w:rsidRPr="3D897F83" w:rsidR="3D897F83">
        <w:rPr>
          <w:rFonts w:ascii="Arial" w:hAnsi="Arial" w:eastAsia="Arial" w:cs="Arial"/>
          <w:i w:val="1"/>
          <w:iCs w:val="1"/>
          <w:noProof w:val="0"/>
          <w:sz w:val="24"/>
          <w:szCs w:val="24"/>
          <w:lang w:val="en-US"/>
        </w:rPr>
        <w:t>Frontiers in Psychology</w:t>
      </w:r>
      <w:r w:rsidRPr="3D897F83" w:rsidR="3D897F83">
        <w:rPr>
          <w:rFonts w:ascii="Arial" w:hAnsi="Arial" w:eastAsia="Arial" w:cs="Arial"/>
          <w:noProof w:val="0"/>
          <w:sz w:val="24"/>
          <w:szCs w:val="24"/>
          <w:lang w:val="en-US"/>
        </w:rPr>
        <w:t xml:space="preserve">, 7, 862. Available at: </w:t>
      </w:r>
      <w:hyperlink r:id="R71d9ec1e12a84d34">
        <w:r w:rsidRPr="3D897F83" w:rsidR="3D897F83">
          <w:rPr>
            <w:rStyle w:val="Hyperlink"/>
            <w:rFonts w:ascii="Arial" w:hAnsi="Arial" w:eastAsia="Arial" w:cs="Arial"/>
            <w:noProof w:val="0"/>
            <w:color w:val="0563C1"/>
            <w:sz w:val="24"/>
            <w:szCs w:val="24"/>
            <w:u w:val="single"/>
            <w:lang w:val="en-GB"/>
          </w:rPr>
          <w:t>http://dx.doi.org/10.3389/fpsyg.2016.00862</w:t>
        </w:r>
      </w:hyperlink>
      <w:r w:rsidRPr="3D897F83" w:rsidR="3D897F83">
        <w:rPr>
          <w:rFonts w:ascii="Arial" w:hAnsi="Arial" w:eastAsia="Arial" w:cs="Arial"/>
          <w:noProof w:val="0"/>
          <w:color w:val="000000" w:themeColor="text1" w:themeTint="FF" w:themeShade="FF"/>
          <w:sz w:val="24"/>
          <w:szCs w:val="24"/>
          <w:u w:val="single"/>
          <w:lang w:val="en-GB"/>
        </w:rPr>
        <w:t xml:space="preserve"> </w:t>
      </w:r>
      <w:r w:rsidRPr="3D897F83" w:rsidR="3D897F83">
        <w:rPr>
          <w:rFonts w:ascii="Arial" w:hAnsi="Arial" w:eastAsia="Arial" w:cs="Arial"/>
          <w:noProof w:val="0"/>
          <w:color w:val="000000" w:themeColor="text1" w:themeTint="FF" w:themeShade="FF"/>
          <w:sz w:val="24"/>
          <w:szCs w:val="24"/>
          <w:u w:val="none"/>
          <w:lang w:val="en-GB"/>
        </w:rPr>
        <w:t xml:space="preserve">(Accessed 1 </w:t>
      </w:r>
      <w:proofErr w:type="gramStart"/>
      <w:r w:rsidRPr="3D897F83" w:rsidR="3D897F83">
        <w:rPr>
          <w:rFonts w:ascii="Arial" w:hAnsi="Arial" w:eastAsia="Arial" w:cs="Arial"/>
          <w:noProof w:val="0"/>
          <w:color w:val="000000" w:themeColor="text1" w:themeTint="FF" w:themeShade="FF"/>
          <w:sz w:val="24"/>
          <w:szCs w:val="24"/>
          <w:u w:val="none"/>
          <w:lang w:val="en-GB"/>
        </w:rPr>
        <w:t>December,</w:t>
      </w:r>
      <w:proofErr w:type="gramEnd"/>
      <w:r w:rsidRPr="3D897F83" w:rsidR="3D897F83">
        <w:rPr>
          <w:rFonts w:ascii="Arial" w:hAnsi="Arial" w:eastAsia="Arial" w:cs="Arial"/>
          <w:noProof w:val="0"/>
          <w:color w:val="000000" w:themeColor="text1" w:themeTint="FF" w:themeShade="FF"/>
          <w:sz w:val="24"/>
          <w:szCs w:val="24"/>
          <w:u w:val="none"/>
          <w:lang w:val="en-GB"/>
        </w:rPr>
        <w:t xml:space="preserve"> 2019).</w:t>
      </w:r>
    </w:p>
    <w:p w:rsidR="2F673BD6" w:rsidP="2F673BD6" w:rsidRDefault="2F673BD6" w14:paraId="5CBBBA90" w14:textId="4E682CA2">
      <w:pPr>
        <w:spacing w:line="480" w:lineRule="auto"/>
        <w:jc w:val="left"/>
      </w:pPr>
      <w:r w:rsidRPr="2F673BD6" w:rsidR="2F673BD6">
        <w:rPr>
          <w:rFonts w:ascii="Arial" w:hAnsi="Arial" w:eastAsia="Arial" w:cs="Arial"/>
          <w:noProof w:val="0"/>
          <w:sz w:val="24"/>
          <w:szCs w:val="24"/>
          <w:lang w:val="en-US"/>
        </w:rPr>
        <w:t xml:space="preserve">Leonhardt, M., Bechtoldt, M.N. and Rohrmann, S., (2017). All impostors aren’t alike–differentiating the impostor phenomenon. </w:t>
      </w:r>
      <w:r w:rsidRPr="2F673BD6" w:rsidR="2F673BD6">
        <w:rPr>
          <w:rFonts w:ascii="Arial" w:hAnsi="Arial" w:eastAsia="Arial" w:cs="Arial"/>
          <w:i w:val="1"/>
          <w:iCs w:val="1"/>
          <w:noProof w:val="0"/>
          <w:sz w:val="24"/>
          <w:szCs w:val="24"/>
          <w:lang w:val="en-US"/>
        </w:rPr>
        <w:t xml:space="preserve">Frontiers in psychology, </w:t>
      </w:r>
      <w:r w:rsidRPr="2F673BD6" w:rsidR="2F673BD6">
        <w:rPr>
          <w:rFonts w:ascii="Arial" w:hAnsi="Arial" w:eastAsia="Arial" w:cs="Arial"/>
          <w:b w:val="1"/>
          <w:bCs w:val="1"/>
          <w:noProof w:val="0"/>
          <w:sz w:val="24"/>
          <w:szCs w:val="24"/>
          <w:lang w:val="en-US"/>
        </w:rPr>
        <w:t>8</w:t>
      </w:r>
      <w:r w:rsidRPr="2F673BD6" w:rsidR="2F673BD6">
        <w:rPr>
          <w:rFonts w:ascii="Arial" w:hAnsi="Arial" w:eastAsia="Arial" w:cs="Arial"/>
          <w:noProof w:val="0"/>
          <w:sz w:val="24"/>
          <w:szCs w:val="24"/>
          <w:lang w:val="en-US"/>
        </w:rPr>
        <w:t>, pp. 1505.</w:t>
      </w:r>
    </w:p>
    <w:p w:rsidR="2F673BD6" w:rsidP="2F673BD6" w:rsidRDefault="2F673BD6" w14:paraId="4556C22A" w14:textId="47EBD939">
      <w:pPr>
        <w:spacing w:line="480" w:lineRule="auto"/>
        <w:jc w:val="left"/>
      </w:pPr>
      <w:r w:rsidRPr="2F673BD6" w:rsidR="2F673BD6">
        <w:rPr>
          <w:rFonts w:ascii="Arial" w:hAnsi="Arial" w:eastAsia="Arial" w:cs="Arial"/>
          <w:noProof w:val="0"/>
          <w:sz w:val="24"/>
          <w:szCs w:val="24"/>
          <w:lang w:val="en-US"/>
        </w:rPr>
        <w:t xml:space="preserve">Laws, H. B., Constantino, M. J., Sayer, A. G., Klein, D. N., Kocsis, J. H., Manber, R., &amp; Arnow, B. A., (2016). Convergence in patient–therapist therapeutic alliance ratings and its relation to outcome in chronic depression treatment. </w:t>
      </w:r>
      <w:r w:rsidRPr="2F673BD6" w:rsidR="2F673BD6">
        <w:rPr>
          <w:rFonts w:ascii="Arial" w:hAnsi="Arial" w:eastAsia="Arial" w:cs="Arial"/>
          <w:i w:val="1"/>
          <w:iCs w:val="1"/>
          <w:noProof w:val="0"/>
          <w:sz w:val="24"/>
          <w:szCs w:val="24"/>
          <w:lang w:val="en-US"/>
        </w:rPr>
        <w:t>Psychotherapy Research</w:t>
      </w:r>
      <w:r w:rsidRPr="2F673BD6" w:rsidR="2F673BD6">
        <w:rPr>
          <w:rFonts w:ascii="Arial" w:hAnsi="Arial" w:eastAsia="Arial" w:cs="Arial"/>
          <w:noProof w:val="0"/>
          <w:sz w:val="24"/>
          <w:szCs w:val="24"/>
          <w:lang w:val="en-US"/>
        </w:rPr>
        <w:t xml:space="preserve">, </w:t>
      </w:r>
      <w:r w:rsidRPr="2F673BD6" w:rsidR="2F673BD6">
        <w:rPr>
          <w:rFonts w:ascii="Arial" w:hAnsi="Arial" w:eastAsia="Arial" w:cs="Arial"/>
          <w:b w:val="1"/>
          <w:bCs w:val="1"/>
          <w:noProof w:val="0"/>
          <w:sz w:val="24"/>
          <w:szCs w:val="24"/>
          <w:lang w:val="en-US"/>
        </w:rPr>
        <w:t>27</w:t>
      </w:r>
      <w:r w:rsidRPr="2F673BD6" w:rsidR="2F673BD6">
        <w:rPr>
          <w:rFonts w:ascii="Arial" w:hAnsi="Arial" w:eastAsia="Arial" w:cs="Arial"/>
          <w:noProof w:val="0"/>
          <w:sz w:val="24"/>
          <w:szCs w:val="24"/>
          <w:lang w:val="en-US"/>
        </w:rPr>
        <w:t xml:space="preserve">, pp. 410-424. </w:t>
      </w:r>
    </w:p>
    <w:p w:rsidR="2F673BD6" w:rsidP="2F673BD6" w:rsidRDefault="2F673BD6" w14:paraId="025E5DB3" w14:textId="757F0EA3">
      <w:pPr>
        <w:spacing w:line="480" w:lineRule="auto"/>
        <w:jc w:val="left"/>
      </w:pPr>
      <w:r w:rsidRPr="2F673BD6" w:rsidR="2F673BD6">
        <w:rPr>
          <w:rFonts w:ascii="Arial" w:hAnsi="Arial" w:eastAsia="Arial" w:cs="Arial"/>
          <w:noProof w:val="0"/>
          <w:sz w:val="24"/>
          <w:szCs w:val="24"/>
          <w:lang w:val="en-US"/>
        </w:rPr>
        <w:t xml:space="preserve">Macfarlane, P., Anderson, T. and McClintock, A.S., (2017). Empathy from the client's perspective: A grounded theory analysis. </w:t>
      </w:r>
      <w:r w:rsidRPr="2F673BD6" w:rsidR="2F673BD6">
        <w:rPr>
          <w:rFonts w:ascii="Arial" w:hAnsi="Arial" w:eastAsia="Arial" w:cs="Arial"/>
          <w:i w:val="1"/>
          <w:iCs w:val="1"/>
          <w:noProof w:val="0"/>
          <w:sz w:val="24"/>
          <w:szCs w:val="24"/>
          <w:lang w:val="en-US"/>
        </w:rPr>
        <w:t xml:space="preserve">Psychotherapy Research, </w:t>
      </w:r>
      <w:r w:rsidRPr="2F673BD6" w:rsidR="2F673BD6">
        <w:rPr>
          <w:rFonts w:ascii="Arial" w:hAnsi="Arial" w:eastAsia="Arial" w:cs="Arial"/>
          <w:noProof w:val="0"/>
          <w:sz w:val="24"/>
          <w:szCs w:val="24"/>
          <w:lang w:val="en-US"/>
        </w:rPr>
        <w:t>27(2), pp. 227-238.</w:t>
      </w:r>
    </w:p>
    <w:p w:rsidR="2F673BD6" w:rsidP="2F673BD6" w:rsidRDefault="2F673BD6" w14:paraId="41911976" w14:textId="1D32181E">
      <w:pPr>
        <w:spacing w:line="480" w:lineRule="auto"/>
        <w:jc w:val="left"/>
      </w:pPr>
      <w:r w:rsidRPr="2F673BD6" w:rsidR="2F673BD6">
        <w:rPr>
          <w:rFonts w:ascii="Arial" w:hAnsi="Arial" w:eastAsia="Arial" w:cs="Arial"/>
          <w:noProof w:val="0"/>
          <w:sz w:val="24"/>
          <w:szCs w:val="24"/>
          <w:lang w:val="en-US"/>
        </w:rPr>
        <w:t xml:space="preserve">Messina, I., Gelo, O., Sambin, M., Bianco, F., Mosconi, A., Fenelli, A., Curto, M., Gullo, S. and Orlinsky, D., (2018). Trainees' self‐evaluation of their development as psychotherapists: An Italian contribution to an international collaborative study on psychotherapy training. </w:t>
      </w:r>
      <w:r w:rsidRPr="2F673BD6" w:rsidR="2F673BD6">
        <w:rPr>
          <w:rFonts w:ascii="Arial" w:hAnsi="Arial" w:eastAsia="Arial" w:cs="Arial"/>
          <w:i w:val="1"/>
          <w:iCs w:val="1"/>
          <w:noProof w:val="0"/>
          <w:sz w:val="24"/>
          <w:szCs w:val="24"/>
          <w:lang w:val="en-US"/>
        </w:rPr>
        <w:t xml:space="preserve">Clinical Psychology and Psychotherapy, </w:t>
      </w:r>
      <w:r w:rsidRPr="2F673BD6" w:rsidR="2F673BD6">
        <w:rPr>
          <w:rFonts w:ascii="Arial" w:hAnsi="Arial" w:eastAsia="Arial" w:cs="Arial"/>
          <w:b w:val="1"/>
          <w:bCs w:val="1"/>
          <w:noProof w:val="0"/>
          <w:sz w:val="24"/>
          <w:szCs w:val="24"/>
          <w:lang w:val="en-US"/>
        </w:rPr>
        <w:t>25</w:t>
      </w:r>
      <w:r w:rsidRPr="2F673BD6" w:rsidR="2F673BD6">
        <w:rPr>
          <w:rFonts w:ascii="Arial" w:hAnsi="Arial" w:eastAsia="Arial" w:cs="Arial"/>
          <w:noProof w:val="0"/>
          <w:sz w:val="24"/>
          <w:szCs w:val="24"/>
          <w:lang w:val="en-US"/>
        </w:rPr>
        <w:t>(2), pp. 338-347.</w:t>
      </w:r>
    </w:p>
    <w:p w:rsidR="2F673BD6" w:rsidP="2F673BD6" w:rsidRDefault="2F673BD6" w14:paraId="0EC2C6A2" w14:textId="56413782">
      <w:pPr>
        <w:spacing w:line="480" w:lineRule="auto"/>
        <w:jc w:val="left"/>
      </w:pPr>
      <w:r w:rsidRPr="2F673BD6" w:rsidR="2F673BD6">
        <w:rPr>
          <w:rFonts w:ascii="Arial" w:hAnsi="Arial" w:eastAsia="Arial" w:cs="Arial"/>
          <w:noProof w:val="0"/>
          <w:sz w:val="24"/>
          <w:szCs w:val="24"/>
          <w:lang w:val="en-US"/>
        </w:rPr>
        <w:t xml:space="preserve">Midwinter, R. &amp; Dickson, J., (2015). </w:t>
      </w:r>
      <w:r w:rsidRPr="2F673BD6" w:rsidR="2F673BD6">
        <w:rPr>
          <w:rFonts w:ascii="Arial" w:hAnsi="Arial" w:eastAsia="Arial" w:cs="Arial"/>
          <w:i w:val="1"/>
          <w:iCs w:val="1"/>
          <w:noProof w:val="0"/>
          <w:sz w:val="24"/>
          <w:szCs w:val="24"/>
          <w:lang w:val="en-US"/>
        </w:rPr>
        <w:t xml:space="preserve">Embedding counselling and communication skills: a relational skills model. </w:t>
      </w:r>
      <w:r w:rsidRPr="2F673BD6" w:rsidR="2F673BD6">
        <w:rPr>
          <w:rFonts w:ascii="Arial" w:hAnsi="Arial" w:eastAsia="Arial" w:cs="Arial"/>
          <w:noProof w:val="0"/>
          <w:sz w:val="24"/>
          <w:szCs w:val="24"/>
          <w:lang w:val="en-US"/>
        </w:rPr>
        <w:t>London: Routledge.</w:t>
      </w:r>
    </w:p>
    <w:p w:rsidR="2F673BD6" w:rsidP="2F673BD6" w:rsidRDefault="2F673BD6" w14:paraId="6D522063" w14:textId="57B8D699">
      <w:pPr>
        <w:spacing w:line="480" w:lineRule="auto"/>
        <w:jc w:val="left"/>
      </w:pPr>
      <w:r w:rsidRPr="2F673BD6" w:rsidR="2F673BD6">
        <w:rPr>
          <w:rFonts w:ascii="Arial" w:hAnsi="Arial" w:eastAsia="Arial" w:cs="Arial"/>
          <w:noProof w:val="0"/>
          <w:sz w:val="24"/>
          <w:szCs w:val="24"/>
          <w:lang w:val="en-US"/>
        </w:rPr>
        <w:t xml:space="preserve">Nelson-Jones, R., (2016). </w:t>
      </w:r>
      <w:r w:rsidRPr="2F673BD6" w:rsidR="2F673BD6">
        <w:rPr>
          <w:rFonts w:ascii="Arial" w:hAnsi="Arial" w:eastAsia="Arial" w:cs="Arial"/>
          <w:i w:val="1"/>
          <w:iCs w:val="1"/>
          <w:noProof w:val="0"/>
          <w:sz w:val="24"/>
          <w:szCs w:val="24"/>
          <w:lang w:val="en-US"/>
        </w:rPr>
        <w:t xml:space="preserve">Basic counselling skills: a helper's manual. </w:t>
      </w:r>
      <w:r w:rsidRPr="2F673BD6" w:rsidR="2F673BD6">
        <w:rPr>
          <w:rFonts w:ascii="Arial" w:hAnsi="Arial" w:eastAsia="Arial" w:cs="Arial"/>
          <w:noProof w:val="0"/>
          <w:sz w:val="24"/>
          <w:szCs w:val="24"/>
          <w:lang w:val="en-US"/>
        </w:rPr>
        <w:t>Fourth edition. edn. London: SAGE.</w:t>
      </w:r>
    </w:p>
    <w:p w:rsidR="2F673BD6" w:rsidP="2F673BD6" w:rsidRDefault="2F673BD6" w14:paraId="37A27E9F" w14:textId="361D026E">
      <w:pPr>
        <w:spacing w:line="480" w:lineRule="auto"/>
        <w:jc w:val="left"/>
      </w:pPr>
      <w:r w:rsidRPr="3D897F83" w:rsidR="3D897F83">
        <w:rPr>
          <w:rFonts w:ascii="Arial" w:hAnsi="Arial" w:eastAsia="Arial" w:cs="Arial"/>
          <w:noProof w:val="0"/>
          <w:sz w:val="24"/>
          <w:szCs w:val="24"/>
          <w:lang w:val="en-US"/>
        </w:rPr>
        <w:t xml:space="preserve">Proctor, C. L., (2017) Congruence/Incongruence. In Zeigler-Hill, V. &amp; Shackelford, T. K. (Eds), </w:t>
      </w:r>
      <w:r w:rsidRPr="3D897F83" w:rsidR="3D897F83">
        <w:rPr>
          <w:rFonts w:ascii="Arial" w:hAnsi="Arial" w:eastAsia="Arial" w:cs="Arial"/>
          <w:i w:val="1"/>
          <w:iCs w:val="1"/>
          <w:noProof w:val="0"/>
          <w:sz w:val="24"/>
          <w:szCs w:val="24"/>
          <w:lang w:val="en-US"/>
        </w:rPr>
        <w:t xml:space="preserve">Encyclopedia of Personality and Individual Differences. </w:t>
      </w:r>
      <w:r w:rsidRPr="3D897F83" w:rsidR="3D897F83">
        <w:rPr>
          <w:rFonts w:ascii="Arial" w:hAnsi="Arial" w:eastAsia="Arial" w:cs="Arial"/>
          <w:noProof w:val="0"/>
          <w:sz w:val="24"/>
          <w:szCs w:val="24"/>
          <w:lang w:val="en-US"/>
        </w:rPr>
        <w:t>Springer International Publishing. Available at:</w:t>
      </w:r>
      <w:r w:rsidRPr="3D897F83" w:rsidR="3D897F83">
        <w:rPr>
          <w:rFonts w:ascii="Arial" w:hAnsi="Arial" w:eastAsia="Arial" w:cs="Arial"/>
          <w:noProof w:val="0"/>
          <w:color w:val="555555"/>
          <w:sz w:val="24"/>
          <w:szCs w:val="24"/>
          <w:lang w:val="en-US"/>
        </w:rPr>
        <w:t xml:space="preserve"> </w:t>
      </w:r>
      <w:hyperlink r:id="Rcb214f83e1394503">
        <w:r w:rsidRPr="3D897F83" w:rsidR="3D897F83">
          <w:rPr>
            <w:rStyle w:val="Hyperlink"/>
            <w:rFonts w:ascii="Arial" w:hAnsi="Arial" w:eastAsia="Arial" w:cs="Arial"/>
            <w:noProof w:val="0"/>
            <w:color w:val="0563C1"/>
            <w:sz w:val="24"/>
            <w:szCs w:val="24"/>
            <w:u w:val="single"/>
            <w:lang w:val="en-GB"/>
          </w:rPr>
          <w:t>https://www.researchgate.net/publication/314232482_CongruenceIncongruence</w:t>
        </w:r>
      </w:hyperlink>
      <w:r w:rsidRPr="3D897F83" w:rsidR="3D897F83">
        <w:rPr>
          <w:rFonts w:ascii="Arial" w:hAnsi="Arial" w:eastAsia="Arial" w:cs="Arial"/>
          <w:noProof w:val="0"/>
          <w:color w:val="0563C1"/>
          <w:sz w:val="24"/>
          <w:szCs w:val="24"/>
          <w:u w:val="single"/>
          <w:lang w:val="en-GB"/>
        </w:rPr>
        <w:t xml:space="preserve"> </w:t>
      </w:r>
      <w:r w:rsidRPr="3D897F83" w:rsidR="3D897F83">
        <w:rPr>
          <w:rFonts w:ascii="Arial" w:hAnsi="Arial" w:eastAsia="Arial" w:cs="Arial"/>
          <w:noProof w:val="0"/>
          <w:color w:val="000000" w:themeColor="text1" w:themeTint="FF" w:themeShade="FF"/>
          <w:sz w:val="24"/>
          <w:szCs w:val="24"/>
          <w:u w:val="none"/>
          <w:lang w:val="en-GB"/>
        </w:rPr>
        <w:t xml:space="preserve">(Accessed 1 </w:t>
      </w:r>
      <w:proofErr w:type="gramStart"/>
      <w:r w:rsidRPr="3D897F83" w:rsidR="3D897F83">
        <w:rPr>
          <w:rFonts w:ascii="Arial" w:hAnsi="Arial" w:eastAsia="Arial" w:cs="Arial"/>
          <w:noProof w:val="0"/>
          <w:color w:val="000000" w:themeColor="text1" w:themeTint="FF" w:themeShade="FF"/>
          <w:sz w:val="24"/>
          <w:szCs w:val="24"/>
          <w:u w:val="none"/>
          <w:lang w:val="en-GB"/>
        </w:rPr>
        <w:t>December,</w:t>
      </w:r>
      <w:proofErr w:type="gramEnd"/>
      <w:r w:rsidRPr="3D897F83" w:rsidR="3D897F83">
        <w:rPr>
          <w:rFonts w:ascii="Arial" w:hAnsi="Arial" w:eastAsia="Arial" w:cs="Arial"/>
          <w:noProof w:val="0"/>
          <w:color w:val="000000" w:themeColor="text1" w:themeTint="FF" w:themeShade="FF"/>
          <w:sz w:val="24"/>
          <w:szCs w:val="24"/>
          <w:u w:val="none"/>
          <w:lang w:val="en-GB"/>
        </w:rPr>
        <w:t xml:space="preserve"> 2019).</w:t>
      </w:r>
    </w:p>
    <w:p w:rsidR="2F673BD6" w:rsidP="2F673BD6" w:rsidRDefault="2F673BD6" w14:paraId="73A77A9A" w14:textId="5FF59C4D">
      <w:pPr>
        <w:spacing w:line="480" w:lineRule="auto"/>
        <w:jc w:val="left"/>
      </w:pPr>
      <w:r w:rsidRPr="2F673BD6" w:rsidR="2F673BD6">
        <w:rPr>
          <w:rFonts w:ascii="Arial" w:hAnsi="Arial" w:eastAsia="Arial" w:cs="Arial"/>
          <w:noProof w:val="0"/>
          <w:sz w:val="24"/>
          <w:szCs w:val="24"/>
          <w:lang w:val="en-US"/>
        </w:rPr>
        <w:t xml:space="preserve">Rogers, C. R., (1957). The necessary and sufficient conditions of therapeutic personality change. </w:t>
      </w:r>
      <w:r w:rsidRPr="2F673BD6" w:rsidR="2F673BD6">
        <w:rPr>
          <w:rFonts w:ascii="Arial" w:hAnsi="Arial" w:eastAsia="Arial" w:cs="Arial"/>
          <w:i w:val="1"/>
          <w:iCs w:val="1"/>
          <w:noProof w:val="0"/>
          <w:sz w:val="24"/>
          <w:szCs w:val="24"/>
          <w:lang w:val="en-US"/>
        </w:rPr>
        <w:t xml:space="preserve">Journal of consulting psychology, </w:t>
      </w:r>
      <w:r w:rsidRPr="2F673BD6" w:rsidR="2F673BD6">
        <w:rPr>
          <w:rFonts w:ascii="Arial" w:hAnsi="Arial" w:eastAsia="Arial" w:cs="Arial"/>
          <w:b w:val="1"/>
          <w:bCs w:val="1"/>
          <w:noProof w:val="0"/>
          <w:sz w:val="24"/>
          <w:szCs w:val="24"/>
          <w:lang w:val="en-US"/>
        </w:rPr>
        <w:t>21</w:t>
      </w:r>
      <w:r w:rsidRPr="2F673BD6" w:rsidR="2F673BD6">
        <w:rPr>
          <w:rFonts w:ascii="Arial" w:hAnsi="Arial" w:eastAsia="Arial" w:cs="Arial"/>
          <w:noProof w:val="0"/>
          <w:sz w:val="24"/>
          <w:szCs w:val="24"/>
          <w:lang w:val="en-US"/>
        </w:rPr>
        <w:t>(2), pp. 95.</w:t>
      </w:r>
    </w:p>
    <w:p w:rsidR="2F673BD6" w:rsidP="2F673BD6" w:rsidRDefault="2F673BD6" w14:paraId="1ED7DE12" w14:textId="6E4143FB">
      <w:pPr>
        <w:spacing w:line="480" w:lineRule="auto"/>
        <w:jc w:val="left"/>
      </w:pPr>
      <w:r w:rsidRPr="2F673BD6" w:rsidR="2F673BD6">
        <w:rPr>
          <w:rFonts w:ascii="Arial" w:hAnsi="Arial" w:eastAsia="Arial" w:cs="Arial"/>
          <w:noProof w:val="0"/>
          <w:sz w:val="24"/>
          <w:szCs w:val="24"/>
          <w:lang w:val="en-US"/>
        </w:rPr>
        <w:t xml:space="preserve">Rogers, C. R., (1959). </w:t>
      </w:r>
      <w:r w:rsidRPr="2F673BD6" w:rsidR="2F673BD6">
        <w:rPr>
          <w:rFonts w:ascii="Arial" w:hAnsi="Arial" w:eastAsia="Arial" w:cs="Arial"/>
          <w:i w:val="1"/>
          <w:iCs w:val="1"/>
          <w:noProof w:val="0"/>
          <w:sz w:val="24"/>
          <w:szCs w:val="24"/>
          <w:lang w:val="en-US"/>
        </w:rPr>
        <w:t xml:space="preserve">Client-centered therapy: Its current practice, implications, and theory. </w:t>
      </w:r>
      <w:r w:rsidRPr="2F673BD6" w:rsidR="2F673BD6">
        <w:rPr>
          <w:rFonts w:ascii="Arial" w:hAnsi="Arial" w:eastAsia="Arial" w:cs="Arial"/>
          <w:noProof w:val="0"/>
          <w:sz w:val="24"/>
          <w:szCs w:val="24"/>
          <w:lang w:val="en-US"/>
        </w:rPr>
        <w:t>Boston: Houghton Mifflin.</w:t>
      </w:r>
    </w:p>
    <w:p w:rsidR="2F673BD6" w:rsidP="2F673BD6" w:rsidRDefault="2F673BD6" w14:paraId="68417EE8" w14:textId="307812C2">
      <w:pPr>
        <w:spacing w:line="480" w:lineRule="auto"/>
        <w:jc w:val="left"/>
      </w:pPr>
      <w:r w:rsidRPr="2F673BD6" w:rsidR="2F673BD6">
        <w:rPr>
          <w:rFonts w:ascii="Arial" w:hAnsi="Arial" w:eastAsia="Arial" w:cs="Arial"/>
          <w:noProof w:val="0"/>
          <w:sz w:val="24"/>
          <w:szCs w:val="24"/>
          <w:lang w:val="en-US"/>
        </w:rPr>
        <w:t xml:space="preserve">Rogers, C. R., (1980). </w:t>
      </w:r>
      <w:r w:rsidRPr="2F673BD6" w:rsidR="2F673BD6">
        <w:rPr>
          <w:rFonts w:ascii="Arial" w:hAnsi="Arial" w:eastAsia="Arial" w:cs="Arial"/>
          <w:i w:val="1"/>
          <w:iCs w:val="1"/>
          <w:noProof w:val="0"/>
          <w:sz w:val="24"/>
          <w:szCs w:val="24"/>
          <w:lang w:val="en-US"/>
        </w:rPr>
        <w:t xml:space="preserve">A way of being. </w:t>
      </w:r>
      <w:r w:rsidRPr="2F673BD6" w:rsidR="2F673BD6">
        <w:rPr>
          <w:rFonts w:ascii="Arial" w:hAnsi="Arial" w:eastAsia="Arial" w:cs="Arial"/>
          <w:noProof w:val="0"/>
          <w:sz w:val="24"/>
          <w:szCs w:val="24"/>
          <w:lang w:val="en-US"/>
        </w:rPr>
        <w:t>Boston: Houghton Mifflin.</w:t>
      </w:r>
    </w:p>
    <w:p w:rsidR="2F673BD6" w:rsidP="2F673BD6" w:rsidRDefault="2F673BD6" w14:paraId="64217D95" w14:textId="2A26F1A1">
      <w:pPr>
        <w:spacing w:line="480" w:lineRule="auto"/>
        <w:jc w:val="left"/>
      </w:pPr>
      <w:r w:rsidRPr="2F673BD6" w:rsidR="2F673BD6">
        <w:rPr>
          <w:rFonts w:ascii="Arial" w:hAnsi="Arial" w:eastAsia="Arial" w:cs="Arial"/>
          <w:noProof w:val="0"/>
          <w:sz w:val="24"/>
          <w:szCs w:val="24"/>
          <w:lang w:val="en-US"/>
        </w:rPr>
        <w:t xml:space="preserve">Safran, J. D., &amp; Muran, J. C. (2006). Has the concept of the therapeutic alliance outlived its usefulness? </w:t>
      </w:r>
      <w:r w:rsidRPr="2F673BD6" w:rsidR="2F673BD6">
        <w:rPr>
          <w:rFonts w:ascii="Arial" w:hAnsi="Arial" w:eastAsia="Arial" w:cs="Arial"/>
          <w:i w:val="1"/>
          <w:iCs w:val="1"/>
          <w:noProof w:val="0"/>
          <w:sz w:val="24"/>
          <w:szCs w:val="24"/>
          <w:lang w:val="en-US"/>
        </w:rPr>
        <w:t>Psychotherapy: Theory, Research, Practice, Training, 43</w:t>
      </w:r>
      <w:r w:rsidRPr="2F673BD6" w:rsidR="2F673BD6">
        <w:rPr>
          <w:rFonts w:ascii="Arial" w:hAnsi="Arial" w:eastAsia="Arial" w:cs="Arial"/>
          <w:noProof w:val="0"/>
          <w:sz w:val="24"/>
          <w:szCs w:val="24"/>
          <w:lang w:val="en-US"/>
        </w:rPr>
        <w:t>(3), pp. 286-291.</w:t>
      </w:r>
    </w:p>
    <w:p w:rsidR="2F673BD6" w:rsidP="2F673BD6" w:rsidRDefault="2F673BD6" w14:paraId="39E80C23" w14:textId="47EEDB2A">
      <w:pPr>
        <w:spacing w:line="480" w:lineRule="auto"/>
        <w:jc w:val="left"/>
      </w:pPr>
      <w:r w:rsidRPr="2F673BD6" w:rsidR="2F673BD6">
        <w:rPr>
          <w:rFonts w:ascii="Arial" w:hAnsi="Arial" w:eastAsia="Arial" w:cs="Arial"/>
          <w:noProof w:val="0"/>
          <w:sz w:val="24"/>
          <w:szCs w:val="24"/>
          <w:lang w:val="en-US"/>
        </w:rPr>
        <w:t xml:space="preserve">Schön, D. (1983). </w:t>
      </w:r>
      <w:r w:rsidRPr="2F673BD6" w:rsidR="2F673BD6">
        <w:rPr>
          <w:rFonts w:ascii="Arial" w:hAnsi="Arial" w:eastAsia="Arial" w:cs="Arial"/>
          <w:i w:val="1"/>
          <w:iCs w:val="1"/>
          <w:noProof w:val="0"/>
          <w:sz w:val="24"/>
          <w:szCs w:val="24"/>
          <w:lang w:val="en-US"/>
        </w:rPr>
        <w:t>The reflective practitioner: How professionals think in action.</w:t>
      </w:r>
      <w:r w:rsidRPr="2F673BD6" w:rsidR="2F673BD6">
        <w:rPr>
          <w:rFonts w:ascii="Arial" w:hAnsi="Arial" w:eastAsia="Arial" w:cs="Arial"/>
          <w:noProof w:val="0"/>
          <w:sz w:val="24"/>
          <w:szCs w:val="24"/>
          <w:lang w:val="en-US"/>
        </w:rPr>
        <w:t xml:space="preserve"> New York, NY: Basic.</w:t>
      </w:r>
    </w:p>
    <w:p w:rsidR="2F673BD6" w:rsidP="2F673BD6" w:rsidRDefault="2F673BD6" w14:paraId="598E50A4" w14:textId="2F0C1CE0">
      <w:pPr>
        <w:spacing w:line="480" w:lineRule="auto"/>
        <w:jc w:val="left"/>
      </w:pPr>
      <w:r w:rsidRPr="2F673BD6" w:rsidR="2F673BD6">
        <w:rPr>
          <w:rFonts w:ascii="Arial" w:hAnsi="Arial" w:eastAsia="Arial" w:cs="Arial"/>
          <w:noProof w:val="0"/>
          <w:sz w:val="24"/>
          <w:szCs w:val="24"/>
          <w:lang w:val="en-US"/>
        </w:rPr>
        <w:t xml:space="preserve">Stella, M., (2016). Befriending death: A mindfulness-based approach to cultivating self-awareness in counselling students. </w:t>
      </w:r>
      <w:r w:rsidRPr="2F673BD6" w:rsidR="2F673BD6">
        <w:rPr>
          <w:rFonts w:ascii="Arial" w:hAnsi="Arial" w:eastAsia="Arial" w:cs="Arial"/>
          <w:i w:val="1"/>
          <w:iCs w:val="1"/>
          <w:noProof w:val="0"/>
          <w:sz w:val="24"/>
          <w:szCs w:val="24"/>
          <w:lang w:val="en-US"/>
        </w:rPr>
        <w:t xml:space="preserve">Death studies, </w:t>
      </w:r>
      <w:r w:rsidRPr="2F673BD6" w:rsidR="2F673BD6">
        <w:rPr>
          <w:rFonts w:ascii="Arial" w:hAnsi="Arial" w:eastAsia="Arial" w:cs="Arial"/>
          <w:b w:val="1"/>
          <w:bCs w:val="1"/>
          <w:noProof w:val="0"/>
          <w:sz w:val="24"/>
          <w:szCs w:val="24"/>
          <w:lang w:val="en-US"/>
        </w:rPr>
        <w:t>40</w:t>
      </w:r>
      <w:r w:rsidRPr="2F673BD6" w:rsidR="2F673BD6">
        <w:rPr>
          <w:rFonts w:ascii="Arial" w:hAnsi="Arial" w:eastAsia="Arial" w:cs="Arial"/>
          <w:noProof w:val="0"/>
          <w:sz w:val="24"/>
          <w:szCs w:val="24"/>
          <w:lang w:val="en-US"/>
        </w:rPr>
        <w:t>(1), pp. 32-39.</w:t>
      </w:r>
    </w:p>
    <w:p w:rsidR="2F673BD6" w:rsidP="2F673BD6" w:rsidRDefault="2F673BD6" w14:paraId="6D384C42" w14:textId="16855454">
      <w:pPr>
        <w:spacing w:line="480" w:lineRule="auto"/>
        <w:jc w:val="left"/>
      </w:pPr>
      <w:r w:rsidRPr="2F673BD6" w:rsidR="2F673BD6">
        <w:rPr>
          <w:rFonts w:ascii="Arial" w:hAnsi="Arial" w:eastAsia="Arial" w:cs="Arial"/>
          <w:noProof w:val="0"/>
          <w:sz w:val="24"/>
          <w:szCs w:val="24"/>
          <w:lang w:val="en-US"/>
        </w:rPr>
        <w:t xml:space="preserve">Tarrant, P., (2017). </w:t>
      </w:r>
      <w:r w:rsidRPr="2F673BD6" w:rsidR="2F673BD6">
        <w:rPr>
          <w:rFonts w:ascii="Arial" w:hAnsi="Arial" w:eastAsia="Arial" w:cs="Arial"/>
          <w:i w:val="1"/>
          <w:iCs w:val="1"/>
          <w:noProof w:val="0"/>
          <w:sz w:val="24"/>
          <w:szCs w:val="24"/>
          <w:lang w:val="en-US"/>
        </w:rPr>
        <w:t xml:space="preserve">Reflective practice and professional development. </w:t>
      </w:r>
      <w:r w:rsidRPr="2F673BD6" w:rsidR="2F673BD6">
        <w:rPr>
          <w:rFonts w:ascii="Arial" w:hAnsi="Arial" w:eastAsia="Arial" w:cs="Arial"/>
          <w:noProof w:val="0"/>
          <w:sz w:val="24"/>
          <w:szCs w:val="24"/>
          <w:lang w:val="en-US"/>
        </w:rPr>
        <w:t>First edition. Thousand Oaks, CA: SAGE Publications.</w:t>
      </w:r>
    </w:p>
    <w:p w:rsidR="2F673BD6" w:rsidP="2F673BD6" w:rsidRDefault="2F673BD6" w14:paraId="20E363D1" w14:textId="68C44573">
      <w:pPr>
        <w:spacing w:line="480" w:lineRule="auto"/>
        <w:jc w:val="left"/>
      </w:pPr>
      <w:r w:rsidRPr="2F673BD6" w:rsidR="2F673BD6">
        <w:rPr>
          <w:rFonts w:ascii="Arial" w:hAnsi="Arial" w:eastAsia="Arial" w:cs="Arial"/>
          <w:noProof w:val="0"/>
          <w:sz w:val="24"/>
          <w:szCs w:val="24"/>
          <w:lang w:val="en-US"/>
        </w:rPr>
        <w:t xml:space="preserve">Tolan, J., (2017). </w:t>
      </w:r>
      <w:r w:rsidRPr="2F673BD6" w:rsidR="2F673BD6">
        <w:rPr>
          <w:rFonts w:ascii="Arial" w:hAnsi="Arial" w:eastAsia="Arial" w:cs="Arial"/>
          <w:i w:val="1"/>
          <w:iCs w:val="1"/>
          <w:noProof w:val="0"/>
          <w:sz w:val="24"/>
          <w:szCs w:val="24"/>
          <w:lang w:val="en-US"/>
        </w:rPr>
        <w:t xml:space="preserve">Skills in person-centred counselling &amp; psychotherapy. </w:t>
      </w:r>
      <w:r w:rsidRPr="2F673BD6" w:rsidR="2F673BD6">
        <w:rPr>
          <w:rFonts w:ascii="Arial" w:hAnsi="Arial" w:eastAsia="Arial" w:cs="Arial"/>
          <w:noProof w:val="0"/>
          <w:sz w:val="24"/>
          <w:szCs w:val="24"/>
          <w:lang w:val="en-US"/>
        </w:rPr>
        <w:t>Third edition. Los Angeles: SAGE.</w:t>
      </w:r>
    </w:p>
    <w:p w:rsidR="2F673BD6" w:rsidP="2F673BD6" w:rsidRDefault="2F673BD6" w14:paraId="0749F726" w14:textId="250657A1">
      <w:pPr>
        <w:spacing w:line="480" w:lineRule="auto"/>
        <w:jc w:val="left"/>
      </w:pPr>
      <w:r w:rsidRPr="2F673BD6" w:rsidR="2F673BD6">
        <w:rPr>
          <w:rFonts w:ascii="Arial" w:hAnsi="Arial" w:eastAsia="Arial" w:cs="Arial"/>
          <w:noProof w:val="0"/>
          <w:sz w:val="24"/>
          <w:szCs w:val="24"/>
          <w:lang w:val="en-US"/>
        </w:rPr>
        <w:t xml:space="preserve">Wang, K.T., Sheveleva, M.S. and Permyakova, T.M., (2019). Imposter syndrome among Russian students: The link between perfectionism and psychological distress. </w:t>
      </w:r>
      <w:r w:rsidRPr="2F673BD6" w:rsidR="2F673BD6">
        <w:rPr>
          <w:rFonts w:ascii="Arial" w:hAnsi="Arial" w:eastAsia="Arial" w:cs="Arial"/>
          <w:i w:val="1"/>
          <w:iCs w:val="1"/>
          <w:noProof w:val="0"/>
          <w:sz w:val="24"/>
          <w:szCs w:val="24"/>
          <w:lang w:val="en-US"/>
        </w:rPr>
        <w:t xml:space="preserve">Personality and Individual Differences, </w:t>
      </w:r>
      <w:r w:rsidRPr="2F673BD6" w:rsidR="2F673BD6">
        <w:rPr>
          <w:rFonts w:ascii="Arial" w:hAnsi="Arial" w:eastAsia="Arial" w:cs="Arial"/>
          <w:b w:val="1"/>
          <w:bCs w:val="1"/>
          <w:noProof w:val="0"/>
          <w:sz w:val="24"/>
          <w:szCs w:val="24"/>
          <w:lang w:val="en-US"/>
        </w:rPr>
        <w:t>143</w:t>
      </w:r>
      <w:r w:rsidRPr="2F673BD6" w:rsidR="2F673BD6">
        <w:rPr>
          <w:rFonts w:ascii="Arial" w:hAnsi="Arial" w:eastAsia="Arial" w:cs="Arial"/>
          <w:noProof w:val="0"/>
          <w:sz w:val="24"/>
          <w:szCs w:val="24"/>
          <w:lang w:val="en-US"/>
        </w:rPr>
        <w:t>, pp. 1-6.</w:t>
      </w:r>
    </w:p>
    <w:p w:rsidR="2F673BD6" w:rsidP="2F673BD6" w:rsidRDefault="2F673BD6" w14:paraId="24B5D7A6" w14:textId="3C5E32EF">
      <w:pPr>
        <w:pStyle w:val="Normal"/>
        <w:spacing w:before="0" w:beforeAutospacing="off" w:after="160" w:afterAutospacing="off" w:line="480" w:lineRule="auto"/>
        <w:ind w:left="0" w:right="0"/>
        <w:jc w:val="left"/>
        <w:rPr>
          <w:rFonts w:ascii="Arial" w:hAnsi="Arial" w:eastAsia="Arial" w:cs="Arial"/>
          <w:b w:val="1"/>
          <w:bCs w:val="1"/>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headerReference w:type="default" r:id="Rac7ae73a8dac4861"/>
      <w:footerReference w:type="default" r:id="Rec6f853954f74f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673BD6" w:rsidTr="2F673BD6" w14:paraId="01FC50FA">
      <w:tc>
        <w:tcPr>
          <w:tcW w:w="3120" w:type="dxa"/>
          <w:tcMar/>
        </w:tcPr>
        <w:p w:rsidR="2F673BD6" w:rsidP="2F673BD6" w:rsidRDefault="2F673BD6" w14:paraId="62B5BD6A" w14:textId="5EEDCE7B">
          <w:pPr>
            <w:pStyle w:val="Header"/>
            <w:bidi w:val="0"/>
            <w:ind w:left="-115"/>
            <w:jc w:val="left"/>
          </w:pPr>
        </w:p>
      </w:tc>
      <w:tc>
        <w:tcPr>
          <w:tcW w:w="3120" w:type="dxa"/>
          <w:tcMar/>
        </w:tcPr>
        <w:p w:rsidR="2F673BD6" w:rsidP="2F673BD6" w:rsidRDefault="2F673BD6" w14:paraId="2735B545" w14:textId="67AF426C">
          <w:pPr>
            <w:pStyle w:val="Header"/>
            <w:bidi w:val="0"/>
            <w:jc w:val="center"/>
          </w:pPr>
          <w:r>
            <w:fldChar w:fldCharType="begin"/>
          </w:r>
          <w:r>
            <w:instrText xml:space="preserve">PAGE</w:instrText>
          </w:r>
          <w:r>
            <w:fldChar w:fldCharType="end"/>
          </w:r>
        </w:p>
      </w:tc>
      <w:tc>
        <w:tcPr>
          <w:tcW w:w="3120" w:type="dxa"/>
          <w:tcMar/>
        </w:tcPr>
        <w:p w:rsidR="2F673BD6" w:rsidP="2F673BD6" w:rsidRDefault="2F673BD6" w14:paraId="3DB97A4C" w14:textId="20048803">
          <w:pPr>
            <w:pStyle w:val="Header"/>
            <w:bidi w:val="0"/>
            <w:ind w:right="-115"/>
            <w:jc w:val="right"/>
          </w:pPr>
        </w:p>
      </w:tc>
    </w:tr>
  </w:tbl>
  <w:p w:rsidR="2F673BD6" w:rsidP="2F673BD6" w:rsidRDefault="2F673BD6" w14:paraId="2239D4C4" w14:textId="1FAF28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F673BD6" w:rsidTr="2F673BD6" w14:paraId="45240903">
      <w:tc>
        <w:tcPr>
          <w:tcW w:w="3120" w:type="dxa"/>
          <w:tcMar/>
        </w:tcPr>
        <w:p w:rsidR="2F673BD6" w:rsidP="2F673BD6" w:rsidRDefault="2F673BD6" w14:paraId="4CA16CD6" w14:textId="6AC105C6">
          <w:pPr>
            <w:pStyle w:val="Header"/>
            <w:bidi w:val="0"/>
            <w:ind w:left="-115"/>
            <w:jc w:val="left"/>
          </w:pPr>
        </w:p>
      </w:tc>
      <w:tc>
        <w:tcPr>
          <w:tcW w:w="3120" w:type="dxa"/>
          <w:tcMar/>
        </w:tcPr>
        <w:p w:rsidR="2F673BD6" w:rsidP="2F673BD6" w:rsidRDefault="2F673BD6" w14:paraId="72EA2C61" w14:textId="0D5E05AF">
          <w:pPr>
            <w:pStyle w:val="Header"/>
            <w:bidi w:val="0"/>
            <w:jc w:val="center"/>
          </w:pPr>
        </w:p>
      </w:tc>
      <w:tc>
        <w:tcPr>
          <w:tcW w:w="3120" w:type="dxa"/>
          <w:tcMar/>
        </w:tcPr>
        <w:p w:rsidR="2F673BD6" w:rsidP="2F673BD6" w:rsidRDefault="2F673BD6" w14:paraId="36A6A6D8" w14:textId="5C072A7B">
          <w:pPr>
            <w:pStyle w:val="Header"/>
            <w:bidi w:val="0"/>
            <w:ind w:right="-115"/>
            <w:jc w:val="right"/>
          </w:pPr>
        </w:p>
      </w:tc>
    </w:tr>
  </w:tbl>
  <w:p w:rsidR="2F673BD6" w:rsidP="2F673BD6" w:rsidRDefault="2F673BD6" w14:paraId="3864C3DD" w14:textId="2B1E263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EA52C6"/>
  <w15:docId w15:val="{9617bf6b-a7b1-4239-a316-13dc1a9328fb}"/>
  <w:rsids>
    <w:rsidRoot w:val="3DEA52C6"/>
    <w:rsid w:val="16D98AAB"/>
    <w:rsid w:val="2F673BD6"/>
    <w:rsid w:val="3845F2BC"/>
    <w:rsid w:val="39F37B4E"/>
    <w:rsid w:val="3D897F83"/>
    <w:rsid w:val="3DEA52C6"/>
    <w:rsid w:val="42B3739F"/>
    <w:rsid w:val="45E133CC"/>
    <w:rsid w:val="5C05438F"/>
    <w:rsid w:val="5C87E9BD"/>
    <w:rsid w:val="6788A81F"/>
    <w:rsid w:val="6D5DD808"/>
    <w:rsid w:val="6E3E6D95"/>
    <w:rsid w:val="6FDD49D0"/>
    <w:rsid w:val="712CD17D"/>
    <w:rsid w:val="714FAFE1"/>
    <w:rsid w:val="732EEC30"/>
    <w:rsid w:val="7D37ED7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earch-proquest-com.ezproxy.uwtsd.ac.uk/indexinglinkhandler/sng/au/Overington,+Louise/$N?accountid=130472" TargetMode="External" Id="Rcce138c5acdd4d0a" /><Relationship Type="http://schemas.openxmlformats.org/officeDocument/2006/relationships/hyperlink" Target="https://search-proquest-com.ezproxy.uwtsd.ac.uk/indexinglinkhandler/sng/au/Overington,+Louise/$N?accountid=130472" TargetMode="External" Id="R9992b5193ab14975" /><Relationship Type="http://schemas.openxmlformats.org/officeDocument/2006/relationships/hyperlink" Target="https://www.bacp.co.uk/media/2638/bacp-what-therapists-mean-by-professional-boundaries-c4.pdf" TargetMode="External" Id="Rd40dff865e074ec1" /><Relationship Type="http://schemas.openxmlformats.org/officeDocument/2006/relationships/header" Target="/word/header.xml" Id="Rac7ae73a8dac4861" /><Relationship Type="http://schemas.openxmlformats.org/officeDocument/2006/relationships/footer" Target="/word/footer.xml" Id="Rec6f853954f74feb" /><Relationship Type="http://schemas.openxmlformats.org/officeDocument/2006/relationships/hyperlink" Target="http://dx.doi.org/10.3389/fpsyg.2016.00862" TargetMode="External" Id="R71d9ec1e12a84d34" /><Relationship Type="http://schemas.openxmlformats.org/officeDocument/2006/relationships/hyperlink" Target="https://www.researchgate.net/publication/314232482_CongruenceIncongruence" TargetMode="External" Id="Rcb214f83e1394503" /><Relationship Type="http://schemas.openxmlformats.org/officeDocument/2006/relationships/hyperlink" Target="https://search-proquest-com.ezproxy.uwtsd.ac.uk/indexinglinkhandler/sng/au/De+Stefano,+Jack/$N?accountid=130472" TargetMode="External" Id="R893ec11cec404eb0" /><Relationship Type="http://schemas.openxmlformats.org/officeDocument/2006/relationships/hyperlink" Target="https://search-proquest-com.ezproxy.uwtsd.ac.uk/indexinglinkhandler/sng/au/Overington,+Louise/$N?accountid=130472" TargetMode="External" Id="R1948469735d84e1f" /><Relationship Type="http://schemas.openxmlformats.org/officeDocument/2006/relationships/hyperlink" Target="https://search-proquest-com.ezproxy.uwtsd.ac.uk/indexinglinkhandler/sng/au/Bradley,+Stacy/$N?accountid=130472" TargetMode="External" Id="R6a8a89e52dde4c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2019-11-21T20:42:18.0313230Z</dcterms:created>
  <dcterms:modified xsi:type="dcterms:W3CDTF">2019-12-04T11:09:02.8024364Z</dcterms:modified>
  <dc:creator>Melina Sullivan (1804900)</dc:creator>
  <lastModifiedBy>Melina Sullivan (1804900)</lastModifiedBy>
</coreProperties>
</file>