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642E35" w14:textId="0820F78F" w:rsidR="00CA7152" w:rsidRPr="00033B59" w:rsidRDefault="00A87189" w:rsidP="00FF59D7">
      <w:pPr>
        <w:spacing w:line="360" w:lineRule="auto"/>
        <w:jc w:val="center"/>
        <w:rPr>
          <w:rFonts w:ascii="Times New Roman" w:hAnsi="Times New Roman" w:cs="Times New Roman"/>
          <w:sz w:val="32"/>
          <w:szCs w:val="32"/>
        </w:rPr>
      </w:pPr>
      <w:r w:rsidRPr="00033B59">
        <w:rPr>
          <w:rFonts w:ascii="Times New Roman" w:hAnsi="Times New Roman" w:cs="Times New Roman"/>
          <w:sz w:val="32"/>
          <w:szCs w:val="32"/>
        </w:rPr>
        <w:t>Rhiannon</w:t>
      </w:r>
      <w:r w:rsidR="00033B59" w:rsidRPr="00033B59">
        <w:rPr>
          <w:rFonts w:ascii="Times New Roman" w:hAnsi="Times New Roman" w:cs="Times New Roman"/>
          <w:sz w:val="32"/>
          <w:szCs w:val="32"/>
        </w:rPr>
        <w:t xml:space="preserve"> and The Horse</w:t>
      </w:r>
      <w:r w:rsidRPr="00033B59">
        <w:rPr>
          <w:rFonts w:ascii="Times New Roman" w:hAnsi="Times New Roman" w:cs="Times New Roman"/>
          <w:sz w:val="32"/>
          <w:szCs w:val="32"/>
        </w:rPr>
        <w:t xml:space="preserve"> in the First Branch of </w:t>
      </w:r>
      <w:r w:rsidRPr="00033B59">
        <w:rPr>
          <w:rFonts w:ascii="Times New Roman" w:hAnsi="Times New Roman" w:cs="Times New Roman"/>
          <w:i/>
          <w:iCs/>
          <w:sz w:val="32"/>
          <w:szCs w:val="32"/>
        </w:rPr>
        <w:t>Y Mabinogi</w:t>
      </w:r>
    </w:p>
    <w:p w14:paraId="4E9C92B1" w14:textId="0F6F2540" w:rsidR="00A87189" w:rsidRDefault="00A87189" w:rsidP="00FF59D7">
      <w:pPr>
        <w:spacing w:line="360" w:lineRule="auto"/>
        <w:jc w:val="center"/>
        <w:rPr>
          <w:rFonts w:ascii="Times New Roman" w:hAnsi="Times New Roman" w:cs="Times New Roman"/>
          <w:sz w:val="28"/>
          <w:szCs w:val="28"/>
        </w:rPr>
      </w:pPr>
      <w:r w:rsidRPr="00033B59">
        <w:rPr>
          <w:rFonts w:ascii="Times New Roman" w:hAnsi="Times New Roman" w:cs="Times New Roman"/>
          <w:sz w:val="28"/>
          <w:szCs w:val="28"/>
        </w:rPr>
        <w:t>Kira Webb / 2306722</w:t>
      </w:r>
      <w:r w:rsidR="00745FD1">
        <w:rPr>
          <w:rFonts w:ascii="Times New Roman" w:hAnsi="Times New Roman" w:cs="Times New Roman"/>
          <w:sz w:val="28"/>
          <w:szCs w:val="28"/>
        </w:rPr>
        <w:t xml:space="preserve"> </w:t>
      </w:r>
    </w:p>
    <w:p w14:paraId="24D92A27" w14:textId="77777777" w:rsidR="00033B59" w:rsidRDefault="00033B59" w:rsidP="00FF59D7">
      <w:pPr>
        <w:spacing w:line="360" w:lineRule="auto"/>
        <w:rPr>
          <w:rFonts w:ascii="Times New Roman" w:hAnsi="Times New Roman" w:cs="Times New Roman"/>
          <w:sz w:val="24"/>
          <w:szCs w:val="24"/>
        </w:rPr>
      </w:pPr>
    </w:p>
    <w:p w14:paraId="54E4B061" w14:textId="4443F7B0" w:rsidR="00F57A61" w:rsidRDefault="00F57A61" w:rsidP="00FF59D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essay aims to explore the connections between Rhiannon and horses in the first branch of </w:t>
      </w:r>
      <w:r w:rsidR="00184D6B">
        <w:rPr>
          <w:rFonts w:ascii="Times New Roman" w:hAnsi="Times New Roman" w:cs="Times New Roman"/>
          <w:i/>
          <w:iCs/>
          <w:sz w:val="24"/>
          <w:szCs w:val="24"/>
        </w:rPr>
        <w:t>Y</w:t>
      </w:r>
      <w:r w:rsidRPr="00184D6B">
        <w:rPr>
          <w:rFonts w:ascii="Times New Roman" w:hAnsi="Times New Roman" w:cs="Times New Roman"/>
          <w:i/>
          <w:iCs/>
          <w:sz w:val="24"/>
          <w:szCs w:val="24"/>
        </w:rPr>
        <w:t xml:space="preserve"> Mabinogi</w:t>
      </w:r>
      <w:r>
        <w:rPr>
          <w:rFonts w:ascii="Times New Roman" w:hAnsi="Times New Roman" w:cs="Times New Roman"/>
          <w:sz w:val="24"/>
          <w:szCs w:val="24"/>
        </w:rPr>
        <w:t xml:space="preserve">. </w:t>
      </w:r>
      <w:r w:rsidR="00BD25BB">
        <w:rPr>
          <w:rFonts w:ascii="Times New Roman" w:hAnsi="Times New Roman" w:cs="Times New Roman"/>
          <w:sz w:val="24"/>
          <w:szCs w:val="24"/>
        </w:rPr>
        <w:t>By examining</w:t>
      </w:r>
      <w:r>
        <w:rPr>
          <w:rFonts w:ascii="Times New Roman" w:hAnsi="Times New Roman" w:cs="Times New Roman"/>
          <w:sz w:val="24"/>
          <w:szCs w:val="24"/>
        </w:rPr>
        <w:t xml:space="preserve"> the debate on </w:t>
      </w:r>
      <w:proofErr w:type="gramStart"/>
      <w:r>
        <w:rPr>
          <w:rFonts w:ascii="Times New Roman" w:hAnsi="Times New Roman" w:cs="Times New Roman"/>
          <w:sz w:val="24"/>
          <w:szCs w:val="24"/>
        </w:rPr>
        <w:t xml:space="preserve">whether </w:t>
      </w:r>
      <w:r w:rsidR="00BD25BB">
        <w:rPr>
          <w:rFonts w:ascii="Times New Roman" w:hAnsi="Times New Roman" w:cs="Times New Roman"/>
          <w:sz w:val="24"/>
          <w:szCs w:val="24"/>
        </w:rPr>
        <w:t>or not</w:t>
      </w:r>
      <w:proofErr w:type="gramEnd"/>
      <w:r w:rsidR="00BD25BB">
        <w:rPr>
          <w:rFonts w:ascii="Times New Roman" w:hAnsi="Times New Roman" w:cs="Times New Roman"/>
          <w:sz w:val="24"/>
          <w:szCs w:val="24"/>
        </w:rPr>
        <w:t xml:space="preserve"> </w:t>
      </w:r>
      <w:r>
        <w:rPr>
          <w:rFonts w:ascii="Times New Roman" w:hAnsi="Times New Roman" w:cs="Times New Roman"/>
          <w:sz w:val="24"/>
          <w:szCs w:val="24"/>
        </w:rPr>
        <w:t xml:space="preserve">Rhiannon is a </w:t>
      </w:r>
      <w:r w:rsidR="00BD25BB">
        <w:rPr>
          <w:rFonts w:ascii="Times New Roman" w:hAnsi="Times New Roman" w:cs="Times New Roman"/>
          <w:sz w:val="24"/>
          <w:szCs w:val="24"/>
        </w:rPr>
        <w:t xml:space="preserve">manifestation of a Celtic horse-goddess, considering the role that women played in medieval Wales and studying other tales concerning women and horses, a greater understanding of the link between Rhiannon and horses </w:t>
      </w:r>
      <w:r w:rsidR="009F2BD8">
        <w:rPr>
          <w:rFonts w:ascii="Times New Roman" w:hAnsi="Times New Roman" w:cs="Times New Roman"/>
          <w:sz w:val="24"/>
          <w:szCs w:val="24"/>
        </w:rPr>
        <w:t>may</w:t>
      </w:r>
      <w:r w:rsidR="00BD25BB">
        <w:rPr>
          <w:rFonts w:ascii="Times New Roman" w:hAnsi="Times New Roman" w:cs="Times New Roman"/>
          <w:sz w:val="24"/>
          <w:szCs w:val="24"/>
        </w:rPr>
        <w:t xml:space="preserve"> be gained. </w:t>
      </w:r>
      <w:r w:rsidR="00184D6B">
        <w:rPr>
          <w:rFonts w:ascii="Times New Roman" w:hAnsi="Times New Roman" w:cs="Times New Roman"/>
          <w:i/>
          <w:iCs/>
          <w:sz w:val="24"/>
          <w:szCs w:val="24"/>
        </w:rPr>
        <w:t>Y</w:t>
      </w:r>
      <w:r w:rsidR="000C544F" w:rsidRPr="00184D6B">
        <w:rPr>
          <w:rFonts w:ascii="Times New Roman" w:hAnsi="Times New Roman" w:cs="Times New Roman"/>
          <w:i/>
          <w:iCs/>
          <w:sz w:val="24"/>
          <w:szCs w:val="24"/>
        </w:rPr>
        <w:t xml:space="preserve"> Mabinogi</w:t>
      </w:r>
      <w:r w:rsidR="000C544F">
        <w:rPr>
          <w:rFonts w:ascii="Times New Roman" w:hAnsi="Times New Roman" w:cs="Times New Roman"/>
          <w:sz w:val="24"/>
          <w:szCs w:val="24"/>
        </w:rPr>
        <w:t xml:space="preserve"> is a collection of stories found in </w:t>
      </w:r>
      <w:r w:rsidR="000C544F" w:rsidRPr="00033B59">
        <w:rPr>
          <w:rFonts w:ascii="Times New Roman" w:hAnsi="Times New Roman" w:cs="Times New Roman"/>
          <w:sz w:val="24"/>
          <w:szCs w:val="24"/>
        </w:rPr>
        <w:t>two manuscripts</w:t>
      </w:r>
      <w:r w:rsidR="00760096">
        <w:rPr>
          <w:rFonts w:ascii="Times New Roman" w:hAnsi="Times New Roman" w:cs="Times New Roman"/>
          <w:sz w:val="24"/>
          <w:szCs w:val="24"/>
        </w:rPr>
        <w:t xml:space="preserve">; the </w:t>
      </w:r>
      <w:r w:rsidR="00760096" w:rsidRPr="00184D6B">
        <w:rPr>
          <w:rFonts w:ascii="Times New Roman" w:hAnsi="Times New Roman" w:cs="Times New Roman"/>
          <w:i/>
          <w:iCs/>
          <w:sz w:val="24"/>
          <w:szCs w:val="24"/>
        </w:rPr>
        <w:t>White Book of Rhydderch</w:t>
      </w:r>
      <w:r w:rsidR="00760096">
        <w:rPr>
          <w:rFonts w:ascii="Times New Roman" w:hAnsi="Times New Roman" w:cs="Times New Roman"/>
          <w:sz w:val="24"/>
          <w:szCs w:val="24"/>
        </w:rPr>
        <w:t xml:space="preserve"> (NLW: </w:t>
      </w:r>
      <w:proofErr w:type="spellStart"/>
      <w:r w:rsidR="00760096">
        <w:rPr>
          <w:rFonts w:ascii="Times New Roman" w:hAnsi="Times New Roman" w:cs="Times New Roman"/>
          <w:sz w:val="24"/>
          <w:szCs w:val="24"/>
        </w:rPr>
        <w:t>Peniarth</w:t>
      </w:r>
      <w:proofErr w:type="spellEnd"/>
      <w:r w:rsidR="00760096">
        <w:rPr>
          <w:rFonts w:ascii="Times New Roman" w:hAnsi="Times New Roman" w:cs="Times New Roman"/>
          <w:sz w:val="24"/>
          <w:szCs w:val="24"/>
        </w:rPr>
        <w:t xml:space="preserve"> MS4),</w:t>
      </w:r>
      <w:r w:rsidR="00760096">
        <w:rPr>
          <w:rStyle w:val="FootnoteReference"/>
          <w:rFonts w:ascii="Times New Roman" w:hAnsi="Times New Roman" w:cs="Times New Roman"/>
          <w:sz w:val="24"/>
          <w:szCs w:val="24"/>
        </w:rPr>
        <w:footnoteReference w:id="1"/>
      </w:r>
      <w:r w:rsidR="00760096">
        <w:rPr>
          <w:rFonts w:ascii="Times New Roman" w:hAnsi="Times New Roman" w:cs="Times New Roman"/>
          <w:sz w:val="24"/>
          <w:szCs w:val="24"/>
        </w:rPr>
        <w:t xml:space="preserve"> and the </w:t>
      </w:r>
      <w:r w:rsidR="00760096" w:rsidRPr="00184D6B">
        <w:rPr>
          <w:rFonts w:ascii="Times New Roman" w:hAnsi="Times New Roman" w:cs="Times New Roman"/>
          <w:i/>
          <w:iCs/>
          <w:sz w:val="24"/>
          <w:szCs w:val="24"/>
        </w:rPr>
        <w:t>Red Book of Hergest</w:t>
      </w:r>
      <w:r w:rsidR="00760096">
        <w:rPr>
          <w:rFonts w:ascii="Times New Roman" w:hAnsi="Times New Roman" w:cs="Times New Roman"/>
          <w:sz w:val="24"/>
          <w:szCs w:val="24"/>
        </w:rPr>
        <w:t xml:space="preserve"> (</w:t>
      </w:r>
      <w:proofErr w:type="spellStart"/>
      <w:r w:rsidR="00760096">
        <w:rPr>
          <w:rFonts w:ascii="Times New Roman" w:hAnsi="Times New Roman" w:cs="Times New Roman"/>
          <w:sz w:val="24"/>
          <w:szCs w:val="24"/>
        </w:rPr>
        <w:t>UoO</w:t>
      </w:r>
      <w:proofErr w:type="spellEnd"/>
      <w:r w:rsidR="00760096">
        <w:rPr>
          <w:rFonts w:ascii="Times New Roman" w:hAnsi="Times New Roman" w:cs="Times New Roman"/>
          <w:sz w:val="24"/>
          <w:szCs w:val="24"/>
        </w:rPr>
        <w:t>: Jesus College MS. 111)</w:t>
      </w:r>
      <w:r>
        <w:rPr>
          <w:rFonts w:ascii="Times New Roman" w:hAnsi="Times New Roman" w:cs="Times New Roman"/>
          <w:sz w:val="24"/>
          <w:szCs w:val="24"/>
        </w:rPr>
        <w:t>.</w:t>
      </w:r>
      <w:r w:rsidR="00760096">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The manuscripts have been dated to the mid thirteenth century</w:t>
      </w:r>
      <w:r w:rsidR="009F2BD8">
        <w:rPr>
          <w:rFonts w:ascii="Times New Roman" w:hAnsi="Times New Roman" w:cs="Times New Roman"/>
          <w:sz w:val="24"/>
          <w:szCs w:val="24"/>
        </w:rPr>
        <w:t xml:space="preserve"> CE</w:t>
      </w:r>
      <w:r>
        <w:rPr>
          <w:rFonts w:ascii="Times New Roman" w:hAnsi="Times New Roman" w:cs="Times New Roman"/>
          <w:sz w:val="24"/>
          <w:szCs w:val="24"/>
        </w:rPr>
        <w:t>, but the stories themselves, most scholars agree, are significantly older.</w:t>
      </w:r>
      <w:r>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This ambiguity, unfortunately, </w:t>
      </w:r>
      <w:r w:rsidR="00025C87">
        <w:rPr>
          <w:rFonts w:ascii="Times New Roman" w:hAnsi="Times New Roman" w:cs="Times New Roman"/>
          <w:sz w:val="24"/>
          <w:szCs w:val="24"/>
        </w:rPr>
        <w:t>could</w:t>
      </w:r>
      <w:r>
        <w:rPr>
          <w:rFonts w:ascii="Times New Roman" w:hAnsi="Times New Roman" w:cs="Times New Roman"/>
          <w:sz w:val="24"/>
          <w:szCs w:val="24"/>
        </w:rPr>
        <w:t xml:space="preserve"> lead to difficulty in truly understanding the context </w:t>
      </w:r>
      <w:r w:rsidR="00184D6B" w:rsidRPr="00184D6B">
        <w:rPr>
          <w:rFonts w:ascii="Times New Roman" w:hAnsi="Times New Roman" w:cs="Times New Roman"/>
          <w:i/>
          <w:iCs/>
          <w:sz w:val="24"/>
          <w:szCs w:val="24"/>
        </w:rPr>
        <w:t>Y</w:t>
      </w:r>
      <w:r w:rsidRPr="00184D6B">
        <w:rPr>
          <w:rFonts w:ascii="Times New Roman" w:hAnsi="Times New Roman" w:cs="Times New Roman"/>
          <w:i/>
          <w:iCs/>
          <w:sz w:val="24"/>
          <w:szCs w:val="24"/>
        </w:rPr>
        <w:t xml:space="preserve"> Mabinogi</w:t>
      </w:r>
      <w:r>
        <w:rPr>
          <w:rFonts w:ascii="Times New Roman" w:hAnsi="Times New Roman" w:cs="Times New Roman"/>
          <w:sz w:val="24"/>
          <w:szCs w:val="24"/>
        </w:rPr>
        <w:t xml:space="preserve"> was created in. </w:t>
      </w:r>
      <w:r w:rsidR="00BD25BB">
        <w:rPr>
          <w:rFonts w:ascii="Times New Roman" w:hAnsi="Times New Roman" w:cs="Times New Roman"/>
          <w:sz w:val="24"/>
          <w:szCs w:val="24"/>
        </w:rPr>
        <w:t>This essay is focused</w:t>
      </w:r>
      <w:r w:rsidR="00184D6B">
        <w:rPr>
          <w:rFonts w:ascii="Times New Roman" w:hAnsi="Times New Roman" w:cs="Times New Roman"/>
          <w:sz w:val="24"/>
          <w:szCs w:val="24"/>
        </w:rPr>
        <w:t xml:space="preserve"> Sioned Davies’ translation of</w:t>
      </w:r>
      <w:r w:rsidR="00BD25BB">
        <w:rPr>
          <w:rFonts w:ascii="Times New Roman" w:hAnsi="Times New Roman" w:cs="Times New Roman"/>
          <w:sz w:val="24"/>
          <w:szCs w:val="24"/>
        </w:rPr>
        <w:t xml:space="preserve"> the first branch of </w:t>
      </w:r>
      <w:r w:rsidR="00184D6B" w:rsidRPr="00184D6B">
        <w:rPr>
          <w:rFonts w:ascii="Times New Roman" w:hAnsi="Times New Roman" w:cs="Times New Roman"/>
          <w:i/>
          <w:iCs/>
          <w:sz w:val="24"/>
          <w:szCs w:val="24"/>
        </w:rPr>
        <w:t>Y</w:t>
      </w:r>
      <w:r w:rsidR="00BD25BB" w:rsidRPr="00184D6B">
        <w:rPr>
          <w:rFonts w:ascii="Times New Roman" w:hAnsi="Times New Roman" w:cs="Times New Roman"/>
          <w:i/>
          <w:iCs/>
          <w:sz w:val="24"/>
          <w:szCs w:val="24"/>
        </w:rPr>
        <w:t xml:space="preserve"> Mabinogi</w:t>
      </w:r>
      <w:r w:rsidR="00BD25BB">
        <w:rPr>
          <w:rFonts w:ascii="Times New Roman" w:hAnsi="Times New Roman" w:cs="Times New Roman"/>
          <w:sz w:val="24"/>
          <w:szCs w:val="24"/>
        </w:rPr>
        <w:t>, otherwise known as ‘Pwyll Prince of Dyfed’.</w:t>
      </w:r>
      <w:r w:rsidR="00BF7B26">
        <w:rPr>
          <w:rStyle w:val="FootnoteReference"/>
          <w:rFonts w:ascii="Times New Roman" w:hAnsi="Times New Roman" w:cs="Times New Roman"/>
          <w:sz w:val="24"/>
          <w:szCs w:val="24"/>
        </w:rPr>
        <w:footnoteReference w:id="4"/>
      </w:r>
      <w:r w:rsidR="00BD25BB">
        <w:rPr>
          <w:rFonts w:ascii="Times New Roman" w:hAnsi="Times New Roman" w:cs="Times New Roman"/>
          <w:sz w:val="24"/>
          <w:szCs w:val="24"/>
        </w:rPr>
        <w:t xml:space="preserve"> </w:t>
      </w:r>
    </w:p>
    <w:p w14:paraId="45C046C4" w14:textId="139FDA2E" w:rsidR="00F57A61" w:rsidRDefault="00025C87" w:rsidP="00FF59D7">
      <w:pPr>
        <w:spacing w:line="360" w:lineRule="auto"/>
        <w:rPr>
          <w:rFonts w:ascii="Times New Roman" w:hAnsi="Times New Roman" w:cs="Times New Roman"/>
          <w:sz w:val="24"/>
          <w:szCs w:val="24"/>
        </w:rPr>
      </w:pPr>
      <w:r w:rsidRPr="006C09C3">
        <w:rPr>
          <w:rFonts w:ascii="Times New Roman" w:hAnsi="Times New Roman" w:cs="Times New Roman"/>
          <w:sz w:val="24"/>
          <w:szCs w:val="24"/>
        </w:rPr>
        <w:t>‘Pwyll Prince of Dyfed’ is a narrative contained in what is known as the first branch of the Mabinogi. The following summary is paraphrased from Sioned Davies’ translation of the Mabinogi.</w:t>
      </w:r>
    </w:p>
    <w:p w14:paraId="53F1A657" w14:textId="573465E0" w:rsidR="007A00EC" w:rsidRDefault="007A00EC" w:rsidP="00FF59D7">
      <w:pPr>
        <w:spacing w:line="360" w:lineRule="auto"/>
        <w:rPr>
          <w:rFonts w:ascii="Times New Roman" w:hAnsi="Times New Roman" w:cs="Times New Roman"/>
          <w:sz w:val="24"/>
          <w:szCs w:val="24"/>
        </w:rPr>
      </w:pPr>
      <w:r>
        <w:rPr>
          <w:rFonts w:ascii="Times New Roman" w:hAnsi="Times New Roman" w:cs="Times New Roman"/>
          <w:sz w:val="24"/>
          <w:szCs w:val="24"/>
        </w:rPr>
        <w:t xml:space="preserve">Pwyll, the prince of Dyfed, accidentally disrespects Arawn, the king of </w:t>
      </w:r>
      <w:proofErr w:type="spellStart"/>
      <w:r>
        <w:rPr>
          <w:rFonts w:ascii="Times New Roman" w:hAnsi="Times New Roman" w:cs="Times New Roman"/>
          <w:sz w:val="24"/>
          <w:szCs w:val="24"/>
        </w:rPr>
        <w:t>Annfwn</w:t>
      </w:r>
      <w:proofErr w:type="spellEnd"/>
      <w:r>
        <w:rPr>
          <w:rFonts w:ascii="Times New Roman" w:hAnsi="Times New Roman" w:cs="Times New Roman"/>
          <w:sz w:val="24"/>
          <w:szCs w:val="24"/>
        </w:rPr>
        <w:t xml:space="preserve">, while out hunting. They strike a bargain to make amends; each will take each other’s place in their respective kingdoms, and Pwyll will kill Arawn’s enemy, the menace </w:t>
      </w:r>
      <w:proofErr w:type="spellStart"/>
      <w:r>
        <w:rPr>
          <w:rFonts w:ascii="Times New Roman" w:hAnsi="Times New Roman" w:cs="Times New Roman"/>
          <w:sz w:val="24"/>
          <w:szCs w:val="24"/>
        </w:rPr>
        <w:t>Hafgan</w:t>
      </w:r>
      <w:proofErr w:type="spellEnd"/>
      <w:r>
        <w:rPr>
          <w:rFonts w:ascii="Times New Roman" w:hAnsi="Times New Roman" w:cs="Times New Roman"/>
          <w:sz w:val="24"/>
          <w:szCs w:val="24"/>
        </w:rPr>
        <w:t xml:space="preserve">. Pwyll succeeds in his quest, and a lifelong union is formed between Dyfed and </w:t>
      </w:r>
      <w:proofErr w:type="spellStart"/>
      <w:r>
        <w:rPr>
          <w:rFonts w:ascii="Times New Roman" w:hAnsi="Times New Roman" w:cs="Times New Roman"/>
          <w:sz w:val="24"/>
          <w:szCs w:val="24"/>
        </w:rPr>
        <w:t>Annfwn</w:t>
      </w:r>
      <w:proofErr w:type="spellEnd"/>
      <w:r>
        <w:rPr>
          <w:rFonts w:ascii="Times New Roman" w:hAnsi="Times New Roman" w:cs="Times New Roman"/>
          <w:sz w:val="24"/>
          <w:szCs w:val="24"/>
        </w:rPr>
        <w:t>.</w:t>
      </w:r>
      <w:r w:rsidR="0021406B">
        <w:rPr>
          <w:rStyle w:val="FootnoteReference"/>
          <w:rFonts w:ascii="Times New Roman" w:hAnsi="Times New Roman" w:cs="Times New Roman"/>
          <w:sz w:val="24"/>
          <w:szCs w:val="24"/>
        </w:rPr>
        <w:footnoteReference w:id="5"/>
      </w:r>
      <w:r>
        <w:rPr>
          <w:rFonts w:ascii="Times New Roman" w:hAnsi="Times New Roman" w:cs="Times New Roman"/>
          <w:sz w:val="24"/>
          <w:szCs w:val="24"/>
        </w:rPr>
        <w:t xml:space="preserve"> </w:t>
      </w:r>
      <w:proofErr w:type="spellStart"/>
      <w:r>
        <w:rPr>
          <w:rFonts w:ascii="Times New Roman" w:hAnsi="Times New Roman" w:cs="Times New Roman"/>
          <w:sz w:val="24"/>
          <w:szCs w:val="24"/>
        </w:rPr>
        <w:t>Some time</w:t>
      </w:r>
      <w:proofErr w:type="spellEnd"/>
      <w:r>
        <w:rPr>
          <w:rFonts w:ascii="Times New Roman" w:hAnsi="Times New Roman" w:cs="Times New Roman"/>
          <w:sz w:val="24"/>
          <w:szCs w:val="24"/>
        </w:rPr>
        <w:t xml:space="preserve"> later, Pwyll </w:t>
      </w:r>
      <w:r w:rsidR="00D35709">
        <w:rPr>
          <w:rFonts w:ascii="Times New Roman" w:hAnsi="Times New Roman" w:cs="Times New Roman"/>
          <w:sz w:val="24"/>
          <w:szCs w:val="24"/>
        </w:rPr>
        <w:t xml:space="preserve">sees Rhiannon, ambling along on a white horse that no man or beast can catch up to. When they finally meet, she explains that she wishes to marry him. Their marriage is marred by </w:t>
      </w:r>
      <w:proofErr w:type="spellStart"/>
      <w:r w:rsidR="00D35709">
        <w:rPr>
          <w:rFonts w:ascii="Times New Roman" w:hAnsi="Times New Roman" w:cs="Times New Roman"/>
          <w:sz w:val="24"/>
          <w:szCs w:val="24"/>
        </w:rPr>
        <w:t>Gwawl</w:t>
      </w:r>
      <w:proofErr w:type="spellEnd"/>
      <w:r w:rsidR="00D35709">
        <w:rPr>
          <w:rFonts w:ascii="Times New Roman" w:hAnsi="Times New Roman" w:cs="Times New Roman"/>
          <w:sz w:val="24"/>
          <w:szCs w:val="24"/>
        </w:rPr>
        <w:t xml:space="preserve">, who Rhiannon was betrothed to against her will, and Pwyll inadvertently gives her to him. Rhiannon designs a plan to get back to Pwyll involving a magic bag that cannot </w:t>
      </w:r>
      <w:r w:rsidR="00D35709">
        <w:rPr>
          <w:rFonts w:ascii="Times New Roman" w:hAnsi="Times New Roman" w:cs="Times New Roman"/>
          <w:sz w:val="24"/>
          <w:szCs w:val="24"/>
        </w:rPr>
        <w:lastRenderedPageBreak/>
        <w:t>be killed. Pwyll succeeds and they marry, ruling over Dyfed together.</w:t>
      </w:r>
      <w:r w:rsidR="0021406B">
        <w:rPr>
          <w:rStyle w:val="FootnoteReference"/>
          <w:rFonts w:ascii="Times New Roman" w:hAnsi="Times New Roman" w:cs="Times New Roman"/>
          <w:sz w:val="24"/>
          <w:szCs w:val="24"/>
        </w:rPr>
        <w:footnoteReference w:id="6"/>
      </w:r>
      <w:r w:rsidR="00D35709">
        <w:rPr>
          <w:rFonts w:ascii="Times New Roman" w:hAnsi="Times New Roman" w:cs="Times New Roman"/>
          <w:sz w:val="24"/>
          <w:szCs w:val="24"/>
        </w:rPr>
        <w:t xml:space="preserve"> After three years, Rhiannon births a son, who is stolen in the night. The </w:t>
      </w:r>
      <w:proofErr w:type="gramStart"/>
      <w:r w:rsidR="00D35709">
        <w:rPr>
          <w:rFonts w:ascii="Times New Roman" w:hAnsi="Times New Roman" w:cs="Times New Roman"/>
          <w:sz w:val="24"/>
          <w:szCs w:val="24"/>
        </w:rPr>
        <w:t>nurse-maids</w:t>
      </w:r>
      <w:proofErr w:type="gramEnd"/>
      <w:r w:rsidR="00D35709">
        <w:rPr>
          <w:rFonts w:ascii="Times New Roman" w:hAnsi="Times New Roman" w:cs="Times New Roman"/>
          <w:sz w:val="24"/>
          <w:szCs w:val="24"/>
        </w:rPr>
        <w:t xml:space="preserve">, fearing punishment, frame the queen as having eaten her infant son. She is sentenced to wait all day at the mounting block and offer to carry visitors on her back, telling them the story of what she had apparently done. After some years, the stolen child, who was discovered in a stable and raised by kind people, is returned to Dyfed and is named Pryderi. </w:t>
      </w:r>
      <w:r w:rsidR="00FC4348">
        <w:rPr>
          <w:rFonts w:ascii="Times New Roman" w:hAnsi="Times New Roman" w:cs="Times New Roman"/>
          <w:sz w:val="24"/>
          <w:szCs w:val="24"/>
        </w:rPr>
        <w:t xml:space="preserve">The young boy had an affinity for horses and had his own colt, who was saved from a monster the night he was stolen from Rhiannon. Back in the court, </w:t>
      </w:r>
      <w:r w:rsidR="00AB33E4">
        <w:rPr>
          <w:rFonts w:ascii="Times New Roman" w:hAnsi="Times New Roman" w:cs="Times New Roman"/>
          <w:sz w:val="24"/>
          <w:szCs w:val="24"/>
        </w:rPr>
        <w:t xml:space="preserve">Rhiannon is </w:t>
      </w:r>
      <w:r w:rsidR="00FC4348">
        <w:rPr>
          <w:rFonts w:ascii="Times New Roman" w:hAnsi="Times New Roman" w:cs="Times New Roman"/>
          <w:sz w:val="24"/>
          <w:szCs w:val="24"/>
        </w:rPr>
        <w:t>forgiven</w:t>
      </w:r>
      <w:r w:rsidR="00AB33E4">
        <w:rPr>
          <w:rFonts w:ascii="Times New Roman" w:hAnsi="Times New Roman" w:cs="Times New Roman"/>
          <w:sz w:val="24"/>
          <w:szCs w:val="24"/>
        </w:rPr>
        <w:t xml:space="preserve"> and she and Pwyll rule until his death, whereupon Pryderi takes the crown.</w:t>
      </w:r>
      <w:r w:rsidR="0021406B">
        <w:rPr>
          <w:rStyle w:val="FootnoteReference"/>
          <w:rFonts w:ascii="Times New Roman" w:hAnsi="Times New Roman" w:cs="Times New Roman"/>
          <w:sz w:val="24"/>
          <w:szCs w:val="24"/>
        </w:rPr>
        <w:footnoteReference w:id="7"/>
      </w:r>
      <w:r w:rsidR="00AB33E4">
        <w:rPr>
          <w:rFonts w:ascii="Times New Roman" w:hAnsi="Times New Roman" w:cs="Times New Roman"/>
          <w:sz w:val="24"/>
          <w:szCs w:val="24"/>
        </w:rPr>
        <w:t xml:space="preserve"> </w:t>
      </w:r>
    </w:p>
    <w:p w14:paraId="3CA15B8D" w14:textId="55092F8B" w:rsidR="00277E26" w:rsidRPr="00277E26" w:rsidRDefault="00233797" w:rsidP="00FF59D7">
      <w:pPr>
        <w:spacing w:line="360" w:lineRule="auto"/>
        <w:rPr>
          <w:rFonts w:ascii="Times New Roman" w:hAnsi="Times New Roman" w:cs="Times New Roman"/>
          <w:sz w:val="24"/>
          <w:szCs w:val="24"/>
        </w:rPr>
      </w:pPr>
      <w:r>
        <w:rPr>
          <w:rFonts w:ascii="Times New Roman" w:hAnsi="Times New Roman" w:cs="Times New Roman"/>
          <w:sz w:val="24"/>
          <w:szCs w:val="24"/>
        </w:rPr>
        <w:t xml:space="preserve">Rhiannon is clearly not the main character in this story, but she is nevertheless a very important one, and </w:t>
      </w:r>
      <w:r w:rsidR="00BB3E78">
        <w:rPr>
          <w:rFonts w:ascii="Times New Roman" w:hAnsi="Times New Roman" w:cs="Times New Roman"/>
          <w:sz w:val="24"/>
          <w:szCs w:val="24"/>
        </w:rPr>
        <w:t xml:space="preserve">potentially, one of the most interesting to study. </w:t>
      </w:r>
      <w:r w:rsidR="00204662" w:rsidRPr="00644586">
        <w:rPr>
          <w:rFonts w:ascii="Times New Roman" w:hAnsi="Times New Roman" w:cs="Times New Roman"/>
          <w:sz w:val="24"/>
          <w:szCs w:val="24"/>
        </w:rPr>
        <w:t xml:space="preserve">Rhiannon’s close connection with horses, outlined in the above summary, is </w:t>
      </w:r>
      <w:r w:rsidR="00557ECC">
        <w:rPr>
          <w:rFonts w:ascii="Times New Roman" w:hAnsi="Times New Roman" w:cs="Times New Roman"/>
          <w:sz w:val="24"/>
          <w:szCs w:val="24"/>
        </w:rPr>
        <w:t xml:space="preserve">well </w:t>
      </w:r>
      <w:r w:rsidR="00204662" w:rsidRPr="00644586">
        <w:rPr>
          <w:rFonts w:ascii="Times New Roman" w:hAnsi="Times New Roman" w:cs="Times New Roman"/>
          <w:sz w:val="24"/>
          <w:szCs w:val="24"/>
        </w:rPr>
        <w:t>worth further exploration. From her introduction, where she is seen riding a white horse that can never be caught, to her punishment involving working as a horse, to the</w:t>
      </w:r>
      <w:r w:rsidR="00F75181">
        <w:rPr>
          <w:rFonts w:ascii="Times New Roman" w:hAnsi="Times New Roman" w:cs="Times New Roman"/>
          <w:sz w:val="24"/>
          <w:szCs w:val="24"/>
        </w:rPr>
        <w:t xml:space="preserve"> strong</w:t>
      </w:r>
      <w:r w:rsidR="00204662" w:rsidRPr="00644586">
        <w:rPr>
          <w:rFonts w:ascii="Times New Roman" w:hAnsi="Times New Roman" w:cs="Times New Roman"/>
          <w:sz w:val="24"/>
          <w:szCs w:val="24"/>
        </w:rPr>
        <w:t xml:space="preserve"> link her son has with horses.</w:t>
      </w:r>
      <w:r w:rsidR="00997E02" w:rsidRPr="00644586">
        <w:rPr>
          <w:rStyle w:val="FootnoteReference"/>
          <w:rFonts w:ascii="Times New Roman" w:hAnsi="Times New Roman" w:cs="Times New Roman"/>
          <w:sz w:val="24"/>
          <w:szCs w:val="24"/>
        </w:rPr>
        <w:footnoteReference w:id="8"/>
      </w:r>
      <w:r w:rsidR="00204662" w:rsidRPr="00644586">
        <w:rPr>
          <w:rFonts w:ascii="Times New Roman" w:hAnsi="Times New Roman" w:cs="Times New Roman"/>
          <w:sz w:val="24"/>
          <w:szCs w:val="24"/>
        </w:rPr>
        <w:t xml:space="preserve"> In some images, Rhiannon and Pryderi are</w:t>
      </w:r>
      <w:r w:rsidR="005469F3" w:rsidRPr="00644586">
        <w:rPr>
          <w:rFonts w:ascii="Times New Roman" w:hAnsi="Times New Roman" w:cs="Times New Roman"/>
          <w:sz w:val="24"/>
          <w:szCs w:val="24"/>
        </w:rPr>
        <w:t xml:space="preserve"> even</w:t>
      </w:r>
      <w:r w:rsidR="00204662" w:rsidRPr="00644586">
        <w:rPr>
          <w:rFonts w:ascii="Times New Roman" w:hAnsi="Times New Roman" w:cs="Times New Roman"/>
          <w:sz w:val="24"/>
          <w:szCs w:val="24"/>
        </w:rPr>
        <w:t xml:space="preserve"> depicted as a mare and colt, further strengthening this link.</w:t>
      </w:r>
      <w:r w:rsidR="00997E02" w:rsidRPr="00644586">
        <w:rPr>
          <w:rStyle w:val="FootnoteReference"/>
          <w:rFonts w:ascii="Times New Roman" w:hAnsi="Times New Roman" w:cs="Times New Roman"/>
          <w:sz w:val="24"/>
          <w:szCs w:val="24"/>
        </w:rPr>
        <w:footnoteReference w:id="9"/>
      </w:r>
      <w:r w:rsidR="004C3F51" w:rsidRPr="00644586">
        <w:rPr>
          <w:rFonts w:ascii="Times New Roman" w:hAnsi="Times New Roman" w:cs="Times New Roman"/>
          <w:sz w:val="24"/>
          <w:szCs w:val="24"/>
        </w:rPr>
        <w:t xml:space="preserve"> </w:t>
      </w:r>
      <w:r w:rsidR="00277E26" w:rsidRPr="00277E26">
        <w:rPr>
          <w:rFonts w:ascii="Times New Roman" w:hAnsi="Times New Roman" w:cs="Times New Roman"/>
          <w:sz w:val="24"/>
          <w:szCs w:val="24"/>
        </w:rPr>
        <w:t>Horses in Medieval Celtic societies, and the earlier cultures they descended from, faced an interesting dichotomy: they were both used as work animals for mundane daily labour, and were prized animals that could elevate one’s social status, holding almost spiritual significance at times.</w:t>
      </w:r>
      <w:r w:rsidR="00277E26" w:rsidRPr="00277E26">
        <w:rPr>
          <w:rStyle w:val="FootnoteReference"/>
          <w:rFonts w:ascii="Times New Roman" w:hAnsi="Times New Roman" w:cs="Times New Roman"/>
          <w:sz w:val="24"/>
          <w:szCs w:val="24"/>
        </w:rPr>
        <w:footnoteReference w:id="10"/>
      </w:r>
      <w:r w:rsidR="00277E26" w:rsidRPr="00277E26">
        <w:rPr>
          <w:rFonts w:ascii="Times New Roman" w:hAnsi="Times New Roman" w:cs="Times New Roman"/>
          <w:sz w:val="24"/>
          <w:szCs w:val="24"/>
        </w:rPr>
        <w:t xml:space="preserve"> </w:t>
      </w:r>
      <w:r w:rsidR="00277E26">
        <w:rPr>
          <w:rFonts w:ascii="Times New Roman" w:hAnsi="Times New Roman" w:cs="Times New Roman"/>
          <w:sz w:val="24"/>
          <w:szCs w:val="24"/>
        </w:rPr>
        <w:t>They were an important part of almost every plane of Medieval societies, used by both men and women, and those of all classes and creeds.</w:t>
      </w:r>
      <w:r w:rsidR="006D169A">
        <w:rPr>
          <w:rFonts w:ascii="Times New Roman" w:hAnsi="Times New Roman" w:cs="Times New Roman"/>
          <w:sz w:val="24"/>
          <w:szCs w:val="24"/>
        </w:rPr>
        <w:t xml:space="preserve"> Rhiannon, being the daughter of a chief, would have been a woman of noble birth and high status, so horsemanship would have been quite an important quality to possess.</w:t>
      </w:r>
      <w:r w:rsidR="006D169A">
        <w:rPr>
          <w:rStyle w:val="FootnoteReference"/>
          <w:rFonts w:ascii="Times New Roman" w:hAnsi="Times New Roman" w:cs="Times New Roman"/>
          <w:sz w:val="24"/>
          <w:szCs w:val="24"/>
        </w:rPr>
        <w:footnoteReference w:id="11"/>
      </w:r>
      <w:r w:rsidR="006D169A">
        <w:rPr>
          <w:rFonts w:ascii="Times New Roman" w:hAnsi="Times New Roman" w:cs="Times New Roman"/>
          <w:sz w:val="24"/>
          <w:szCs w:val="24"/>
        </w:rPr>
        <w:t xml:space="preserve"> </w:t>
      </w:r>
    </w:p>
    <w:p w14:paraId="39B426A5" w14:textId="63D81B4B" w:rsidR="004C3F51" w:rsidRDefault="004C3F51" w:rsidP="00FF59D7">
      <w:pPr>
        <w:spacing w:line="360" w:lineRule="auto"/>
        <w:rPr>
          <w:rFonts w:ascii="Times New Roman" w:hAnsi="Times New Roman" w:cs="Times New Roman"/>
          <w:sz w:val="24"/>
          <w:szCs w:val="24"/>
        </w:rPr>
      </w:pPr>
      <w:r w:rsidRPr="00644586">
        <w:rPr>
          <w:rFonts w:ascii="Times New Roman" w:hAnsi="Times New Roman" w:cs="Times New Roman"/>
          <w:sz w:val="24"/>
          <w:szCs w:val="24"/>
        </w:rPr>
        <w:t>Over time, the character Rhiannon has become woven into the Celtic pantheon of deities, as some see her as equivalent to the Germanic horse-goddess Epona.</w:t>
      </w:r>
      <w:r w:rsidR="00B5108E" w:rsidRPr="00644586">
        <w:rPr>
          <w:rStyle w:val="FootnoteReference"/>
          <w:rFonts w:ascii="Times New Roman" w:hAnsi="Times New Roman" w:cs="Times New Roman"/>
          <w:sz w:val="24"/>
          <w:szCs w:val="24"/>
        </w:rPr>
        <w:footnoteReference w:id="12"/>
      </w:r>
      <w:r w:rsidRPr="00644586">
        <w:rPr>
          <w:rFonts w:ascii="Times New Roman" w:hAnsi="Times New Roman" w:cs="Times New Roman"/>
          <w:sz w:val="24"/>
          <w:szCs w:val="24"/>
        </w:rPr>
        <w:t xml:space="preserve"> According to Hemming, there is enough evidence to reasonably claim Rhiannon is indeed an echo of, if not truly, a </w:t>
      </w:r>
      <w:r w:rsidRPr="00644586">
        <w:rPr>
          <w:rFonts w:ascii="Times New Roman" w:hAnsi="Times New Roman" w:cs="Times New Roman"/>
          <w:sz w:val="24"/>
          <w:szCs w:val="24"/>
        </w:rPr>
        <w:lastRenderedPageBreak/>
        <w:t>Celtic horse-goddess.</w:t>
      </w:r>
      <w:r w:rsidR="00943915" w:rsidRPr="00644586">
        <w:rPr>
          <w:rStyle w:val="FootnoteReference"/>
          <w:rFonts w:ascii="Times New Roman" w:hAnsi="Times New Roman" w:cs="Times New Roman"/>
          <w:sz w:val="24"/>
          <w:szCs w:val="24"/>
        </w:rPr>
        <w:footnoteReference w:id="13"/>
      </w:r>
      <w:r w:rsidR="00F248BC" w:rsidRPr="00644586">
        <w:rPr>
          <w:rFonts w:ascii="Times New Roman" w:hAnsi="Times New Roman" w:cs="Times New Roman"/>
          <w:sz w:val="24"/>
          <w:szCs w:val="24"/>
        </w:rPr>
        <w:t xml:space="preserve"> </w:t>
      </w:r>
      <w:r w:rsidRPr="00644586">
        <w:rPr>
          <w:rFonts w:ascii="Times New Roman" w:hAnsi="Times New Roman" w:cs="Times New Roman"/>
          <w:sz w:val="24"/>
          <w:szCs w:val="24"/>
        </w:rPr>
        <w:t>Horses have a long history of being entwined with religious and spiritual practices, with some of the earliest examples of this from the British Isles dating to 800 BCE.</w:t>
      </w:r>
      <w:r w:rsidRPr="00644586">
        <w:rPr>
          <w:rStyle w:val="FootnoteReference"/>
          <w:rFonts w:ascii="Times New Roman" w:hAnsi="Times New Roman" w:cs="Times New Roman"/>
          <w:sz w:val="24"/>
          <w:szCs w:val="24"/>
        </w:rPr>
        <w:footnoteReference w:id="14"/>
      </w:r>
      <w:r w:rsidR="00F248BC" w:rsidRPr="00644586">
        <w:rPr>
          <w:rFonts w:ascii="Times New Roman" w:hAnsi="Times New Roman" w:cs="Times New Roman"/>
          <w:sz w:val="24"/>
          <w:szCs w:val="24"/>
        </w:rPr>
        <w:t xml:space="preserve"> </w:t>
      </w:r>
      <w:r w:rsidR="00644586">
        <w:rPr>
          <w:rFonts w:ascii="Times New Roman" w:hAnsi="Times New Roman" w:cs="Times New Roman"/>
          <w:sz w:val="24"/>
          <w:szCs w:val="24"/>
        </w:rPr>
        <w:t>They have at times been associated also with sovereignty in ancient Celtic cultures.</w:t>
      </w:r>
      <w:r w:rsidR="00644586">
        <w:rPr>
          <w:rStyle w:val="FootnoteReference"/>
          <w:rFonts w:ascii="Times New Roman" w:hAnsi="Times New Roman" w:cs="Times New Roman"/>
          <w:sz w:val="24"/>
          <w:szCs w:val="24"/>
        </w:rPr>
        <w:footnoteReference w:id="15"/>
      </w:r>
      <w:r w:rsidR="00644586">
        <w:rPr>
          <w:rFonts w:ascii="Times New Roman" w:hAnsi="Times New Roman" w:cs="Times New Roman"/>
          <w:sz w:val="24"/>
          <w:szCs w:val="24"/>
        </w:rPr>
        <w:t xml:space="preserve"> </w:t>
      </w:r>
      <w:r w:rsidR="00F248BC" w:rsidRPr="00644586">
        <w:rPr>
          <w:rFonts w:ascii="Times New Roman" w:hAnsi="Times New Roman" w:cs="Times New Roman"/>
          <w:sz w:val="24"/>
          <w:szCs w:val="24"/>
        </w:rPr>
        <w:t xml:space="preserve">Flieger writes that Rhiannon was, at some point before </w:t>
      </w:r>
      <w:r w:rsidR="00F248BC" w:rsidRPr="00644586">
        <w:rPr>
          <w:rFonts w:ascii="Times New Roman" w:hAnsi="Times New Roman" w:cs="Times New Roman"/>
          <w:i/>
          <w:iCs/>
          <w:sz w:val="24"/>
          <w:szCs w:val="24"/>
        </w:rPr>
        <w:t>Y</w:t>
      </w:r>
      <w:r w:rsidR="00F248BC" w:rsidRPr="00644586">
        <w:rPr>
          <w:rFonts w:ascii="Times New Roman" w:hAnsi="Times New Roman" w:cs="Times New Roman"/>
          <w:sz w:val="24"/>
          <w:szCs w:val="24"/>
        </w:rPr>
        <w:t xml:space="preserve"> </w:t>
      </w:r>
      <w:r w:rsidR="00F248BC" w:rsidRPr="00644586">
        <w:rPr>
          <w:rFonts w:ascii="Times New Roman" w:hAnsi="Times New Roman" w:cs="Times New Roman"/>
          <w:i/>
          <w:iCs/>
          <w:sz w:val="24"/>
          <w:szCs w:val="24"/>
        </w:rPr>
        <w:t>Mabinogi</w:t>
      </w:r>
      <w:r w:rsidR="00F248BC" w:rsidRPr="00644586">
        <w:rPr>
          <w:rFonts w:ascii="Times New Roman" w:hAnsi="Times New Roman" w:cs="Times New Roman"/>
          <w:sz w:val="24"/>
          <w:szCs w:val="24"/>
        </w:rPr>
        <w:t xml:space="preserve"> was written down, likely a corruption of the ‘great mother goddess’ Rigantona, and that her marriage to Pwyll symbolised the linking of the divine to the mundane.</w:t>
      </w:r>
      <w:r w:rsidR="00F248BC" w:rsidRPr="00644586">
        <w:rPr>
          <w:rStyle w:val="FootnoteReference"/>
          <w:rFonts w:ascii="Times New Roman" w:hAnsi="Times New Roman" w:cs="Times New Roman"/>
          <w:sz w:val="24"/>
          <w:szCs w:val="24"/>
        </w:rPr>
        <w:footnoteReference w:id="16"/>
      </w:r>
      <w:r w:rsidR="00B5108E">
        <w:rPr>
          <w:rFonts w:ascii="Times New Roman" w:hAnsi="Times New Roman" w:cs="Times New Roman"/>
          <w:sz w:val="24"/>
          <w:szCs w:val="24"/>
        </w:rPr>
        <w:t xml:space="preserve"> </w:t>
      </w:r>
      <w:r w:rsidR="00557ECC">
        <w:rPr>
          <w:rFonts w:ascii="Times New Roman" w:hAnsi="Times New Roman" w:cs="Times New Roman"/>
          <w:sz w:val="24"/>
          <w:szCs w:val="24"/>
        </w:rPr>
        <w:t xml:space="preserve">This is an interesting perspective, showcasing the importance of Rhiannon as her own person, and not simply the wife of Pwyll. Positioning her as a goddess also </w:t>
      </w:r>
      <w:proofErr w:type="gramStart"/>
      <w:r w:rsidR="00557ECC">
        <w:rPr>
          <w:rFonts w:ascii="Times New Roman" w:hAnsi="Times New Roman" w:cs="Times New Roman"/>
          <w:sz w:val="24"/>
          <w:szCs w:val="24"/>
        </w:rPr>
        <w:t>brings to mind</w:t>
      </w:r>
      <w:proofErr w:type="gramEnd"/>
      <w:r w:rsidR="00557ECC">
        <w:rPr>
          <w:rFonts w:ascii="Times New Roman" w:hAnsi="Times New Roman" w:cs="Times New Roman"/>
          <w:sz w:val="24"/>
          <w:szCs w:val="24"/>
        </w:rPr>
        <w:t xml:space="preserve"> questions about what she could represent for Medieval Wales. </w:t>
      </w:r>
    </w:p>
    <w:p w14:paraId="7415671D" w14:textId="67B47381" w:rsidR="00030E7F" w:rsidRDefault="00071664" w:rsidP="00FF59D7">
      <w:pPr>
        <w:spacing w:line="360" w:lineRule="auto"/>
        <w:rPr>
          <w:rFonts w:ascii="Times New Roman" w:hAnsi="Times New Roman" w:cs="Times New Roman"/>
          <w:sz w:val="24"/>
          <w:szCs w:val="24"/>
        </w:rPr>
      </w:pPr>
      <w:r w:rsidRPr="00030E7F">
        <w:rPr>
          <w:rFonts w:ascii="Times New Roman" w:hAnsi="Times New Roman" w:cs="Times New Roman"/>
          <w:sz w:val="24"/>
          <w:szCs w:val="24"/>
        </w:rPr>
        <w:t>The changing sociopolitical climate of Wales ripples through the Mabinogi. Gantz notes that the First Branch is ‘infused with a sense of gentility and graciousness that reflects the south’s closer contact with the Norman chivalry’.</w:t>
      </w:r>
      <w:r w:rsidR="00A47D8F" w:rsidRPr="00030E7F">
        <w:rPr>
          <w:rStyle w:val="FootnoteReference"/>
          <w:rFonts w:ascii="Times New Roman" w:hAnsi="Times New Roman" w:cs="Times New Roman"/>
          <w:sz w:val="24"/>
          <w:szCs w:val="24"/>
        </w:rPr>
        <w:footnoteReference w:id="17"/>
      </w:r>
      <w:r w:rsidRPr="00030E7F">
        <w:rPr>
          <w:rFonts w:ascii="Times New Roman" w:hAnsi="Times New Roman" w:cs="Times New Roman"/>
          <w:sz w:val="24"/>
          <w:szCs w:val="24"/>
        </w:rPr>
        <w:t xml:space="preserve"> As part of these cultural developments, the </w:t>
      </w:r>
      <w:r w:rsidR="00030E7F">
        <w:rPr>
          <w:rFonts w:ascii="Times New Roman" w:hAnsi="Times New Roman" w:cs="Times New Roman"/>
          <w:sz w:val="24"/>
          <w:szCs w:val="24"/>
        </w:rPr>
        <w:t xml:space="preserve">role </w:t>
      </w:r>
      <w:r w:rsidRPr="00030E7F">
        <w:rPr>
          <w:rFonts w:ascii="Times New Roman" w:hAnsi="Times New Roman" w:cs="Times New Roman"/>
          <w:sz w:val="24"/>
          <w:szCs w:val="24"/>
        </w:rPr>
        <w:t>of women</w:t>
      </w:r>
      <w:r w:rsidR="00030E7F">
        <w:rPr>
          <w:rFonts w:ascii="Times New Roman" w:hAnsi="Times New Roman" w:cs="Times New Roman"/>
          <w:sz w:val="24"/>
          <w:szCs w:val="24"/>
        </w:rPr>
        <w:t xml:space="preserve"> became an almost-impossible balancing act: </w:t>
      </w:r>
    </w:p>
    <w:p w14:paraId="06D87B75" w14:textId="279AF991" w:rsidR="00030E7F" w:rsidRDefault="00030E7F" w:rsidP="00FF59D7">
      <w:pPr>
        <w:spacing w:line="360" w:lineRule="auto"/>
        <w:ind w:left="567"/>
        <w:rPr>
          <w:rFonts w:ascii="Times New Roman" w:hAnsi="Times New Roman" w:cs="Times New Roman"/>
          <w:sz w:val="24"/>
          <w:szCs w:val="24"/>
        </w:rPr>
      </w:pPr>
      <w:r w:rsidRPr="00030E7F">
        <w:rPr>
          <w:rFonts w:ascii="Times New Roman" w:hAnsi="Times New Roman" w:cs="Times New Roman"/>
          <w:sz w:val="24"/>
          <w:szCs w:val="24"/>
        </w:rPr>
        <w:t xml:space="preserve">The position of women in society as portrayed in Welsh literature and law is fraught with tension. They held duties and had responsibilities to both their husbands and their kin. Legally, husbands were recognized as the lords of their wives. </w:t>
      </w:r>
      <w:proofErr w:type="gramStart"/>
      <w:r w:rsidRPr="00030E7F">
        <w:rPr>
          <w:rFonts w:ascii="Times New Roman" w:hAnsi="Times New Roman" w:cs="Times New Roman"/>
          <w:sz w:val="24"/>
          <w:szCs w:val="24"/>
        </w:rPr>
        <w:t>Therefore</w:t>
      </w:r>
      <w:proofErr w:type="gramEnd"/>
      <w:r>
        <w:rPr>
          <w:rFonts w:ascii="Times New Roman" w:hAnsi="Times New Roman" w:cs="Times New Roman"/>
          <w:sz w:val="24"/>
          <w:szCs w:val="24"/>
        </w:rPr>
        <w:t xml:space="preserve"> </w:t>
      </w:r>
      <w:r w:rsidRPr="00030E7F">
        <w:rPr>
          <w:rFonts w:ascii="Times New Roman" w:hAnsi="Times New Roman" w:cs="Times New Roman"/>
          <w:sz w:val="24"/>
          <w:szCs w:val="24"/>
        </w:rPr>
        <w:t xml:space="preserve">obedience to one’s husband was a necessity. Yet women were also responsible for safeguarding the honour of their natal kin. Failure in any of these counts invited shame upon the woman and </w:t>
      </w:r>
      <w:proofErr w:type="gramStart"/>
      <w:r w:rsidRPr="00030E7F">
        <w:rPr>
          <w:rFonts w:ascii="Times New Roman" w:hAnsi="Times New Roman" w:cs="Times New Roman"/>
          <w:sz w:val="24"/>
          <w:szCs w:val="24"/>
        </w:rPr>
        <w:t>all of</w:t>
      </w:r>
      <w:proofErr w:type="gramEnd"/>
      <w:r w:rsidRPr="00030E7F">
        <w:rPr>
          <w:rFonts w:ascii="Times New Roman" w:hAnsi="Times New Roman" w:cs="Times New Roman"/>
          <w:sz w:val="24"/>
          <w:szCs w:val="24"/>
        </w:rPr>
        <w:t xml:space="preserve"> the people to whom she was connected, either by blood or by marriage.</w:t>
      </w:r>
      <w:r>
        <w:rPr>
          <w:rStyle w:val="FootnoteReference"/>
          <w:rFonts w:ascii="Times New Roman" w:hAnsi="Times New Roman" w:cs="Times New Roman"/>
          <w:sz w:val="24"/>
          <w:szCs w:val="24"/>
        </w:rPr>
        <w:footnoteReference w:id="18"/>
      </w:r>
    </w:p>
    <w:p w14:paraId="2E090A11" w14:textId="2C9BE7B9" w:rsidR="0060666C" w:rsidRPr="00030E7F" w:rsidRDefault="00071664" w:rsidP="00FF59D7">
      <w:pPr>
        <w:spacing w:line="360" w:lineRule="auto"/>
        <w:rPr>
          <w:rFonts w:ascii="Times New Roman" w:hAnsi="Times New Roman" w:cs="Times New Roman"/>
          <w:sz w:val="24"/>
          <w:szCs w:val="24"/>
        </w:rPr>
      </w:pPr>
      <w:r w:rsidRPr="00030E7F">
        <w:rPr>
          <w:rFonts w:ascii="Times New Roman" w:hAnsi="Times New Roman" w:cs="Times New Roman"/>
          <w:sz w:val="24"/>
          <w:szCs w:val="24"/>
        </w:rPr>
        <w:t>There are many accounts of women being treated as</w:t>
      </w:r>
      <w:r w:rsidR="00A47D8F" w:rsidRPr="00030E7F">
        <w:rPr>
          <w:rFonts w:ascii="Times New Roman" w:hAnsi="Times New Roman" w:cs="Times New Roman"/>
          <w:sz w:val="24"/>
          <w:szCs w:val="24"/>
        </w:rPr>
        <w:t xml:space="preserve"> almost</w:t>
      </w:r>
      <w:r w:rsidRPr="00030E7F">
        <w:rPr>
          <w:rFonts w:ascii="Times New Roman" w:hAnsi="Times New Roman" w:cs="Times New Roman"/>
          <w:sz w:val="24"/>
          <w:szCs w:val="24"/>
        </w:rPr>
        <w:t xml:space="preserve"> equivalent to property, linking them inextricably to domesticated animals as something to own, trade, and put to work.</w:t>
      </w:r>
      <w:r w:rsidR="00A47D8F" w:rsidRPr="00030E7F">
        <w:rPr>
          <w:rStyle w:val="FootnoteReference"/>
          <w:rFonts w:ascii="Times New Roman" w:hAnsi="Times New Roman" w:cs="Times New Roman"/>
          <w:sz w:val="24"/>
          <w:szCs w:val="24"/>
        </w:rPr>
        <w:footnoteReference w:id="19"/>
      </w:r>
      <w:r w:rsidRPr="00030E7F">
        <w:rPr>
          <w:rFonts w:ascii="Times New Roman" w:hAnsi="Times New Roman" w:cs="Times New Roman"/>
          <w:sz w:val="24"/>
          <w:szCs w:val="24"/>
        </w:rPr>
        <w:t xml:space="preserve"> In light of this, Rhiannon’s deep connection to horses in the Mabinogi takes an unsettling turn. </w:t>
      </w:r>
    </w:p>
    <w:p w14:paraId="784E571F" w14:textId="2A8AB22E" w:rsidR="00F57A61" w:rsidRDefault="00071664" w:rsidP="00FF59D7">
      <w:pPr>
        <w:spacing w:line="360" w:lineRule="auto"/>
        <w:rPr>
          <w:rFonts w:ascii="Times New Roman" w:hAnsi="Times New Roman" w:cs="Times New Roman"/>
          <w:sz w:val="24"/>
          <w:szCs w:val="24"/>
        </w:rPr>
      </w:pPr>
      <w:r w:rsidRPr="00030E7F">
        <w:rPr>
          <w:rFonts w:ascii="Times New Roman" w:hAnsi="Times New Roman" w:cs="Times New Roman"/>
          <w:sz w:val="24"/>
          <w:szCs w:val="24"/>
        </w:rPr>
        <w:t>In patriarchal</w:t>
      </w:r>
      <w:r w:rsidR="00CA7152" w:rsidRPr="00030E7F">
        <w:rPr>
          <w:rFonts w:ascii="Times New Roman" w:hAnsi="Times New Roman" w:cs="Times New Roman"/>
          <w:sz w:val="24"/>
          <w:szCs w:val="24"/>
        </w:rPr>
        <w:t xml:space="preserve">, </w:t>
      </w:r>
      <w:r w:rsidRPr="00030E7F">
        <w:rPr>
          <w:rFonts w:ascii="Times New Roman" w:hAnsi="Times New Roman" w:cs="Times New Roman"/>
          <w:sz w:val="24"/>
          <w:szCs w:val="24"/>
        </w:rPr>
        <w:t xml:space="preserve">patrilineal Christian societies, male lineage becomes very important. As there was no definitive method of ascertaining paternity, anxieties around the sexual behaviour of women became more prevalent. </w:t>
      </w:r>
      <w:r w:rsidR="006607AD" w:rsidRPr="00030E7F">
        <w:rPr>
          <w:rFonts w:ascii="Times New Roman" w:hAnsi="Times New Roman" w:cs="Times New Roman"/>
          <w:sz w:val="24"/>
          <w:szCs w:val="24"/>
        </w:rPr>
        <w:t>Th</w:t>
      </w:r>
      <w:r w:rsidR="0072714C" w:rsidRPr="00030E7F">
        <w:rPr>
          <w:rFonts w:ascii="Times New Roman" w:hAnsi="Times New Roman" w:cs="Times New Roman"/>
          <w:sz w:val="24"/>
          <w:szCs w:val="24"/>
        </w:rPr>
        <w:t>ese anxieties are</w:t>
      </w:r>
      <w:r w:rsidR="006607AD" w:rsidRPr="00030E7F">
        <w:rPr>
          <w:rFonts w:ascii="Times New Roman" w:hAnsi="Times New Roman" w:cs="Times New Roman"/>
          <w:sz w:val="24"/>
          <w:szCs w:val="24"/>
        </w:rPr>
        <w:t xml:space="preserve"> </w:t>
      </w:r>
      <w:r w:rsidR="0072714C" w:rsidRPr="00030E7F">
        <w:rPr>
          <w:rFonts w:ascii="Times New Roman" w:hAnsi="Times New Roman" w:cs="Times New Roman"/>
          <w:sz w:val="24"/>
          <w:szCs w:val="24"/>
        </w:rPr>
        <w:t xml:space="preserve">reflected worldwide in stories </w:t>
      </w:r>
      <w:r w:rsidR="006607AD" w:rsidRPr="00030E7F">
        <w:rPr>
          <w:rFonts w:ascii="Times New Roman" w:hAnsi="Times New Roman" w:cs="Times New Roman"/>
          <w:sz w:val="24"/>
          <w:szCs w:val="24"/>
        </w:rPr>
        <w:t>of</w:t>
      </w:r>
      <w:r w:rsidR="00030E7F">
        <w:rPr>
          <w:rFonts w:ascii="Times New Roman" w:hAnsi="Times New Roman" w:cs="Times New Roman"/>
          <w:sz w:val="24"/>
          <w:szCs w:val="24"/>
        </w:rPr>
        <w:t xml:space="preserve"> humiliating punishments given to women who fail to uphold what was seen as their duty</w:t>
      </w:r>
      <w:r w:rsidR="000C544F">
        <w:rPr>
          <w:rFonts w:ascii="Times New Roman" w:hAnsi="Times New Roman" w:cs="Times New Roman"/>
          <w:sz w:val="24"/>
          <w:szCs w:val="24"/>
        </w:rPr>
        <w:t>.</w:t>
      </w:r>
      <w:r w:rsidR="000C544F">
        <w:rPr>
          <w:rStyle w:val="FootnoteReference"/>
          <w:rFonts w:ascii="Times New Roman" w:hAnsi="Times New Roman" w:cs="Times New Roman"/>
          <w:sz w:val="24"/>
          <w:szCs w:val="24"/>
        </w:rPr>
        <w:footnoteReference w:id="20"/>
      </w:r>
      <w:r w:rsidR="000C544F">
        <w:rPr>
          <w:rFonts w:ascii="Times New Roman" w:hAnsi="Times New Roman" w:cs="Times New Roman"/>
          <w:sz w:val="24"/>
          <w:szCs w:val="24"/>
        </w:rPr>
        <w:t xml:space="preserve"> I</w:t>
      </w:r>
      <w:r w:rsidR="00030E7F">
        <w:rPr>
          <w:rFonts w:ascii="Times New Roman" w:hAnsi="Times New Roman" w:cs="Times New Roman"/>
          <w:sz w:val="24"/>
          <w:szCs w:val="24"/>
        </w:rPr>
        <w:t xml:space="preserve">t </w:t>
      </w:r>
      <w:r w:rsidR="00030E7F">
        <w:rPr>
          <w:rFonts w:ascii="Times New Roman" w:hAnsi="Times New Roman" w:cs="Times New Roman"/>
          <w:sz w:val="24"/>
          <w:szCs w:val="24"/>
        </w:rPr>
        <w:lastRenderedPageBreak/>
        <w:t xml:space="preserve">has been suggested that </w:t>
      </w:r>
      <w:r w:rsidR="000C544F">
        <w:rPr>
          <w:rFonts w:ascii="Times New Roman" w:hAnsi="Times New Roman" w:cs="Times New Roman"/>
          <w:sz w:val="24"/>
          <w:szCs w:val="24"/>
        </w:rPr>
        <w:t>the powerful shaming effect of these punishments could further</w:t>
      </w:r>
      <w:r w:rsidR="00A87189">
        <w:rPr>
          <w:rFonts w:ascii="Times New Roman" w:hAnsi="Times New Roman" w:cs="Times New Roman"/>
          <w:sz w:val="24"/>
          <w:szCs w:val="24"/>
        </w:rPr>
        <w:t xml:space="preserve"> control the sexual behaviour of women.</w:t>
      </w:r>
      <w:r w:rsidR="00A87189">
        <w:rPr>
          <w:rStyle w:val="FootnoteReference"/>
          <w:rFonts w:ascii="Times New Roman" w:hAnsi="Times New Roman" w:cs="Times New Roman"/>
          <w:sz w:val="24"/>
          <w:szCs w:val="24"/>
        </w:rPr>
        <w:footnoteReference w:id="21"/>
      </w:r>
      <w:r w:rsidR="00A87189">
        <w:rPr>
          <w:rFonts w:ascii="Times New Roman" w:hAnsi="Times New Roman" w:cs="Times New Roman"/>
          <w:sz w:val="24"/>
          <w:szCs w:val="24"/>
        </w:rPr>
        <w:t xml:space="preserve"> Rhiannon, who was made to wear a harness and carry visitors </w:t>
      </w:r>
      <w:r w:rsidR="00196C5F">
        <w:rPr>
          <w:rFonts w:ascii="Times New Roman" w:hAnsi="Times New Roman" w:cs="Times New Roman"/>
          <w:sz w:val="24"/>
          <w:szCs w:val="24"/>
        </w:rPr>
        <w:t>atop</w:t>
      </w:r>
      <w:r w:rsidR="00A87189">
        <w:rPr>
          <w:rFonts w:ascii="Times New Roman" w:hAnsi="Times New Roman" w:cs="Times New Roman"/>
          <w:sz w:val="24"/>
          <w:szCs w:val="24"/>
        </w:rPr>
        <w:t xml:space="preserve"> her back like a horse, was clearly subject to a humiliating and shameful punishment. </w:t>
      </w:r>
      <w:r w:rsidR="000C544F">
        <w:rPr>
          <w:rFonts w:ascii="Times New Roman" w:hAnsi="Times New Roman" w:cs="Times New Roman"/>
          <w:sz w:val="24"/>
          <w:szCs w:val="24"/>
        </w:rPr>
        <w:t xml:space="preserve">It seems reasonable to see a link between the concept of ‘breaking in a horse’ </w:t>
      </w:r>
      <w:proofErr w:type="gramStart"/>
      <w:r w:rsidR="000C544F">
        <w:rPr>
          <w:rFonts w:ascii="Times New Roman" w:hAnsi="Times New Roman" w:cs="Times New Roman"/>
          <w:sz w:val="24"/>
          <w:szCs w:val="24"/>
        </w:rPr>
        <w:t>so as to</w:t>
      </w:r>
      <w:proofErr w:type="gramEnd"/>
      <w:r w:rsidR="000C544F">
        <w:rPr>
          <w:rFonts w:ascii="Times New Roman" w:hAnsi="Times New Roman" w:cs="Times New Roman"/>
          <w:sz w:val="24"/>
          <w:szCs w:val="24"/>
        </w:rPr>
        <w:t xml:space="preserve"> acclimatise it to a life of labour, and ‘breaking’ a woman down through shame so that she can better perform her domestic duties. </w:t>
      </w:r>
    </w:p>
    <w:p w14:paraId="009F1F42" w14:textId="09FBEF0D" w:rsidR="00745FD1" w:rsidRDefault="00745FD1" w:rsidP="00FF59D7">
      <w:pPr>
        <w:spacing w:line="360" w:lineRule="auto"/>
        <w:rPr>
          <w:rFonts w:ascii="Times New Roman" w:hAnsi="Times New Roman" w:cs="Times New Roman"/>
          <w:sz w:val="24"/>
          <w:szCs w:val="24"/>
        </w:rPr>
      </w:pPr>
      <w:r>
        <w:rPr>
          <w:rFonts w:ascii="Times New Roman" w:hAnsi="Times New Roman" w:cs="Times New Roman"/>
          <w:sz w:val="24"/>
          <w:szCs w:val="24"/>
        </w:rPr>
        <w:t xml:space="preserve">Animal symbolism was a frequent feature of Medieval art and literature. Horses, specifically, were anthropomorphised and favoured for their supposed qualities of </w:t>
      </w:r>
      <w:r w:rsidR="005722EE">
        <w:rPr>
          <w:rFonts w:ascii="Times New Roman" w:hAnsi="Times New Roman" w:cs="Times New Roman"/>
          <w:sz w:val="24"/>
          <w:szCs w:val="24"/>
        </w:rPr>
        <w:t>loyalty, strength and the ability to sense and even feel ‘human’ emotions.</w:t>
      </w:r>
      <w:r w:rsidR="005722EE">
        <w:rPr>
          <w:rStyle w:val="FootnoteReference"/>
          <w:rFonts w:ascii="Times New Roman" w:hAnsi="Times New Roman" w:cs="Times New Roman"/>
          <w:sz w:val="24"/>
          <w:szCs w:val="24"/>
        </w:rPr>
        <w:footnoteReference w:id="22"/>
      </w:r>
      <w:r w:rsidR="005722EE">
        <w:rPr>
          <w:rFonts w:ascii="Times New Roman" w:hAnsi="Times New Roman" w:cs="Times New Roman"/>
          <w:sz w:val="24"/>
          <w:szCs w:val="24"/>
        </w:rPr>
        <w:t xml:space="preserve"> </w:t>
      </w:r>
      <w:r w:rsidR="00277E26">
        <w:rPr>
          <w:rFonts w:ascii="Times New Roman" w:hAnsi="Times New Roman" w:cs="Times New Roman"/>
          <w:sz w:val="24"/>
          <w:szCs w:val="24"/>
        </w:rPr>
        <w:t xml:space="preserve">With this in mind, it is easy to see how Rhiannon, as a powerful woman with a strong mind and </w:t>
      </w:r>
      <w:r w:rsidR="00BB3E78">
        <w:rPr>
          <w:rFonts w:ascii="Times New Roman" w:hAnsi="Times New Roman" w:cs="Times New Roman"/>
          <w:sz w:val="24"/>
          <w:szCs w:val="24"/>
        </w:rPr>
        <w:t>unquestioning</w:t>
      </w:r>
      <w:r w:rsidR="00277E26">
        <w:rPr>
          <w:rFonts w:ascii="Times New Roman" w:hAnsi="Times New Roman" w:cs="Times New Roman"/>
          <w:sz w:val="24"/>
          <w:szCs w:val="24"/>
        </w:rPr>
        <w:t xml:space="preserve"> love for her family, could be linked to the horse as a metaphorical insight into the qualities she possessed. </w:t>
      </w:r>
      <w:r w:rsidR="00BB3E78">
        <w:rPr>
          <w:rFonts w:ascii="Times New Roman" w:hAnsi="Times New Roman" w:cs="Times New Roman"/>
          <w:sz w:val="24"/>
          <w:szCs w:val="24"/>
        </w:rPr>
        <w:t xml:space="preserve">She possesses an intelligence and sensitivity that shows up repeatedly throughout the narrative; she has knowledge of magic and is a diplomatic, witty person who rules alongside her husband Pwyll. </w:t>
      </w:r>
      <w:r w:rsidR="00BB3E78">
        <w:rPr>
          <w:rFonts w:ascii="Times New Roman" w:hAnsi="Times New Roman" w:cs="Times New Roman"/>
          <w:sz w:val="24"/>
          <w:szCs w:val="24"/>
        </w:rPr>
        <w:t xml:space="preserve">Her </w:t>
      </w:r>
      <w:r w:rsidR="00BB3E78">
        <w:rPr>
          <w:rFonts w:ascii="Times New Roman" w:hAnsi="Times New Roman" w:cs="Times New Roman"/>
          <w:sz w:val="24"/>
          <w:szCs w:val="24"/>
        </w:rPr>
        <w:t xml:space="preserve">physical </w:t>
      </w:r>
      <w:proofErr w:type="gramStart"/>
      <w:r w:rsidR="00BB3E78">
        <w:rPr>
          <w:rFonts w:ascii="Times New Roman" w:hAnsi="Times New Roman" w:cs="Times New Roman"/>
          <w:sz w:val="24"/>
          <w:szCs w:val="24"/>
        </w:rPr>
        <w:t>attributes;</w:t>
      </w:r>
      <w:proofErr w:type="gramEnd"/>
      <w:r w:rsidR="00BB3E78">
        <w:rPr>
          <w:rFonts w:ascii="Times New Roman" w:hAnsi="Times New Roman" w:cs="Times New Roman"/>
          <w:sz w:val="24"/>
          <w:szCs w:val="24"/>
        </w:rPr>
        <w:t xml:space="preserve"> </w:t>
      </w:r>
      <w:r w:rsidR="00BB3E78">
        <w:rPr>
          <w:rFonts w:ascii="Times New Roman" w:hAnsi="Times New Roman" w:cs="Times New Roman"/>
          <w:sz w:val="24"/>
          <w:szCs w:val="24"/>
        </w:rPr>
        <w:t>shining golden garments and tall white horse could symbolise her noble lineage, beauty and ‘otherworldliness’.</w:t>
      </w:r>
      <w:r w:rsidR="00BB3E78">
        <w:rPr>
          <w:rFonts w:ascii="Times New Roman" w:hAnsi="Times New Roman" w:cs="Times New Roman"/>
          <w:sz w:val="24"/>
          <w:szCs w:val="24"/>
        </w:rPr>
        <w:t xml:space="preserve"> </w:t>
      </w:r>
    </w:p>
    <w:p w14:paraId="399FF3AB" w14:textId="105A5115" w:rsidR="00FF59D7" w:rsidRDefault="00AA6163" w:rsidP="00FF59D7">
      <w:pPr>
        <w:spacing w:line="360" w:lineRule="auto"/>
        <w:rPr>
          <w:rFonts w:ascii="Times New Roman" w:hAnsi="Times New Roman" w:cs="Times New Roman"/>
          <w:sz w:val="24"/>
          <w:szCs w:val="24"/>
        </w:rPr>
      </w:pPr>
      <w:r>
        <w:rPr>
          <w:rFonts w:ascii="Times New Roman" w:hAnsi="Times New Roman" w:cs="Times New Roman"/>
          <w:sz w:val="24"/>
          <w:szCs w:val="24"/>
        </w:rPr>
        <w:t>To conclude, t</w:t>
      </w:r>
      <w:r w:rsidR="00122A09" w:rsidRPr="006C09C3">
        <w:rPr>
          <w:rFonts w:ascii="Times New Roman" w:hAnsi="Times New Roman" w:cs="Times New Roman"/>
          <w:sz w:val="24"/>
          <w:szCs w:val="24"/>
        </w:rPr>
        <w:t xml:space="preserve">here is clearly a strong link between </w:t>
      </w:r>
      <w:r w:rsidR="00122A09" w:rsidRPr="006C09C3">
        <w:rPr>
          <w:rFonts w:ascii="Times New Roman" w:hAnsi="Times New Roman" w:cs="Times New Roman"/>
          <w:i/>
          <w:iCs/>
          <w:sz w:val="24"/>
          <w:szCs w:val="24"/>
        </w:rPr>
        <w:t>Y Mabinogi’s</w:t>
      </w:r>
      <w:r w:rsidR="00122A09" w:rsidRPr="006C09C3">
        <w:rPr>
          <w:rFonts w:ascii="Times New Roman" w:hAnsi="Times New Roman" w:cs="Times New Roman"/>
          <w:sz w:val="24"/>
          <w:szCs w:val="24"/>
        </w:rPr>
        <w:t xml:space="preserve"> Rhiannon and the horse. Horses were a vital aspect of Medieval life, an animal that held varied roles throughout all levels of society</w:t>
      </w:r>
      <w:r>
        <w:rPr>
          <w:rFonts w:ascii="Times New Roman" w:hAnsi="Times New Roman" w:cs="Times New Roman"/>
          <w:sz w:val="24"/>
          <w:szCs w:val="24"/>
        </w:rPr>
        <w:t xml:space="preserve"> and were important to both men and women</w:t>
      </w:r>
      <w:r w:rsidR="00122A09" w:rsidRPr="006C09C3">
        <w:rPr>
          <w:rFonts w:ascii="Times New Roman" w:hAnsi="Times New Roman" w:cs="Times New Roman"/>
          <w:sz w:val="24"/>
          <w:szCs w:val="24"/>
        </w:rPr>
        <w:t>. There are many angles from which one can examine the relationship between Rhiannon and the horse, some of which have been explored here: Rhiannon as a literary stand-in for a Celtic horse goddess; Rhiannon – or woman – and horse mirroring each other’s multifaceted social status in Medieval</w:t>
      </w:r>
      <w:r w:rsidR="006C09C3">
        <w:rPr>
          <w:rFonts w:ascii="Times New Roman" w:hAnsi="Times New Roman" w:cs="Times New Roman"/>
          <w:sz w:val="24"/>
          <w:szCs w:val="24"/>
        </w:rPr>
        <w:t xml:space="preserve"> Welsh</w:t>
      </w:r>
      <w:r w:rsidR="00122A09" w:rsidRPr="006C09C3">
        <w:rPr>
          <w:rFonts w:ascii="Times New Roman" w:hAnsi="Times New Roman" w:cs="Times New Roman"/>
          <w:sz w:val="24"/>
          <w:szCs w:val="24"/>
        </w:rPr>
        <w:t xml:space="preserve"> society; the Medieval penchant for illustrating traits through animal symbolism</w:t>
      </w:r>
      <w:r>
        <w:rPr>
          <w:rFonts w:ascii="Times New Roman" w:hAnsi="Times New Roman" w:cs="Times New Roman"/>
          <w:sz w:val="24"/>
          <w:szCs w:val="24"/>
        </w:rPr>
        <w:t>; even the domestication of equine and woman in patriarchal Medieval societies, and the desire to control those ‘underneath’. Rhiannon may even be an allegory for the complex sociopolitical landscape of Medieval Wales</w:t>
      </w:r>
      <w:r w:rsidR="00122A09" w:rsidRPr="006C09C3">
        <w:rPr>
          <w:rFonts w:ascii="Times New Roman" w:hAnsi="Times New Roman" w:cs="Times New Roman"/>
          <w:sz w:val="24"/>
          <w:szCs w:val="24"/>
        </w:rPr>
        <w:t>. The true intention of</w:t>
      </w:r>
      <w:r>
        <w:rPr>
          <w:rFonts w:ascii="Times New Roman" w:hAnsi="Times New Roman" w:cs="Times New Roman"/>
          <w:sz w:val="24"/>
          <w:szCs w:val="24"/>
        </w:rPr>
        <w:t xml:space="preserve"> the storyteller </w:t>
      </w:r>
      <w:r w:rsidR="00122A09" w:rsidRPr="006C09C3">
        <w:rPr>
          <w:rFonts w:ascii="Times New Roman" w:hAnsi="Times New Roman" w:cs="Times New Roman"/>
          <w:sz w:val="24"/>
          <w:szCs w:val="24"/>
        </w:rPr>
        <w:t xml:space="preserve">will, sadly, never be revealed, but it is hoped that this essay </w:t>
      </w:r>
      <w:r w:rsidR="00FC4348">
        <w:rPr>
          <w:rFonts w:ascii="Times New Roman" w:hAnsi="Times New Roman" w:cs="Times New Roman"/>
          <w:sz w:val="24"/>
          <w:szCs w:val="24"/>
        </w:rPr>
        <w:t>may provide</w:t>
      </w:r>
      <w:r w:rsidR="00122A09" w:rsidRPr="006C09C3">
        <w:rPr>
          <w:rFonts w:ascii="Times New Roman" w:hAnsi="Times New Roman" w:cs="Times New Roman"/>
          <w:sz w:val="24"/>
          <w:szCs w:val="24"/>
        </w:rPr>
        <w:t xml:space="preserve"> some insight into potential avenues of further study.</w:t>
      </w:r>
      <w:r w:rsidR="00122A09">
        <w:rPr>
          <w:rFonts w:ascii="Times New Roman" w:hAnsi="Times New Roman" w:cs="Times New Roman"/>
          <w:sz w:val="24"/>
          <w:szCs w:val="24"/>
        </w:rPr>
        <w:t xml:space="preserve"> </w:t>
      </w:r>
    </w:p>
    <w:p w14:paraId="73E54C05" w14:textId="77777777" w:rsidR="00FF59D7" w:rsidRDefault="00FF59D7">
      <w:pPr>
        <w:rPr>
          <w:rFonts w:ascii="Times New Roman" w:hAnsi="Times New Roman" w:cs="Times New Roman"/>
          <w:sz w:val="24"/>
          <w:szCs w:val="24"/>
        </w:rPr>
      </w:pPr>
      <w:r>
        <w:rPr>
          <w:rFonts w:ascii="Times New Roman" w:hAnsi="Times New Roman" w:cs="Times New Roman"/>
          <w:sz w:val="24"/>
          <w:szCs w:val="24"/>
        </w:rPr>
        <w:br w:type="page"/>
      </w:r>
    </w:p>
    <w:p w14:paraId="097CB5E2" w14:textId="5938D347" w:rsidR="00F57A61" w:rsidRDefault="00FF59D7" w:rsidP="00D675F2">
      <w:pPr>
        <w:spacing w:line="360" w:lineRule="auto"/>
        <w:jc w:val="center"/>
        <w:rPr>
          <w:rFonts w:ascii="Times New Roman" w:hAnsi="Times New Roman" w:cs="Times New Roman"/>
          <w:sz w:val="32"/>
          <w:szCs w:val="32"/>
        </w:rPr>
      </w:pPr>
      <w:r w:rsidRPr="00D675F2">
        <w:rPr>
          <w:rFonts w:ascii="Times New Roman" w:hAnsi="Times New Roman" w:cs="Times New Roman"/>
          <w:sz w:val="32"/>
          <w:szCs w:val="32"/>
        </w:rPr>
        <w:lastRenderedPageBreak/>
        <w:t>Bibliography</w:t>
      </w:r>
    </w:p>
    <w:p w14:paraId="5DC58AD7" w14:textId="77777777" w:rsidR="00D675F2" w:rsidRPr="00D675F2" w:rsidRDefault="00D675F2" w:rsidP="00D675F2">
      <w:pPr>
        <w:spacing w:line="360" w:lineRule="auto"/>
        <w:jc w:val="center"/>
        <w:rPr>
          <w:rFonts w:ascii="Times New Roman" w:hAnsi="Times New Roman" w:cs="Times New Roman"/>
          <w:sz w:val="32"/>
          <w:szCs w:val="32"/>
        </w:rPr>
      </w:pPr>
    </w:p>
    <w:p w14:paraId="384DEEBB" w14:textId="19164DA2" w:rsidR="009D369D" w:rsidRPr="009D369D" w:rsidRDefault="009D369D" w:rsidP="009D369D">
      <w:pPr>
        <w:spacing w:line="360" w:lineRule="auto"/>
        <w:ind w:left="720" w:hanging="720"/>
        <w:rPr>
          <w:rFonts w:ascii="Times New Roman" w:hAnsi="Times New Roman" w:cs="Times New Roman"/>
          <w:sz w:val="24"/>
          <w:szCs w:val="24"/>
        </w:rPr>
      </w:pPr>
      <w:r w:rsidRPr="009D369D">
        <w:rPr>
          <w:rFonts w:ascii="Times New Roman" w:hAnsi="Times New Roman" w:cs="Times New Roman"/>
          <w:sz w:val="24"/>
          <w:szCs w:val="24"/>
        </w:rPr>
        <w:t xml:space="preserve">Bodleian Library, ‘MS. 111’, </w:t>
      </w:r>
      <w:r w:rsidRPr="009D369D">
        <w:rPr>
          <w:rFonts w:ascii="Times New Roman" w:hAnsi="Times New Roman" w:cs="Times New Roman"/>
          <w:i/>
          <w:iCs/>
          <w:sz w:val="24"/>
          <w:szCs w:val="24"/>
        </w:rPr>
        <w:t>Jesus College</w:t>
      </w:r>
      <w:r w:rsidRPr="009D369D">
        <w:rPr>
          <w:rFonts w:ascii="Times New Roman" w:hAnsi="Times New Roman" w:cs="Times New Roman"/>
          <w:sz w:val="24"/>
          <w:szCs w:val="24"/>
        </w:rPr>
        <w:t xml:space="preserve">. </w:t>
      </w:r>
      <w:r w:rsidRPr="009D369D">
        <w:rPr>
          <w:rFonts w:ascii="Times New Roman" w:hAnsi="Times New Roman" w:cs="Times New Roman"/>
          <w:kern w:val="0"/>
          <w:sz w:val="24"/>
          <w:szCs w:val="24"/>
        </w:rPr>
        <w:t>&lt;https://digital.bodleian.ox.ac.uk/objects/9bf187bf-f862-4453-bc4f-851f6d3948af/&gt; [accessed 2 December 2025].</w:t>
      </w:r>
    </w:p>
    <w:p w14:paraId="0EEE0B2A" w14:textId="65CE598A" w:rsidR="00FF59D7" w:rsidRPr="009D369D" w:rsidRDefault="00D675F2" w:rsidP="009D369D">
      <w:pPr>
        <w:spacing w:line="360" w:lineRule="auto"/>
        <w:ind w:left="720" w:hanging="720"/>
        <w:rPr>
          <w:rFonts w:ascii="Times New Roman" w:hAnsi="Times New Roman" w:cs="Times New Roman"/>
          <w:sz w:val="24"/>
          <w:szCs w:val="24"/>
        </w:rPr>
      </w:pPr>
      <w:r w:rsidRPr="009D369D">
        <w:rPr>
          <w:rFonts w:ascii="Times New Roman" w:hAnsi="Times New Roman" w:cs="Times New Roman"/>
          <w:sz w:val="24"/>
          <w:szCs w:val="24"/>
        </w:rPr>
        <w:t>Bollard, John K.</w:t>
      </w:r>
      <w:r w:rsidRPr="009D369D">
        <w:rPr>
          <w:rFonts w:ascii="Times New Roman" w:hAnsi="Times New Roman" w:cs="Times New Roman"/>
          <w:sz w:val="24"/>
          <w:szCs w:val="24"/>
        </w:rPr>
        <w:t>, ‘</w:t>
      </w:r>
      <w:r w:rsidRPr="009D369D">
        <w:rPr>
          <w:rFonts w:ascii="Times New Roman" w:hAnsi="Times New Roman" w:cs="Times New Roman"/>
          <w:sz w:val="24"/>
          <w:szCs w:val="24"/>
        </w:rPr>
        <w:t>Landscapes of </w:t>
      </w:r>
      <w:r w:rsidRPr="009D369D">
        <w:rPr>
          <w:rFonts w:ascii="Times New Roman" w:hAnsi="Times New Roman" w:cs="Times New Roman"/>
          <w:i/>
          <w:iCs/>
          <w:sz w:val="24"/>
          <w:szCs w:val="24"/>
        </w:rPr>
        <w:t xml:space="preserve">The </w:t>
      </w:r>
      <w:proofErr w:type="gramStart"/>
      <w:r w:rsidRPr="009D369D">
        <w:rPr>
          <w:rFonts w:ascii="Times New Roman" w:hAnsi="Times New Roman" w:cs="Times New Roman"/>
          <w:i/>
          <w:iCs/>
          <w:sz w:val="24"/>
          <w:szCs w:val="24"/>
        </w:rPr>
        <w:t>Mabinogi</w:t>
      </w:r>
      <w:r w:rsidRPr="009D369D">
        <w:rPr>
          <w:rFonts w:ascii="Times New Roman" w:hAnsi="Times New Roman" w:cs="Times New Roman"/>
          <w:sz w:val="24"/>
          <w:szCs w:val="24"/>
        </w:rPr>
        <w:t> .</w:t>
      </w:r>
      <w:proofErr w:type="gramEnd"/>
      <w:r w:rsidRPr="009D369D">
        <w:rPr>
          <w:rFonts w:ascii="Times New Roman" w:hAnsi="Times New Roman" w:cs="Times New Roman"/>
          <w:sz w:val="24"/>
          <w:szCs w:val="24"/>
        </w:rPr>
        <w:t xml:space="preserve">’ </w:t>
      </w:r>
      <w:r w:rsidRPr="009D369D">
        <w:rPr>
          <w:rFonts w:ascii="Times New Roman" w:hAnsi="Times New Roman" w:cs="Times New Roman"/>
          <w:i/>
          <w:iCs/>
          <w:sz w:val="24"/>
          <w:szCs w:val="24"/>
        </w:rPr>
        <w:t>Landscapes</w:t>
      </w:r>
      <w:r w:rsidRPr="009D369D">
        <w:rPr>
          <w:rFonts w:ascii="Times New Roman" w:hAnsi="Times New Roman" w:cs="Times New Roman"/>
          <w:sz w:val="24"/>
          <w:szCs w:val="24"/>
        </w:rPr>
        <w:t> 10</w:t>
      </w:r>
      <w:r w:rsidRPr="009D369D">
        <w:rPr>
          <w:rFonts w:ascii="Times New Roman" w:hAnsi="Times New Roman" w:cs="Times New Roman"/>
          <w:sz w:val="24"/>
          <w:szCs w:val="24"/>
        </w:rPr>
        <w:t>:2 (2009)</w:t>
      </w:r>
      <w:r w:rsidRPr="009D369D">
        <w:rPr>
          <w:rFonts w:ascii="Times New Roman" w:hAnsi="Times New Roman" w:cs="Times New Roman"/>
          <w:sz w:val="24"/>
          <w:szCs w:val="24"/>
        </w:rPr>
        <w:t>: 37–60. doi:10.1179/lan.2009.10.2.37.</w:t>
      </w:r>
      <w:r w:rsidRPr="009D369D">
        <w:rPr>
          <w:rFonts w:ascii="Times New Roman" w:hAnsi="Times New Roman" w:cs="Times New Roman"/>
          <w:sz w:val="24"/>
          <w:szCs w:val="24"/>
        </w:rPr>
        <w:t xml:space="preserve"> </w:t>
      </w:r>
    </w:p>
    <w:p w14:paraId="54590A82" w14:textId="363F6EE3" w:rsidR="00FF59D7" w:rsidRPr="009D369D" w:rsidRDefault="00FF59D7" w:rsidP="009D369D">
      <w:pPr>
        <w:spacing w:line="360" w:lineRule="auto"/>
        <w:ind w:left="720" w:hanging="720"/>
        <w:rPr>
          <w:rFonts w:ascii="Times New Roman" w:hAnsi="Times New Roman" w:cs="Times New Roman"/>
          <w:sz w:val="24"/>
          <w:szCs w:val="24"/>
        </w:rPr>
      </w:pPr>
      <w:r w:rsidRPr="009D369D">
        <w:rPr>
          <w:rFonts w:ascii="Times New Roman" w:hAnsi="Times New Roman" w:cs="Times New Roman"/>
          <w:sz w:val="24"/>
          <w:szCs w:val="24"/>
        </w:rPr>
        <w:t xml:space="preserve">Davies, Sioned, </w:t>
      </w:r>
      <w:r w:rsidRPr="009D369D">
        <w:rPr>
          <w:rFonts w:ascii="Times New Roman" w:hAnsi="Times New Roman" w:cs="Times New Roman"/>
          <w:i/>
          <w:iCs/>
          <w:sz w:val="24"/>
          <w:szCs w:val="24"/>
        </w:rPr>
        <w:t>The Mabinogi</w:t>
      </w:r>
      <w:r w:rsidRPr="009D369D">
        <w:rPr>
          <w:rFonts w:ascii="Times New Roman" w:hAnsi="Times New Roman" w:cs="Times New Roman"/>
          <w:sz w:val="24"/>
          <w:szCs w:val="24"/>
        </w:rPr>
        <w:t xml:space="preserve">, </w:t>
      </w:r>
      <w:r w:rsidR="006E07D8" w:rsidRPr="009D369D">
        <w:rPr>
          <w:rFonts w:ascii="Times New Roman" w:hAnsi="Times New Roman" w:cs="Times New Roman"/>
          <w:sz w:val="24"/>
          <w:szCs w:val="24"/>
        </w:rPr>
        <w:t xml:space="preserve">(Oxford: Oxford University Press, 2007) </w:t>
      </w:r>
    </w:p>
    <w:p w14:paraId="1B7B7546" w14:textId="1DB344D1" w:rsidR="00D675F2" w:rsidRPr="009D369D" w:rsidRDefault="006E07D8" w:rsidP="009D369D">
      <w:pPr>
        <w:spacing w:line="360" w:lineRule="auto"/>
        <w:ind w:left="720" w:hanging="720"/>
        <w:rPr>
          <w:rFonts w:ascii="Times New Roman" w:hAnsi="Times New Roman" w:cs="Times New Roman"/>
          <w:sz w:val="24"/>
          <w:szCs w:val="24"/>
        </w:rPr>
      </w:pPr>
      <w:r w:rsidRPr="009D369D">
        <w:rPr>
          <w:rFonts w:ascii="Times New Roman" w:hAnsi="Times New Roman" w:cs="Times New Roman"/>
          <w:sz w:val="24"/>
          <w:szCs w:val="24"/>
        </w:rPr>
        <w:t>Flieger, Verlyn</w:t>
      </w:r>
      <w:r w:rsidR="00411E51" w:rsidRPr="009D369D">
        <w:rPr>
          <w:rFonts w:ascii="Times New Roman" w:hAnsi="Times New Roman" w:cs="Times New Roman"/>
          <w:sz w:val="24"/>
          <w:szCs w:val="24"/>
        </w:rPr>
        <w:t>,</w:t>
      </w:r>
      <w:r w:rsidRPr="009D369D">
        <w:rPr>
          <w:rFonts w:ascii="Times New Roman" w:hAnsi="Times New Roman" w:cs="Times New Roman"/>
          <w:sz w:val="24"/>
          <w:szCs w:val="24"/>
        </w:rPr>
        <w:t xml:space="preserve"> </w:t>
      </w:r>
      <w:r w:rsidRPr="009D369D">
        <w:rPr>
          <w:rFonts w:ascii="Times New Roman" w:hAnsi="Times New Roman" w:cs="Times New Roman"/>
          <w:sz w:val="24"/>
          <w:szCs w:val="24"/>
        </w:rPr>
        <w:t>‘</w:t>
      </w:r>
      <w:r w:rsidRPr="009D369D">
        <w:rPr>
          <w:rFonts w:ascii="Times New Roman" w:hAnsi="Times New Roman" w:cs="Times New Roman"/>
          <w:sz w:val="24"/>
          <w:szCs w:val="24"/>
        </w:rPr>
        <w:t>Who’s Got the Goddess?</w:t>
      </w:r>
      <w:r w:rsidRPr="009D369D">
        <w:rPr>
          <w:rFonts w:ascii="Times New Roman" w:hAnsi="Times New Roman" w:cs="Times New Roman"/>
          <w:sz w:val="24"/>
          <w:szCs w:val="24"/>
        </w:rPr>
        <w:t>’</w:t>
      </w:r>
      <w:r w:rsidRPr="009D369D">
        <w:rPr>
          <w:rFonts w:ascii="Times New Roman" w:hAnsi="Times New Roman" w:cs="Times New Roman"/>
          <w:sz w:val="24"/>
          <w:szCs w:val="24"/>
        </w:rPr>
        <w:t xml:space="preserve"> </w:t>
      </w:r>
      <w:r w:rsidRPr="009D369D">
        <w:rPr>
          <w:rFonts w:ascii="Times New Roman" w:hAnsi="Times New Roman" w:cs="Times New Roman"/>
          <w:i/>
          <w:iCs/>
          <w:sz w:val="24"/>
          <w:szCs w:val="24"/>
        </w:rPr>
        <w:t>Journal of the Fantastic in the Arts</w:t>
      </w:r>
      <w:r w:rsidRPr="009D369D">
        <w:rPr>
          <w:rFonts w:ascii="Times New Roman" w:hAnsi="Times New Roman" w:cs="Times New Roman"/>
          <w:sz w:val="24"/>
          <w:szCs w:val="24"/>
        </w:rPr>
        <w:t xml:space="preserve"> 9, no. 1</w:t>
      </w:r>
      <w:r w:rsidRPr="009D369D">
        <w:rPr>
          <w:rFonts w:ascii="Times New Roman" w:hAnsi="Times New Roman" w:cs="Times New Roman"/>
          <w:sz w:val="24"/>
          <w:szCs w:val="24"/>
        </w:rPr>
        <w:t>:</w:t>
      </w:r>
      <w:r w:rsidRPr="009D369D">
        <w:rPr>
          <w:rFonts w:ascii="Times New Roman" w:hAnsi="Times New Roman" w:cs="Times New Roman"/>
          <w:sz w:val="24"/>
          <w:szCs w:val="24"/>
        </w:rPr>
        <w:t xml:space="preserve">33 (1998): 3–14. </w:t>
      </w:r>
      <w:hyperlink r:id="rId7" w:history="1">
        <w:r w:rsidR="00D675F2" w:rsidRPr="009D369D">
          <w:rPr>
            <w:rStyle w:val="Hyperlink"/>
            <w:rFonts w:ascii="Times New Roman" w:hAnsi="Times New Roman" w:cs="Times New Roman"/>
            <w:sz w:val="24"/>
            <w:szCs w:val="24"/>
          </w:rPr>
          <w:t>http://www.jstor.org/stable/43308343</w:t>
        </w:r>
      </w:hyperlink>
      <w:r w:rsidRPr="009D369D">
        <w:rPr>
          <w:rFonts w:ascii="Times New Roman" w:hAnsi="Times New Roman" w:cs="Times New Roman"/>
          <w:sz w:val="24"/>
          <w:szCs w:val="24"/>
        </w:rPr>
        <w:t>.</w:t>
      </w:r>
      <w:r w:rsidR="00D675F2" w:rsidRPr="009D369D">
        <w:rPr>
          <w:rFonts w:ascii="Times New Roman" w:hAnsi="Times New Roman" w:cs="Times New Roman"/>
          <w:sz w:val="24"/>
          <w:szCs w:val="24"/>
        </w:rPr>
        <w:t xml:space="preserve"> </w:t>
      </w:r>
    </w:p>
    <w:p w14:paraId="2DFF099C" w14:textId="675EA20A" w:rsidR="00FF59D7" w:rsidRPr="009D369D" w:rsidRDefault="00FF59D7" w:rsidP="009D369D">
      <w:pPr>
        <w:spacing w:line="360" w:lineRule="auto"/>
        <w:ind w:left="720" w:hanging="720"/>
        <w:rPr>
          <w:rFonts w:ascii="Times New Roman" w:hAnsi="Times New Roman" w:cs="Times New Roman"/>
          <w:sz w:val="24"/>
          <w:szCs w:val="24"/>
        </w:rPr>
      </w:pPr>
      <w:r w:rsidRPr="009D369D">
        <w:rPr>
          <w:rFonts w:ascii="Times New Roman" w:hAnsi="Times New Roman" w:cs="Times New Roman"/>
          <w:sz w:val="24"/>
          <w:szCs w:val="24"/>
        </w:rPr>
        <w:t xml:space="preserve">Gantz, </w:t>
      </w:r>
      <w:r w:rsidRPr="009D369D">
        <w:rPr>
          <w:rFonts w:ascii="Times New Roman" w:hAnsi="Times New Roman" w:cs="Times New Roman"/>
          <w:sz w:val="24"/>
          <w:szCs w:val="24"/>
        </w:rPr>
        <w:t xml:space="preserve">Jeffrey, ‘Thematic Structure in the Four Branches of the Mabinogi.’ </w:t>
      </w:r>
      <w:r w:rsidRPr="009D369D">
        <w:rPr>
          <w:rFonts w:ascii="Times New Roman" w:hAnsi="Times New Roman" w:cs="Times New Roman"/>
          <w:i/>
          <w:iCs/>
          <w:sz w:val="24"/>
          <w:szCs w:val="24"/>
        </w:rPr>
        <w:t>Medium Aevum</w:t>
      </w:r>
      <w:r w:rsidRPr="009D369D">
        <w:rPr>
          <w:rFonts w:ascii="Times New Roman" w:hAnsi="Times New Roman" w:cs="Times New Roman"/>
          <w:sz w:val="24"/>
          <w:szCs w:val="24"/>
        </w:rPr>
        <w:t xml:space="preserve"> 47, no. 2 (1978): 247-254. </w:t>
      </w:r>
      <w:hyperlink r:id="rId8" w:history="1">
        <w:r w:rsidR="00D675F2" w:rsidRPr="009D369D">
          <w:rPr>
            <w:rStyle w:val="Hyperlink"/>
            <w:rFonts w:ascii="Times New Roman" w:hAnsi="Times New Roman" w:cs="Times New Roman"/>
            <w:sz w:val="24"/>
            <w:szCs w:val="24"/>
          </w:rPr>
          <w:t>https://doi.org/10.2307/43631333</w:t>
        </w:r>
      </w:hyperlink>
      <w:r w:rsidRPr="009D369D">
        <w:rPr>
          <w:rFonts w:ascii="Times New Roman" w:hAnsi="Times New Roman" w:cs="Times New Roman"/>
          <w:sz w:val="24"/>
          <w:szCs w:val="24"/>
        </w:rPr>
        <w:t>.</w:t>
      </w:r>
      <w:r w:rsidR="00D675F2" w:rsidRPr="009D369D">
        <w:rPr>
          <w:rFonts w:ascii="Times New Roman" w:hAnsi="Times New Roman" w:cs="Times New Roman"/>
          <w:sz w:val="24"/>
          <w:szCs w:val="24"/>
        </w:rPr>
        <w:t xml:space="preserve"> </w:t>
      </w:r>
    </w:p>
    <w:p w14:paraId="6D222FAD" w14:textId="69ACBFBE" w:rsidR="00D675F2" w:rsidRPr="009D369D" w:rsidRDefault="00D675F2" w:rsidP="009D369D">
      <w:pPr>
        <w:spacing w:line="360" w:lineRule="auto"/>
        <w:ind w:left="720" w:hanging="720"/>
        <w:rPr>
          <w:rFonts w:ascii="Times New Roman" w:hAnsi="Times New Roman" w:cs="Times New Roman"/>
          <w:sz w:val="24"/>
          <w:szCs w:val="24"/>
        </w:rPr>
      </w:pPr>
      <w:r w:rsidRPr="00D675F2">
        <w:rPr>
          <w:rFonts w:ascii="Times New Roman" w:hAnsi="Times New Roman" w:cs="Times New Roman"/>
          <w:sz w:val="24"/>
          <w:szCs w:val="24"/>
        </w:rPr>
        <w:t>Goldwasser, Michele</w:t>
      </w:r>
      <w:r w:rsidRPr="009D369D">
        <w:rPr>
          <w:rFonts w:ascii="Times New Roman" w:hAnsi="Times New Roman" w:cs="Times New Roman"/>
          <w:sz w:val="24"/>
          <w:szCs w:val="24"/>
        </w:rPr>
        <w:t>, ‘</w:t>
      </w:r>
      <w:r w:rsidRPr="00D675F2">
        <w:rPr>
          <w:rFonts w:ascii="Times New Roman" w:hAnsi="Times New Roman" w:cs="Times New Roman"/>
          <w:sz w:val="24"/>
          <w:szCs w:val="24"/>
        </w:rPr>
        <w:t>What Drives the ‘Mabinogi?’</w:t>
      </w:r>
      <w:r w:rsidRPr="009D369D">
        <w:rPr>
          <w:rFonts w:ascii="Times New Roman" w:hAnsi="Times New Roman" w:cs="Times New Roman"/>
          <w:sz w:val="24"/>
          <w:szCs w:val="24"/>
        </w:rPr>
        <w:t>’</w:t>
      </w:r>
      <w:r w:rsidRPr="00D675F2">
        <w:rPr>
          <w:rFonts w:ascii="Times New Roman" w:hAnsi="Times New Roman" w:cs="Times New Roman"/>
          <w:sz w:val="24"/>
          <w:szCs w:val="24"/>
        </w:rPr>
        <w:t xml:space="preserve"> </w:t>
      </w:r>
      <w:r w:rsidRPr="00D675F2">
        <w:rPr>
          <w:rFonts w:ascii="Times New Roman" w:hAnsi="Times New Roman" w:cs="Times New Roman"/>
          <w:i/>
          <w:iCs/>
          <w:sz w:val="24"/>
          <w:szCs w:val="24"/>
        </w:rPr>
        <w:t>Proceedings of the Harvard Celtic Colloquium</w:t>
      </w:r>
      <w:r w:rsidRPr="00D675F2">
        <w:rPr>
          <w:rFonts w:ascii="Times New Roman" w:hAnsi="Times New Roman" w:cs="Times New Roman"/>
          <w:sz w:val="24"/>
          <w:szCs w:val="24"/>
        </w:rPr>
        <w:t xml:space="preserve"> 14 (1994): 49–57. </w:t>
      </w:r>
      <w:hyperlink r:id="rId9" w:history="1">
        <w:r w:rsidRPr="00D675F2">
          <w:rPr>
            <w:rStyle w:val="Hyperlink"/>
            <w:rFonts w:ascii="Times New Roman" w:hAnsi="Times New Roman" w:cs="Times New Roman"/>
            <w:sz w:val="24"/>
            <w:szCs w:val="24"/>
          </w:rPr>
          <w:t>http://www.jstor.org/stable/20557274</w:t>
        </w:r>
      </w:hyperlink>
      <w:r w:rsidRPr="00D675F2">
        <w:rPr>
          <w:rFonts w:ascii="Times New Roman" w:hAnsi="Times New Roman" w:cs="Times New Roman"/>
          <w:sz w:val="24"/>
          <w:szCs w:val="24"/>
        </w:rPr>
        <w:t>.</w:t>
      </w:r>
      <w:r w:rsidRPr="009D369D">
        <w:rPr>
          <w:rFonts w:ascii="Times New Roman" w:hAnsi="Times New Roman" w:cs="Times New Roman"/>
          <w:sz w:val="24"/>
          <w:szCs w:val="24"/>
        </w:rPr>
        <w:t xml:space="preserve"> </w:t>
      </w:r>
    </w:p>
    <w:p w14:paraId="2D302A70" w14:textId="4BC51BF8" w:rsidR="00FF59D7" w:rsidRPr="009D369D" w:rsidRDefault="006E07D8" w:rsidP="009D369D">
      <w:pPr>
        <w:spacing w:line="360" w:lineRule="auto"/>
        <w:ind w:left="720" w:hanging="720"/>
        <w:rPr>
          <w:rFonts w:ascii="Times New Roman" w:hAnsi="Times New Roman" w:cs="Times New Roman"/>
          <w:sz w:val="24"/>
          <w:szCs w:val="24"/>
        </w:rPr>
      </w:pPr>
      <w:r w:rsidRPr="006E07D8">
        <w:rPr>
          <w:rFonts w:ascii="Times New Roman" w:hAnsi="Times New Roman" w:cs="Times New Roman"/>
          <w:sz w:val="24"/>
          <w:szCs w:val="24"/>
        </w:rPr>
        <w:t>Hemming, Jessica</w:t>
      </w:r>
      <w:r w:rsidR="00411E51" w:rsidRPr="009D369D">
        <w:rPr>
          <w:rFonts w:ascii="Times New Roman" w:hAnsi="Times New Roman" w:cs="Times New Roman"/>
          <w:sz w:val="24"/>
          <w:szCs w:val="24"/>
        </w:rPr>
        <w:t>,</w:t>
      </w:r>
      <w:r w:rsidRPr="006E07D8">
        <w:rPr>
          <w:rFonts w:ascii="Times New Roman" w:hAnsi="Times New Roman" w:cs="Times New Roman"/>
          <w:sz w:val="24"/>
          <w:szCs w:val="24"/>
        </w:rPr>
        <w:t xml:space="preserve"> </w:t>
      </w:r>
      <w:r w:rsidRPr="009D369D">
        <w:rPr>
          <w:rFonts w:ascii="Times New Roman" w:hAnsi="Times New Roman" w:cs="Times New Roman"/>
          <w:sz w:val="24"/>
          <w:szCs w:val="24"/>
        </w:rPr>
        <w:t>‘</w:t>
      </w:r>
      <w:r w:rsidRPr="006E07D8">
        <w:rPr>
          <w:rFonts w:ascii="Times New Roman" w:hAnsi="Times New Roman" w:cs="Times New Roman"/>
          <w:sz w:val="24"/>
          <w:szCs w:val="24"/>
        </w:rPr>
        <w:t>Reflections on Rhiannon and the Horse Episodes in ‘Pwyll.’</w:t>
      </w:r>
      <w:r w:rsidRPr="009D369D">
        <w:rPr>
          <w:rFonts w:ascii="Times New Roman" w:hAnsi="Times New Roman" w:cs="Times New Roman"/>
          <w:sz w:val="24"/>
          <w:szCs w:val="24"/>
        </w:rPr>
        <w:t>’</w:t>
      </w:r>
      <w:r w:rsidRPr="006E07D8">
        <w:rPr>
          <w:rFonts w:ascii="Times New Roman" w:hAnsi="Times New Roman" w:cs="Times New Roman"/>
          <w:sz w:val="24"/>
          <w:szCs w:val="24"/>
        </w:rPr>
        <w:t xml:space="preserve"> </w:t>
      </w:r>
      <w:r w:rsidRPr="006E07D8">
        <w:rPr>
          <w:rFonts w:ascii="Times New Roman" w:hAnsi="Times New Roman" w:cs="Times New Roman"/>
          <w:i/>
          <w:iCs/>
          <w:sz w:val="24"/>
          <w:szCs w:val="24"/>
        </w:rPr>
        <w:t>Western Folklore</w:t>
      </w:r>
      <w:r w:rsidRPr="006E07D8">
        <w:rPr>
          <w:rFonts w:ascii="Times New Roman" w:hAnsi="Times New Roman" w:cs="Times New Roman"/>
          <w:sz w:val="24"/>
          <w:szCs w:val="24"/>
        </w:rPr>
        <w:t xml:space="preserve"> 57, no. 1 (1998): 19–40. </w:t>
      </w:r>
      <w:hyperlink r:id="rId10" w:history="1">
        <w:r w:rsidR="00411E51" w:rsidRPr="006E07D8">
          <w:rPr>
            <w:rStyle w:val="Hyperlink"/>
            <w:rFonts w:ascii="Times New Roman" w:hAnsi="Times New Roman" w:cs="Times New Roman"/>
            <w:sz w:val="24"/>
            <w:szCs w:val="24"/>
          </w:rPr>
          <w:t>https://doi.org/10.2307/1500247</w:t>
        </w:r>
      </w:hyperlink>
      <w:r w:rsidRPr="006E07D8">
        <w:rPr>
          <w:rFonts w:ascii="Times New Roman" w:hAnsi="Times New Roman" w:cs="Times New Roman"/>
          <w:sz w:val="24"/>
          <w:szCs w:val="24"/>
        </w:rPr>
        <w:t>.</w:t>
      </w:r>
    </w:p>
    <w:p w14:paraId="54B1B9D1" w14:textId="069A8AD3" w:rsidR="00FF59D7" w:rsidRPr="009D369D" w:rsidRDefault="00411E51" w:rsidP="009D369D">
      <w:pPr>
        <w:spacing w:line="360" w:lineRule="auto"/>
        <w:ind w:left="720" w:hanging="720"/>
        <w:rPr>
          <w:rFonts w:ascii="Times New Roman" w:hAnsi="Times New Roman" w:cs="Times New Roman"/>
          <w:sz w:val="24"/>
          <w:szCs w:val="24"/>
        </w:rPr>
      </w:pPr>
      <w:r w:rsidRPr="009D369D">
        <w:rPr>
          <w:rFonts w:ascii="Times New Roman" w:hAnsi="Times New Roman" w:cs="Times New Roman"/>
          <w:sz w:val="24"/>
          <w:szCs w:val="24"/>
        </w:rPr>
        <w:t>Herbert-Davies, Emma</w:t>
      </w:r>
      <w:r w:rsidRPr="009D369D">
        <w:rPr>
          <w:rFonts w:ascii="Times New Roman" w:hAnsi="Times New Roman" w:cs="Times New Roman"/>
          <w:sz w:val="24"/>
          <w:szCs w:val="24"/>
        </w:rPr>
        <w:t>, ‘</w:t>
      </w:r>
      <w:r w:rsidRPr="009D369D">
        <w:rPr>
          <w:rFonts w:ascii="Times New Roman" w:hAnsi="Times New Roman" w:cs="Times New Roman"/>
          <w:sz w:val="24"/>
          <w:szCs w:val="24"/>
        </w:rPr>
        <w:t>The Cultural Representation of the Horse in Late Medieval England: Status and Gender</w:t>
      </w:r>
      <w:r w:rsidRPr="009D369D">
        <w:rPr>
          <w:rFonts w:ascii="Times New Roman" w:hAnsi="Times New Roman" w:cs="Times New Roman"/>
          <w:sz w:val="24"/>
          <w:szCs w:val="24"/>
        </w:rPr>
        <w:t xml:space="preserve">.’ </w:t>
      </w:r>
      <w:r w:rsidRPr="009D369D">
        <w:rPr>
          <w:rFonts w:ascii="Times New Roman" w:hAnsi="Times New Roman" w:cs="Times New Roman"/>
          <w:i/>
          <w:iCs/>
          <w:sz w:val="24"/>
          <w:szCs w:val="24"/>
        </w:rPr>
        <w:t xml:space="preserve">Unpublished </w:t>
      </w:r>
      <w:proofErr w:type="gramStart"/>
      <w:r w:rsidRPr="009D369D">
        <w:rPr>
          <w:rFonts w:ascii="Times New Roman" w:hAnsi="Times New Roman" w:cs="Times New Roman"/>
          <w:i/>
          <w:iCs/>
          <w:sz w:val="24"/>
          <w:szCs w:val="24"/>
        </w:rPr>
        <w:t>Master’s</w:t>
      </w:r>
      <w:proofErr w:type="gramEnd"/>
      <w:r w:rsidRPr="009D369D">
        <w:rPr>
          <w:rFonts w:ascii="Times New Roman" w:hAnsi="Times New Roman" w:cs="Times New Roman"/>
          <w:i/>
          <w:iCs/>
          <w:sz w:val="24"/>
          <w:szCs w:val="24"/>
        </w:rPr>
        <w:t xml:space="preserve"> thesis </w:t>
      </w:r>
      <w:r w:rsidRPr="009D369D">
        <w:rPr>
          <w:rFonts w:ascii="Times New Roman" w:hAnsi="Times New Roman" w:cs="Times New Roman"/>
          <w:sz w:val="24"/>
          <w:szCs w:val="24"/>
        </w:rPr>
        <w:t xml:space="preserve">(2019): 1-59. </w:t>
      </w:r>
    </w:p>
    <w:p w14:paraId="14CE2359" w14:textId="7C249728" w:rsidR="009D369D" w:rsidRPr="009D369D" w:rsidRDefault="009D369D" w:rsidP="009D369D">
      <w:pPr>
        <w:spacing w:line="360" w:lineRule="auto"/>
        <w:ind w:left="720" w:hanging="720"/>
        <w:rPr>
          <w:rFonts w:ascii="Times New Roman" w:hAnsi="Times New Roman" w:cs="Times New Roman"/>
          <w:sz w:val="24"/>
          <w:szCs w:val="24"/>
        </w:rPr>
      </w:pPr>
      <w:r w:rsidRPr="009D369D">
        <w:rPr>
          <w:rFonts w:ascii="Times New Roman" w:hAnsi="Times New Roman" w:cs="Times New Roman"/>
          <w:sz w:val="24"/>
          <w:szCs w:val="24"/>
        </w:rPr>
        <w:t xml:space="preserve">National Library of Wales, ‘White Book of Rhydderch’. </w:t>
      </w:r>
      <w:r w:rsidRPr="009D369D">
        <w:rPr>
          <w:rFonts w:ascii="Times New Roman" w:hAnsi="Times New Roman" w:cs="Times New Roman"/>
          <w:kern w:val="0"/>
          <w:sz w:val="24"/>
          <w:szCs w:val="24"/>
        </w:rPr>
        <w:t>&lt;https://www.library.wales/discover-learn/digital-exhibitions/manuscripts/the-middle-ages/white-book-of-rhydderch&gt; [accessed 2 December 2025].</w:t>
      </w:r>
      <w:r w:rsidRPr="009D369D">
        <w:rPr>
          <w:rFonts w:ascii="Times New Roman" w:hAnsi="Times New Roman" w:cs="Times New Roman"/>
          <w:kern w:val="0"/>
          <w:sz w:val="24"/>
          <w:szCs w:val="24"/>
        </w:rPr>
        <w:t xml:space="preserve"> </w:t>
      </w:r>
    </w:p>
    <w:p w14:paraId="7ABFC33D" w14:textId="0340DAE9" w:rsidR="009D369D" w:rsidRPr="009D369D" w:rsidRDefault="009D369D" w:rsidP="009D369D">
      <w:pPr>
        <w:spacing w:line="360" w:lineRule="auto"/>
        <w:ind w:left="720" w:hanging="720"/>
        <w:rPr>
          <w:rFonts w:ascii="Times New Roman" w:hAnsi="Times New Roman" w:cs="Times New Roman"/>
          <w:sz w:val="24"/>
          <w:szCs w:val="24"/>
        </w:rPr>
      </w:pPr>
      <w:proofErr w:type="spellStart"/>
      <w:r w:rsidRPr="009D369D">
        <w:rPr>
          <w:rFonts w:ascii="Times New Roman" w:hAnsi="Times New Roman" w:cs="Times New Roman"/>
          <w:sz w:val="24"/>
          <w:szCs w:val="24"/>
        </w:rPr>
        <w:t>Warmind</w:t>
      </w:r>
      <w:proofErr w:type="spellEnd"/>
      <w:r w:rsidRPr="009D369D">
        <w:rPr>
          <w:rFonts w:ascii="Times New Roman" w:hAnsi="Times New Roman" w:cs="Times New Roman"/>
          <w:sz w:val="24"/>
          <w:szCs w:val="24"/>
        </w:rPr>
        <w:t>, Morten</w:t>
      </w:r>
      <w:r w:rsidRPr="009D369D">
        <w:rPr>
          <w:rFonts w:ascii="Times New Roman" w:hAnsi="Times New Roman" w:cs="Times New Roman"/>
          <w:sz w:val="24"/>
          <w:szCs w:val="24"/>
        </w:rPr>
        <w:t>,</w:t>
      </w:r>
      <w:r w:rsidRPr="009D369D">
        <w:rPr>
          <w:rFonts w:ascii="Times New Roman" w:hAnsi="Times New Roman" w:cs="Times New Roman"/>
          <w:sz w:val="24"/>
          <w:szCs w:val="24"/>
        </w:rPr>
        <w:t xml:space="preserve"> </w:t>
      </w:r>
      <w:r w:rsidRPr="009D369D">
        <w:rPr>
          <w:rFonts w:ascii="Times New Roman" w:hAnsi="Times New Roman" w:cs="Times New Roman"/>
          <w:sz w:val="24"/>
          <w:szCs w:val="24"/>
        </w:rPr>
        <w:t>‘</w:t>
      </w:r>
      <w:r w:rsidRPr="009D369D">
        <w:rPr>
          <w:rFonts w:ascii="Times New Roman" w:hAnsi="Times New Roman" w:cs="Times New Roman"/>
          <w:sz w:val="24"/>
          <w:szCs w:val="24"/>
        </w:rPr>
        <w:t>Once More the Celtic Horse-Goddess.</w:t>
      </w:r>
      <w:r w:rsidRPr="009D369D">
        <w:rPr>
          <w:rFonts w:ascii="Times New Roman" w:hAnsi="Times New Roman" w:cs="Times New Roman"/>
          <w:sz w:val="24"/>
          <w:szCs w:val="24"/>
        </w:rPr>
        <w:t>’</w:t>
      </w:r>
      <w:r w:rsidRPr="009D369D">
        <w:rPr>
          <w:rFonts w:ascii="Times New Roman" w:hAnsi="Times New Roman" w:cs="Times New Roman"/>
          <w:sz w:val="24"/>
          <w:szCs w:val="24"/>
        </w:rPr>
        <w:t xml:space="preserve"> </w:t>
      </w:r>
      <w:r w:rsidRPr="009D369D">
        <w:rPr>
          <w:rFonts w:ascii="Times New Roman" w:hAnsi="Times New Roman" w:cs="Times New Roman"/>
          <w:i/>
          <w:iCs/>
          <w:sz w:val="24"/>
          <w:szCs w:val="24"/>
        </w:rPr>
        <w:t>Proceedings of the Harvard Celtic Colloquium</w:t>
      </w:r>
      <w:r w:rsidRPr="009D369D">
        <w:rPr>
          <w:rFonts w:ascii="Times New Roman" w:hAnsi="Times New Roman" w:cs="Times New Roman"/>
          <w:sz w:val="24"/>
          <w:szCs w:val="24"/>
        </w:rPr>
        <w:t xml:space="preserve"> 36 (2016): 231–40. http://www.jstor.org/stable/26383351.</w:t>
      </w:r>
      <w:r w:rsidRPr="009D369D">
        <w:rPr>
          <w:rFonts w:ascii="Times New Roman" w:hAnsi="Times New Roman" w:cs="Times New Roman"/>
          <w:sz w:val="24"/>
          <w:szCs w:val="24"/>
        </w:rPr>
        <w:t xml:space="preserve"> </w:t>
      </w:r>
    </w:p>
    <w:p w14:paraId="58FEAC4C" w14:textId="67B995E3" w:rsidR="009D369D" w:rsidRPr="009D369D" w:rsidRDefault="006E07D8" w:rsidP="009D369D">
      <w:pPr>
        <w:spacing w:line="360" w:lineRule="auto"/>
        <w:ind w:left="720" w:hanging="720"/>
        <w:rPr>
          <w:rFonts w:ascii="Times New Roman" w:hAnsi="Times New Roman" w:cs="Times New Roman"/>
          <w:sz w:val="24"/>
          <w:szCs w:val="24"/>
        </w:rPr>
      </w:pPr>
      <w:r w:rsidRPr="009D369D">
        <w:rPr>
          <w:rFonts w:ascii="Times New Roman" w:hAnsi="Times New Roman" w:cs="Times New Roman"/>
          <w:sz w:val="24"/>
          <w:szCs w:val="24"/>
        </w:rPr>
        <w:t>Webb, Sian</w:t>
      </w:r>
      <w:r w:rsidR="00411E51" w:rsidRPr="009D369D">
        <w:rPr>
          <w:rFonts w:ascii="Times New Roman" w:hAnsi="Times New Roman" w:cs="Times New Roman"/>
          <w:sz w:val="24"/>
          <w:szCs w:val="24"/>
        </w:rPr>
        <w:t>,</w:t>
      </w:r>
      <w:r w:rsidRPr="009D369D">
        <w:rPr>
          <w:rFonts w:ascii="Times New Roman" w:hAnsi="Times New Roman" w:cs="Times New Roman"/>
          <w:sz w:val="24"/>
          <w:szCs w:val="24"/>
        </w:rPr>
        <w:t xml:space="preserve"> </w:t>
      </w:r>
      <w:r w:rsidRPr="009D369D">
        <w:rPr>
          <w:rFonts w:ascii="Times New Roman" w:hAnsi="Times New Roman" w:cs="Times New Roman"/>
          <w:sz w:val="24"/>
          <w:szCs w:val="24"/>
        </w:rPr>
        <w:t>‘</w:t>
      </w:r>
      <w:r w:rsidRPr="009D369D">
        <w:rPr>
          <w:rFonts w:ascii="Times New Roman" w:hAnsi="Times New Roman" w:cs="Times New Roman"/>
          <w:sz w:val="24"/>
          <w:szCs w:val="24"/>
        </w:rPr>
        <w:t>'The Right Thing to Be Is a Virtuous Girl': Women in Medieval Wales.</w:t>
      </w:r>
      <w:r w:rsidRPr="009D369D">
        <w:rPr>
          <w:rFonts w:ascii="Times New Roman" w:hAnsi="Times New Roman" w:cs="Times New Roman"/>
          <w:sz w:val="24"/>
          <w:szCs w:val="24"/>
        </w:rPr>
        <w:t xml:space="preserve">’ </w:t>
      </w:r>
      <w:r w:rsidRPr="009D369D">
        <w:rPr>
          <w:rFonts w:ascii="Times New Roman" w:hAnsi="Times New Roman" w:cs="Times New Roman"/>
          <w:i/>
          <w:iCs/>
          <w:sz w:val="24"/>
          <w:szCs w:val="24"/>
        </w:rPr>
        <w:t>Journal of Languages, Texts, and Society</w:t>
      </w:r>
      <w:r w:rsidRPr="009D369D">
        <w:rPr>
          <w:rFonts w:ascii="Times New Roman" w:hAnsi="Times New Roman" w:cs="Times New Roman"/>
          <w:i/>
          <w:iCs/>
          <w:sz w:val="24"/>
          <w:szCs w:val="24"/>
        </w:rPr>
        <w:t xml:space="preserve"> </w:t>
      </w:r>
      <w:r w:rsidRPr="009D369D">
        <w:rPr>
          <w:rFonts w:ascii="Times New Roman" w:hAnsi="Times New Roman" w:cs="Times New Roman"/>
          <w:sz w:val="24"/>
          <w:szCs w:val="24"/>
        </w:rPr>
        <w:t>3,</w:t>
      </w:r>
      <w:r w:rsidRPr="009D369D">
        <w:rPr>
          <w:rFonts w:ascii="Times New Roman" w:hAnsi="Times New Roman" w:cs="Times New Roman"/>
          <w:sz w:val="24"/>
          <w:szCs w:val="24"/>
        </w:rPr>
        <w:t xml:space="preserve"> </w:t>
      </w:r>
      <w:r w:rsidRPr="009D369D">
        <w:rPr>
          <w:rFonts w:ascii="Times New Roman" w:hAnsi="Times New Roman" w:cs="Times New Roman"/>
          <w:sz w:val="24"/>
          <w:szCs w:val="24"/>
        </w:rPr>
        <w:t>(</w:t>
      </w:r>
      <w:r w:rsidRPr="009D369D">
        <w:rPr>
          <w:rFonts w:ascii="Times New Roman" w:hAnsi="Times New Roman" w:cs="Times New Roman"/>
          <w:sz w:val="24"/>
          <w:szCs w:val="24"/>
        </w:rPr>
        <w:t>2019</w:t>
      </w:r>
      <w:r w:rsidRPr="009D369D">
        <w:rPr>
          <w:rFonts w:ascii="Times New Roman" w:hAnsi="Times New Roman" w:cs="Times New Roman"/>
          <w:sz w:val="24"/>
          <w:szCs w:val="24"/>
        </w:rPr>
        <w:t>): 50-71</w:t>
      </w:r>
      <w:r w:rsidRPr="009D369D">
        <w:rPr>
          <w:rFonts w:ascii="Times New Roman" w:hAnsi="Times New Roman" w:cs="Times New Roman"/>
          <w:sz w:val="24"/>
          <w:szCs w:val="24"/>
        </w:rPr>
        <w:t>.</w:t>
      </w:r>
      <w:r w:rsidRPr="009D369D">
        <w:rPr>
          <w:rFonts w:ascii="Times New Roman" w:hAnsi="Times New Roman" w:cs="Times New Roman"/>
          <w:sz w:val="24"/>
          <w:szCs w:val="24"/>
        </w:rPr>
        <w:t xml:space="preserve"> </w:t>
      </w:r>
    </w:p>
    <w:sectPr w:rsidR="009D369D" w:rsidRPr="009D36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6B3C17" w14:textId="77777777" w:rsidR="002734D9" w:rsidRDefault="002734D9" w:rsidP="00A47D8F">
      <w:pPr>
        <w:spacing w:after="0" w:line="240" w:lineRule="auto"/>
      </w:pPr>
      <w:r>
        <w:separator/>
      </w:r>
    </w:p>
  </w:endnote>
  <w:endnote w:type="continuationSeparator" w:id="0">
    <w:p w14:paraId="5E32D765" w14:textId="77777777" w:rsidR="002734D9" w:rsidRDefault="002734D9" w:rsidP="00A47D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A440D8" w14:textId="77777777" w:rsidR="002734D9" w:rsidRDefault="002734D9" w:rsidP="00A47D8F">
      <w:pPr>
        <w:spacing w:after="0" w:line="240" w:lineRule="auto"/>
      </w:pPr>
      <w:r>
        <w:separator/>
      </w:r>
    </w:p>
  </w:footnote>
  <w:footnote w:type="continuationSeparator" w:id="0">
    <w:p w14:paraId="6637B573" w14:textId="77777777" w:rsidR="002734D9" w:rsidRDefault="002734D9" w:rsidP="00A47D8F">
      <w:pPr>
        <w:spacing w:after="0" w:line="240" w:lineRule="auto"/>
      </w:pPr>
      <w:r>
        <w:continuationSeparator/>
      </w:r>
    </w:p>
  </w:footnote>
  <w:footnote w:id="1">
    <w:p w14:paraId="6ACC71BA" w14:textId="1A69E703" w:rsidR="00760096" w:rsidRDefault="00760096">
      <w:pPr>
        <w:pStyle w:val="FootnoteText"/>
      </w:pPr>
      <w:r>
        <w:rPr>
          <w:rStyle w:val="FootnoteReference"/>
        </w:rPr>
        <w:footnoteRef/>
      </w:r>
      <w:r>
        <w:t xml:space="preserve"> </w:t>
      </w:r>
      <w:r w:rsidR="00BF7B26">
        <w:t xml:space="preserve">National Library of Wales, </w:t>
      </w:r>
      <w:r>
        <w:fldChar w:fldCharType="begin"/>
      </w:r>
      <w:r>
        <w:instrText xml:space="preserve"> ADDIN ZOTERO_ITEM CSL_CITATION {"citationID":"AiJLWyjs","properties":{"formattedCitation":"\\uc0\\u8216{}White Book of Rhydderch - National Library of Wales\\uc0\\u8217{}, n.d. &lt;https://www.library.wales/discover-learn/digital-exhibitions/manuscripts/the-middle-ages/white-book-of-rhydderch&gt; [accessed 23 December 2025].","plainCitation":"‘White Book of Rhydderch - National Library of Wales’, n.d. &lt;https://www.library.wales/discover-learn/digital-exhibitions/manuscripts/the-middle-ages/white-book-of-rhydderch&gt; [accessed 23 December 2025].","noteIndex":1},"citationItems":[{"id":680,"uris":["http://zotero.org/users/local/VhgDsqkD/items/D6QERP9D"],"itemData":{"id":680,"type":"webpage","title":"White Book of Rhydderch - National Library of Wales","URL":"https://www.library.wales/discover-learn/digital-exhibitions/manuscripts/the-middle-ages/white-book-of-rhydderch","accessed":{"date-parts":[["2025",12,23]]}}}],"schema":"https://github.com/citation-style-language/schema/raw/master/csl-citation.json"} </w:instrText>
      </w:r>
      <w:r>
        <w:fldChar w:fldCharType="separate"/>
      </w:r>
      <w:r w:rsidRPr="00760096">
        <w:rPr>
          <w:rFonts w:ascii="Aptos" w:hAnsi="Aptos" w:cs="Times New Roman"/>
          <w:kern w:val="0"/>
        </w:rPr>
        <w:t xml:space="preserve">‘White Book of Rhydderch’ &lt;https://www.library.wales/discover-learn/digital-exhibitions/manuscripts/the-middle-ages/white-book-of-rhydderch&gt; [accessed </w:t>
      </w:r>
      <w:r w:rsidR="00BF7B26">
        <w:rPr>
          <w:rFonts w:ascii="Aptos" w:hAnsi="Aptos" w:cs="Times New Roman"/>
          <w:kern w:val="0"/>
        </w:rPr>
        <w:t xml:space="preserve">2 </w:t>
      </w:r>
      <w:r w:rsidRPr="00760096">
        <w:rPr>
          <w:rFonts w:ascii="Aptos" w:hAnsi="Aptos" w:cs="Times New Roman"/>
          <w:kern w:val="0"/>
        </w:rPr>
        <w:t>December 2025].</w:t>
      </w:r>
      <w:r>
        <w:fldChar w:fldCharType="end"/>
      </w:r>
    </w:p>
  </w:footnote>
  <w:footnote w:id="2">
    <w:p w14:paraId="61D58883" w14:textId="15CAA6B3" w:rsidR="00760096" w:rsidRDefault="00760096">
      <w:pPr>
        <w:pStyle w:val="FootnoteText"/>
      </w:pPr>
      <w:r>
        <w:rPr>
          <w:rStyle w:val="FootnoteReference"/>
        </w:rPr>
        <w:footnoteRef/>
      </w:r>
      <w:r>
        <w:t xml:space="preserve"> </w:t>
      </w:r>
      <w:r w:rsidR="00BF7B26">
        <w:t xml:space="preserve">Bodleian Library, </w:t>
      </w:r>
      <w:r>
        <w:fldChar w:fldCharType="begin"/>
      </w:r>
      <w:r>
        <w:instrText xml:space="preserve"> ADDIN ZOTERO_ITEM CSL_CITATION {"citationID":"03tF3WEC","properties":{"formattedCitation":"\\uc0\\u8216{}Jesus College MS. 111\\uc0\\u8217{}, n.d. &lt;https://digital.bodleian.ox.ac.uk/objects/9bf187bf-f862-4453-bc4f-851f6d3948af/&gt; [accessed 23 December 2025].","plainCitation":"‘Jesus College MS. 111’, n.d. &lt;https://digital.bodleian.ox.ac.uk/objects/9bf187bf-f862-4453-bc4f-851f6d3948af/&gt; [accessed 23 December 2025].","noteIndex":2},"citationItems":[{"id":679,"uris":["http://zotero.org/users/local/VhgDsqkD/items/ISD9USSM"],"itemData":{"id":679,"type":"webpage","abstract":"View high resolution digitized images of Jesus College MS. 111 The Red Book of Hergest","language":"en","title":"Jesus College MS. 111","URL":"https://digital.bodleian.ox.ac.uk/objects/9bf187bf-f862-4453-bc4f-851f6d3948af/","accessed":{"date-parts":[["2025",12,23]]}}}],"schema":"https://github.com/citation-style-language/schema/raw/master/csl-citation.json"} </w:instrText>
      </w:r>
      <w:r>
        <w:fldChar w:fldCharType="separate"/>
      </w:r>
      <w:r w:rsidRPr="00760096">
        <w:rPr>
          <w:rFonts w:ascii="Aptos" w:hAnsi="Aptos" w:cs="Times New Roman"/>
          <w:kern w:val="0"/>
        </w:rPr>
        <w:t>‘MS. 111’</w:t>
      </w:r>
      <w:r w:rsidR="00BF7B26">
        <w:rPr>
          <w:rFonts w:ascii="Aptos" w:hAnsi="Aptos" w:cs="Times New Roman"/>
          <w:kern w:val="0"/>
        </w:rPr>
        <w:t xml:space="preserve"> </w:t>
      </w:r>
      <w:r w:rsidRPr="00760096">
        <w:rPr>
          <w:rFonts w:ascii="Aptos" w:hAnsi="Aptos" w:cs="Times New Roman"/>
          <w:kern w:val="0"/>
        </w:rPr>
        <w:t>&lt;https://digital.bodleian.ox.ac.uk/objects/9bf187bf-f862-4453-bc4f-851f6d3948af/&gt; [accessed 2 December 2025].</w:t>
      </w:r>
      <w:r>
        <w:fldChar w:fldCharType="end"/>
      </w:r>
    </w:p>
  </w:footnote>
  <w:footnote w:id="3">
    <w:p w14:paraId="58D713ED" w14:textId="07460E4D" w:rsidR="00F57A61" w:rsidRDefault="00F57A61">
      <w:pPr>
        <w:pStyle w:val="FootnoteText"/>
      </w:pPr>
      <w:r>
        <w:rPr>
          <w:rStyle w:val="FootnoteReference"/>
        </w:rPr>
        <w:footnoteRef/>
      </w:r>
      <w:r>
        <w:t xml:space="preserve"> </w:t>
      </w:r>
      <w:r>
        <w:fldChar w:fldCharType="begin"/>
      </w:r>
      <w:r w:rsidR="00760096">
        <w:instrText xml:space="preserve"> ADDIN ZOTERO_ITEM CSL_CITATION {"citationID":"OjAlDKUw","properties":{"formattedCitation":"Jeffrey Gantz, \\uc0\\u8216{}Thematic Structure in the Four Branches of the Mabinogi\\uc0\\u8217{}, {\\i{}Medium \\uc0\\u198{}vum}, 47.2 (1978), pp. 247\\uc0\\u8211{}54, doi:10.2307/43631333.","plainCitation":"Jeffrey Gantz, ‘Thematic Structure in the Four Branches of the Mabinogi’, Medium Ævum, 47.2 (1978), pp. 247–54, doi:10.2307/43631333.","dontUpdate":true,"noteIndex":3},"citationItems":[{"id":145,"uris":["http://zotero.org/users/local/VhgDsqkD/items/VE4HS5DB"],"itemData":{"id":145,"type":"article-journal","container-title":"Medium Ævum","DOI":"10.2307/43631333","ISSN":"0025-8385","issue":"2","note":"publisher: Society for the Study of Medieval Languages and Literature","page":"247-254","source":"JSTOR","title":"Thematic Structure in the Four Branches of the Mabinogi","volume":"47","author":[{"family":"Gantz","given":"Jeffrey"}],"issued":{"date-parts":[["1978"]]}}}],"schema":"https://github.com/citation-style-language/schema/raw/master/csl-citation.json"} </w:instrText>
      </w:r>
      <w:r>
        <w:fldChar w:fldCharType="separate"/>
      </w:r>
      <w:r w:rsidRPr="00F57A61">
        <w:rPr>
          <w:rFonts w:ascii="Aptos" w:hAnsi="Aptos" w:cs="Times New Roman"/>
          <w:kern w:val="0"/>
        </w:rPr>
        <w:t xml:space="preserve">Jeffrey Gantz, ‘Thematic Structure in the Four Branches of the Mabinogi’, </w:t>
      </w:r>
      <w:r w:rsidRPr="00F57A61">
        <w:rPr>
          <w:rFonts w:ascii="Aptos" w:hAnsi="Aptos" w:cs="Times New Roman"/>
          <w:i/>
          <w:iCs/>
          <w:kern w:val="0"/>
        </w:rPr>
        <w:t>Medium Ævum</w:t>
      </w:r>
      <w:r w:rsidRPr="00F57A61">
        <w:rPr>
          <w:rFonts w:ascii="Aptos" w:hAnsi="Aptos" w:cs="Times New Roman"/>
          <w:kern w:val="0"/>
        </w:rPr>
        <w:t>, 47.2 (1978), pp. 247–54, doi:10.2307/43631333</w:t>
      </w:r>
      <w:r>
        <w:rPr>
          <w:rFonts w:ascii="Aptos" w:hAnsi="Aptos" w:cs="Times New Roman"/>
          <w:kern w:val="0"/>
        </w:rPr>
        <w:t>, p. 247</w:t>
      </w:r>
      <w:r w:rsidRPr="00F57A61">
        <w:rPr>
          <w:rFonts w:ascii="Aptos" w:hAnsi="Aptos" w:cs="Times New Roman"/>
          <w:kern w:val="0"/>
        </w:rPr>
        <w:t>.</w:t>
      </w:r>
      <w:r>
        <w:fldChar w:fldCharType="end"/>
      </w:r>
    </w:p>
  </w:footnote>
  <w:footnote w:id="4">
    <w:p w14:paraId="7E8204F5" w14:textId="48CEB044" w:rsidR="00BF7B26" w:rsidRDefault="00BF7B26">
      <w:pPr>
        <w:pStyle w:val="FootnoteText"/>
      </w:pPr>
      <w:r>
        <w:rPr>
          <w:rStyle w:val="FootnoteReference"/>
        </w:rPr>
        <w:footnoteRef/>
      </w:r>
      <w:r>
        <w:t xml:space="preserve"> </w:t>
      </w:r>
      <w:r>
        <w:fldChar w:fldCharType="begin"/>
      </w:r>
      <w:r w:rsidR="0021406B">
        <w:instrText xml:space="preserve"> ADDIN ZOTERO_ITEM CSL_CITATION {"citationID":"gB4xJ1q4","properties":{"formattedCitation":"Sioned Davies, {\\i{}The Mabinogion} (OUP Oxford, 2007).","plainCitation":"Sioned Davies, The Mabinogion (OUP Oxford, 2007).","dontUpdate":true,"noteIndex":4},"citationItems":[{"id":678,"uris":["http://zotero.org/users/local/VhgDsqkD/items/XVSZBHQK"],"itemData":{"id":678,"type":"book","ISBN":"0-19-283242-5","language":"English","number-of-pages":"293","publisher":"OUP Oxford","title":"The Mabinogion","author":[{"literal":"Sioned Davies"}],"issued":{"date-parts":[["2007"]]}}}],"schema":"https://github.com/citation-style-language/schema/raw/master/csl-citation.json"} </w:instrText>
      </w:r>
      <w:r>
        <w:fldChar w:fldCharType="separate"/>
      </w:r>
      <w:r w:rsidRPr="00BF7B26">
        <w:rPr>
          <w:rFonts w:ascii="Aptos" w:hAnsi="Aptos" w:cs="Times New Roman"/>
          <w:kern w:val="0"/>
        </w:rPr>
        <w:t xml:space="preserve">Sioned Davies, </w:t>
      </w:r>
      <w:r w:rsidRPr="00BF7B26">
        <w:rPr>
          <w:rFonts w:ascii="Aptos" w:hAnsi="Aptos" w:cs="Times New Roman"/>
          <w:i/>
          <w:iCs/>
          <w:kern w:val="0"/>
        </w:rPr>
        <w:t>The Mabinogion</w:t>
      </w:r>
      <w:r w:rsidRPr="00BF7B26">
        <w:rPr>
          <w:rFonts w:ascii="Aptos" w:hAnsi="Aptos" w:cs="Times New Roman"/>
          <w:kern w:val="0"/>
        </w:rPr>
        <w:t xml:space="preserve"> (</w:t>
      </w:r>
      <w:r w:rsidR="000D1C0C">
        <w:rPr>
          <w:rFonts w:ascii="Aptos" w:hAnsi="Aptos" w:cs="Times New Roman"/>
          <w:kern w:val="0"/>
        </w:rPr>
        <w:t xml:space="preserve">Oxford: </w:t>
      </w:r>
      <w:r w:rsidRPr="00BF7B26">
        <w:rPr>
          <w:rFonts w:ascii="Aptos" w:hAnsi="Aptos" w:cs="Times New Roman"/>
          <w:kern w:val="0"/>
        </w:rPr>
        <w:t>OUP, 2007)</w:t>
      </w:r>
      <w:r>
        <w:rPr>
          <w:rFonts w:ascii="Aptos" w:hAnsi="Aptos" w:cs="Times New Roman"/>
          <w:kern w:val="0"/>
        </w:rPr>
        <w:t>, pp. 3-21</w:t>
      </w:r>
      <w:r w:rsidRPr="00BF7B26">
        <w:rPr>
          <w:rFonts w:ascii="Aptos" w:hAnsi="Aptos" w:cs="Times New Roman"/>
          <w:kern w:val="0"/>
        </w:rPr>
        <w:t>.</w:t>
      </w:r>
      <w:r>
        <w:fldChar w:fldCharType="end"/>
      </w:r>
    </w:p>
  </w:footnote>
  <w:footnote w:id="5">
    <w:p w14:paraId="4E1819F7" w14:textId="7192784E" w:rsidR="0021406B" w:rsidRDefault="0021406B">
      <w:pPr>
        <w:pStyle w:val="FootnoteText"/>
      </w:pPr>
      <w:r>
        <w:rPr>
          <w:rStyle w:val="FootnoteReference"/>
        </w:rPr>
        <w:footnoteRef/>
      </w:r>
      <w:r>
        <w:t xml:space="preserve"> </w:t>
      </w:r>
      <w:r>
        <w:fldChar w:fldCharType="begin"/>
      </w:r>
      <w:r>
        <w:instrText xml:space="preserve"> ADDIN ZOTERO_ITEM CSL_CITATION {"citationID":"t4FFkaGs","properties":{"formattedCitation":"Sioned Davies, {\\i{}The Mabinogion}.","plainCitation":"Sioned Davies, The Mabinogion.","noteIndex":5},"citationItems":[{"id":678,"uris":["http://zotero.org/users/local/VhgDsqkD/items/XVSZBHQK"],"itemData":{"id":678,"type":"book","ISBN":"0-19-283242-5","language":"English","number-of-pages":"293","publisher":"OUP Oxford","title":"The Mabinogion","author":[{"literal":"Sioned Davies"}],"issued":{"date-parts":[["2007"]]}}}],"schema":"https://github.com/citation-style-language/schema/raw/master/csl-citation.json"} </w:instrText>
      </w:r>
      <w:r>
        <w:fldChar w:fldCharType="separate"/>
      </w:r>
      <w:r w:rsidRPr="0021406B">
        <w:rPr>
          <w:rFonts w:ascii="Aptos" w:hAnsi="Aptos" w:cs="Times New Roman"/>
          <w:kern w:val="0"/>
        </w:rPr>
        <w:t xml:space="preserve">Sioned Davies, </w:t>
      </w:r>
      <w:r w:rsidRPr="0021406B">
        <w:rPr>
          <w:rFonts w:ascii="Aptos" w:hAnsi="Aptos" w:cs="Times New Roman"/>
          <w:i/>
          <w:iCs/>
          <w:kern w:val="0"/>
        </w:rPr>
        <w:t>The Mabinogion</w:t>
      </w:r>
      <w:r>
        <w:rPr>
          <w:rFonts w:ascii="Aptos" w:hAnsi="Aptos" w:cs="Times New Roman"/>
          <w:i/>
          <w:iCs/>
          <w:kern w:val="0"/>
        </w:rPr>
        <w:t xml:space="preserve">, </w:t>
      </w:r>
      <w:r w:rsidRPr="000D1C0C">
        <w:rPr>
          <w:rFonts w:ascii="Aptos" w:hAnsi="Aptos" w:cs="Times New Roman"/>
          <w:kern w:val="0"/>
        </w:rPr>
        <w:t>pp. 3-8.</w:t>
      </w:r>
      <w:r>
        <w:fldChar w:fldCharType="end"/>
      </w:r>
    </w:p>
  </w:footnote>
  <w:footnote w:id="6">
    <w:p w14:paraId="735EAD0D" w14:textId="51E645AF" w:rsidR="0021406B" w:rsidRDefault="0021406B">
      <w:pPr>
        <w:pStyle w:val="FootnoteText"/>
      </w:pPr>
      <w:r>
        <w:rPr>
          <w:rStyle w:val="FootnoteReference"/>
        </w:rPr>
        <w:footnoteRef/>
      </w:r>
      <w:r>
        <w:t xml:space="preserve"> </w:t>
      </w:r>
      <w:r>
        <w:fldChar w:fldCharType="begin"/>
      </w:r>
      <w:r>
        <w:instrText xml:space="preserve"> ADDIN ZOTERO_ITEM CSL_CITATION {"citationID":"36CNQa03","properties":{"formattedCitation":"Sioned Davies, {\\i{}The Mabinogion}.","plainCitation":"Sioned Davies, The Mabinogion.","noteIndex":6},"citationItems":[{"id":678,"uris":["http://zotero.org/users/local/VhgDsqkD/items/XVSZBHQK"],"itemData":{"id":678,"type":"book","ISBN":"0-19-283242-5","language":"English","number-of-pages":"293","publisher":"OUP Oxford","title":"The Mabinogion","author":[{"literal":"Sioned Davies"}],"issued":{"date-parts":[["2007"]]}}}],"schema":"https://github.com/citation-style-language/schema/raw/master/csl-citation.json"} </w:instrText>
      </w:r>
      <w:r>
        <w:fldChar w:fldCharType="separate"/>
      </w:r>
      <w:r w:rsidRPr="0021406B">
        <w:rPr>
          <w:rFonts w:ascii="Aptos" w:hAnsi="Aptos" w:cs="Times New Roman"/>
          <w:kern w:val="0"/>
        </w:rPr>
        <w:t xml:space="preserve">Sioned Davies, </w:t>
      </w:r>
      <w:r w:rsidRPr="0021406B">
        <w:rPr>
          <w:rFonts w:ascii="Aptos" w:hAnsi="Aptos" w:cs="Times New Roman"/>
          <w:i/>
          <w:iCs/>
          <w:kern w:val="0"/>
        </w:rPr>
        <w:t>The Mabinogion</w:t>
      </w:r>
      <w:r>
        <w:rPr>
          <w:rFonts w:ascii="Aptos" w:hAnsi="Aptos" w:cs="Times New Roman"/>
          <w:i/>
          <w:iCs/>
          <w:kern w:val="0"/>
        </w:rPr>
        <w:t>,</w:t>
      </w:r>
      <w:r w:rsidRPr="000D1C0C">
        <w:rPr>
          <w:rFonts w:ascii="Aptos" w:hAnsi="Aptos" w:cs="Times New Roman"/>
          <w:kern w:val="0"/>
        </w:rPr>
        <w:t xml:space="preserve"> pp. 8-16</w:t>
      </w:r>
      <w:r w:rsidRPr="0021406B">
        <w:rPr>
          <w:rFonts w:ascii="Aptos" w:hAnsi="Aptos" w:cs="Times New Roman"/>
          <w:kern w:val="0"/>
        </w:rPr>
        <w:t>.</w:t>
      </w:r>
      <w:r>
        <w:fldChar w:fldCharType="end"/>
      </w:r>
    </w:p>
  </w:footnote>
  <w:footnote w:id="7">
    <w:p w14:paraId="1147E361" w14:textId="27B19E38" w:rsidR="0021406B" w:rsidRDefault="0021406B">
      <w:pPr>
        <w:pStyle w:val="FootnoteText"/>
      </w:pPr>
      <w:r>
        <w:rPr>
          <w:rStyle w:val="FootnoteReference"/>
        </w:rPr>
        <w:footnoteRef/>
      </w:r>
      <w:r>
        <w:t xml:space="preserve"> </w:t>
      </w:r>
      <w:r>
        <w:fldChar w:fldCharType="begin"/>
      </w:r>
      <w:r>
        <w:instrText xml:space="preserve"> ADDIN ZOTERO_ITEM CSL_CITATION {"citationID":"kUmhOlGB","properties":{"formattedCitation":"Sioned Davies, {\\i{}The Mabinogion}.","plainCitation":"Sioned Davies, The Mabinogion.","noteIndex":7},"citationItems":[{"id":678,"uris":["http://zotero.org/users/local/VhgDsqkD/items/XVSZBHQK"],"itemData":{"id":678,"type":"book","ISBN":"0-19-283242-5","language":"English","number-of-pages":"293","publisher":"OUP Oxford","title":"The Mabinogion","author":[{"literal":"Sioned Davies"}],"issued":{"date-parts":[["2007"]]}}}],"schema":"https://github.com/citation-style-language/schema/raw/master/csl-citation.json"} </w:instrText>
      </w:r>
      <w:r>
        <w:fldChar w:fldCharType="separate"/>
      </w:r>
      <w:r w:rsidRPr="0021406B">
        <w:rPr>
          <w:rFonts w:ascii="Aptos" w:hAnsi="Aptos" w:cs="Times New Roman"/>
          <w:kern w:val="0"/>
        </w:rPr>
        <w:t xml:space="preserve">Sioned Davies, </w:t>
      </w:r>
      <w:r w:rsidRPr="0021406B">
        <w:rPr>
          <w:rFonts w:ascii="Aptos" w:hAnsi="Aptos" w:cs="Times New Roman"/>
          <w:i/>
          <w:iCs/>
          <w:kern w:val="0"/>
        </w:rPr>
        <w:t>The Mabinogion</w:t>
      </w:r>
      <w:r w:rsidRPr="000D1C0C">
        <w:rPr>
          <w:rFonts w:ascii="Aptos" w:hAnsi="Aptos" w:cs="Times New Roman"/>
          <w:kern w:val="0"/>
        </w:rPr>
        <w:t>, pp. 16-21</w:t>
      </w:r>
      <w:r w:rsidRPr="0021406B">
        <w:rPr>
          <w:rFonts w:ascii="Aptos" w:hAnsi="Aptos" w:cs="Times New Roman"/>
          <w:kern w:val="0"/>
        </w:rPr>
        <w:t>.</w:t>
      </w:r>
      <w:r>
        <w:fldChar w:fldCharType="end"/>
      </w:r>
    </w:p>
  </w:footnote>
  <w:footnote w:id="8">
    <w:p w14:paraId="2EFB5C35" w14:textId="6B77E174" w:rsidR="00997E02" w:rsidRDefault="00997E02">
      <w:pPr>
        <w:pStyle w:val="FootnoteText"/>
      </w:pPr>
      <w:r>
        <w:rPr>
          <w:rStyle w:val="FootnoteReference"/>
        </w:rPr>
        <w:footnoteRef/>
      </w:r>
      <w:r>
        <w:t xml:space="preserve"> </w:t>
      </w:r>
      <w:r>
        <w:fldChar w:fldCharType="begin"/>
      </w:r>
      <w:r w:rsidR="0021406B">
        <w:instrText xml:space="preserve"> ADDIN ZOTERO_ITEM CSL_CITATION {"citationID":"Ziv0wMj9","properties":{"formattedCitation":"Jessica Hemming, \\uc0\\u8216{}Reflections on Rhiannon and the Horse Episodes in \\uc0\\u8220{}Pwyll\\uc0\\u8221{}\\uc0\\u8217{}, {\\i{}Western Folklore}, 57.1 (1998), pp. 19\\uc0\\u8211{}40, doi:10.2307/1500247.","plainCitation":"Jessica Hemming, ‘Reflections on Rhiannon and the Horse Episodes in “Pwyll”’, Western Folklore, 57.1 (1998), pp. 19–40, doi:10.2307/1500247.","dontUpdate":true,"noteIndex":8},"citationItems":[{"id":156,"uris":["http://zotero.org/users/local/VhgDsqkD/items/KK8EH36D"],"itemData":{"id":156,"type":"article-journal","container-title":"Western Folklore","DOI":"10.2307/1500247","ISSN":"0043-373X","issue":"1","note":"publisher: Western States Folklore Society","page":"19-40","source":"JSTOR","title":"Reflections on Rhiannon and the Horse Episodes in \"Pwyll\"","volume":"57","author":[{"family":"Hemming","given":"Jessica"}],"issued":{"date-parts":[["1998"]]}}}],"schema":"https://github.com/citation-style-language/schema/raw/master/csl-citation.json"} </w:instrText>
      </w:r>
      <w:r>
        <w:fldChar w:fldCharType="separate"/>
      </w:r>
      <w:r w:rsidRPr="00997E02">
        <w:rPr>
          <w:rFonts w:ascii="Aptos" w:hAnsi="Aptos" w:cs="Times New Roman"/>
          <w:kern w:val="0"/>
        </w:rPr>
        <w:t xml:space="preserve">Jessica Hemming, ‘Reflections on Rhiannon and the Horse Episodes in “Pwyll”’, </w:t>
      </w:r>
      <w:r w:rsidRPr="00997E02">
        <w:rPr>
          <w:rFonts w:ascii="Aptos" w:hAnsi="Aptos" w:cs="Times New Roman"/>
          <w:i/>
          <w:iCs/>
          <w:kern w:val="0"/>
        </w:rPr>
        <w:t>Western Folklore</w:t>
      </w:r>
      <w:r w:rsidRPr="00997E02">
        <w:rPr>
          <w:rFonts w:ascii="Aptos" w:hAnsi="Aptos" w:cs="Times New Roman"/>
          <w:kern w:val="0"/>
        </w:rPr>
        <w:t>, 57.1 (1998), pp. 19–40, doi:10.2307/1500247</w:t>
      </w:r>
      <w:r>
        <w:rPr>
          <w:rFonts w:ascii="Aptos" w:hAnsi="Aptos" w:cs="Times New Roman"/>
          <w:kern w:val="0"/>
        </w:rPr>
        <w:t>, p. 20</w:t>
      </w:r>
      <w:r w:rsidRPr="00997E02">
        <w:rPr>
          <w:rFonts w:ascii="Aptos" w:hAnsi="Aptos" w:cs="Times New Roman"/>
          <w:kern w:val="0"/>
        </w:rPr>
        <w:t>.</w:t>
      </w:r>
      <w:r>
        <w:fldChar w:fldCharType="end"/>
      </w:r>
    </w:p>
  </w:footnote>
  <w:footnote w:id="9">
    <w:p w14:paraId="767663D3" w14:textId="4D236F3C" w:rsidR="00997E02" w:rsidRDefault="00997E02">
      <w:pPr>
        <w:pStyle w:val="FootnoteText"/>
      </w:pPr>
      <w:r>
        <w:rPr>
          <w:rStyle w:val="FootnoteReference"/>
        </w:rPr>
        <w:footnoteRef/>
      </w:r>
      <w:r>
        <w:t xml:space="preserve"> </w:t>
      </w:r>
      <w:r>
        <w:fldChar w:fldCharType="begin"/>
      </w:r>
      <w:r w:rsidR="0021406B">
        <w:instrText xml:space="preserve"> ADDIN ZOTERO_ITEM CSL_CITATION {"citationID":"X5vDH4Xi","properties":{"formattedCitation":"Hemming, \\uc0\\u8216{}Reflections on Rhiannon and the Horse Episodes in \\uc0\\u8220{}Pwyll\\uc0\\u8221{}\\uc0\\u8217{}.","plainCitation":"Hemming, ‘Reflections on Rhiannon and the Horse Episodes in “Pwyll”’.","dontUpdate":true,"noteIndex":9},"citationItems":[{"id":156,"uris":["http://zotero.org/users/local/VhgDsqkD/items/KK8EH36D"],"itemData":{"id":156,"type":"article-journal","container-title":"Western Folklore","DOI":"10.2307/1500247","ISSN":"0043-373X","issue":"1","note":"publisher: Western States Folklore Society","page":"19-40","source":"JSTOR","title":"Reflections on Rhiannon and the Horse Episodes in \"Pwyll\"","volume":"57","author":[{"family":"Hemming","given":"Jessica"}],"issued":{"date-parts":[["1998"]]}}}],"schema":"https://github.com/citation-style-language/schema/raw/master/csl-citation.json"} </w:instrText>
      </w:r>
      <w:r>
        <w:fldChar w:fldCharType="separate"/>
      </w:r>
      <w:r w:rsidRPr="00997E02">
        <w:rPr>
          <w:rFonts w:ascii="Aptos" w:hAnsi="Aptos" w:cs="Times New Roman"/>
          <w:kern w:val="0"/>
        </w:rPr>
        <w:t>Hemming, ‘Reflections on Rhiannon and the Horse Episodes in “Pwyll”’</w:t>
      </w:r>
      <w:r>
        <w:rPr>
          <w:rFonts w:ascii="Aptos" w:hAnsi="Aptos" w:cs="Times New Roman"/>
          <w:kern w:val="0"/>
        </w:rPr>
        <w:t>, pp. 19-21</w:t>
      </w:r>
      <w:r w:rsidRPr="00997E02">
        <w:rPr>
          <w:rFonts w:ascii="Aptos" w:hAnsi="Aptos" w:cs="Times New Roman"/>
          <w:kern w:val="0"/>
        </w:rPr>
        <w:t>.</w:t>
      </w:r>
      <w:r>
        <w:fldChar w:fldCharType="end"/>
      </w:r>
    </w:p>
  </w:footnote>
  <w:footnote w:id="10">
    <w:p w14:paraId="15420BF0" w14:textId="27289AF6" w:rsidR="00277E26" w:rsidRDefault="00277E26" w:rsidP="00277E26">
      <w:pPr>
        <w:pStyle w:val="FootnoteText"/>
      </w:pPr>
      <w:r>
        <w:rPr>
          <w:rStyle w:val="FootnoteReference"/>
        </w:rPr>
        <w:footnoteRef/>
      </w:r>
      <w:r>
        <w:t xml:space="preserve"> </w:t>
      </w:r>
      <w:r>
        <w:fldChar w:fldCharType="begin"/>
      </w:r>
      <w:r w:rsidR="0021406B">
        <w:instrText xml:space="preserve"> ADDIN ZOTERO_ITEM CSL_CITATION {"citationID":"kWKf00zj","properties":{"formattedCitation":"Emma Herbert-Davies, {\\i{}The Cultural Representation of the Horse in Late Medieval England: Status and Gender}, n.d. &lt;https://www.academia.edu/36987391/The_Cultural_Representation_of_the_Horse_in_Late_Medieval_England_Status_and_Gender&gt; [accessed 24 December 2025].","plainCitation":"Emma Herbert-Davies, The Cultural Representation of the Horse in Late Medieval England: Status and Gender, n.d. &lt;https://www.academia.edu/36987391/The_Cultural_Representation_of_the_Horse_in_Late_Medieval_England_Status_and_Gender&gt; [accessed 24 December 2025].","dontUpdate":true,"noteIndex":10},"citationItems":[{"id":682,"uris":["http://zotero.org/users/local/VhgDsqkD/items/CLX6Y6GK"],"itemData":{"id":682,"type":"article-journal","abstract":"Throughout the medieval period the equine played a multifunctional role, acting as a form of transport, an agricultural animal and as means of conveying goods. It was a significant attribute in warfare, providing the man-at-arms with vital","source":"www.academia.edu","title":"The Cultural Representation of the Horse in Late Medieval England: Status and Gender","title-short":"The Cultural Representation of the Horse in Late Medieval England","URL":"https://www.academia.edu/36987391/The_Cultural_Representation_of_the_Horse_in_Late_Medieval_England_Status_and_Gender","author":[{"family":"Herbert-Davies","given":"Emma"}],"accessed":{"date-parts":[["2025",12,24]]}}}],"schema":"https://github.com/citation-style-language/schema/raw/master/csl-citation.json"} </w:instrText>
      </w:r>
      <w:r>
        <w:fldChar w:fldCharType="separate"/>
      </w:r>
      <w:r w:rsidRPr="00412A4F">
        <w:rPr>
          <w:rFonts w:ascii="Aptos" w:hAnsi="Aptos" w:cs="Times New Roman"/>
          <w:kern w:val="0"/>
        </w:rPr>
        <w:t xml:space="preserve">Emma Herbert-Davies, </w:t>
      </w:r>
      <w:r>
        <w:rPr>
          <w:rFonts w:ascii="Aptos" w:hAnsi="Aptos" w:cs="Times New Roman"/>
          <w:kern w:val="0"/>
        </w:rPr>
        <w:t>'</w:t>
      </w:r>
      <w:r w:rsidRPr="0079563B">
        <w:rPr>
          <w:rFonts w:ascii="Aptos" w:hAnsi="Aptos" w:cs="Times New Roman"/>
          <w:kern w:val="0"/>
        </w:rPr>
        <w:t>The Cultural Representation of the Horse in Late Medieval England: Status and Gender</w:t>
      </w:r>
      <w:r>
        <w:rPr>
          <w:rFonts w:ascii="Aptos" w:hAnsi="Aptos" w:cs="Times New Roman"/>
          <w:i/>
          <w:iCs/>
          <w:kern w:val="0"/>
        </w:rPr>
        <w:t xml:space="preserve">' </w:t>
      </w:r>
      <w:r>
        <w:rPr>
          <w:rFonts w:ascii="Aptos" w:hAnsi="Aptos" w:cs="Times New Roman"/>
          <w:kern w:val="0"/>
        </w:rPr>
        <w:t xml:space="preserve">(unpublished </w:t>
      </w:r>
      <w:proofErr w:type="gramStart"/>
      <w:r>
        <w:rPr>
          <w:rFonts w:ascii="Aptos" w:hAnsi="Aptos" w:cs="Times New Roman"/>
          <w:kern w:val="0"/>
        </w:rPr>
        <w:t>Master's</w:t>
      </w:r>
      <w:proofErr w:type="gramEnd"/>
      <w:r>
        <w:rPr>
          <w:rFonts w:ascii="Aptos" w:hAnsi="Aptos" w:cs="Times New Roman"/>
          <w:kern w:val="0"/>
        </w:rPr>
        <w:t xml:space="preserve"> thesis, University of Leeds 2019)</w:t>
      </w:r>
      <w:r w:rsidRPr="00412A4F">
        <w:rPr>
          <w:rFonts w:ascii="Aptos" w:hAnsi="Aptos" w:cs="Times New Roman"/>
          <w:kern w:val="0"/>
        </w:rPr>
        <w:t>,</w:t>
      </w:r>
      <w:r>
        <w:rPr>
          <w:rFonts w:ascii="Aptos" w:hAnsi="Aptos" w:cs="Times New Roman"/>
          <w:kern w:val="0"/>
        </w:rPr>
        <w:t xml:space="preserve"> pp. 1-59, </w:t>
      </w:r>
      <w:r w:rsidRPr="00412A4F">
        <w:rPr>
          <w:rFonts w:ascii="Aptos" w:hAnsi="Aptos" w:cs="Times New Roman"/>
          <w:kern w:val="0"/>
        </w:rPr>
        <w:t>&lt;https://www.academia.edu/36987391/The_Cultural_Representation_of_the_Horse_in_Late_Medieval_England_Status_and_Gender&gt; [acc</w:t>
      </w:r>
      <w:r>
        <w:rPr>
          <w:rFonts w:ascii="Aptos" w:hAnsi="Aptos" w:cs="Times New Roman"/>
          <w:kern w:val="0"/>
        </w:rPr>
        <w:t>essed 4 December 2025], pp. 5-6</w:t>
      </w:r>
      <w:r w:rsidRPr="00412A4F">
        <w:rPr>
          <w:rFonts w:ascii="Aptos" w:hAnsi="Aptos" w:cs="Times New Roman"/>
          <w:kern w:val="0"/>
        </w:rPr>
        <w:t>.</w:t>
      </w:r>
      <w:r>
        <w:fldChar w:fldCharType="end"/>
      </w:r>
    </w:p>
  </w:footnote>
  <w:footnote w:id="11">
    <w:p w14:paraId="550B65E6" w14:textId="7062A407" w:rsidR="006D169A" w:rsidRPr="00C23466" w:rsidRDefault="006D169A">
      <w:pPr>
        <w:pStyle w:val="FootnoteText"/>
      </w:pPr>
      <w:r>
        <w:rPr>
          <w:rStyle w:val="FootnoteReference"/>
        </w:rPr>
        <w:footnoteRef/>
      </w:r>
      <w:r>
        <w:t xml:space="preserve"> </w:t>
      </w:r>
      <w:r w:rsidRPr="00C23466">
        <w:fldChar w:fldCharType="begin"/>
      </w:r>
      <w:r w:rsidR="0021406B" w:rsidRPr="00C23466">
        <w:instrText xml:space="preserve"> ADDIN ZOTERO_ITEM CSL_CITATION {"citationID":"Js8lPMHT","properties":{"formattedCitation":"Herbert-Davies, {\\i{}The Cultural Representation of the Horse in Late Medieval England}.","plainCitation":"Herbert-Davies, The Cultural Representation of the Horse in Late Medieval England.","dontUpdate":true,"noteIndex":11},"citationItems":[{"id":682,"uris":["http://zotero.org/users/local/VhgDsqkD/items/CLX6Y6GK"],"itemData":{"id":682,"type":"article-journal","abstract":"Throughout the medieval period the equine played a multifunctional role, acting as a form of transport, an agricultural animal and as means of conveying goods. It was a significant attribute in warfare, providing the man-at-arms with vital","source":"www.academia.edu","title":"The Cultural Representation of the Horse in Late Medieval England: Status and Gender","title-short":"The Cultural Representation of the Horse in Late Medieval England","URL":"https://www.academia.edu/36987391/The_Cultural_Representation_of_the_Horse_in_Late_Medieval_England_Status_and_Gender","author":[{"family":"Herbert-Davies","given":"Emma"}],"accessed":{"date-parts":[["2025",12,24]]}}}],"schema":"https://github.com/citation-style-language/schema/raw/master/csl-citation.json"} </w:instrText>
      </w:r>
      <w:r w:rsidRPr="00C23466">
        <w:fldChar w:fldCharType="separate"/>
      </w:r>
      <w:r w:rsidRPr="00C23466">
        <w:rPr>
          <w:rFonts w:ascii="Aptos" w:hAnsi="Aptos" w:cs="Times New Roman"/>
          <w:kern w:val="0"/>
        </w:rPr>
        <w:t xml:space="preserve">Herbert-Davies, </w:t>
      </w:r>
      <w:r w:rsidR="00C23466" w:rsidRPr="00C23466">
        <w:rPr>
          <w:rFonts w:ascii="Aptos" w:hAnsi="Aptos" w:cs="Times New Roman"/>
          <w:kern w:val="0"/>
        </w:rPr>
        <w:t>'</w:t>
      </w:r>
      <w:r w:rsidRPr="00C23466">
        <w:rPr>
          <w:rFonts w:ascii="Aptos" w:hAnsi="Aptos" w:cs="Times New Roman"/>
          <w:kern w:val="0"/>
        </w:rPr>
        <w:t>The Cultural Representation of the Horse in Late Medieval England</w:t>
      </w:r>
      <w:r w:rsidR="00C23466" w:rsidRPr="00C23466">
        <w:rPr>
          <w:rFonts w:ascii="Aptos" w:hAnsi="Aptos" w:cs="Times New Roman"/>
          <w:kern w:val="0"/>
        </w:rPr>
        <w:t>'</w:t>
      </w:r>
      <w:r w:rsidRPr="00C23466">
        <w:rPr>
          <w:rFonts w:ascii="Aptos" w:hAnsi="Aptos" w:cs="Times New Roman"/>
          <w:kern w:val="0"/>
        </w:rPr>
        <w:t>, pp. 36-37.</w:t>
      </w:r>
      <w:r w:rsidRPr="00C23466">
        <w:fldChar w:fldCharType="end"/>
      </w:r>
    </w:p>
  </w:footnote>
  <w:footnote w:id="12">
    <w:p w14:paraId="50803738" w14:textId="75D6BEE5" w:rsidR="00B5108E" w:rsidRDefault="00B5108E">
      <w:pPr>
        <w:pStyle w:val="FootnoteText"/>
      </w:pPr>
      <w:r>
        <w:rPr>
          <w:rStyle w:val="FootnoteReference"/>
        </w:rPr>
        <w:footnoteRef/>
      </w:r>
      <w:r>
        <w:t xml:space="preserve"> </w:t>
      </w:r>
      <w:r>
        <w:fldChar w:fldCharType="begin"/>
      </w:r>
      <w:r w:rsidR="0021406B">
        <w:instrText xml:space="preserve"> ADDIN ZOTERO_ITEM CSL_CITATION {"citationID":"kgM2a01k","properties":{"formattedCitation":"Verlyn Flieger, \\uc0\\u8216{}Who\\uc0\\u8217{}s Got the Goddess?\\uc0\\u8217{}, {\\i{}Journal of the Fantastic in the Arts}, 9.1 (33) (1998), pp. 3\\uc0\\u8211{}14.","plainCitation":"Verlyn Flieger, ‘Who’s Got the Goddess?’, Journal of the Fantastic in the Arts, 9.1 (33) (1998), pp. 3–14.","noteIndex":12},"citationItems":[{"id":684,"uris":["http://zotero.org/users/local/VhgDsqkD/items/H75KFDDI"],"itemData":{"id":684,"type":"article-journal","container-title":"Journal of the Fantastic in the Arts","ISSN":"0897-0521","issue":"1 (33)","note":"publisher: [Brian Attebery, as Editor, for the International Association for the Fantastic in the Arts, International Association for the Fantastic in the Arts]","page":"3-14","source":"JSTOR","title":"Who's Got the Goddess?","volume":"9","author":[{"family":"Flieger","given":"Verlyn"}],"issued":{"date-parts":[["1998"]]}}}],"schema":"https://github.com/citation-style-language/schema/raw/master/csl-citation.json"} </w:instrText>
      </w:r>
      <w:r>
        <w:fldChar w:fldCharType="separate"/>
      </w:r>
      <w:r w:rsidR="00F248BC" w:rsidRPr="00F248BC">
        <w:rPr>
          <w:rFonts w:ascii="Aptos" w:hAnsi="Aptos" w:cs="Times New Roman"/>
          <w:kern w:val="0"/>
        </w:rPr>
        <w:t xml:space="preserve">Verlyn Flieger, ‘Who’s Got the Goddess?’, </w:t>
      </w:r>
      <w:r w:rsidR="00F248BC" w:rsidRPr="00F248BC">
        <w:rPr>
          <w:rFonts w:ascii="Aptos" w:hAnsi="Aptos" w:cs="Times New Roman"/>
          <w:i/>
          <w:iCs/>
          <w:kern w:val="0"/>
        </w:rPr>
        <w:t>Journal of the Fantastic in the Arts</w:t>
      </w:r>
      <w:r w:rsidR="00F248BC" w:rsidRPr="00F248BC">
        <w:rPr>
          <w:rFonts w:ascii="Aptos" w:hAnsi="Aptos" w:cs="Times New Roman"/>
          <w:kern w:val="0"/>
        </w:rPr>
        <w:t>, 9.1 (33) (1998), pp. 3–14</w:t>
      </w:r>
      <w:r w:rsidR="00C23466">
        <w:rPr>
          <w:rFonts w:ascii="Aptos" w:hAnsi="Aptos" w:cs="Times New Roman"/>
          <w:kern w:val="0"/>
        </w:rPr>
        <w:t>, pp. 6-9</w:t>
      </w:r>
      <w:r w:rsidR="00F248BC" w:rsidRPr="00F248BC">
        <w:rPr>
          <w:rFonts w:ascii="Aptos" w:hAnsi="Aptos" w:cs="Times New Roman"/>
          <w:kern w:val="0"/>
        </w:rPr>
        <w:t>.</w:t>
      </w:r>
      <w:r>
        <w:fldChar w:fldCharType="end"/>
      </w:r>
      <w:r w:rsidR="0009641A">
        <w:t xml:space="preserve"> </w:t>
      </w:r>
    </w:p>
  </w:footnote>
  <w:footnote w:id="13">
    <w:p w14:paraId="277F7A7D" w14:textId="1087423C" w:rsidR="00943915" w:rsidRDefault="00943915">
      <w:pPr>
        <w:pStyle w:val="FootnoteText"/>
      </w:pPr>
      <w:r>
        <w:rPr>
          <w:rStyle w:val="FootnoteReference"/>
        </w:rPr>
        <w:footnoteRef/>
      </w:r>
      <w:r>
        <w:t xml:space="preserve"> </w:t>
      </w:r>
      <w:r>
        <w:fldChar w:fldCharType="begin"/>
      </w:r>
      <w:r w:rsidR="0021406B">
        <w:instrText xml:space="preserve"> ADDIN ZOTERO_ITEM CSL_CITATION {"citationID":"D8iylokc","properties":{"formattedCitation":"Hemming, \\uc0\\u8216{}Reflections on Rhiannon and the Horse Episodes in \\uc0\\u8220{}Pwyll\\uc0\\u8221{}\\uc0\\u8217{}.","plainCitation":"Hemming, ‘Reflections on Rhiannon and the Horse Episodes in “Pwyll”’.","dontUpdate":true,"noteIndex":13},"citationItems":[{"id":156,"uris":["http://zotero.org/users/local/VhgDsqkD/items/KK8EH36D"],"itemData":{"id":156,"type":"article-journal","container-title":"Western Folklore","DOI":"10.2307/1500247","ISSN":"0043-373X","issue":"1","note":"publisher: Western States Folklore Society","page":"19-40","source":"JSTOR","title":"Reflections on Rhiannon and the Horse Episodes in \"Pwyll\"","volume":"57","author":[{"family":"Hemming","given":"Jessica"}],"issued":{"date-parts":[["1998"]]}}}],"schema":"https://github.com/citation-style-language/schema/raw/master/csl-citation.json"} </w:instrText>
      </w:r>
      <w:r>
        <w:fldChar w:fldCharType="separate"/>
      </w:r>
      <w:r w:rsidRPr="00943915">
        <w:rPr>
          <w:rFonts w:ascii="Aptos" w:hAnsi="Aptos" w:cs="Times New Roman"/>
          <w:kern w:val="0"/>
        </w:rPr>
        <w:t>Hemming, ‘Reflections on Rhiannon and the Horse Episodes in “Pwyll”’</w:t>
      </w:r>
      <w:r>
        <w:rPr>
          <w:rFonts w:ascii="Aptos" w:hAnsi="Aptos" w:cs="Times New Roman"/>
          <w:kern w:val="0"/>
        </w:rPr>
        <w:t>, pp. 20-21</w:t>
      </w:r>
      <w:r w:rsidRPr="00943915">
        <w:rPr>
          <w:rFonts w:ascii="Aptos" w:hAnsi="Aptos" w:cs="Times New Roman"/>
          <w:kern w:val="0"/>
        </w:rPr>
        <w:t>.</w:t>
      </w:r>
      <w:r>
        <w:fldChar w:fldCharType="end"/>
      </w:r>
    </w:p>
  </w:footnote>
  <w:footnote w:id="14">
    <w:p w14:paraId="06BB5483" w14:textId="5F409D6A" w:rsidR="004C3F51" w:rsidRDefault="004C3F51">
      <w:pPr>
        <w:pStyle w:val="FootnoteText"/>
      </w:pPr>
      <w:r>
        <w:rPr>
          <w:rStyle w:val="FootnoteReference"/>
        </w:rPr>
        <w:footnoteRef/>
      </w:r>
      <w:r>
        <w:t xml:space="preserve"> </w:t>
      </w:r>
      <w:r>
        <w:fldChar w:fldCharType="begin"/>
      </w:r>
      <w:r w:rsidR="0021406B">
        <w:instrText xml:space="preserve"> ADDIN ZOTERO_ITEM CSL_CITATION {"citationID":"IndXBfMw","properties":{"formattedCitation":"Emma Herbert-Davies, {\\i{}The Cultural Representation of the Horse in Late Medieval England: Status and Gender}, n.d. &lt;https://www.academia.edu/36987391/The_Cultural_Representation_of_the_Horse_in_Late_Medieval_England_Status_and_Gender&gt; [accessed 24 December 2025].","plainCitation":"Emma Herbert-Davies, The Cultural Representation of the Horse in Late Medieval England: Status and Gender, n.d. &lt;https://www.academia.edu/36987391/The_Cultural_Representation_of_the_Horse_in_Late_Medieval_England_Status_and_Gender&gt; [accessed 24 December 2025].","dontUpdate":true,"noteIndex":14},"citationItems":[{"id":682,"uris":["http://zotero.org/users/local/VhgDsqkD/items/CLX6Y6GK"],"itemData":{"id":682,"type":"article-journal","abstract":"Throughout the medieval period the equine played a multifunctional role, acting as a form of transport, an agricultural animal and as means of conveying goods. It was a significant attribute in warfare, providing the man-at-arms with vital","source":"www.academia.edu","title":"The Cultural Representation of the Horse in Late Medieval England: Status and Gender","title-short":"The Cultural Representation of the Horse in Late Medieval England","URL":"https://www.academia.edu/36987391/The_Cultural_Representation_of_the_Horse_in_Late_Medieval_England_Status_and_Gender","author":[{"family":"Herbert-Davies","given":"Emma"}],"accessed":{"date-parts":[["2025",12,24]]}}}],"schema":"https://github.com/citation-style-language/schema/raw/master/csl-citation.json"} </w:instrText>
      </w:r>
      <w:r>
        <w:fldChar w:fldCharType="separate"/>
      </w:r>
      <w:r w:rsidRPr="004C3F51">
        <w:rPr>
          <w:rFonts w:ascii="Aptos" w:hAnsi="Aptos" w:cs="Times New Roman"/>
          <w:kern w:val="0"/>
        </w:rPr>
        <w:t xml:space="preserve">Emma Herbert-Davies, </w:t>
      </w:r>
      <w:r>
        <w:rPr>
          <w:rFonts w:ascii="Aptos" w:hAnsi="Aptos" w:cs="Times New Roman"/>
          <w:kern w:val="0"/>
        </w:rPr>
        <w:t>'The Cultural Representation of the Horse in Late Medieval England'</w:t>
      </w:r>
      <w:r w:rsidR="0009641A">
        <w:rPr>
          <w:rFonts w:ascii="Aptos" w:hAnsi="Aptos" w:cs="Times New Roman"/>
          <w:kern w:val="0"/>
        </w:rPr>
        <w:t xml:space="preserve">, </w:t>
      </w:r>
      <w:r>
        <w:rPr>
          <w:rFonts w:ascii="Aptos" w:hAnsi="Aptos" w:cs="Times New Roman"/>
          <w:kern w:val="0"/>
        </w:rPr>
        <w:t>pp. 12-14</w:t>
      </w:r>
      <w:r w:rsidRPr="004C3F51">
        <w:rPr>
          <w:rFonts w:ascii="Aptos" w:hAnsi="Aptos" w:cs="Times New Roman"/>
          <w:kern w:val="0"/>
        </w:rPr>
        <w:t>.</w:t>
      </w:r>
      <w:r>
        <w:fldChar w:fldCharType="end"/>
      </w:r>
    </w:p>
  </w:footnote>
  <w:footnote w:id="15">
    <w:p w14:paraId="42C55CCB" w14:textId="02E80440" w:rsidR="00644586" w:rsidRDefault="00644586">
      <w:pPr>
        <w:pStyle w:val="FootnoteText"/>
      </w:pPr>
      <w:r>
        <w:rPr>
          <w:rStyle w:val="FootnoteReference"/>
        </w:rPr>
        <w:footnoteRef/>
      </w:r>
      <w:r>
        <w:t xml:space="preserve"> </w:t>
      </w:r>
      <w:r>
        <w:fldChar w:fldCharType="begin"/>
      </w:r>
      <w:r w:rsidR="0021406B">
        <w:instrText xml:space="preserve"> ADDIN ZOTERO_ITEM CSL_CITATION {"citationID":"x4rh870u","properties":{"formattedCitation":"Flieger, \\uc0\\u8216{}Who\\uc0\\u8217{}s Got the Goddess?\\uc0\\u8217{}","plainCitation":"Flieger, ‘Who’s Got the Goddess?’","noteIndex":15},"citationItems":[{"id":684,"uris":["http://zotero.org/users/local/VhgDsqkD/items/H75KFDDI"],"itemData":{"id":684,"type":"article-journal","container-title":"Journal of the Fantastic in the Arts","ISSN":"0897-0521","issue":"1 (33)","note":"publisher: [Brian Attebery, as Editor, for the International Association for the Fantastic in the Arts, International Association for the Fantastic in the Arts]","page":"3-14","source":"JSTOR","title":"Who's Got the Goddess?","volume":"9","author":[{"family":"Flieger","given":"Verlyn"}],"issued":{"date-parts":[["1998"]]}}}],"schema":"https://github.com/citation-style-language/schema/raw/master/csl-citation.json"} </w:instrText>
      </w:r>
      <w:r>
        <w:fldChar w:fldCharType="separate"/>
      </w:r>
      <w:r w:rsidRPr="00644586">
        <w:rPr>
          <w:rFonts w:ascii="Aptos" w:hAnsi="Aptos" w:cs="Times New Roman"/>
          <w:kern w:val="0"/>
        </w:rPr>
        <w:t>Flieger, ‘Who’s Got the Goddess?’</w:t>
      </w:r>
      <w:r>
        <w:fldChar w:fldCharType="end"/>
      </w:r>
      <w:r>
        <w:t xml:space="preserve">, p. 8. </w:t>
      </w:r>
    </w:p>
  </w:footnote>
  <w:footnote w:id="16">
    <w:p w14:paraId="21BB803D" w14:textId="146EB037" w:rsidR="00F248BC" w:rsidRDefault="00F248BC">
      <w:pPr>
        <w:pStyle w:val="FootnoteText"/>
      </w:pPr>
      <w:r>
        <w:rPr>
          <w:rStyle w:val="FootnoteReference"/>
        </w:rPr>
        <w:footnoteRef/>
      </w:r>
      <w:r>
        <w:t xml:space="preserve"> </w:t>
      </w:r>
      <w:r>
        <w:fldChar w:fldCharType="begin"/>
      </w:r>
      <w:r w:rsidR="0021406B">
        <w:instrText xml:space="preserve"> ADDIN ZOTERO_ITEM CSL_CITATION {"citationID":"M9q0Mv5n","properties":{"formattedCitation":"Flieger, \\uc0\\u8216{}Who\\uc0\\u8217{}s Got the Goddess?\\uc0\\u8217{}","plainCitation":"Flieger, ‘Who’s Got the Goddess?’","noteIndex":16},"citationItems":[{"id":684,"uris":["http://zotero.org/users/local/VhgDsqkD/items/H75KFDDI"],"itemData":{"id":684,"type":"article-journal","container-title":"Journal of the Fantastic in the Arts","ISSN":"0897-0521","issue":"1 (33)","note":"publisher: [Brian Attebery, as Editor, for the International Association for the Fantastic in the Arts, International Association for the Fantastic in the Arts]","page":"3-14","source":"JSTOR","title":"Who's Got the Goddess?","volume":"9","author":[{"family":"Flieger","given":"Verlyn"}],"issued":{"date-parts":[["1998"]]}}}],"schema":"https://github.com/citation-style-language/schema/raw/master/csl-citation.json"} </w:instrText>
      </w:r>
      <w:r>
        <w:fldChar w:fldCharType="separate"/>
      </w:r>
      <w:r w:rsidRPr="00F248BC">
        <w:rPr>
          <w:rFonts w:ascii="Aptos" w:hAnsi="Aptos" w:cs="Times New Roman"/>
          <w:kern w:val="0"/>
        </w:rPr>
        <w:t>Flieger, ‘Who’s Got the Goddess?’</w:t>
      </w:r>
      <w:r>
        <w:fldChar w:fldCharType="end"/>
      </w:r>
      <w:r>
        <w:t xml:space="preserve">, pp. 7-8. </w:t>
      </w:r>
    </w:p>
  </w:footnote>
  <w:footnote w:id="17">
    <w:p w14:paraId="186F7971" w14:textId="2C52F22C" w:rsidR="00A47D8F" w:rsidRDefault="00A47D8F">
      <w:pPr>
        <w:pStyle w:val="FootnoteText"/>
      </w:pPr>
      <w:r>
        <w:rPr>
          <w:rStyle w:val="FootnoteReference"/>
        </w:rPr>
        <w:footnoteRef/>
      </w:r>
      <w:r>
        <w:t xml:space="preserve"> </w:t>
      </w:r>
      <w:r>
        <w:fldChar w:fldCharType="begin"/>
      </w:r>
      <w:r w:rsidR="004C3F51">
        <w:instrText xml:space="preserve"> ADDIN ZOTERO_ITEM CSL_CITATION {"citationID":"yFaTUG00","properties":{"formattedCitation":"Jeffrey Gantz, \\uc0\\u8216{}Thematic Structure in the Four Branches of the Mabinogi\\uc0\\u8217{}, {\\i{}Medium \\uc0\\u198{}vum}, 47.2 (1978), pp. 247\\uc0\\u8211{}54, doi:10.2307/43631333.","plainCitation":"Jeffrey Gantz, ‘Thematic Structure in the Four Branches of the Mabinogi’, Medium Ævum, 47.2 (1978), pp. 247–54, doi:10.2307/43631333.","dontUpdate":true,"noteIndex":9},"citationItems":[{"id":145,"uris":["http://zotero.org/users/local/VhgDsqkD/items/VE4HS5DB"],"itemData":{"id":145,"type":"article-journal","container-title":"Medium Ævum","DOI":"10.2307/43631333","ISSN":"0025-8385","issue":"2","note":"publisher: Society for the Study of Medieval Languages and Literature","page":"247-254","source":"JSTOR","title":"Thematic Structure in the Four Branches of the Mabinogi","volume":"47","author":[{"family":"Gantz","given":"Jeffrey"}],"issued":{"date-parts":[["1978"]]}}}],"schema":"https://github.com/citation-style-language/schema/raw/master/csl-citation.json"} </w:instrText>
      </w:r>
      <w:r>
        <w:fldChar w:fldCharType="separate"/>
      </w:r>
      <w:r w:rsidRPr="00A47D8F">
        <w:rPr>
          <w:rFonts w:ascii="Aptos" w:hAnsi="Aptos" w:cs="Times New Roman"/>
          <w:kern w:val="0"/>
        </w:rPr>
        <w:t xml:space="preserve">Jeffrey Gantz, ‘Thematic Structure in the Four Branches of the Mabinogi’, </w:t>
      </w:r>
      <w:r>
        <w:rPr>
          <w:rFonts w:ascii="Aptos" w:hAnsi="Aptos" w:cs="Times New Roman"/>
          <w:kern w:val="0"/>
        </w:rPr>
        <w:t>p. 247</w:t>
      </w:r>
      <w:r w:rsidRPr="00A47D8F">
        <w:rPr>
          <w:rFonts w:ascii="Aptos" w:hAnsi="Aptos" w:cs="Times New Roman"/>
          <w:kern w:val="0"/>
        </w:rPr>
        <w:t>.</w:t>
      </w:r>
      <w:r>
        <w:fldChar w:fldCharType="end"/>
      </w:r>
    </w:p>
  </w:footnote>
  <w:footnote w:id="18">
    <w:p w14:paraId="7F64ED6A" w14:textId="6113C586" w:rsidR="00030E7F" w:rsidRDefault="00030E7F">
      <w:pPr>
        <w:pStyle w:val="FootnoteText"/>
      </w:pPr>
      <w:r>
        <w:rPr>
          <w:rStyle w:val="FootnoteReference"/>
        </w:rPr>
        <w:footnoteRef/>
      </w:r>
      <w:r>
        <w:t xml:space="preserve"> </w:t>
      </w:r>
      <w:r>
        <w:fldChar w:fldCharType="begin"/>
      </w:r>
      <w:r w:rsidR="0021406B">
        <w:instrText xml:space="preserve"> ADDIN ZOTERO_ITEM CSL_CITATION {"citationID":"UFR6X7Pk","properties":{"formattedCitation":"Sian Webb, {\\i{}\\uc0\\u8220{}The Right Thing to Be Is a Virtuous Girl\\uc0\\u8221{}: Women in Medieval Wales}, 3 (2019).","plainCitation":"Sian Webb, “The Right Thing to Be Is a Virtuous Girl”: Women in Medieval Wales, 3 (2019).","dontUpdate":true,"noteIndex":18},"citationItems":[{"id":670,"uris":["http://zotero.org/users/local/VhgDsqkD/items/NFMNBRQG"],"itemData":{"id":670,"type":"article-journal","language":"en","source":"Zotero","title":"“The Right Thing to be is a Virtuous Girl”: Women in Medieval Wales","volume":"3","author":[{"family":"Webb","given":"Sian"}],"issued":{"date-parts":[["2019"]]}}}],"schema":"https://github.com/citation-style-language/schema/raw/master/csl-citation.json"} </w:instrText>
      </w:r>
      <w:r>
        <w:fldChar w:fldCharType="separate"/>
      </w:r>
      <w:r w:rsidRPr="00030E7F">
        <w:rPr>
          <w:rFonts w:ascii="Aptos" w:hAnsi="Aptos" w:cs="Times New Roman"/>
          <w:kern w:val="0"/>
        </w:rPr>
        <w:t xml:space="preserve">Sian Webb, </w:t>
      </w:r>
      <w:r w:rsidRPr="00030E7F">
        <w:rPr>
          <w:rFonts w:ascii="Aptos" w:hAnsi="Aptos" w:cs="Times New Roman"/>
          <w:i/>
          <w:iCs/>
          <w:kern w:val="0"/>
        </w:rPr>
        <w:t>“The Right Thing to Be Is a Virtuous Girl”: Women in Medieval Wales</w:t>
      </w:r>
      <w:r w:rsidRPr="00030E7F">
        <w:rPr>
          <w:rFonts w:ascii="Aptos" w:hAnsi="Aptos" w:cs="Times New Roman"/>
          <w:kern w:val="0"/>
        </w:rPr>
        <w:t>, 3 (2019)</w:t>
      </w:r>
      <w:r>
        <w:rPr>
          <w:rFonts w:ascii="Aptos" w:hAnsi="Aptos" w:cs="Times New Roman"/>
          <w:kern w:val="0"/>
        </w:rPr>
        <w:t>, p. 66</w:t>
      </w:r>
      <w:r w:rsidRPr="00030E7F">
        <w:rPr>
          <w:rFonts w:ascii="Aptos" w:hAnsi="Aptos" w:cs="Times New Roman"/>
          <w:kern w:val="0"/>
        </w:rPr>
        <w:t>.</w:t>
      </w:r>
      <w:r>
        <w:fldChar w:fldCharType="end"/>
      </w:r>
    </w:p>
  </w:footnote>
  <w:footnote w:id="19">
    <w:p w14:paraId="3D9A2ADC" w14:textId="10A9F0C2" w:rsidR="00A47D8F" w:rsidRDefault="00A47D8F">
      <w:pPr>
        <w:pStyle w:val="FootnoteText"/>
      </w:pPr>
      <w:r>
        <w:rPr>
          <w:rStyle w:val="FootnoteReference"/>
        </w:rPr>
        <w:footnoteRef/>
      </w:r>
      <w:r>
        <w:t xml:space="preserve"> </w:t>
      </w:r>
      <w:r>
        <w:fldChar w:fldCharType="begin"/>
      </w:r>
      <w:r w:rsidR="0021406B">
        <w:instrText xml:space="preserve"> ADDIN ZOTERO_ITEM CSL_CITATION {"citationID":"fE0mGWmS","properties":{"formattedCitation":"Sian Webb, {\\i{}\\uc0\\u8220{}The Right Thing to Be Is a Virtuous Girl\\uc0\\u8221{}: Women in Medieval Wales}, 3 (2019).","plainCitation":"Sian Webb, “The Right Thing to Be Is a Virtuous Girl”: Women in Medieval Wales, 3 (2019).","dontUpdate":true,"noteIndex":19},"citationItems":[{"id":670,"uris":["http://zotero.org/users/local/VhgDsqkD/items/NFMNBRQG"],"itemData":{"id":670,"type":"article-journal","language":"en","source":"Zotero","title":"“The Right Thing to be is a Virtuous Girl”: Women in Medieval Wales","volume":"3","author":[{"family":"Webb","given":"Sian"}],"issued":{"date-parts":[["2019"]]}}}],"schema":"https://github.com/citation-style-language/schema/raw/master/csl-citation.json"} </w:instrText>
      </w:r>
      <w:r>
        <w:fldChar w:fldCharType="separate"/>
      </w:r>
      <w:r w:rsidRPr="00A47D8F">
        <w:rPr>
          <w:rFonts w:ascii="Aptos" w:hAnsi="Aptos" w:cs="Times New Roman"/>
          <w:kern w:val="0"/>
        </w:rPr>
        <w:t xml:space="preserve">Sian Webb, </w:t>
      </w:r>
      <w:r w:rsidRPr="00A47D8F">
        <w:rPr>
          <w:rFonts w:ascii="Aptos" w:hAnsi="Aptos" w:cs="Times New Roman"/>
          <w:i/>
          <w:iCs/>
          <w:kern w:val="0"/>
        </w:rPr>
        <w:t>“The Right Thing to Be Is a Virtuous Girl”: Women in Medieval Wales</w:t>
      </w:r>
      <w:r w:rsidRPr="00A47D8F">
        <w:rPr>
          <w:rFonts w:ascii="Aptos" w:hAnsi="Aptos" w:cs="Times New Roman"/>
          <w:kern w:val="0"/>
        </w:rPr>
        <w:t>, 3 (2019)</w:t>
      </w:r>
      <w:r>
        <w:rPr>
          <w:rFonts w:ascii="Aptos" w:hAnsi="Aptos" w:cs="Times New Roman"/>
          <w:kern w:val="0"/>
        </w:rPr>
        <w:t>, pp. 60-62</w:t>
      </w:r>
      <w:r w:rsidRPr="00A47D8F">
        <w:rPr>
          <w:rFonts w:ascii="Aptos" w:hAnsi="Aptos" w:cs="Times New Roman"/>
          <w:kern w:val="0"/>
        </w:rPr>
        <w:t>.</w:t>
      </w:r>
      <w:r>
        <w:fldChar w:fldCharType="end"/>
      </w:r>
    </w:p>
  </w:footnote>
  <w:footnote w:id="20">
    <w:p w14:paraId="1B47A2B1" w14:textId="7A2BED9F" w:rsidR="000C544F" w:rsidRDefault="000C544F">
      <w:pPr>
        <w:pStyle w:val="FootnoteText"/>
      </w:pPr>
      <w:r>
        <w:rPr>
          <w:rStyle w:val="FootnoteReference"/>
        </w:rPr>
        <w:footnoteRef/>
      </w:r>
      <w:r>
        <w:t xml:space="preserve"> </w:t>
      </w:r>
      <w:r>
        <w:fldChar w:fldCharType="begin"/>
      </w:r>
      <w:r w:rsidR="0021406B">
        <w:instrText xml:space="preserve"> ADDIN ZOTERO_ITEM CSL_CITATION {"citationID":"EmSTGF7b","properties":{"formattedCitation":"Jessica Hemming, \\uc0\\u8216{}Reflections on Rhiannon and the Horse Episodes in \\uc0\\u8220{}Pwyll\\uc0\\u8221{}\\uc0\\u8217{}, {\\i{}Western Folklore}, 57.1 (1998), pp. 19\\uc0\\u8211{}40, doi:10.2307/1500247.","plainCitation":"Jessica Hemming, ‘Reflections on Rhiannon and the Horse Episodes in “Pwyll”’, Western Folklore, 57.1 (1998), pp. 19–40, doi:10.2307/1500247.","dontUpdate":true,"noteIndex":20},"citationItems":[{"id":156,"uris":["http://zotero.org/users/local/VhgDsqkD/items/KK8EH36D"],"itemData":{"id":156,"type":"article-journal","container-title":"Western Folklore","DOI":"10.2307/1500247","ISSN":"0043-373X","issue":"1","note":"publisher: Western States Folklore Society","page":"19-40","source":"JSTOR","title":"Reflections on Rhiannon and the Horse Episodes in \"Pwyll\"","volume":"57","author":[{"family":"Hemming","given":"Jessica"}],"issued":{"date-parts":[["1998"]]}}}],"schema":"https://github.com/citation-style-language/schema/raw/master/csl-citation.json"} </w:instrText>
      </w:r>
      <w:r>
        <w:fldChar w:fldCharType="separate"/>
      </w:r>
      <w:r w:rsidRPr="000C544F">
        <w:rPr>
          <w:rFonts w:ascii="Aptos" w:hAnsi="Aptos" w:cs="Times New Roman"/>
          <w:kern w:val="0"/>
        </w:rPr>
        <w:t xml:space="preserve">Jessica Hemming, ‘Reflections on Rhiannon and the Horse Episodes in “Pwyll”’, </w:t>
      </w:r>
      <w:r w:rsidRPr="000C544F">
        <w:rPr>
          <w:rFonts w:ascii="Aptos" w:hAnsi="Aptos" w:cs="Times New Roman"/>
          <w:i/>
          <w:iCs/>
          <w:kern w:val="0"/>
        </w:rPr>
        <w:t>Western Folklore</w:t>
      </w:r>
      <w:r w:rsidRPr="000C544F">
        <w:rPr>
          <w:rFonts w:ascii="Aptos" w:hAnsi="Aptos" w:cs="Times New Roman"/>
          <w:kern w:val="0"/>
        </w:rPr>
        <w:t>, 57.1 (1998), pp. 19–40, doi:10.2307/1500247</w:t>
      </w:r>
      <w:r>
        <w:rPr>
          <w:rFonts w:ascii="Aptos" w:hAnsi="Aptos" w:cs="Times New Roman"/>
          <w:kern w:val="0"/>
        </w:rPr>
        <w:t>, pp. 26-29</w:t>
      </w:r>
      <w:r w:rsidRPr="000C544F">
        <w:rPr>
          <w:rFonts w:ascii="Aptos" w:hAnsi="Aptos" w:cs="Times New Roman"/>
          <w:kern w:val="0"/>
        </w:rPr>
        <w:t>.</w:t>
      </w:r>
      <w:r>
        <w:fldChar w:fldCharType="end"/>
      </w:r>
    </w:p>
  </w:footnote>
  <w:footnote w:id="21">
    <w:p w14:paraId="4309189C" w14:textId="5551A289" w:rsidR="00A87189" w:rsidRDefault="00A87189">
      <w:pPr>
        <w:pStyle w:val="FootnoteText"/>
      </w:pPr>
      <w:r>
        <w:rPr>
          <w:rStyle w:val="FootnoteReference"/>
        </w:rPr>
        <w:footnoteRef/>
      </w:r>
      <w:r>
        <w:t xml:space="preserve"> </w:t>
      </w:r>
      <w:r>
        <w:fldChar w:fldCharType="begin"/>
      </w:r>
      <w:r w:rsidR="0021406B">
        <w:instrText xml:space="preserve"> ADDIN ZOTERO_ITEM CSL_CITATION {"citationID":"Zw6crxR4","properties":{"formattedCitation":"Webb, {\\i{}\\uc0\\u8220{}The Right Thing to Be Is a Virtuous Girl\\uc0\\u8221{}: Women in Medieval Wales}.","plainCitation":"Webb, “The Right Thing to Be Is a Virtuous Girl”: Women in Medieval Wales.","dontUpdate":true,"noteIndex":21},"citationItems":[{"id":670,"uris":["http://zotero.org/users/local/VhgDsqkD/items/NFMNBRQG"],"itemData":{"id":670,"type":"article-journal","language":"en","source":"Zotero","title":"“The Right Thing to be is a Virtuous Girl”: Women in Medieval Wales","volume":"3","author":[{"family":"Webb","given":"Sian"}],"issued":{"date-parts":[["2019"]]}}}],"schema":"https://github.com/citation-style-language/schema/raw/master/csl-citation.json"} </w:instrText>
      </w:r>
      <w:r>
        <w:fldChar w:fldCharType="separate"/>
      </w:r>
      <w:r w:rsidRPr="00A87189">
        <w:rPr>
          <w:rFonts w:ascii="Aptos" w:hAnsi="Aptos" w:cs="Times New Roman"/>
          <w:kern w:val="0"/>
        </w:rPr>
        <w:t xml:space="preserve">Webb, </w:t>
      </w:r>
      <w:r w:rsidRPr="00A87189">
        <w:rPr>
          <w:rFonts w:ascii="Aptos" w:hAnsi="Aptos" w:cs="Times New Roman"/>
          <w:i/>
          <w:iCs/>
          <w:kern w:val="0"/>
        </w:rPr>
        <w:t>“The Right Thing to Be Is a Virtuous Girl”: Women in Medieval Wales</w:t>
      </w:r>
      <w:r>
        <w:rPr>
          <w:rFonts w:ascii="Aptos" w:hAnsi="Aptos" w:cs="Times New Roman"/>
          <w:i/>
          <w:iCs/>
          <w:kern w:val="0"/>
        </w:rPr>
        <w:t>, pp. 64-65</w:t>
      </w:r>
      <w:r w:rsidRPr="00A87189">
        <w:rPr>
          <w:rFonts w:ascii="Aptos" w:hAnsi="Aptos" w:cs="Times New Roman"/>
          <w:kern w:val="0"/>
        </w:rPr>
        <w:t>.</w:t>
      </w:r>
      <w:r>
        <w:fldChar w:fldCharType="end"/>
      </w:r>
    </w:p>
  </w:footnote>
  <w:footnote w:id="22">
    <w:p w14:paraId="488F3637" w14:textId="311FDDCA" w:rsidR="005722EE" w:rsidRPr="0009641A" w:rsidRDefault="005722EE">
      <w:pPr>
        <w:pStyle w:val="FootnoteText"/>
      </w:pPr>
      <w:r w:rsidRPr="0009641A">
        <w:rPr>
          <w:rStyle w:val="FootnoteReference"/>
        </w:rPr>
        <w:footnoteRef/>
      </w:r>
      <w:r w:rsidRPr="0009641A">
        <w:t xml:space="preserve"> </w:t>
      </w:r>
      <w:r w:rsidRPr="0009641A">
        <w:fldChar w:fldCharType="begin"/>
      </w:r>
      <w:r w:rsidR="0021406B" w:rsidRPr="0009641A">
        <w:instrText xml:space="preserve"> ADDIN ZOTERO_ITEM CSL_CITATION {"citationID":"6QEHsml4","properties":{"formattedCitation":"Herbert-Davies, {\\i{}The Cultural Representation of the Horse in Late Medieval England}.","plainCitation":"Herbert-Davies, The Cultural Representation of the Horse in Late Medieval England.","dontUpdate":true,"noteIndex":22},"citationItems":[{"id":682,"uris":["http://zotero.org/users/local/VhgDsqkD/items/CLX6Y6GK"],"itemData":{"id":682,"type":"article-journal","abstract":"Throughout the medieval period the equine played a multifunctional role, acting as a form of transport, an agricultural animal and as means of conveying goods. It was a significant attribute in warfare, providing the man-at-arms with vital","source":"www.academia.edu","title":"The Cultural Representation of the Horse in Late Medieval England: Status and Gender","title-short":"The Cultural Representation of the Horse in Late Medieval England","URL":"https://www.academia.edu/36987391/The_Cultural_Representation_of_the_Horse_in_Late_Medieval_England_Status_and_Gender","author":[{"family":"Herbert-Davies","given":"Emma"}],"accessed":{"date-parts":[["2025",12,24]]}}}],"schema":"https://github.com/citation-style-language/schema/raw/master/csl-citation.json"} </w:instrText>
      </w:r>
      <w:r w:rsidRPr="0009641A">
        <w:fldChar w:fldCharType="separate"/>
      </w:r>
      <w:r w:rsidRPr="0009641A">
        <w:rPr>
          <w:rFonts w:ascii="Aptos" w:hAnsi="Aptos" w:cs="Times New Roman"/>
          <w:kern w:val="0"/>
        </w:rPr>
        <w:t>Herbert-Davies, The Cultural Representation of the Horse in Late Medieval England, pp. 13-16.</w:t>
      </w:r>
      <w:r w:rsidRPr="0009641A">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43566"/>
    <w:multiLevelType w:val="hybridMultilevel"/>
    <w:tmpl w:val="4EF47CAC"/>
    <w:lvl w:ilvl="0" w:tplc="9DD47F1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FE297F"/>
    <w:multiLevelType w:val="hybridMultilevel"/>
    <w:tmpl w:val="C4DCDD20"/>
    <w:lvl w:ilvl="0" w:tplc="1E48F08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A93647"/>
    <w:multiLevelType w:val="hybridMultilevel"/>
    <w:tmpl w:val="15721C0A"/>
    <w:lvl w:ilvl="0" w:tplc="51F69B6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4311689">
    <w:abstractNumId w:val="0"/>
  </w:num>
  <w:num w:numId="2" w16cid:durableId="1050685443">
    <w:abstractNumId w:val="2"/>
  </w:num>
  <w:num w:numId="3" w16cid:durableId="5872268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664"/>
    <w:rsid w:val="00025C87"/>
    <w:rsid w:val="00030E7F"/>
    <w:rsid w:val="00033B59"/>
    <w:rsid w:val="00071664"/>
    <w:rsid w:val="00075AD3"/>
    <w:rsid w:val="00094193"/>
    <w:rsid w:val="00095B65"/>
    <w:rsid w:val="0009641A"/>
    <w:rsid w:val="000C544F"/>
    <w:rsid w:val="000D1C0C"/>
    <w:rsid w:val="00103832"/>
    <w:rsid w:val="00122A09"/>
    <w:rsid w:val="00184D6B"/>
    <w:rsid w:val="00196C5F"/>
    <w:rsid w:val="00204662"/>
    <w:rsid w:val="0021406B"/>
    <w:rsid w:val="00233797"/>
    <w:rsid w:val="00244388"/>
    <w:rsid w:val="002734D9"/>
    <w:rsid w:val="00277E1A"/>
    <w:rsid w:val="00277E26"/>
    <w:rsid w:val="002E304D"/>
    <w:rsid w:val="00301DF7"/>
    <w:rsid w:val="00383CD2"/>
    <w:rsid w:val="003F5A8C"/>
    <w:rsid w:val="004001AA"/>
    <w:rsid w:val="00411E51"/>
    <w:rsid w:val="00412A4F"/>
    <w:rsid w:val="004532BB"/>
    <w:rsid w:val="004C3F51"/>
    <w:rsid w:val="005469F3"/>
    <w:rsid w:val="00557ECC"/>
    <w:rsid w:val="005722EE"/>
    <w:rsid w:val="0060666C"/>
    <w:rsid w:val="00620A76"/>
    <w:rsid w:val="00644586"/>
    <w:rsid w:val="006607AD"/>
    <w:rsid w:val="006C09C3"/>
    <w:rsid w:val="006D169A"/>
    <w:rsid w:val="006E07D8"/>
    <w:rsid w:val="006E4971"/>
    <w:rsid w:val="0072714C"/>
    <w:rsid w:val="00745FD1"/>
    <w:rsid w:val="00760096"/>
    <w:rsid w:val="0079563B"/>
    <w:rsid w:val="007A00EC"/>
    <w:rsid w:val="007B386E"/>
    <w:rsid w:val="00943915"/>
    <w:rsid w:val="00957602"/>
    <w:rsid w:val="00997E02"/>
    <w:rsid w:val="009A5F8E"/>
    <w:rsid w:val="009D369D"/>
    <w:rsid w:val="009F2BD8"/>
    <w:rsid w:val="00A04E33"/>
    <w:rsid w:val="00A47D8F"/>
    <w:rsid w:val="00A87189"/>
    <w:rsid w:val="00A965DB"/>
    <w:rsid w:val="00AA6163"/>
    <w:rsid w:val="00AB33E4"/>
    <w:rsid w:val="00B362A1"/>
    <w:rsid w:val="00B5108E"/>
    <w:rsid w:val="00BB3E78"/>
    <w:rsid w:val="00BD25BB"/>
    <w:rsid w:val="00BF7B26"/>
    <w:rsid w:val="00C0715B"/>
    <w:rsid w:val="00C23466"/>
    <w:rsid w:val="00C31C7F"/>
    <w:rsid w:val="00CA7152"/>
    <w:rsid w:val="00CD36FF"/>
    <w:rsid w:val="00CD5116"/>
    <w:rsid w:val="00D35709"/>
    <w:rsid w:val="00D675F2"/>
    <w:rsid w:val="00DE57E3"/>
    <w:rsid w:val="00E84355"/>
    <w:rsid w:val="00F1508F"/>
    <w:rsid w:val="00F248BC"/>
    <w:rsid w:val="00F57A61"/>
    <w:rsid w:val="00F75181"/>
    <w:rsid w:val="00F95FEB"/>
    <w:rsid w:val="00FC4348"/>
    <w:rsid w:val="00FE0B72"/>
    <w:rsid w:val="00FF5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7C42DF"/>
  <w15:chartTrackingRefBased/>
  <w15:docId w15:val="{ABB00A16-EB6E-4B39-BE39-965B716D3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16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16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16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16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16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16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16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16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16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16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16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16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16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16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16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16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16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1664"/>
    <w:rPr>
      <w:rFonts w:eastAsiaTheme="majorEastAsia" w:cstheme="majorBidi"/>
      <w:color w:val="272727" w:themeColor="text1" w:themeTint="D8"/>
    </w:rPr>
  </w:style>
  <w:style w:type="paragraph" w:styleId="Title">
    <w:name w:val="Title"/>
    <w:basedOn w:val="Normal"/>
    <w:next w:val="Normal"/>
    <w:link w:val="TitleChar"/>
    <w:uiPriority w:val="10"/>
    <w:qFormat/>
    <w:rsid w:val="000716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16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16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16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1664"/>
    <w:pPr>
      <w:spacing w:before="160"/>
      <w:jc w:val="center"/>
    </w:pPr>
    <w:rPr>
      <w:i/>
      <w:iCs/>
      <w:color w:val="404040" w:themeColor="text1" w:themeTint="BF"/>
    </w:rPr>
  </w:style>
  <w:style w:type="character" w:customStyle="1" w:styleId="QuoteChar">
    <w:name w:val="Quote Char"/>
    <w:basedOn w:val="DefaultParagraphFont"/>
    <w:link w:val="Quote"/>
    <w:uiPriority w:val="29"/>
    <w:rsid w:val="00071664"/>
    <w:rPr>
      <w:i/>
      <w:iCs/>
      <w:color w:val="404040" w:themeColor="text1" w:themeTint="BF"/>
    </w:rPr>
  </w:style>
  <w:style w:type="paragraph" w:styleId="ListParagraph">
    <w:name w:val="List Paragraph"/>
    <w:basedOn w:val="Normal"/>
    <w:uiPriority w:val="34"/>
    <w:qFormat/>
    <w:rsid w:val="00071664"/>
    <w:pPr>
      <w:ind w:left="720"/>
      <w:contextualSpacing/>
    </w:pPr>
  </w:style>
  <w:style w:type="character" w:styleId="IntenseEmphasis">
    <w:name w:val="Intense Emphasis"/>
    <w:basedOn w:val="DefaultParagraphFont"/>
    <w:uiPriority w:val="21"/>
    <w:qFormat/>
    <w:rsid w:val="00071664"/>
    <w:rPr>
      <w:i/>
      <w:iCs/>
      <w:color w:val="0F4761" w:themeColor="accent1" w:themeShade="BF"/>
    </w:rPr>
  </w:style>
  <w:style w:type="paragraph" w:styleId="IntenseQuote">
    <w:name w:val="Intense Quote"/>
    <w:basedOn w:val="Normal"/>
    <w:next w:val="Normal"/>
    <w:link w:val="IntenseQuoteChar"/>
    <w:uiPriority w:val="30"/>
    <w:qFormat/>
    <w:rsid w:val="000716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1664"/>
    <w:rPr>
      <w:i/>
      <w:iCs/>
      <w:color w:val="0F4761" w:themeColor="accent1" w:themeShade="BF"/>
    </w:rPr>
  </w:style>
  <w:style w:type="character" w:styleId="IntenseReference">
    <w:name w:val="Intense Reference"/>
    <w:basedOn w:val="DefaultParagraphFont"/>
    <w:uiPriority w:val="32"/>
    <w:qFormat/>
    <w:rsid w:val="00071664"/>
    <w:rPr>
      <w:b/>
      <w:bCs/>
      <w:smallCaps/>
      <w:color w:val="0F4761" w:themeColor="accent1" w:themeShade="BF"/>
      <w:spacing w:val="5"/>
    </w:rPr>
  </w:style>
  <w:style w:type="character" w:styleId="CommentReference">
    <w:name w:val="annotation reference"/>
    <w:basedOn w:val="DefaultParagraphFont"/>
    <w:uiPriority w:val="99"/>
    <w:semiHidden/>
    <w:unhideWhenUsed/>
    <w:rsid w:val="00071664"/>
    <w:rPr>
      <w:sz w:val="16"/>
      <w:szCs w:val="16"/>
    </w:rPr>
  </w:style>
  <w:style w:type="paragraph" w:styleId="CommentText">
    <w:name w:val="annotation text"/>
    <w:basedOn w:val="Normal"/>
    <w:link w:val="CommentTextChar"/>
    <w:uiPriority w:val="99"/>
    <w:unhideWhenUsed/>
    <w:rsid w:val="00071664"/>
    <w:pPr>
      <w:spacing w:line="240" w:lineRule="auto"/>
    </w:pPr>
    <w:rPr>
      <w:sz w:val="20"/>
      <w:szCs w:val="20"/>
    </w:rPr>
  </w:style>
  <w:style w:type="character" w:customStyle="1" w:styleId="CommentTextChar">
    <w:name w:val="Comment Text Char"/>
    <w:basedOn w:val="DefaultParagraphFont"/>
    <w:link w:val="CommentText"/>
    <w:uiPriority w:val="99"/>
    <w:rsid w:val="00071664"/>
    <w:rPr>
      <w:sz w:val="20"/>
      <w:szCs w:val="20"/>
    </w:rPr>
  </w:style>
  <w:style w:type="paragraph" w:styleId="CommentSubject">
    <w:name w:val="annotation subject"/>
    <w:basedOn w:val="CommentText"/>
    <w:next w:val="CommentText"/>
    <w:link w:val="CommentSubjectChar"/>
    <w:uiPriority w:val="99"/>
    <w:semiHidden/>
    <w:unhideWhenUsed/>
    <w:rsid w:val="00071664"/>
    <w:rPr>
      <w:b/>
      <w:bCs/>
    </w:rPr>
  </w:style>
  <w:style w:type="character" w:customStyle="1" w:styleId="CommentSubjectChar">
    <w:name w:val="Comment Subject Char"/>
    <w:basedOn w:val="CommentTextChar"/>
    <w:link w:val="CommentSubject"/>
    <w:uiPriority w:val="99"/>
    <w:semiHidden/>
    <w:rsid w:val="00071664"/>
    <w:rPr>
      <w:b/>
      <w:bCs/>
      <w:sz w:val="20"/>
      <w:szCs w:val="20"/>
    </w:rPr>
  </w:style>
  <w:style w:type="paragraph" w:styleId="FootnoteText">
    <w:name w:val="footnote text"/>
    <w:basedOn w:val="Normal"/>
    <w:link w:val="FootnoteTextChar"/>
    <w:uiPriority w:val="99"/>
    <w:semiHidden/>
    <w:unhideWhenUsed/>
    <w:rsid w:val="00A47D8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47D8F"/>
    <w:rPr>
      <w:sz w:val="20"/>
      <w:szCs w:val="20"/>
    </w:rPr>
  </w:style>
  <w:style w:type="character" w:styleId="FootnoteReference">
    <w:name w:val="footnote reference"/>
    <w:basedOn w:val="DefaultParagraphFont"/>
    <w:uiPriority w:val="99"/>
    <w:semiHidden/>
    <w:unhideWhenUsed/>
    <w:rsid w:val="00A47D8F"/>
    <w:rPr>
      <w:vertAlign w:val="superscript"/>
    </w:rPr>
  </w:style>
  <w:style w:type="character" w:styleId="Hyperlink">
    <w:name w:val="Hyperlink"/>
    <w:basedOn w:val="DefaultParagraphFont"/>
    <w:uiPriority w:val="99"/>
    <w:unhideWhenUsed/>
    <w:rsid w:val="00411E51"/>
    <w:rPr>
      <w:color w:val="467886" w:themeColor="hyperlink"/>
      <w:u w:val="single"/>
    </w:rPr>
  </w:style>
  <w:style w:type="character" w:styleId="UnresolvedMention">
    <w:name w:val="Unresolved Mention"/>
    <w:basedOn w:val="DefaultParagraphFont"/>
    <w:uiPriority w:val="99"/>
    <w:semiHidden/>
    <w:unhideWhenUsed/>
    <w:rsid w:val="00411E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43631333" TargetMode="External"/><Relationship Id="rId3" Type="http://schemas.openxmlformats.org/officeDocument/2006/relationships/settings" Target="settings.xml"/><Relationship Id="rId7" Type="http://schemas.openxmlformats.org/officeDocument/2006/relationships/hyperlink" Target="http://www.jstor.org/stable/4330834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oi.org/10.2307/1500247" TargetMode="External"/><Relationship Id="rId4" Type="http://schemas.openxmlformats.org/officeDocument/2006/relationships/webSettings" Target="webSettings.xml"/><Relationship Id="rId9" Type="http://schemas.openxmlformats.org/officeDocument/2006/relationships/hyperlink" Target="http://www.jstor.org/stable/205572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522</TotalTime>
  <Pages>5</Pages>
  <Words>1723</Words>
  <Characters>8737</Characters>
  <Application>Microsoft Office Word</Application>
  <DocSecurity>0</DocSecurity>
  <Lines>124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 Webb</dc:creator>
  <cp:keywords/>
  <dc:description/>
  <cp:lastModifiedBy>Kira Webb</cp:lastModifiedBy>
  <cp:revision>40</cp:revision>
  <dcterms:created xsi:type="dcterms:W3CDTF">2025-12-14T20:17:00Z</dcterms:created>
  <dcterms:modified xsi:type="dcterms:W3CDTF">2025-12-24T23:52:00Z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id="eCLMDqpQ"/&gt;&lt;style id="http://www.zotero.org/styles/modern-humanities-research-association-notes" hasBibliography="1" bibliographyStyleHasBeenSet="0"/&gt;&lt;prefs&gt;&lt;pref name="fieldType" value="Field"/&gt;</vt:lpwstr>
  </property>
  <property fmtid="{D5CDD505-2E9C-101B-9397-08002B2CF9AE}" pid="3" name="ZOTERO_PREF_2">
    <vt:lpwstr>&lt;pref name="noteType" value="1"/&gt;&lt;/prefs&gt;&lt;/data&gt;</vt:lpwstr>
  </property>
</Properties>
</file>