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162DAF" w14:textId="77777777" w:rsidR="004A4E53" w:rsidRDefault="004A4E53" w:rsidP="004A4E53">
      <w:pPr>
        <w:rPr>
          <w:rFonts w:ascii="Calibri" w:hAnsi="Calibri"/>
          <w:b/>
          <w:i/>
          <w:szCs w:val="24"/>
        </w:rPr>
      </w:pPr>
      <w:r>
        <w:rPr>
          <w:rFonts w:ascii="Calibri" w:hAnsi="Calibri"/>
          <w:b/>
          <w:i/>
          <w:szCs w:val="24"/>
        </w:rPr>
        <w:t>Critically explore how the current political landscape between Europe and the UK is affecting Wales’s devolved Government. Students should refer to issues within the fluid ‘Brexit’ negotiations currently being reported via a wide range of media sources.</w:t>
      </w:r>
    </w:p>
    <w:p w14:paraId="1AE34DEC" w14:textId="0DBADDBB" w:rsidR="004A4E53" w:rsidRDefault="004A4E53" w:rsidP="004A4E53">
      <w:pPr>
        <w:rPr>
          <w:rFonts w:ascii="Calibri" w:hAnsi="Calibri"/>
          <w:szCs w:val="24"/>
        </w:rPr>
      </w:pPr>
      <w:r>
        <w:rPr>
          <w:rFonts w:ascii="Calibri" w:hAnsi="Calibri"/>
          <w:szCs w:val="24"/>
        </w:rPr>
        <w:t xml:space="preserve">The United Kingdom although united in name is a complex </w:t>
      </w:r>
      <w:r w:rsidR="00152B1A">
        <w:rPr>
          <w:rFonts w:ascii="Calibri" w:hAnsi="Calibri"/>
          <w:szCs w:val="24"/>
        </w:rPr>
        <w:t>nation</w:t>
      </w:r>
      <w:r>
        <w:rPr>
          <w:rFonts w:ascii="Calibri" w:hAnsi="Calibri"/>
          <w:szCs w:val="24"/>
        </w:rPr>
        <w:t xml:space="preserve"> made up of four </w:t>
      </w:r>
      <w:r w:rsidR="00152B1A">
        <w:rPr>
          <w:rFonts w:ascii="Calibri" w:hAnsi="Calibri"/>
          <w:szCs w:val="24"/>
        </w:rPr>
        <w:t>countries</w:t>
      </w:r>
      <w:r>
        <w:rPr>
          <w:rFonts w:ascii="Calibri" w:hAnsi="Calibri"/>
          <w:szCs w:val="24"/>
        </w:rPr>
        <w:t>, each of which has a strong sense of national identity. The Labour Government of 1997 implemented a model of devolution bestowing differing degrees of devolved powers to Wales, Scotland and Northern Ireland; arguably responding to the demands of the specific nationalities for independence (</w:t>
      </w:r>
      <w:proofErr w:type="spellStart"/>
      <w:r>
        <w:rPr>
          <w:rFonts w:ascii="Calibri" w:hAnsi="Calibri"/>
          <w:szCs w:val="24"/>
        </w:rPr>
        <w:t>Guibernau</w:t>
      </w:r>
      <w:proofErr w:type="spellEnd"/>
      <w:r>
        <w:rPr>
          <w:rFonts w:ascii="Calibri" w:hAnsi="Calibri"/>
          <w:szCs w:val="24"/>
        </w:rPr>
        <w:t>, 2010). Wales had previously rejected devolved powers in a referendum of 1979 even though campaigns for Welsh home rule can be traced as far back as 1886 (Welsh Assembly, 2017). In 2011, law making powers devolved to the Welsh Government were extended, and it can be argued that devolution has strengthened each of these countries national identities which become more significant than feelings of Britishness (</w:t>
      </w:r>
      <w:proofErr w:type="spellStart"/>
      <w:r>
        <w:rPr>
          <w:rFonts w:ascii="Calibri" w:hAnsi="Calibri"/>
          <w:szCs w:val="24"/>
        </w:rPr>
        <w:t>Diffley</w:t>
      </w:r>
      <w:proofErr w:type="spellEnd"/>
      <w:r>
        <w:rPr>
          <w:rFonts w:ascii="Calibri" w:hAnsi="Calibri"/>
          <w:szCs w:val="24"/>
        </w:rPr>
        <w:t>, 2012). The referendum of 23</w:t>
      </w:r>
      <w:r w:rsidRPr="00DF01C0">
        <w:rPr>
          <w:rFonts w:ascii="Calibri" w:hAnsi="Calibri"/>
          <w:szCs w:val="24"/>
          <w:vertAlign w:val="superscript"/>
        </w:rPr>
        <w:t>rd</w:t>
      </w:r>
      <w:r>
        <w:rPr>
          <w:rFonts w:ascii="Calibri" w:hAnsi="Calibri"/>
          <w:szCs w:val="24"/>
        </w:rPr>
        <w:t xml:space="preserve"> June 2016 which resulted in a 52% to 48% (percentages rounded) vote in favour of leaving the EU on a 72.2% voter turnout (Electoral Commission, 2017) however, showed marked differences across the devolved nations in the response to the question of leaving the EU with Wales being the only devolved nation to vote leave, and at a rate slightly higher than the overall UK vote; only 5 of the 22 counties of Wales voted remain (Electoral Commission, 2017).</w:t>
      </w:r>
    </w:p>
    <w:p w14:paraId="7C929499" w14:textId="77777777" w:rsidR="004A4E53" w:rsidRDefault="004A4E53" w:rsidP="004A4E53">
      <w:pPr>
        <w:rPr>
          <w:rFonts w:ascii="Calibri" w:hAnsi="Calibri"/>
          <w:szCs w:val="24"/>
        </w:rPr>
      </w:pPr>
      <w:r>
        <w:rPr>
          <w:rFonts w:ascii="Calibri" w:hAnsi="Calibri"/>
          <w:szCs w:val="24"/>
        </w:rPr>
        <w:t>The decision by the then Prime Minister David Cameron to call for a referendum as part of the Conservative Party manifesto in 2013, fuelled by a confidence that the result would be to vote to remain (</w:t>
      </w:r>
      <w:proofErr w:type="spellStart"/>
      <w:r>
        <w:rPr>
          <w:rFonts w:ascii="Calibri" w:hAnsi="Calibri"/>
          <w:szCs w:val="24"/>
        </w:rPr>
        <w:t>Iyengar</w:t>
      </w:r>
      <w:proofErr w:type="spellEnd"/>
      <w:r>
        <w:rPr>
          <w:rFonts w:ascii="Calibri" w:hAnsi="Calibri"/>
          <w:szCs w:val="24"/>
        </w:rPr>
        <w:t xml:space="preserve">, 2016) has heralded an historically turbulent and uncertain time for the United Kingdom. A referendum called on principle, intending to unite a nation and allay any smouldering concerns about immigration, and finally lay the EU issue to rest resulted instead in the ignition of public debate and hostility towards the position of the ruling elite which endorsed the remain campaign (Grice, 2016). Arguable, rather than uniting the UK, the referendum has caused greater division between the nations (Grice, 2016; Dorling 2016). </w:t>
      </w:r>
    </w:p>
    <w:p w14:paraId="1E5BA726" w14:textId="49FEBC50" w:rsidR="004A4E53" w:rsidRDefault="004A4E53" w:rsidP="004A4E53">
      <w:pPr>
        <w:rPr>
          <w:rFonts w:ascii="Calibri" w:hAnsi="Calibri"/>
          <w:szCs w:val="24"/>
        </w:rPr>
      </w:pPr>
      <w:r>
        <w:rPr>
          <w:rFonts w:ascii="Calibri" w:hAnsi="Calibri"/>
          <w:szCs w:val="24"/>
        </w:rPr>
        <w:t>Given the importance of the issue, it is worthwhile considering the possible reasons for Cameron’s decision as to the necessity for the referendum and in the Government’s confidence of the electorate’s support for a remain vote, and the failure of academics and pollsters to predict the result. It is also worthwhile examining why Wales should vote leave when it is so dependent on financial aid from the EU (Kay</w:t>
      </w:r>
      <w:r w:rsidR="00152B1A">
        <w:rPr>
          <w:rFonts w:ascii="Calibri" w:hAnsi="Calibri"/>
          <w:szCs w:val="24"/>
        </w:rPr>
        <w:t>,</w:t>
      </w:r>
      <w:r>
        <w:rPr>
          <w:rFonts w:ascii="Calibri" w:hAnsi="Calibri"/>
          <w:szCs w:val="24"/>
        </w:rPr>
        <w:t xml:space="preserve"> 2016). Prior to promising a referendum, Cameron’s government faced a number of pressing issues; not least </w:t>
      </w:r>
      <w:r w:rsidR="00152B1A">
        <w:rPr>
          <w:rFonts w:ascii="Calibri" w:hAnsi="Calibri"/>
          <w:szCs w:val="24"/>
        </w:rPr>
        <w:t xml:space="preserve">due to </w:t>
      </w:r>
      <w:r>
        <w:rPr>
          <w:rFonts w:ascii="Calibri" w:hAnsi="Calibri"/>
          <w:szCs w:val="24"/>
        </w:rPr>
        <w:t>the legacy of the earlier Labour Government’s decision under Tony Blair to allow unfettered access to the UK by citizens of the 10 EU accession states of eastern Europe which joined in 2004 (</w:t>
      </w:r>
      <w:proofErr w:type="spellStart"/>
      <w:r>
        <w:rPr>
          <w:rFonts w:ascii="Calibri" w:hAnsi="Calibri"/>
          <w:szCs w:val="24"/>
        </w:rPr>
        <w:t>Consterdine</w:t>
      </w:r>
      <w:proofErr w:type="spellEnd"/>
      <w:r>
        <w:rPr>
          <w:rFonts w:ascii="Calibri" w:hAnsi="Calibri"/>
          <w:szCs w:val="24"/>
        </w:rPr>
        <w:t xml:space="preserve">, 2016).  Becker et al (2016) suggests that there is causal link between increased immigration due to the Blair government’s policy decision, which resulted in inward migration of 129,000 people instead of the 5,000 to 13,000 estimated by the Government beforehand, and increased anti-European sentiment which was reflected </w:t>
      </w:r>
      <w:r w:rsidR="00152B1A">
        <w:rPr>
          <w:rFonts w:ascii="Calibri" w:hAnsi="Calibri"/>
          <w:szCs w:val="24"/>
        </w:rPr>
        <w:t>in growth of</w:t>
      </w:r>
      <w:r>
        <w:rPr>
          <w:rFonts w:ascii="Calibri" w:hAnsi="Calibri"/>
          <w:szCs w:val="24"/>
        </w:rPr>
        <w:t xml:space="preserve"> support for UKIP (Becker, 2016). Even in those areas which were not overly exposed to incoming migrants, and in those which have high exposure to the EU, for example because of receipt of farming subsidies or structural funding, both of which applies to Wales, concerns over immigration seems to have trumped any positive aspects of the EU membership argument (Becker et al, 2016). However, some commentators have argued that focusing on the issue of immigration to explain the referendum result simply reflects the underlying racism and imperialism that pervades British society</w:t>
      </w:r>
      <w:r w:rsidR="00152B1A">
        <w:rPr>
          <w:rFonts w:ascii="Calibri" w:hAnsi="Calibri"/>
          <w:szCs w:val="24"/>
        </w:rPr>
        <w:t>,</w:t>
      </w:r>
      <w:r>
        <w:rPr>
          <w:rFonts w:ascii="Calibri" w:hAnsi="Calibri"/>
          <w:szCs w:val="24"/>
        </w:rPr>
        <w:t xml:space="preserve"> and the focus on the presence of racial minorities and immigrants or “internal others” (</w:t>
      </w:r>
      <w:r w:rsidR="00152B1A">
        <w:rPr>
          <w:rFonts w:ascii="Calibri" w:hAnsi="Calibri"/>
          <w:szCs w:val="24"/>
        </w:rPr>
        <w:t>Bright</w:t>
      </w:r>
      <w:r>
        <w:rPr>
          <w:rFonts w:ascii="Calibri" w:hAnsi="Calibri"/>
          <w:szCs w:val="24"/>
        </w:rPr>
        <w:t>, 2017</w:t>
      </w:r>
      <w:r w:rsidR="00152B1A">
        <w:rPr>
          <w:rFonts w:ascii="Calibri" w:hAnsi="Calibri"/>
          <w:szCs w:val="24"/>
        </w:rPr>
        <w:t>, P 3</w:t>
      </w:r>
      <w:r>
        <w:rPr>
          <w:rFonts w:ascii="Calibri" w:hAnsi="Calibri"/>
          <w:szCs w:val="24"/>
        </w:rPr>
        <w:t xml:space="preserve">). </w:t>
      </w:r>
      <w:proofErr w:type="spellStart"/>
      <w:r>
        <w:rPr>
          <w:rFonts w:ascii="Calibri" w:hAnsi="Calibri"/>
          <w:szCs w:val="24"/>
        </w:rPr>
        <w:t>Virdee</w:t>
      </w:r>
      <w:proofErr w:type="spellEnd"/>
      <w:r>
        <w:rPr>
          <w:rFonts w:ascii="Calibri" w:hAnsi="Calibri"/>
          <w:szCs w:val="24"/>
        </w:rPr>
        <w:t xml:space="preserve"> and </w:t>
      </w:r>
      <w:proofErr w:type="spellStart"/>
      <w:r>
        <w:rPr>
          <w:rFonts w:ascii="Calibri" w:hAnsi="Calibri"/>
          <w:szCs w:val="24"/>
        </w:rPr>
        <w:t>McGeever</w:t>
      </w:r>
      <w:proofErr w:type="spellEnd"/>
      <w:r>
        <w:rPr>
          <w:rFonts w:ascii="Calibri" w:hAnsi="Calibri"/>
          <w:szCs w:val="24"/>
        </w:rPr>
        <w:t xml:space="preserve"> (2017) agree with this position, but suggest that this racism is driven by a long-standing sentimentality about colonialism and the position of the UK in the world, and about concerns at the dilution of concepts of Britishness and British identity, along with a desire </w:t>
      </w:r>
      <w:r>
        <w:rPr>
          <w:rFonts w:ascii="Calibri" w:hAnsi="Calibri"/>
          <w:szCs w:val="24"/>
        </w:rPr>
        <w:lastRenderedPageBreak/>
        <w:t xml:space="preserve">to insulate the country against external forces of globalization by becoming more insular and notionally in greater control of borders and economics.  </w:t>
      </w:r>
    </w:p>
    <w:p w14:paraId="3D281022" w14:textId="6C3F7C8B" w:rsidR="004A4E53" w:rsidRDefault="004A4E53" w:rsidP="004A4E53">
      <w:pPr>
        <w:rPr>
          <w:rFonts w:ascii="Calibri" w:hAnsi="Calibri"/>
          <w:szCs w:val="24"/>
        </w:rPr>
      </w:pPr>
      <w:r>
        <w:rPr>
          <w:rFonts w:ascii="Calibri" w:hAnsi="Calibri"/>
          <w:szCs w:val="24"/>
        </w:rPr>
        <w:t xml:space="preserve">A further causal link suggested by Innes and </w:t>
      </w:r>
      <w:proofErr w:type="spellStart"/>
      <w:r>
        <w:rPr>
          <w:rFonts w:ascii="Calibri" w:hAnsi="Calibri"/>
          <w:szCs w:val="24"/>
        </w:rPr>
        <w:t>Telltlow</w:t>
      </w:r>
      <w:proofErr w:type="spellEnd"/>
      <w:r>
        <w:rPr>
          <w:rFonts w:ascii="Calibri" w:hAnsi="Calibri"/>
          <w:szCs w:val="24"/>
        </w:rPr>
        <w:t xml:space="preserve"> (2015), cited in Becker et al (2016) is that of owing divide in deprivation, and specifically within areas which have suffered the most as a result of the Government’s austerity policies following the global financial crisis, and which have affected the most deprived the hardest due to their reliance on central government grants, in some cases with fiscal cuts of up to 46% (Becker, et al, 2016). The relationship between governmental fiscal cuts and deprivation has aggravated social inequality and produced a notable polarization between the classes and in politics (Piketty, 2014 cited in </w:t>
      </w:r>
      <w:proofErr w:type="spellStart"/>
      <w:r>
        <w:rPr>
          <w:rFonts w:ascii="Calibri" w:hAnsi="Calibri"/>
          <w:szCs w:val="24"/>
        </w:rPr>
        <w:t>Virdee</w:t>
      </w:r>
      <w:proofErr w:type="spellEnd"/>
      <w:r>
        <w:rPr>
          <w:rFonts w:ascii="Calibri" w:hAnsi="Calibri"/>
          <w:szCs w:val="24"/>
        </w:rPr>
        <w:t xml:space="preserve"> and </w:t>
      </w:r>
      <w:proofErr w:type="spellStart"/>
      <w:r>
        <w:rPr>
          <w:rFonts w:ascii="Calibri" w:hAnsi="Calibri"/>
          <w:szCs w:val="24"/>
        </w:rPr>
        <w:t>McGeever</w:t>
      </w:r>
      <w:proofErr w:type="spellEnd"/>
      <w:r>
        <w:rPr>
          <w:rFonts w:ascii="Calibri" w:hAnsi="Calibri"/>
          <w:szCs w:val="24"/>
        </w:rPr>
        <w:t>, 2016). It is proposed that this polarization that explains the disparity between the position of the ruling elite; euphemistically called the “Westminster Bubble” (Becker et al, 2016 p3) and the position of the majority which voted leave, which feels marginalized, alienated and bereft of meaningful representation in Parliament (</w:t>
      </w:r>
      <w:proofErr w:type="spellStart"/>
      <w:r>
        <w:rPr>
          <w:rFonts w:ascii="Calibri" w:hAnsi="Calibri"/>
          <w:szCs w:val="24"/>
        </w:rPr>
        <w:t>Virdee</w:t>
      </w:r>
      <w:proofErr w:type="spellEnd"/>
      <w:r>
        <w:rPr>
          <w:rFonts w:ascii="Calibri" w:hAnsi="Calibri"/>
          <w:szCs w:val="24"/>
        </w:rPr>
        <w:t xml:space="preserve"> and </w:t>
      </w:r>
      <w:proofErr w:type="spellStart"/>
      <w:r>
        <w:rPr>
          <w:rFonts w:ascii="Calibri" w:hAnsi="Calibri"/>
          <w:szCs w:val="24"/>
        </w:rPr>
        <w:t>McGeever</w:t>
      </w:r>
      <w:proofErr w:type="spellEnd"/>
      <w:r>
        <w:rPr>
          <w:rFonts w:ascii="Calibri" w:hAnsi="Calibri"/>
          <w:szCs w:val="24"/>
        </w:rPr>
        <w:t>, 2016). Finally, the age of the voter appears to have been a significant influence, with 60% of people aged 65 and over voting to leave, whereas 62% of those aged 25 to 34 years olds voting to remain (</w:t>
      </w:r>
      <w:proofErr w:type="spellStart"/>
      <w:r>
        <w:rPr>
          <w:rFonts w:ascii="Calibri" w:hAnsi="Calibri"/>
          <w:szCs w:val="24"/>
        </w:rPr>
        <w:t>Virdee</w:t>
      </w:r>
      <w:proofErr w:type="spellEnd"/>
      <w:r>
        <w:rPr>
          <w:rFonts w:ascii="Calibri" w:hAnsi="Calibri"/>
          <w:szCs w:val="24"/>
        </w:rPr>
        <w:t xml:space="preserve"> and </w:t>
      </w:r>
      <w:proofErr w:type="spellStart"/>
      <w:r>
        <w:rPr>
          <w:rFonts w:ascii="Calibri" w:hAnsi="Calibri"/>
          <w:szCs w:val="24"/>
        </w:rPr>
        <w:t>McGeever</w:t>
      </w:r>
      <w:proofErr w:type="spellEnd"/>
      <w:r>
        <w:rPr>
          <w:rFonts w:ascii="Calibri" w:hAnsi="Calibri"/>
          <w:szCs w:val="24"/>
        </w:rPr>
        <w:t>, 2016). However, Dorling (2016) provides a contradictory view</w:t>
      </w:r>
      <w:r w:rsidR="00152B1A">
        <w:rPr>
          <w:rFonts w:ascii="Calibri" w:hAnsi="Calibri"/>
          <w:szCs w:val="24"/>
        </w:rPr>
        <w:t>point</w:t>
      </w:r>
      <w:r>
        <w:rPr>
          <w:rFonts w:ascii="Calibri" w:hAnsi="Calibri"/>
          <w:szCs w:val="24"/>
        </w:rPr>
        <w:t xml:space="preserve">, </w:t>
      </w:r>
      <w:r w:rsidR="00152B1A">
        <w:rPr>
          <w:rFonts w:ascii="Calibri" w:hAnsi="Calibri"/>
          <w:szCs w:val="24"/>
        </w:rPr>
        <w:t>suggesting</w:t>
      </w:r>
      <w:r>
        <w:rPr>
          <w:rFonts w:ascii="Calibri" w:hAnsi="Calibri"/>
          <w:szCs w:val="24"/>
        </w:rPr>
        <w:t xml:space="preserve"> that, using the Government’s own classifications, 59% of those voting Leave were middle-class, and 41% working class, refuting the claim that the Leave vote was the result of working classes dissent. Dorling further suggests that whilst immigration was blamed for increasing inequality and pressure on public services, these were in fact a result of austerity measures and public spending cuts</w:t>
      </w:r>
      <w:r w:rsidR="000967D2">
        <w:rPr>
          <w:rFonts w:ascii="Calibri" w:hAnsi="Calibri"/>
          <w:szCs w:val="24"/>
        </w:rPr>
        <w:t xml:space="preserve"> (Dorling, 2016)</w:t>
      </w:r>
      <w:r>
        <w:rPr>
          <w:rFonts w:ascii="Calibri" w:hAnsi="Calibri"/>
          <w:szCs w:val="24"/>
        </w:rPr>
        <w:t xml:space="preserve">.   </w:t>
      </w:r>
    </w:p>
    <w:p w14:paraId="44FFAC16" w14:textId="3E5DE4AA" w:rsidR="004A4E53" w:rsidRDefault="004A4E53" w:rsidP="004A4E53">
      <w:pPr>
        <w:rPr>
          <w:rFonts w:ascii="Calibri" w:hAnsi="Calibri"/>
          <w:szCs w:val="24"/>
        </w:rPr>
      </w:pPr>
      <w:r>
        <w:rPr>
          <w:rFonts w:ascii="Calibri" w:hAnsi="Calibri"/>
          <w:szCs w:val="24"/>
        </w:rPr>
        <w:t xml:space="preserve">However, Ford and Goodwin (2017) provide support to the concept of working class dissent, pointing to longstanding cultural and political changes in the UK over the last three decades; particularly the abandonment of working classes by Labour after years in the political wilderness to woo the liberal middle classes with policies such as multi culturalism and diversity, promoting discrimination as a social evil (p 19) and demonising those that consider national identity due to ethnic origin less important than common values (p19). These liberal values reflect the attitudes of the new electorate, the graduate, middle class, professional, home owning majority (Ford and Goodwin, 2017). However, the merging of these neo-liberal attitudes by all of the mainstream political parties as a strategy to gain power merely alienated the nationalistic, older, more traditional, insular, and mainly white minority which felt neglected, and which, consequently, turned to parties, such as UKIP, </w:t>
      </w:r>
      <w:r w:rsidR="00C833A2">
        <w:rPr>
          <w:rFonts w:ascii="Calibri" w:hAnsi="Calibri"/>
          <w:szCs w:val="24"/>
        </w:rPr>
        <w:t>which</w:t>
      </w:r>
      <w:r>
        <w:rPr>
          <w:rFonts w:ascii="Calibri" w:hAnsi="Calibri"/>
          <w:szCs w:val="24"/>
        </w:rPr>
        <w:t xml:space="preserve"> they felt represented their traditional values more coherent</w:t>
      </w:r>
      <w:r w:rsidR="00C833A2">
        <w:rPr>
          <w:rFonts w:ascii="Calibri" w:hAnsi="Calibri"/>
          <w:szCs w:val="24"/>
        </w:rPr>
        <w:t>ly</w:t>
      </w:r>
      <w:r>
        <w:rPr>
          <w:rFonts w:ascii="Calibri" w:hAnsi="Calibri"/>
          <w:szCs w:val="24"/>
        </w:rPr>
        <w:t xml:space="preserve"> (Ford and Goodwin, 2017). </w:t>
      </w:r>
    </w:p>
    <w:p w14:paraId="1F79A9A0" w14:textId="0D60A3F3" w:rsidR="004A4E53" w:rsidRDefault="004A4E53" w:rsidP="004A4E53">
      <w:pPr>
        <w:rPr>
          <w:rFonts w:ascii="Calibri" w:hAnsi="Calibri"/>
          <w:szCs w:val="24"/>
        </w:rPr>
      </w:pPr>
      <w:r>
        <w:rPr>
          <w:rFonts w:ascii="Calibri" w:hAnsi="Calibri"/>
          <w:szCs w:val="24"/>
        </w:rPr>
        <w:t xml:space="preserve">Although it has been stated that Brexit is unprecedented, in fact this is not quite the case. In 2015, Greece, following the election of a new leftist Government, </w:t>
      </w:r>
      <w:proofErr w:type="spellStart"/>
      <w:r>
        <w:rPr>
          <w:rFonts w:ascii="Calibri" w:hAnsi="Calibri"/>
          <w:szCs w:val="24"/>
        </w:rPr>
        <w:t>Syriza</w:t>
      </w:r>
      <w:proofErr w:type="spellEnd"/>
      <w:r>
        <w:rPr>
          <w:rFonts w:ascii="Calibri" w:hAnsi="Calibri"/>
          <w:szCs w:val="24"/>
        </w:rPr>
        <w:t xml:space="preserve">, under Alexis Tsipras, decided to renegotiate the terms of a bailout agreement with the EU, principally to </w:t>
      </w:r>
      <w:r w:rsidR="00C833A2">
        <w:rPr>
          <w:rFonts w:ascii="Calibri" w:hAnsi="Calibri"/>
          <w:szCs w:val="24"/>
        </w:rPr>
        <w:t>broker</w:t>
      </w:r>
      <w:r>
        <w:rPr>
          <w:rFonts w:ascii="Calibri" w:hAnsi="Calibri"/>
          <w:szCs w:val="24"/>
        </w:rPr>
        <w:t xml:space="preserve"> a form of debt relief (Varoufakis, 2016) intended to relieve the severe austerity measures imposed on the country. The Greek government held a plebiscite in 2015 as to whether to accept the EU’s terms for further financial support, recommending a NO vote on the understanding that this would (probably) mean Greece leaving the EU (Varoufakis, 2016). The Greek electorate obliged, voting Ochi (No) by 61.31% (Varoufakis, 2016). However, Realpolitik overtook the socialist principles of the Greek government which ignored the result and signed up to the EU’s demands anyway, leading Varoufakis to resign as Greek Finance Minister and for further austerity measures to be imposed on the beleaguered Greek citizens (Varoufakis, 2016). The EU therefore had a precedent for believing that force, and what Varoufakis called in his political memoir </w:t>
      </w:r>
      <w:r>
        <w:rPr>
          <w:rFonts w:ascii="Calibri" w:hAnsi="Calibri"/>
          <w:i/>
          <w:szCs w:val="24"/>
        </w:rPr>
        <w:t xml:space="preserve">Adults in the Room </w:t>
      </w:r>
      <w:r>
        <w:rPr>
          <w:rFonts w:ascii="Calibri" w:hAnsi="Calibri"/>
          <w:szCs w:val="24"/>
        </w:rPr>
        <w:t xml:space="preserve">the ‘EU </w:t>
      </w:r>
      <w:proofErr w:type="spellStart"/>
      <w:r>
        <w:rPr>
          <w:rFonts w:ascii="Calibri" w:hAnsi="Calibri"/>
          <w:szCs w:val="24"/>
        </w:rPr>
        <w:t>Runaround</w:t>
      </w:r>
      <w:proofErr w:type="spellEnd"/>
      <w:r>
        <w:rPr>
          <w:rFonts w:ascii="Calibri" w:hAnsi="Calibri"/>
          <w:szCs w:val="24"/>
        </w:rPr>
        <w:t xml:space="preserve">’ (2017, p1) would eventually impose its will on the UK, considering democracy a nuisance to be frustrated at all costs (Varoufakis, 2016; 2017). The continuing media reports on the Greek financial crisis, and those of </w:t>
      </w:r>
      <w:r>
        <w:rPr>
          <w:rFonts w:ascii="Calibri" w:hAnsi="Calibri"/>
          <w:szCs w:val="24"/>
        </w:rPr>
        <w:lastRenderedPageBreak/>
        <w:t>other Mediterranean countries may have had an indirect influence on the way people voted</w:t>
      </w:r>
      <w:r w:rsidR="00C833A2">
        <w:rPr>
          <w:rFonts w:ascii="Calibri" w:hAnsi="Calibri"/>
          <w:szCs w:val="24"/>
        </w:rPr>
        <w:t xml:space="preserve"> in the referendum</w:t>
      </w:r>
      <w:r>
        <w:rPr>
          <w:rFonts w:ascii="Calibri" w:hAnsi="Calibri"/>
          <w:szCs w:val="24"/>
        </w:rPr>
        <w:t xml:space="preserve"> (</w:t>
      </w:r>
      <w:proofErr w:type="spellStart"/>
      <w:r>
        <w:rPr>
          <w:rFonts w:ascii="Calibri" w:hAnsi="Calibri"/>
          <w:szCs w:val="24"/>
        </w:rPr>
        <w:t>Tziamalis</w:t>
      </w:r>
      <w:proofErr w:type="spellEnd"/>
      <w:r>
        <w:rPr>
          <w:rFonts w:ascii="Calibri" w:hAnsi="Calibri"/>
          <w:szCs w:val="24"/>
        </w:rPr>
        <w:t xml:space="preserve">, 2017).              </w:t>
      </w:r>
    </w:p>
    <w:p w14:paraId="196D2C9B" w14:textId="77777777" w:rsidR="004A4E53" w:rsidRDefault="004A4E53" w:rsidP="004A4E53">
      <w:pPr>
        <w:rPr>
          <w:rFonts w:ascii="Calibri" w:hAnsi="Calibri"/>
          <w:szCs w:val="24"/>
        </w:rPr>
      </w:pPr>
      <w:r>
        <w:rPr>
          <w:rFonts w:ascii="Calibri" w:hAnsi="Calibri"/>
          <w:szCs w:val="24"/>
        </w:rPr>
        <w:t>It is clear therefore, that there are many reasons behind the leave vote; it is multi-faceted influenced by aspects of fiscal and social policy, a rejection of neo-liberal values by minority groups, feelings of alienation from Westminster, the socio-economic characteristics of the electorate, issues of national identity, and as a result of a successful strategy by the leave campaign to garner support from older citizens, combined with a growing suspicion of the EU (</w:t>
      </w:r>
      <w:proofErr w:type="spellStart"/>
      <w:r>
        <w:rPr>
          <w:rFonts w:ascii="Calibri" w:hAnsi="Calibri"/>
          <w:szCs w:val="24"/>
        </w:rPr>
        <w:t>Virdee</w:t>
      </w:r>
      <w:proofErr w:type="spellEnd"/>
      <w:r>
        <w:rPr>
          <w:rFonts w:ascii="Calibri" w:hAnsi="Calibri"/>
          <w:szCs w:val="24"/>
        </w:rPr>
        <w:t xml:space="preserve"> and </w:t>
      </w:r>
      <w:proofErr w:type="spellStart"/>
      <w:r>
        <w:rPr>
          <w:rFonts w:ascii="Calibri" w:hAnsi="Calibri"/>
          <w:szCs w:val="24"/>
        </w:rPr>
        <w:t>McGeever</w:t>
      </w:r>
      <w:proofErr w:type="spellEnd"/>
      <w:r>
        <w:rPr>
          <w:rFonts w:ascii="Calibri" w:hAnsi="Calibri"/>
          <w:szCs w:val="24"/>
        </w:rPr>
        <w:t xml:space="preserve">, 2016, Ford and Goodwin, 2017).                  </w:t>
      </w:r>
    </w:p>
    <w:p w14:paraId="11359EF9" w14:textId="39C04622" w:rsidR="004A4E53" w:rsidRDefault="004A4E53" w:rsidP="004A4E53">
      <w:pPr>
        <w:rPr>
          <w:rFonts w:ascii="Calibri" w:hAnsi="Calibri"/>
          <w:szCs w:val="24"/>
        </w:rPr>
      </w:pPr>
      <w:r>
        <w:rPr>
          <w:rFonts w:ascii="Calibri" w:hAnsi="Calibri"/>
          <w:szCs w:val="24"/>
        </w:rPr>
        <w:t>If the reasons for the leave vote are understood, or at least acknowledged, the Welsh vote on 23</w:t>
      </w:r>
      <w:r w:rsidRPr="00C01F2B">
        <w:rPr>
          <w:rFonts w:ascii="Calibri" w:hAnsi="Calibri"/>
          <w:szCs w:val="24"/>
          <w:vertAlign w:val="superscript"/>
        </w:rPr>
        <w:t>rd</w:t>
      </w:r>
      <w:r>
        <w:rPr>
          <w:rFonts w:ascii="Calibri" w:hAnsi="Calibri"/>
          <w:szCs w:val="24"/>
        </w:rPr>
        <w:t xml:space="preserve"> June 2016 still astonished many observers, as Wales, easily the poorest of the UK nations benefits from £245 million </w:t>
      </w:r>
      <w:r w:rsidR="00C833A2">
        <w:rPr>
          <w:rFonts w:ascii="Calibri" w:hAnsi="Calibri"/>
          <w:szCs w:val="24"/>
        </w:rPr>
        <w:t xml:space="preserve">more </w:t>
      </w:r>
      <w:r>
        <w:rPr>
          <w:rFonts w:ascii="Calibri" w:hAnsi="Calibri"/>
          <w:szCs w:val="24"/>
        </w:rPr>
        <w:t>in aid from the EU than it contributes in taxes, a beneficial difference of £79 per person in Wales.</w:t>
      </w:r>
      <w:r w:rsidR="00C833A2">
        <w:rPr>
          <w:rFonts w:ascii="Calibri" w:hAnsi="Calibri"/>
          <w:szCs w:val="24"/>
        </w:rPr>
        <w:t xml:space="preserve"> </w:t>
      </w:r>
      <w:r>
        <w:rPr>
          <w:rFonts w:ascii="Calibri" w:hAnsi="Calibri"/>
          <w:szCs w:val="24"/>
        </w:rPr>
        <w:t xml:space="preserve">It is apparent that </w:t>
      </w:r>
      <w:r w:rsidR="000967D2">
        <w:rPr>
          <w:rFonts w:ascii="Calibri" w:hAnsi="Calibri"/>
          <w:szCs w:val="24"/>
        </w:rPr>
        <w:t>few political leaders</w:t>
      </w:r>
      <w:r>
        <w:rPr>
          <w:rFonts w:ascii="Calibri" w:hAnsi="Calibri"/>
          <w:szCs w:val="24"/>
        </w:rPr>
        <w:t xml:space="preserve"> thought that Wales would vote leave in the referendum due to its dependence on EU subsidy; some £658million in 2014 (Minto, 2017). However, the plethora of ‘funded by the EU’ signs </w:t>
      </w:r>
      <w:r w:rsidR="00333050">
        <w:rPr>
          <w:rFonts w:ascii="Calibri" w:hAnsi="Calibri"/>
          <w:szCs w:val="24"/>
        </w:rPr>
        <w:t xml:space="preserve">with its blue flag and ring of gold stars </w:t>
      </w:r>
      <w:r>
        <w:rPr>
          <w:rFonts w:ascii="Calibri" w:hAnsi="Calibri"/>
          <w:szCs w:val="24"/>
        </w:rPr>
        <w:t>on glossy newly tarmacadamed roads and outside white elephant office blocks were either ignored or dismissed as irrelevant to the ordinary citizen (</w:t>
      </w:r>
      <w:r w:rsidR="00333050">
        <w:rPr>
          <w:rFonts w:ascii="Calibri" w:hAnsi="Calibri"/>
          <w:szCs w:val="24"/>
        </w:rPr>
        <w:t>Scully, 2017; E</w:t>
      </w:r>
      <w:r>
        <w:rPr>
          <w:rFonts w:ascii="Calibri" w:hAnsi="Calibri"/>
          <w:szCs w:val="24"/>
        </w:rPr>
        <w:t xml:space="preserve">vans, 2016). </w:t>
      </w:r>
      <w:r w:rsidR="000967D2">
        <w:rPr>
          <w:rFonts w:ascii="Calibri" w:hAnsi="Calibri"/>
          <w:szCs w:val="24"/>
        </w:rPr>
        <w:t xml:space="preserve">It seems that </w:t>
      </w:r>
      <w:r w:rsidR="00333050">
        <w:rPr>
          <w:rFonts w:ascii="Calibri" w:hAnsi="Calibri"/>
          <w:szCs w:val="24"/>
        </w:rPr>
        <w:t>Welsh voters are sceptical to the suggestion that Wales, or their local community</w:t>
      </w:r>
      <w:r w:rsidR="00810D38">
        <w:rPr>
          <w:rFonts w:ascii="Calibri" w:hAnsi="Calibri"/>
          <w:szCs w:val="24"/>
        </w:rPr>
        <w:t>,</w:t>
      </w:r>
      <w:r w:rsidR="00333050">
        <w:rPr>
          <w:rFonts w:ascii="Calibri" w:hAnsi="Calibri"/>
          <w:szCs w:val="24"/>
        </w:rPr>
        <w:t xml:space="preserve"> had</w:t>
      </w:r>
      <w:r>
        <w:rPr>
          <w:rFonts w:ascii="Calibri" w:hAnsi="Calibri"/>
          <w:szCs w:val="24"/>
        </w:rPr>
        <w:t xml:space="preserve"> benefit</w:t>
      </w:r>
      <w:r w:rsidR="00810D38">
        <w:rPr>
          <w:rFonts w:ascii="Calibri" w:hAnsi="Calibri"/>
          <w:szCs w:val="24"/>
        </w:rPr>
        <w:t>ted</w:t>
      </w:r>
      <w:r>
        <w:rPr>
          <w:rFonts w:ascii="Calibri" w:hAnsi="Calibri"/>
          <w:szCs w:val="24"/>
        </w:rPr>
        <w:t xml:space="preserve"> in any tangible way</w:t>
      </w:r>
      <w:r w:rsidR="00810D38">
        <w:rPr>
          <w:rFonts w:ascii="Calibri" w:hAnsi="Calibri"/>
          <w:szCs w:val="24"/>
        </w:rPr>
        <w:t xml:space="preserve"> from EU membership</w:t>
      </w:r>
      <w:r>
        <w:rPr>
          <w:rFonts w:ascii="Calibri" w:hAnsi="Calibri"/>
          <w:szCs w:val="24"/>
        </w:rPr>
        <w:t xml:space="preserve">; </w:t>
      </w:r>
      <w:r w:rsidR="000967D2">
        <w:rPr>
          <w:rFonts w:ascii="Calibri" w:hAnsi="Calibri"/>
          <w:szCs w:val="24"/>
        </w:rPr>
        <w:t xml:space="preserve">this </w:t>
      </w:r>
      <w:r w:rsidR="00810D38">
        <w:rPr>
          <w:rFonts w:ascii="Calibri" w:hAnsi="Calibri"/>
          <w:szCs w:val="24"/>
        </w:rPr>
        <w:t xml:space="preserve">scepticism </w:t>
      </w:r>
      <w:r w:rsidR="000967D2">
        <w:rPr>
          <w:rFonts w:ascii="Calibri" w:hAnsi="Calibri"/>
          <w:szCs w:val="24"/>
        </w:rPr>
        <w:t>may be because of</w:t>
      </w:r>
      <w:r>
        <w:rPr>
          <w:rFonts w:ascii="Calibri" w:hAnsi="Calibri"/>
          <w:szCs w:val="24"/>
        </w:rPr>
        <w:t xml:space="preserve"> lack of information </w:t>
      </w:r>
      <w:r w:rsidR="000967D2">
        <w:rPr>
          <w:rFonts w:ascii="Calibri" w:hAnsi="Calibri"/>
          <w:szCs w:val="24"/>
        </w:rPr>
        <w:t xml:space="preserve">on the beneficial aspects to Wales of EU membership, </w:t>
      </w:r>
      <w:r>
        <w:rPr>
          <w:rFonts w:ascii="Calibri" w:hAnsi="Calibri"/>
          <w:szCs w:val="24"/>
        </w:rPr>
        <w:t>or the democratic deficit</w:t>
      </w:r>
      <w:r w:rsidR="000967D2">
        <w:rPr>
          <w:rFonts w:ascii="Calibri" w:hAnsi="Calibri"/>
          <w:szCs w:val="24"/>
        </w:rPr>
        <w:t xml:space="preserve"> leading to dissent and dissatisfaction</w:t>
      </w:r>
      <w:r>
        <w:rPr>
          <w:rFonts w:ascii="Calibri" w:hAnsi="Calibri"/>
          <w:szCs w:val="24"/>
        </w:rPr>
        <w:t>, and the reality of the deprivation of many Welsh communities (</w:t>
      </w:r>
      <w:r w:rsidR="00810D38">
        <w:rPr>
          <w:rFonts w:ascii="Calibri" w:hAnsi="Calibri"/>
          <w:szCs w:val="24"/>
        </w:rPr>
        <w:t xml:space="preserve">Scully, 2017; </w:t>
      </w:r>
      <w:r>
        <w:rPr>
          <w:rFonts w:ascii="Calibri" w:hAnsi="Calibri"/>
          <w:szCs w:val="24"/>
        </w:rPr>
        <w:t>Evans, 2016). This democratic deficit was reinforced during the campaign by Welsh political party leaders failing to fully engage in the remain campaign; declining to expend resources and energy on what was seen as Cameron’s tactical game, which anyway had a foreseeable outcome. Likewise, as the politicians appeared disengaged with the issue the Welsh media became sluggish in its coverage, specifically in the matters concerning Wales within the Brexit arguments and future outside of the European Union. Leaders failed to realise that to the many of the ordinary citizens of Wales EU funding is not, apparently, a panacea for social unrest, deprivation and disenfranchisement (</w:t>
      </w:r>
      <w:r w:rsidR="00D734DE">
        <w:rPr>
          <w:rFonts w:ascii="Calibri" w:hAnsi="Calibri"/>
          <w:szCs w:val="24"/>
        </w:rPr>
        <w:t xml:space="preserve">Scully, 2017; </w:t>
      </w:r>
      <w:r>
        <w:rPr>
          <w:rFonts w:ascii="Calibri" w:hAnsi="Calibri"/>
          <w:szCs w:val="24"/>
        </w:rPr>
        <w:t xml:space="preserve">Evans, 2016). Others </w:t>
      </w:r>
      <w:r w:rsidR="00D734DE">
        <w:rPr>
          <w:rFonts w:ascii="Calibri" w:hAnsi="Calibri"/>
          <w:szCs w:val="24"/>
        </w:rPr>
        <w:t xml:space="preserve">however, </w:t>
      </w:r>
      <w:r>
        <w:rPr>
          <w:rFonts w:ascii="Calibri" w:hAnsi="Calibri"/>
          <w:szCs w:val="24"/>
        </w:rPr>
        <w:t xml:space="preserve">have pointed out that the EU does not have its own money and that the funding that Wales receives through various grants and subsidies is, in fact, only </w:t>
      </w:r>
      <w:r w:rsidR="00D734DE">
        <w:rPr>
          <w:rFonts w:ascii="Calibri" w:hAnsi="Calibri"/>
          <w:szCs w:val="24"/>
        </w:rPr>
        <w:t xml:space="preserve">the </w:t>
      </w:r>
      <w:r>
        <w:rPr>
          <w:rFonts w:ascii="Calibri" w:hAnsi="Calibri"/>
          <w:szCs w:val="24"/>
        </w:rPr>
        <w:t>tax</w:t>
      </w:r>
      <w:r w:rsidR="00D734DE">
        <w:rPr>
          <w:rFonts w:ascii="Calibri" w:hAnsi="Calibri"/>
          <w:szCs w:val="24"/>
        </w:rPr>
        <w:t xml:space="preserve"> </w:t>
      </w:r>
      <w:r>
        <w:rPr>
          <w:rFonts w:ascii="Calibri" w:hAnsi="Calibri"/>
          <w:szCs w:val="24"/>
        </w:rPr>
        <w:t>pa</w:t>
      </w:r>
      <w:r w:rsidR="00D734DE">
        <w:rPr>
          <w:rFonts w:ascii="Calibri" w:hAnsi="Calibri"/>
          <w:szCs w:val="24"/>
        </w:rPr>
        <w:t>id by UK citizens’</w:t>
      </w:r>
      <w:r>
        <w:rPr>
          <w:rFonts w:ascii="Calibri" w:hAnsi="Calibri"/>
          <w:szCs w:val="24"/>
        </w:rPr>
        <w:t xml:space="preserve"> contributions to the EU which have been recycled</w:t>
      </w:r>
      <w:r w:rsidR="00810D38">
        <w:rPr>
          <w:rFonts w:ascii="Calibri" w:hAnsi="Calibri"/>
          <w:szCs w:val="24"/>
        </w:rPr>
        <w:t xml:space="preserve"> back to the UK</w:t>
      </w:r>
      <w:r>
        <w:rPr>
          <w:rFonts w:ascii="Calibri" w:hAnsi="Calibri"/>
          <w:szCs w:val="24"/>
        </w:rPr>
        <w:t>, and that after Brexit the savings made through not having to make payments to the EU can be utilised to compensate Wales for the loss of this income (</w:t>
      </w:r>
      <w:r w:rsidR="000967D2">
        <w:rPr>
          <w:rFonts w:ascii="Calibri" w:hAnsi="Calibri"/>
          <w:szCs w:val="24"/>
        </w:rPr>
        <w:t>Helm, 2017</w:t>
      </w:r>
      <w:r>
        <w:rPr>
          <w:rFonts w:ascii="Calibri" w:hAnsi="Calibri"/>
          <w:szCs w:val="24"/>
        </w:rPr>
        <w:t>).</w:t>
      </w:r>
      <w:r w:rsidR="00D734DE">
        <w:rPr>
          <w:rFonts w:ascii="Calibri" w:hAnsi="Calibri"/>
          <w:szCs w:val="24"/>
        </w:rPr>
        <w:t xml:space="preserve"> The fiscal reality of this is considered below.</w:t>
      </w:r>
      <w:r w:rsidR="000967D2">
        <w:rPr>
          <w:rFonts w:ascii="Calibri" w:hAnsi="Calibri"/>
          <w:szCs w:val="24"/>
        </w:rPr>
        <w:t xml:space="preserve"> </w:t>
      </w:r>
    </w:p>
    <w:p w14:paraId="4047149E" w14:textId="48B64EE4" w:rsidR="00CD5043" w:rsidRDefault="004A4E53" w:rsidP="004A4E53">
      <w:pPr>
        <w:rPr>
          <w:rFonts w:ascii="Calibri" w:hAnsi="Calibri"/>
          <w:szCs w:val="24"/>
        </w:rPr>
      </w:pPr>
      <w:r>
        <w:rPr>
          <w:rFonts w:ascii="Calibri" w:hAnsi="Calibri"/>
          <w:szCs w:val="24"/>
        </w:rPr>
        <w:t xml:space="preserve">The reality of Brexit leaves a number of questions for the Welsh Government. Clearly, the alienation of the electorate from the political leadership in Cardiff Bay is an issue which politicians of all parties will need to consider; however, of immediate concern is how the Welsh Government can protect Wales’ economic and social wellbeing in light of the </w:t>
      </w:r>
      <w:r w:rsidR="00810D38">
        <w:rPr>
          <w:rFonts w:ascii="Calibri" w:hAnsi="Calibri"/>
          <w:szCs w:val="24"/>
        </w:rPr>
        <w:t>fact</w:t>
      </w:r>
      <w:r>
        <w:rPr>
          <w:rFonts w:ascii="Calibri" w:hAnsi="Calibri"/>
          <w:szCs w:val="24"/>
        </w:rPr>
        <w:t xml:space="preserve"> that EU funding will be withdrawn when Brexit takes place as planned in </w:t>
      </w:r>
      <w:r w:rsidR="00BA170D">
        <w:rPr>
          <w:rFonts w:ascii="Calibri" w:hAnsi="Calibri"/>
          <w:szCs w:val="24"/>
        </w:rPr>
        <w:t xml:space="preserve">March </w:t>
      </w:r>
      <w:r>
        <w:rPr>
          <w:rFonts w:ascii="Calibri" w:hAnsi="Calibri"/>
          <w:szCs w:val="24"/>
        </w:rPr>
        <w:t>2019 (Minto, 2017).</w:t>
      </w:r>
      <w:r w:rsidR="00810D38">
        <w:rPr>
          <w:rFonts w:ascii="Calibri" w:hAnsi="Calibri"/>
          <w:szCs w:val="24"/>
        </w:rPr>
        <w:t xml:space="preserve"> </w:t>
      </w:r>
      <w:r>
        <w:rPr>
          <w:rFonts w:ascii="Calibri" w:hAnsi="Calibri"/>
          <w:szCs w:val="24"/>
        </w:rPr>
        <w:t xml:space="preserve">Wales, as with </w:t>
      </w:r>
      <w:r w:rsidR="00810D38">
        <w:rPr>
          <w:rFonts w:ascii="Calibri" w:hAnsi="Calibri"/>
          <w:szCs w:val="24"/>
        </w:rPr>
        <w:t xml:space="preserve">the </w:t>
      </w:r>
      <w:r>
        <w:rPr>
          <w:rFonts w:ascii="Calibri" w:hAnsi="Calibri"/>
          <w:szCs w:val="24"/>
        </w:rPr>
        <w:t xml:space="preserve">other devolved administrations feels somewhat alienated from the Brexit negotiations which Westminster views as a national (UK) issue to be dealt with by Parliament; although there are various mechanisms in place to take account of the views of the devolved nations, including </w:t>
      </w:r>
      <w:r w:rsidR="00A737DE">
        <w:rPr>
          <w:rFonts w:ascii="Calibri" w:hAnsi="Calibri"/>
          <w:szCs w:val="24"/>
        </w:rPr>
        <w:t>for Wales, a Welsh Affairs Committee</w:t>
      </w:r>
      <w:r w:rsidR="006F6F13">
        <w:rPr>
          <w:rFonts w:ascii="Calibri" w:hAnsi="Calibri"/>
          <w:szCs w:val="24"/>
        </w:rPr>
        <w:t xml:space="preserve"> (WAC)</w:t>
      </w:r>
      <w:r w:rsidR="00A737DE">
        <w:rPr>
          <w:rFonts w:ascii="Calibri" w:hAnsi="Calibri"/>
          <w:szCs w:val="24"/>
        </w:rPr>
        <w:t xml:space="preserve">, which in October 2017 called for evidence on its examination of Brexit on Welsh agriculture, trade and devolved issues, and there is also a </w:t>
      </w:r>
      <w:r>
        <w:rPr>
          <w:rFonts w:ascii="Calibri" w:hAnsi="Calibri"/>
          <w:szCs w:val="24"/>
        </w:rPr>
        <w:t xml:space="preserve">Joint Ministerial Committee on European Negotiations </w:t>
      </w:r>
      <w:r w:rsidR="00810D38">
        <w:rPr>
          <w:rFonts w:ascii="Calibri" w:hAnsi="Calibri"/>
          <w:szCs w:val="24"/>
        </w:rPr>
        <w:t xml:space="preserve">(JMCEN), </w:t>
      </w:r>
      <w:r>
        <w:rPr>
          <w:rFonts w:ascii="Calibri" w:hAnsi="Calibri"/>
          <w:szCs w:val="24"/>
        </w:rPr>
        <w:t>(Minto, 2017). However, there is criticism of th</w:t>
      </w:r>
      <w:r w:rsidR="00C4448F">
        <w:rPr>
          <w:rFonts w:ascii="Calibri" w:hAnsi="Calibri"/>
          <w:szCs w:val="24"/>
        </w:rPr>
        <w:t>ese</w:t>
      </w:r>
      <w:r>
        <w:rPr>
          <w:rFonts w:ascii="Calibri" w:hAnsi="Calibri"/>
          <w:szCs w:val="24"/>
        </w:rPr>
        <w:t xml:space="preserve"> mechanism</w:t>
      </w:r>
      <w:r w:rsidR="00C4448F">
        <w:rPr>
          <w:rFonts w:ascii="Calibri" w:hAnsi="Calibri"/>
          <w:szCs w:val="24"/>
        </w:rPr>
        <w:t>s, as</w:t>
      </w:r>
      <w:r>
        <w:rPr>
          <w:rFonts w:ascii="Calibri" w:hAnsi="Calibri"/>
          <w:szCs w:val="24"/>
        </w:rPr>
        <w:t xml:space="preserve"> </w:t>
      </w:r>
      <w:r w:rsidR="006F6F13">
        <w:rPr>
          <w:rFonts w:ascii="Calibri" w:hAnsi="Calibri"/>
          <w:szCs w:val="24"/>
        </w:rPr>
        <w:t xml:space="preserve">both WAC and the </w:t>
      </w:r>
      <w:r w:rsidR="00810D38">
        <w:rPr>
          <w:rFonts w:ascii="Calibri" w:hAnsi="Calibri"/>
          <w:szCs w:val="24"/>
        </w:rPr>
        <w:t xml:space="preserve">JCMEN </w:t>
      </w:r>
      <w:r w:rsidR="006F6F13">
        <w:rPr>
          <w:rFonts w:ascii="Calibri" w:hAnsi="Calibri"/>
          <w:szCs w:val="24"/>
        </w:rPr>
        <w:t>are</w:t>
      </w:r>
      <w:r>
        <w:rPr>
          <w:rFonts w:ascii="Calibri" w:hAnsi="Calibri"/>
          <w:szCs w:val="24"/>
        </w:rPr>
        <w:t xml:space="preserve"> seen as </w:t>
      </w:r>
      <w:r w:rsidR="006F6F13">
        <w:rPr>
          <w:rFonts w:ascii="Calibri" w:hAnsi="Calibri"/>
          <w:szCs w:val="24"/>
        </w:rPr>
        <w:t>largely as t</w:t>
      </w:r>
      <w:r>
        <w:rPr>
          <w:rFonts w:ascii="Calibri" w:hAnsi="Calibri"/>
          <w:szCs w:val="24"/>
        </w:rPr>
        <w:t>okenistic</w:t>
      </w:r>
      <w:r w:rsidR="006F6F13">
        <w:rPr>
          <w:rFonts w:ascii="Calibri" w:hAnsi="Calibri"/>
          <w:szCs w:val="24"/>
        </w:rPr>
        <w:t xml:space="preserve"> and impotent</w:t>
      </w:r>
      <w:r>
        <w:rPr>
          <w:rFonts w:ascii="Calibri" w:hAnsi="Calibri"/>
          <w:szCs w:val="24"/>
        </w:rPr>
        <w:t xml:space="preserve"> (Minto, 2016). This central negotiati</w:t>
      </w:r>
      <w:r w:rsidR="00810D38">
        <w:rPr>
          <w:rFonts w:ascii="Calibri" w:hAnsi="Calibri"/>
          <w:szCs w:val="24"/>
        </w:rPr>
        <w:t>ng position</w:t>
      </w:r>
      <w:r>
        <w:rPr>
          <w:rFonts w:ascii="Calibri" w:hAnsi="Calibri"/>
          <w:szCs w:val="24"/>
        </w:rPr>
        <w:t xml:space="preserve"> may be possible given the sovereignty of Parliament (</w:t>
      </w:r>
      <w:proofErr w:type="spellStart"/>
      <w:r>
        <w:rPr>
          <w:rFonts w:ascii="Calibri" w:hAnsi="Calibri"/>
          <w:szCs w:val="24"/>
        </w:rPr>
        <w:t>Paun</w:t>
      </w:r>
      <w:proofErr w:type="spellEnd"/>
      <w:r>
        <w:rPr>
          <w:rFonts w:ascii="Calibri" w:hAnsi="Calibri"/>
          <w:szCs w:val="24"/>
        </w:rPr>
        <w:t xml:space="preserve"> and Miller, 2016) but exiting the EU will have considerable consequences for the budgets and powers of the three devolved nations and in </w:t>
      </w:r>
      <w:r>
        <w:rPr>
          <w:rFonts w:ascii="Calibri" w:hAnsi="Calibri"/>
          <w:szCs w:val="24"/>
        </w:rPr>
        <w:lastRenderedPageBreak/>
        <w:t>any event, would be contrary to the spirit of self-governance embodied in the devolution settlement (</w:t>
      </w:r>
      <w:proofErr w:type="spellStart"/>
      <w:r>
        <w:rPr>
          <w:rFonts w:ascii="Calibri" w:hAnsi="Calibri"/>
          <w:szCs w:val="24"/>
        </w:rPr>
        <w:t>Paun</w:t>
      </w:r>
      <w:proofErr w:type="spellEnd"/>
      <w:r>
        <w:rPr>
          <w:rFonts w:ascii="Calibri" w:hAnsi="Calibri"/>
          <w:szCs w:val="24"/>
        </w:rPr>
        <w:t xml:space="preserve"> and Miller, 2016). However, unlike the governing bodies of Scotland and Northern Ireland, both of which voted </w:t>
      </w:r>
      <w:r w:rsidR="00810D38">
        <w:rPr>
          <w:rFonts w:ascii="Calibri" w:hAnsi="Calibri"/>
          <w:szCs w:val="24"/>
        </w:rPr>
        <w:t>R</w:t>
      </w:r>
      <w:r>
        <w:rPr>
          <w:rFonts w:ascii="Calibri" w:hAnsi="Calibri"/>
          <w:szCs w:val="24"/>
        </w:rPr>
        <w:t xml:space="preserve">emain, the Welsh Government is without </w:t>
      </w:r>
      <w:r w:rsidR="00C833A2">
        <w:rPr>
          <w:rFonts w:ascii="Calibri" w:hAnsi="Calibri"/>
          <w:szCs w:val="24"/>
        </w:rPr>
        <w:t>any</w:t>
      </w:r>
      <w:r>
        <w:rPr>
          <w:rFonts w:ascii="Calibri" w:hAnsi="Calibri"/>
          <w:szCs w:val="24"/>
        </w:rPr>
        <w:t xml:space="preserve"> mandate f</w:t>
      </w:r>
      <w:r w:rsidR="00C833A2">
        <w:rPr>
          <w:rFonts w:ascii="Calibri" w:hAnsi="Calibri"/>
          <w:szCs w:val="24"/>
        </w:rPr>
        <w:t>rom</w:t>
      </w:r>
      <w:r>
        <w:rPr>
          <w:rFonts w:ascii="Calibri" w:hAnsi="Calibri"/>
          <w:szCs w:val="24"/>
        </w:rPr>
        <w:t xml:space="preserve"> its electorate which</w:t>
      </w:r>
      <w:r w:rsidR="00E81D37">
        <w:rPr>
          <w:rFonts w:ascii="Calibri" w:hAnsi="Calibri"/>
          <w:szCs w:val="24"/>
        </w:rPr>
        <w:t>, having voted leave,</w:t>
      </w:r>
      <w:r>
        <w:rPr>
          <w:rFonts w:ascii="Calibri" w:hAnsi="Calibri"/>
          <w:szCs w:val="24"/>
        </w:rPr>
        <w:t xml:space="preserve"> has </w:t>
      </w:r>
      <w:r w:rsidR="00C833A2">
        <w:rPr>
          <w:rFonts w:ascii="Calibri" w:hAnsi="Calibri"/>
          <w:szCs w:val="24"/>
        </w:rPr>
        <w:t>dismantled</w:t>
      </w:r>
      <w:r>
        <w:rPr>
          <w:rFonts w:ascii="Calibri" w:hAnsi="Calibri"/>
          <w:szCs w:val="24"/>
        </w:rPr>
        <w:t xml:space="preserve"> </w:t>
      </w:r>
      <w:r w:rsidR="00810D38">
        <w:rPr>
          <w:rFonts w:ascii="Calibri" w:hAnsi="Calibri"/>
          <w:szCs w:val="24"/>
        </w:rPr>
        <w:t>its</w:t>
      </w:r>
      <w:r>
        <w:rPr>
          <w:rFonts w:ascii="Calibri" w:hAnsi="Calibri"/>
          <w:szCs w:val="24"/>
        </w:rPr>
        <w:t xml:space="preserve"> pro-European </w:t>
      </w:r>
      <w:r w:rsidR="00810D38">
        <w:rPr>
          <w:rFonts w:ascii="Calibri" w:hAnsi="Calibri"/>
          <w:szCs w:val="24"/>
        </w:rPr>
        <w:t>credibility</w:t>
      </w:r>
      <w:r>
        <w:rPr>
          <w:rFonts w:ascii="Calibri" w:hAnsi="Calibri"/>
          <w:szCs w:val="24"/>
        </w:rPr>
        <w:t xml:space="preserve"> (Minto, 2017).</w:t>
      </w:r>
      <w:r w:rsidR="00C33E88">
        <w:rPr>
          <w:rFonts w:ascii="Calibri" w:hAnsi="Calibri"/>
          <w:szCs w:val="24"/>
        </w:rPr>
        <w:t xml:space="preserve"> </w:t>
      </w:r>
    </w:p>
    <w:p w14:paraId="3A2116F0" w14:textId="3EF6D294" w:rsidR="00EF5BEA" w:rsidRDefault="004855FF" w:rsidP="004A4E53">
      <w:pPr>
        <w:rPr>
          <w:rFonts w:ascii="Calibri" w:hAnsi="Calibri"/>
          <w:szCs w:val="24"/>
        </w:rPr>
      </w:pPr>
      <w:r>
        <w:rPr>
          <w:rFonts w:ascii="Calibri" w:hAnsi="Calibri"/>
          <w:szCs w:val="24"/>
        </w:rPr>
        <w:t>This leaves the Welsh Government with a significant headache</w:t>
      </w:r>
      <w:r w:rsidR="00391008">
        <w:rPr>
          <w:rFonts w:ascii="Calibri" w:hAnsi="Calibri"/>
          <w:szCs w:val="24"/>
        </w:rPr>
        <w:t xml:space="preserve"> because </w:t>
      </w:r>
      <w:r w:rsidR="00C33E88">
        <w:rPr>
          <w:rFonts w:ascii="Calibri" w:hAnsi="Calibri"/>
          <w:szCs w:val="24"/>
        </w:rPr>
        <w:t xml:space="preserve">of </w:t>
      </w:r>
      <w:r w:rsidR="00CD5043">
        <w:rPr>
          <w:rFonts w:ascii="Calibri" w:hAnsi="Calibri"/>
          <w:szCs w:val="24"/>
        </w:rPr>
        <w:t>Wales</w:t>
      </w:r>
      <w:r w:rsidR="00C33E88">
        <w:rPr>
          <w:rFonts w:ascii="Calibri" w:hAnsi="Calibri"/>
          <w:szCs w:val="24"/>
        </w:rPr>
        <w:t>’</w:t>
      </w:r>
      <w:r w:rsidR="00CD5043">
        <w:rPr>
          <w:rFonts w:ascii="Calibri" w:hAnsi="Calibri"/>
          <w:szCs w:val="24"/>
        </w:rPr>
        <w:t xml:space="preserve"> heavily relian</w:t>
      </w:r>
      <w:r w:rsidR="00C33E88">
        <w:rPr>
          <w:rFonts w:ascii="Calibri" w:hAnsi="Calibri"/>
          <w:szCs w:val="24"/>
        </w:rPr>
        <w:t xml:space="preserve">ce </w:t>
      </w:r>
      <w:r w:rsidR="00CD5043">
        <w:rPr>
          <w:rFonts w:ascii="Calibri" w:hAnsi="Calibri"/>
          <w:szCs w:val="24"/>
        </w:rPr>
        <w:t>on EU</w:t>
      </w:r>
      <w:r>
        <w:rPr>
          <w:rFonts w:ascii="Calibri" w:hAnsi="Calibri"/>
          <w:szCs w:val="24"/>
        </w:rPr>
        <w:t xml:space="preserve"> funding through</w:t>
      </w:r>
      <w:r w:rsidR="00CD5043">
        <w:rPr>
          <w:rFonts w:ascii="Calibri" w:hAnsi="Calibri"/>
          <w:szCs w:val="24"/>
        </w:rPr>
        <w:t xml:space="preserve"> </w:t>
      </w:r>
      <w:r w:rsidR="003E51E0">
        <w:rPr>
          <w:rFonts w:ascii="Calibri" w:hAnsi="Calibri"/>
          <w:szCs w:val="24"/>
        </w:rPr>
        <w:t xml:space="preserve">sources such as the </w:t>
      </w:r>
      <w:r w:rsidR="00CD5043">
        <w:rPr>
          <w:rFonts w:ascii="Calibri" w:hAnsi="Calibri"/>
          <w:szCs w:val="24"/>
        </w:rPr>
        <w:t>agricultural subsidy and structural funding</w:t>
      </w:r>
      <w:r w:rsidR="006E5E61">
        <w:rPr>
          <w:rFonts w:ascii="Calibri" w:hAnsi="Calibri"/>
          <w:szCs w:val="24"/>
        </w:rPr>
        <w:t xml:space="preserve"> </w:t>
      </w:r>
      <w:r w:rsidR="00391008">
        <w:rPr>
          <w:rFonts w:ascii="Calibri" w:hAnsi="Calibri"/>
          <w:szCs w:val="24"/>
        </w:rPr>
        <w:t xml:space="preserve">for its economic wellbeing </w:t>
      </w:r>
      <w:r w:rsidR="006E5E61">
        <w:rPr>
          <w:rFonts w:ascii="Calibri" w:hAnsi="Calibri"/>
          <w:szCs w:val="24"/>
        </w:rPr>
        <w:t>(Jones, 2016)</w:t>
      </w:r>
      <w:r w:rsidR="00CD5043">
        <w:rPr>
          <w:rFonts w:ascii="Calibri" w:hAnsi="Calibri"/>
          <w:szCs w:val="24"/>
        </w:rPr>
        <w:t xml:space="preserve">. </w:t>
      </w:r>
      <w:r w:rsidR="002E685F">
        <w:rPr>
          <w:rFonts w:ascii="Calibri" w:hAnsi="Calibri"/>
          <w:szCs w:val="24"/>
        </w:rPr>
        <w:t xml:space="preserve">The </w:t>
      </w:r>
      <w:r w:rsidR="00CD5043">
        <w:rPr>
          <w:rFonts w:ascii="Calibri" w:hAnsi="Calibri"/>
          <w:szCs w:val="24"/>
        </w:rPr>
        <w:t>Welsh Government</w:t>
      </w:r>
      <w:r w:rsidR="00391008">
        <w:rPr>
          <w:rFonts w:ascii="Calibri" w:hAnsi="Calibri"/>
          <w:szCs w:val="24"/>
        </w:rPr>
        <w:t xml:space="preserve"> </w:t>
      </w:r>
      <w:r w:rsidR="00C33E88">
        <w:rPr>
          <w:rFonts w:ascii="Calibri" w:hAnsi="Calibri"/>
          <w:szCs w:val="24"/>
        </w:rPr>
        <w:t>has positioned itself</w:t>
      </w:r>
      <w:r w:rsidR="002E685F">
        <w:rPr>
          <w:rFonts w:ascii="Calibri" w:hAnsi="Calibri"/>
          <w:szCs w:val="24"/>
        </w:rPr>
        <w:t xml:space="preserve"> to </w:t>
      </w:r>
      <w:r w:rsidR="00CD5043">
        <w:rPr>
          <w:rFonts w:ascii="Calibri" w:hAnsi="Calibri"/>
          <w:szCs w:val="24"/>
        </w:rPr>
        <w:t>protect its economic reliance on EU largesse,</w:t>
      </w:r>
      <w:r w:rsidR="00C33E88">
        <w:rPr>
          <w:rFonts w:ascii="Calibri" w:hAnsi="Calibri"/>
          <w:szCs w:val="24"/>
        </w:rPr>
        <w:t xml:space="preserve"> by</w:t>
      </w:r>
      <w:r w:rsidR="00CD5043">
        <w:rPr>
          <w:rFonts w:ascii="Calibri" w:hAnsi="Calibri"/>
          <w:szCs w:val="24"/>
        </w:rPr>
        <w:t xml:space="preserve"> adopted a status-quo position; attempting both to secure its position within the UK and as part of the EU (Minto, 2017).</w:t>
      </w:r>
      <w:r>
        <w:rPr>
          <w:rFonts w:ascii="Calibri" w:hAnsi="Calibri"/>
          <w:szCs w:val="24"/>
        </w:rPr>
        <w:t xml:space="preserve"> How much Wales is reliant on EU funding is demonstrated through the subsidies and grants it receives; in 2016 Wales received £628 per capita funding from the EU compared to £102</w:t>
      </w:r>
      <w:r w:rsidR="006E5E61">
        <w:rPr>
          <w:rFonts w:ascii="Calibri" w:hAnsi="Calibri"/>
          <w:szCs w:val="24"/>
        </w:rPr>
        <w:t xml:space="preserve"> per capita</w:t>
      </w:r>
      <w:r>
        <w:rPr>
          <w:rFonts w:ascii="Calibri" w:hAnsi="Calibri"/>
          <w:szCs w:val="24"/>
        </w:rPr>
        <w:t xml:space="preserve"> for England and £134 </w:t>
      </w:r>
      <w:r w:rsidR="006E5E61">
        <w:rPr>
          <w:rFonts w:ascii="Calibri" w:hAnsi="Calibri"/>
          <w:szCs w:val="24"/>
        </w:rPr>
        <w:t xml:space="preserve">per capita </w:t>
      </w:r>
      <w:r>
        <w:rPr>
          <w:rFonts w:ascii="Calibri" w:hAnsi="Calibri"/>
          <w:szCs w:val="24"/>
        </w:rPr>
        <w:t>for Scotla</w:t>
      </w:r>
      <w:r w:rsidR="00391008">
        <w:rPr>
          <w:rFonts w:ascii="Calibri" w:hAnsi="Calibri"/>
          <w:szCs w:val="24"/>
        </w:rPr>
        <w:t>nd</w:t>
      </w:r>
      <w:r w:rsidR="00BB07D3">
        <w:rPr>
          <w:rFonts w:ascii="Calibri" w:hAnsi="Calibri"/>
          <w:szCs w:val="24"/>
        </w:rPr>
        <w:t xml:space="preserve"> (Jones, 2016).</w:t>
      </w:r>
      <w:r w:rsidR="00391008">
        <w:rPr>
          <w:rFonts w:ascii="Calibri" w:hAnsi="Calibri"/>
          <w:szCs w:val="24"/>
        </w:rPr>
        <w:t xml:space="preserve"> </w:t>
      </w:r>
      <w:r w:rsidR="00C33E88">
        <w:rPr>
          <w:rFonts w:ascii="Calibri" w:hAnsi="Calibri"/>
          <w:szCs w:val="24"/>
        </w:rPr>
        <w:t>I</w:t>
      </w:r>
      <w:r w:rsidR="006E5E61">
        <w:rPr>
          <w:rFonts w:ascii="Calibri" w:hAnsi="Calibri"/>
          <w:szCs w:val="24"/>
        </w:rPr>
        <w:t xml:space="preserve">n 2016, </w:t>
      </w:r>
      <w:r>
        <w:rPr>
          <w:rFonts w:ascii="Calibri" w:hAnsi="Calibri"/>
          <w:szCs w:val="24"/>
        </w:rPr>
        <w:t xml:space="preserve">Wales </w:t>
      </w:r>
      <w:r w:rsidR="002E685F">
        <w:rPr>
          <w:rFonts w:ascii="Calibri" w:hAnsi="Calibri"/>
          <w:szCs w:val="24"/>
        </w:rPr>
        <w:t xml:space="preserve">also </w:t>
      </w:r>
      <w:r>
        <w:rPr>
          <w:rFonts w:ascii="Calibri" w:hAnsi="Calibri"/>
          <w:szCs w:val="24"/>
        </w:rPr>
        <w:t>attracted more th</w:t>
      </w:r>
      <w:r w:rsidR="006E5E61">
        <w:rPr>
          <w:rFonts w:ascii="Calibri" w:hAnsi="Calibri"/>
          <w:szCs w:val="24"/>
        </w:rPr>
        <w:t>a</w:t>
      </w:r>
      <w:r>
        <w:rPr>
          <w:rFonts w:ascii="Calibri" w:hAnsi="Calibri"/>
          <w:szCs w:val="24"/>
        </w:rPr>
        <w:t>n £2 billion of structural funding intended t</w:t>
      </w:r>
      <w:r w:rsidR="006E5E61">
        <w:rPr>
          <w:rFonts w:ascii="Calibri" w:hAnsi="Calibri"/>
          <w:szCs w:val="24"/>
        </w:rPr>
        <w:t xml:space="preserve">o support projects which improve economic activities </w:t>
      </w:r>
      <w:r w:rsidR="00BB07D3">
        <w:rPr>
          <w:rFonts w:ascii="Calibri" w:hAnsi="Calibri"/>
          <w:szCs w:val="24"/>
        </w:rPr>
        <w:t>in areas of deprivation such as West Wales and the Welsh valleys, including</w:t>
      </w:r>
      <w:r w:rsidR="006E5E61">
        <w:rPr>
          <w:rFonts w:ascii="Calibri" w:hAnsi="Calibri"/>
          <w:szCs w:val="24"/>
        </w:rPr>
        <w:t xml:space="preserve"> training and developmen</w:t>
      </w:r>
      <w:r w:rsidR="00BB07D3">
        <w:rPr>
          <w:rFonts w:ascii="Calibri" w:hAnsi="Calibri"/>
          <w:szCs w:val="24"/>
        </w:rPr>
        <w:t>t</w:t>
      </w:r>
      <w:r w:rsidR="006E5E61">
        <w:rPr>
          <w:rFonts w:ascii="Calibri" w:hAnsi="Calibri"/>
          <w:szCs w:val="24"/>
        </w:rPr>
        <w:t xml:space="preserve"> (Jones, 2016).</w:t>
      </w:r>
      <w:r w:rsidR="002E685F">
        <w:rPr>
          <w:rFonts w:ascii="Calibri" w:hAnsi="Calibri"/>
          <w:szCs w:val="24"/>
        </w:rPr>
        <w:t xml:space="preserve"> </w:t>
      </w:r>
      <w:r w:rsidR="00443A62" w:rsidRPr="00443A62">
        <w:rPr>
          <w:rFonts w:ascii="Calibri" w:hAnsi="Calibri"/>
          <w:szCs w:val="24"/>
        </w:rPr>
        <w:t xml:space="preserve">These grants have a focus of excellence innovation and health and safety with the aim reducing poverty and encouraging social, inclusion and are distributed by the Welsh assembly government under the name of the Welsh European Funding Office (WEFO). </w:t>
      </w:r>
      <w:r w:rsidR="00C33E88">
        <w:rPr>
          <w:rFonts w:ascii="Calibri" w:hAnsi="Calibri"/>
          <w:szCs w:val="24"/>
        </w:rPr>
        <w:t xml:space="preserve">Under the CAP Welsh farmers receive around £250 million a year through the Basic Payment Scheme </w:t>
      </w:r>
      <w:r w:rsidR="00443A62">
        <w:rPr>
          <w:rFonts w:ascii="Calibri" w:hAnsi="Calibri"/>
          <w:szCs w:val="24"/>
        </w:rPr>
        <w:t xml:space="preserve">(BPS). The survey of Welsh Farm Business undertaken by the University of Aberystwyth in 2016 indicates the reliance of small farms in Wales on the BPS; whilst income from Welsh farms is on average higher than that of the Scotland and Northern Ireland with Welsh farmers in 2014 earning </w:t>
      </w:r>
      <w:r w:rsidR="00EB6C8F">
        <w:rPr>
          <w:rFonts w:ascii="Calibri" w:hAnsi="Calibri"/>
          <w:szCs w:val="24"/>
        </w:rPr>
        <w:t>o</w:t>
      </w:r>
      <w:r w:rsidR="00443A62">
        <w:rPr>
          <w:rFonts w:ascii="Calibri" w:hAnsi="Calibri"/>
          <w:szCs w:val="24"/>
        </w:rPr>
        <w:t>n average £29,400</w:t>
      </w:r>
      <w:r w:rsidR="00EB6C8F">
        <w:rPr>
          <w:rFonts w:ascii="Calibri" w:hAnsi="Calibri"/>
          <w:szCs w:val="24"/>
        </w:rPr>
        <w:t xml:space="preserve"> (Welsh Government, 2016). </w:t>
      </w:r>
      <w:r w:rsidR="00EB6C8F">
        <w:rPr>
          <w:rFonts w:ascii="Calibri" w:hAnsi="Calibri"/>
          <w:szCs w:val="24"/>
        </w:rPr>
        <w:t xml:space="preserve">Welsh farms are smaller than their English counterparts, and the possibilities for agricultural use </w:t>
      </w:r>
      <w:r w:rsidR="00EB6C8F">
        <w:rPr>
          <w:rFonts w:ascii="Calibri" w:hAnsi="Calibri"/>
          <w:szCs w:val="24"/>
        </w:rPr>
        <w:t>is</w:t>
      </w:r>
      <w:r w:rsidR="00EB6C8F">
        <w:rPr>
          <w:rFonts w:ascii="Calibri" w:hAnsi="Calibri"/>
          <w:szCs w:val="24"/>
        </w:rPr>
        <w:t xml:space="preserve"> limited because the climate is wetter and the land more mountainous. Only 5% of agricultural land in </w:t>
      </w:r>
      <w:r w:rsidR="00EB6C8F">
        <w:rPr>
          <w:rFonts w:ascii="Calibri" w:hAnsi="Calibri"/>
          <w:szCs w:val="24"/>
        </w:rPr>
        <w:t>W</w:t>
      </w:r>
      <w:r w:rsidR="00EB6C8F">
        <w:rPr>
          <w:rFonts w:ascii="Calibri" w:hAnsi="Calibri"/>
          <w:szCs w:val="24"/>
        </w:rPr>
        <w:t xml:space="preserve">ales is suitable for arable farming, </w:t>
      </w:r>
      <w:r w:rsidR="00EB6C8F">
        <w:rPr>
          <w:rFonts w:ascii="Calibri" w:hAnsi="Calibri"/>
          <w:szCs w:val="24"/>
        </w:rPr>
        <w:t>being mainly,</w:t>
      </w:r>
      <w:r w:rsidR="00EB6C8F">
        <w:rPr>
          <w:rFonts w:ascii="Calibri" w:hAnsi="Calibri"/>
          <w:szCs w:val="24"/>
        </w:rPr>
        <w:t xml:space="preserve"> upland and </w:t>
      </w:r>
      <w:r w:rsidR="00333050">
        <w:rPr>
          <w:rFonts w:ascii="Calibri" w:hAnsi="Calibri"/>
          <w:szCs w:val="24"/>
        </w:rPr>
        <w:t xml:space="preserve">is therefore </w:t>
      </w:r>
      <w:r w:rsidR="00EB6C8F">
        <w:rPr>
          <w:rFonts w:ascii="Calibri" w:hAnsi="Calibri"/>
          <w:szCs w:val="24"/>
        </w:rPr>
        <w:t>principally</w:t>
      </w:r>
      <w:r w:rsidR="00EB6C8F">
        <w:rPr>
          <w:rFonts w:ascii="Calibri" w:hAnsi="Calibri"/>
          <w:szCs w:val="24"/>
        </w:rPr>
        <w:t xml:space="preserve"> used for grazing and rearing livestock</w:t>
      </w:r>
      <w:r w:rsidR="00333050">
        <w:rPr>
          <w:rFonts w:ascii="Calibri" w:hAnsi="Calibri"/>
          <w:szCs w:val="24"/>
        </w:rPr>
        <w:t xml:space="preserve"> such as</w:t>
      </w:r>
      <w:r w:rsidR="00EB6C8F">
        <w:rPr>
          <w:rFonts w:ascii="Calibri" w:hAnsi="Calibri"/>
          <w:szCs w:val="24"/>
        </w:rPr>
        <w:t xml:space="preserve"> sheep. </w:t>
      </w:r>
      <w:r w:rsidR="00333050">
        <w:rPr>
          <w:rFonts w:ascii="Calibri" w:hAnsi="Calibri"/>
          <w:szCs w:val="24"/>
        </w:rPr>
        <w:t>A</w:t>
      </w:r>
      <w:r w:rsidR="00443A62">
        <w:rPr>
          <w:rFonts w:ascii="Calibri" w:hAnsi="Calibri"/>
          <w:szCs w:val="24"/>
        </w:rPr>
        <w:t xml:space="preserve">round 80% of Welsh famers income is derived </w:t>
      </w:r>
      <w:r w:rsidR="00333050">
        <w:rPr>
          <w:rFonts w:ascii="Calibri" w:hAnsi="Calibri"/>
          <w:szCs w:val="24"/>
        </w:rPr>
        <w:t>through</w:t>
      </w:r>
      <w:r w:rsidR="00443A62">
        <w:rPr>
          <w:rFonts w:ascii="Calibri" w:hAnsi="Calibri"/>
          <w:szCs w:val="24"/>
        </w:rPr>
        <w:t xml:space="preserve"> the BPS as opposed to the UK average of 55% (Financial Times, 2017; Kay, 2016). Unsurprisingly the Union of Farmers in May 2017 expressed their concern that Welsh </w:t>
      </w:r>
      <w:r w:rsidR="007D7F28">
        <w:rPr>
          <w:rFonts w:ascii="Calibri" w:hAnsi="Calibri"/>
          <w:szCs w:val="24"/>
        </w:rPr>
        <w:t>f</w:t>
      </w:r>
      <w:r w:rsidR="00443A62">
        <w:rPr>
          <w:rFonts w:ascii="Calibri" w:hAnsi="Calibri"/>
          <w:szCs w:val="24"/>
        </w:rPr>
        <w:t>a</w:t>
      </w:r>
      <w:r w:rsidR="007D7F28">
        <w:rPr>
          <w:rFonts w:ascii="Calibri" w:hAnsi="Calibri"/>
          <w:szCs w:val="24"/>
        </w:rPr>
        <w:t>r</w:t>
      </w:r>
      <w:r w:rsidR="00443A62">
        <w:rPr>
          <w:rFonts w:ascii="Calibri" w:hAnsi="Calibri"/>
          <w:szCs w:val="24"/>
        </w:rPr>
        <w:t xml:space="preserve">ming could be decimated </w:t>
      </w:r>
      <w:r w:rsidR="00333050">
        <w:rPr>
          <w:rFonts w:ascii="Calibri" w:hAnsi="Calibri"/>
          <w:szCs w:val="24"/>
        </w:rPr>
        <w:t xml:space="preserve">by loss of these subsidies </w:t>
      </w:r>
      <w:r w:rsidR="00443A62">
        <w:rPr>
          <w:rFonts w:ascii="Calibri" w:hAnsi="Calibri"/>
          <w:szCs w:val="24"/>
        </w:rPr>
        <w:t xml:space="preserve">following Brexit. (WFU, 2017). </w:t>
      </w:r>
      <w:r w:rsidR="00F172CF">
        <w:rPr>
          <w:rFonts w:ascii="Calibri" w:hAnsi="Calibri"/>
          <w:szCs w:val="24"/>
        </w:rPr>
        <w:t>However, some commentators have suggested that the Basic Payment Scheme is a crude mechanis</w:t>
      </w:r>
      <w:r w:rsidR="008957F4">
        <w:rPr>
          <w:rFonts w:ascii="Calibri" w:hAnsi="Calibri"/>
          <w:szCs w:val="24"/>
        </w:rPr>
        <w:t xml:space="preserve">m, based </w:t>
      </w:r>
      <w:r w:rsidR="00170D90">
        <w:rPr>
          <w:rFonts w:ascii="Calibri" w:hAnsi="Calibri"/>
          <w:szCs w:val="24"/>
        </w:rPr>
        <w:t xml:space="preserve">solely </w:t>
      </w:r>
      <w:r w:rsidR="008957F4">
        <w:rPr>
          <w:rFonts w:ascii="Calibri" w:hAnsi="Calibri"/>
          <w:szCs w:val="24"/>
        </w:rPr>
        <w:t xml:space="preserve">on land </w:t>
      </w:r>
      <w:r w:rsidR="00C833A2">
        <w:rPr>
          <w:rFonts w:ascii="Calibri" w:hAnsi="Calibri"/>
          <w:szCs w:val="24"/>
        </w:rPr>
        <w:t>hectarage;</w:t>
      </w:r>
      <w:r w:rsidR="008957F4">
        <w:rPr>
          <w:rFonts w:ascii="Calibri" w:hAnsi="Calibri"/>
          <w:szCs w:val="24"/>
        </w:rPr>
        <w:t xml:space="preserve"> taking no account of productivity or land use (Kay, 2017). </w:t>
      </w:r>
      <w:r w:rsidR="00170D90">
        <w:rPr>
          <w:rFonts w:ascii="Calibri" w:hAnsi="Calibri"/>
          <w:szCs w:val="24"/>
        </w:rPr>
        <w:t>There has been criticism, for example of the fact that the very wealthy and landowners of great estates are eligible to receive CAP subsidy purely due to their landown</w:t>
      </w:r>
      <w:r w:rsidR="00E77DBA">
        <w:rPr>
          <w:rFonts w:ascii="Calibri" w:hAnsi="Calibri"/>
          <w:szCs w:val="24"/>
        </w:rPr>
        <w:t>er</w:t>
      </w:r>
      <w:r w:rsidR="00170D90">
        <w:rPr>
          <w:rFonts w:ascii="Calibri" w:hAnsi="Calibri"/>
          <w:szCs w:val="24"/>
        </w:rPr>
        <w:t xml:space="preserve"> status; including</w:t>
      </w:r>
      <w:r w:rsidR="00815BD3">
        <w:rPr>
          <w:rFonts w:ascii="Calibri" w:hAnsi="Calibri"/>
          <w:szCs w:val="24"/>
        </w:rPr>
        <w:t xml:space="preserve">, for example, </w:t>
      </w:r>
      <w:r w:rsidR="00170D90">
        <w:rPr>
          <w:rFonts w:ascii="Calibri" w:hAnsi="Calibri"/>
          <w:szCs w:val="24"/>
        </w:rPr>
        <w:t>the Queen and Prince Charles; the Queens estate at Sandringham is reported to have received around £675,000 in EU subsidies in 2016 (Castle, 2017).</w:t>
      </w:r>
      <w:r w:rsidR="00815BD3">
        <w:rPr>
          <w:rFonts w:ascii="Calibri" w:hAnsi="Calibri"/>
          <w:szCs w:val="24"/>
        </w:rPr>
        <w:t xml:space="preserve"> </w:t>
      </w:r>
      <w:r w:rsidR="00271C22">
        <w:rPr>
          <w:rFonts w:ascii="Calibri" w:hAnsi="Calibri"/>
          <w:szCs w:val="24"/>
        </w:rPr>
        <w:t xml:space="preserve">Monbiot (2014) suggests that the Common Agricultural Policy is an example of the perverse nature of EU policy which blatantly transfers money from the poor to the rich (Monbiot, 2014). </w:t>
      </w:r>
      <w:r w:rsidR="00EF5BEA">
        <w:rPr>
          <w:rFonts w:ascii="Calibri" w:hAnsi="Calibri"/>
          <w:szCs w:val="24"/>
        </w:rPr>
        <w:t>This leaves the question as to whether the British taxpayer should continue to underwrite the incomes of some of the wealthiest landowners in the UK (Castle, 2017)</w:t>
      </w:r>
      <w:r w:rsidR="00746316">
        <w:rPr>
          <w:rFonts w:ascii="Calibri" w:hAnsi="Calibri"/>
          <w:szCs w:val="24"/>
        </w:rPr>
        <w:t xml:space="preserve">, though Brexit does provide the opportunity for the Government to consider options such as </w:t>
      </w:r>
      <w:r w:rsidR="00E77DBA">
        <w:rPr>
          <w:rFonts w:ascii="Calibri" w:hAnsi="Calibri"/>
          <w:szCs w:val="24"/>
        </w:rPr>
        <w:t>upper limits of subsidy</w:t>
      </w:r>
      <w:r w:rsidR="00746316">
        <w:rPr>
          <w:rFonts w:ascii="Calibri" w:hAnsi="Calibri"/>
          <w:szCs w:val="24"/>
        </w:rPr>
        <w:t xml:space="preserve"> (Castle, 2017)</w:t>
      </w:r>
      <w:r w:rsidR="00EF5BEA">
        <w:rPr>
          <w:rFonts w:ascii="Calibri" w:hAnsi="Calibri"/>
          <w:szCs w:val="24"/>
        </w:rPr>
        <w:t xml:space="preserve">. </w:t>
      </w:r>
    </w:p>
    <w:p w14:paraId="50D1C2F3" w14:textId="104FD37B" w:rsidR="00E77DBA" w:rsidRDefault="008957F4" w:rsidP="00471ECA">
      <w:pPr>
        <w:rPr>
          <w:rFonts w:ascii="Calibri" w:hAnsi="Calibri"/>
          <w:szCs w:val="24"/>
        </w:rPr>
      </w:pPr>
      <w:r>
        <w:rPr>
          <w:rFonts w:ascii="Calibri" w:hAnsi="Calibri"/>
          <w:szCs w:val="24"/>
        </w:rPr>
        <w:t xml:space="preserve">Brexit therefore </w:t>
      </w:r>
      <w:r w:rsidR="00C50A0D">
        <w:rPr>
          <w:rFonts w:ascii="Calibri" w:hAnsi="Calibri"/>
          <w:szCs w:val="24"/>
        </w:rPr>
        <w:t xml:space="preserve">not only presents a challenge in ensuring that equivalent or greater funding is available </w:t>
      </w:r>
      <w:r w:rsidR="00B42CE9">
        <w:rPr>
          <w:rFonts w:ascii="Calibri" w:hAnsi="Calibri"/>
          <w:szCs w:val="24"/>
        </w:rPr>
        <w:t xml:space="preserve">to </w:t>
      </w:r>
      <w:r w:rsidR="00C50A0D">
        <w:rPr>
          <w:rFonts w:ascii="Calibri" w:hAnsi="Calibri"/>
          <w:szCs w:val="24"/>
        </w:rPr>
        <w:t>Welsh farmers</w:t>
      </w:r>
      <w:r w:rsidR="000574F8">
        <w:rPr>
          <w:rFonts w:ascii="Calibri" w:hAnsi="Calibri"/>
          <w:szCs w:val="24"/>
        </w:rPr>
        <w:t>, but is also</w:t>
      </w:r>
      <w:r w:rsidR="00C50A0D">
        <w:rPr>
          <w:rFonts w:ascii="Calibri" w:hAnsi="Calibri"/>
          <w:szCs w:val="24"/>
        </w:rPr>
        <w:t xml:space="preserve"> </w:t>
      </w:r>
      <w:r>
        <w:rPr>
          <w:rFonts w:ascii="Calibri" w:hAnsi="Calibri"/>
          <w:szCs w:val="24"/>
        </w:rPr>
        <w:t>provides an opportunity for the UK and devolved Governments to introduce a</w:t>
      </w:r>
      <w:r w:rsidR="000574F8">
        <w:rPr>
          <w:rFonts w:ascii="Calibri" w:hAnsi="Calibri"/>
          <w:szCs w:val="24"/>
        </w:rPr>
        <w:t xml:space="preserve"> funding regime which encourages productivity, sustainability and innovation (White, 2017). The UK Government appears to be grasping this nettle; </w:t>
      </w:r>
      <w:r w:rsidR="00C52BA5">
        <w:rPr>
          <w:rFonts w:ascii="Calibri" w:hAnsi="Calibri"/>
          <w:szCs w:val="24"/>
        </w:rPr>
        <w:t>with an announcement by</w:t>
      </w:r>
      <w:r w:rsidR="000574F8">
        <w:rPr>
          <w:rFonts w:ascii="Calibri" w:hAnsi="Calibri"/>
          <w:szCs w:val="24"/>
        </w:rPr>
        <w:t xml:space="preserve"> the </w:t>
      </w:r>
      <w:r w:rsidR="00E77DBA">
        <w:rPr>
          <w:rFonts w:ascii="Calibri" w:hAnsi="Calibri"/>
          <w:szCs w:val="24"/>
        </w:rPr>
        <w:t xml:space="preserve">UK </w:t>
      </w:r>
      <w:r w:rsidR="000574F8">
        <w:rPr>
          <w:rFonts w:ascii="Calibri" w:hAnsi="Calibri"/>
          <w:szCs w:val="24"/>
        </w:rPr>
        <w:t xml:space="preserve">Environment Secretary, Michael Gove </w:t>
      </w:r>
      <w:r w:rsidR="00C52BA5">
        <w:rPr>
          <w:rFonts w:ascii="Calibri" w:hAnsi="Calibri"/>
          <w:szCs w:val="24"/>
        </w:rPr>
        <w:t>on 5</w:t>
      </w:r>
      <w:r w:rsidR="00C52BA5" w:rsidRPr="00C52BA5">
        <w:rPr>
          <w:rFonts w:ascii="Calibri" w:hAnsi="Calibri"/>
          <w:szCs w:val="24"/>
          <w:vertAlign w:val="superscript"/>
        </w:rPr>
        <w:t>th</w:t>
      </w:r>
      <w:r w:rsidR="00C52BA5">
        <w:rPr>
          <w:rFonts w:ascii="Calibri" w:hAnsi="Calibri"/>
          <w:szCs w:val="24"/>
        </w:rPr>
        <w:t xml:space="preserve"> January 2018, </w:t>
      </w:r>
      <w:r w:rsidR="000574F8">
        <w:rPr>
          <w:rFonts w:ascii="Calibri" w:hAnsi="Calibri"/>
          <w:szCs w:val="24"/>
        </w:rPr>
        <w:t>that following Brexit</w:t>
      </w:r>
      <w:r w:rsidR="00C52BA5">
        <w:rPr>
          <w:rFonts w:ascii="Calibri" w:hAnsi="Calibri"/>
          <w:szCs w:val="24"/>
        </w:rPr>
        <w:t>, and until 2022, the expected date of the next general election,</w:t>
      </w:r>
      <w:r w:rsidR="000574F8">
        <w:rPr>
          <w:rFonts w:ascii="Calibri" w:hAnsi="Calibri"/>
          <w:szCs w:val="24"/>
        </w:rPr>
        <w:t xml:space="preserve"> farmers in England would receive the </w:t>
      </w:r>
      <w:r w:rsidR="00C52BA5">
        <w:rPr>
          <w:rFonts w:ascii="Calibri" w:hAnsi="Calibri"/>
          <w:szCs w:val="24"/>
        </w:rPr>
        <w:t>same level of subsidy as under the EU’s CAP. However</w:t>
      </w:r>
      <w:r w:rsidR="00170D90">
        <w:rPr>
          <w:rFonts w:ascii="Calibri" w:hAnsi="Calibri"/>
          <w:szCs w:val="24"/>
        </w:rPr>
        <w:t>,</w:t>
      </w:r>
      <w:r w:rsidR="00C52BA5">
        <w:rPr>
          <w:rFonts w:ascii="Calibri" w:hAnsi="Calibri"/>
          <w:szCs w:val="24"/>
        </w:rPr>
        <w:t xml:space="preserve"> following 2022 the aim is a transitional arrangement which would see a revision of the way the subsidy arrangements are applied to reinforce the benefits to the public of this use of taxpayers</w:t>
      </w:r>
      <w:r w:rsidR="00170D90">
        <w:rPr>
          <w:rFonts w:ascii="Calibri" w:hAnsi="Calibri"/>
          <w:szCs w:val="24"/>
        </w:rPr>
        <w:t>’</w:t>
      </w:r>
      <w:r w:rsidR="00C52BA5">
        <w:rPr>
          <w:rFonts w:ascii="Calibri" w:hAnsi="Calibri"/>
          <w:szCs w:val="24"/>
        </w:rPr>
        <w:t xml:space="preserve"> money; proposals such as </w:t>
      </w:r>
      <w:r w:rsidR="00C52BA5">
        <w:rPr>
          <w:rFonts w:ascii="Calibri" w:hAnsi="Calibri"/>
          <w:szCs w:val="24"/>
        </w:rPr>
        <w:lastRenderedPageBreak/>
        <w:t xml:space="preserve">environmental improvements and uses, </w:t>
      </w:r>
      <w:r w:rsidR="00170D90">
        <w:rPr>
          <w:rFonts w:ascii="Calibri" w:hAnsi="Calibri"/>
          <w:szCs w:val="24"/>
        </w:rPr>
        <w:t xml:space="preserve">increased </w:t>
      </w:r>
      <w:r w:rsidR="00C52BA5">
        <w:rPr>
          <w:rFonts w:ascii="Calibri" w:hAnsi="Calibri"/>
          <w:szCs w:val="24"/>
        </w:rPr>
        <w:t xml:space="preserve">access </w:t>
      </w:r>
      <w:r w:rsidR="00170D90">
        <w:rPr>
          <w:rFonts w:ascii="Calibri" w:hAnsi="Calibri"/>
          <w:szCs w:val="24"/>
        </w:rPr>
        <w:t xml:space="preserve">of the public </w:t>
      </w:r>
      <w:r w:rsidR="00C52BA5">
        <w:rPr>
          <w:rFonts w:ascii="Calibri" w:hAnsi="Calibri"/>
          <w:szCs w:val="24"/>
        </w:rPr>
        <w:t>to</w:t>
      </w:r>
      <w:r w:rsidR="00170D90">
        <w:rPr>
          <w:rFonts w:ascii="Calibri" w:hAnsi="Calibri"/>
          <w:szCs w:val="24"/>
        </w:rPr>
        <w:t xml:space="preserve"> private</w:t>
      </w:r>
      <w:r w:rsidR="00C52BA5">
        <w:rPr>
          <w:rFonts w:ascii="Calibri" w:hAnsi="Calibri"/>
          <w:szCs w:val="24"/>
        </w:rPr>
        <w:t xml:space="preserve"> land and</w:t>
      </w:r>
      <w:r w:rsidR="00EF5BEA">
        <w:rPr>
          <w:rFonts w:ascii="Calibri" w:hAnsi="Calibri"/>
          <w:szCs w:val="24"/>
        </w:rPr>
        <w:t xml:space="preserve"> alternative land uses (</w:t>
      </w:r>
      <w:proofErr w:type="spellStart"/>
      <w:r w:rsidR="00923DCD">
        <w:rPr>
          <w:rFonts w:ascii="Calibri" w:hAnsi="Calibri"/>
          <w:szCs w:val="24"/>
        </w:rPr>
        <w:t>Swinford</w:t>
      </w:r>
      <w:proofErr w:type="spellEnd"/>
      <w:r w:rsidR="00923DCD">
        <w:rPr>
          <w:rFonts w:ascii="Calibri" w:hAnsi="Calibri"/>
          <w:szCs w:val="24"/>
        </w:rPr>
        <w:t>, 2018)</w:t>
      </w:r>
      <w:r w:rsidR="00471ECA">
        <w:rPr>
          <w:rFonts w:ascii="Calibri" w:hAnsi="Calibri"/>
          <w:szCs w:val="24"/>
        </w:rPr>
        <w:t xml:space="preserve">. </w:t>
      </w:r>
      <w:r w:rsidR="00471ECA">
        <w:rPr>
          <w:rFonts w:ascii="Calibri" w:hAnsi="Calibri"/>
          <w:szCs w:val="24"/>
        </w:rPr>
        <w:t>Some argue that examples of countries outside of the EU such as Norway and Switzerland support their farmers to a greater degree than would be available under CAP, whilst others</w:t>
      </w:r>
      <w:r w:rsidR="00471ECA">
        <w:rPr>
          <w:rFonts w:ascii="Calibri" w:hAnsi="Calibri"/>
          <w:szCs w:val="24"/>
        </w:rPr>
        <w:t xml:space="preserve"> continue to be sceptical as to whether a Government which has pushed a public</w:t>
      </w:r>
      <w:r w:rsidR="00E77DBA">
        <w:rPr>
          <w:rFonts w:ascii="Calibri" w:hAnsi="Calibri"/>
          <w:szCs w:val="24"/>
        </w:rPr>
        <w:t>-</w:t>
      </w:r>
      <w:r w:rsidR="00471ECA">
        <w:rPr>
          <w:rFonts w:ascii="Calibri" w:hAnsi="Calibri"/>
          <w:szCs w:val="24"/>
        </w:rPr>
        <w:t>sector cost cutting agenda for many years would remain committed such unilateral subsidies (</w:t>
      </w:r>
      <w:proofErr w:type="spellStart"/>
      <w:r w:rsidR="00471ECA">
        <w:rPr>
          <w:rFonts w:ascii="Calibri" w:hAnsi="Calibri"/>
          <w:szCs w:val="24"/>
        </w:rPr>
        <w:t>Gosden</w:t>
      </w:r>
      <w:proofErr w:type="spellEnd"/>
      <w:r w:rsidR="00471ECA">
        <w:rPr>
          <w:rFonts w:ascii="Calibri" w:hAnsi="Calibri"/>
          <w:szCs w:val="24"/>
        </w:rPr>
        <w:t xml:space="preserve"> 2016).</w:t>
      </w:r>
    </w:p>
    <w:p w14:paraId="3E1BA47E" w14:textId="77777777" w:rsidR="00E77DBA" w:rsidRDefault="00E77DBA" w:rsidP="00E77DBA">
      <w:pPr>
        <w:rPr>
          <w:rFonts w:ascii="Calibri" w:hAnsi="Calibri"/>
          <w:szCs w:val="24"/>
        </w:rPr>
      </w:pPr>
      <w:r>
        <w:rPr>
          <w:rFonts w:ascii="Calibri" w:hAnsi="Calibri"/>
          <w:szCs w:val="24"/>
        </w:rPr>
        <w:t>Michael Gove’s announcement, although applying specifically to English farmers does have implications for Welsh farmers. It is improbable that the UK Government would introduce a replacement subsidy system for CAP which applies only to England and which is less beneficial for farmers of Wales and the other devolved nations. However, given the nature of the devolution settlement, this leaves a question as to how the subsidy systems will be applied to Welsh farmers. Since the EU subsidy system for Welsh farmers is administered by the Welsh Government.</w:t>
      </w:r>
    </w:p>
    <w:p w14:paraId="1A30D19A" w14:textId="4582389C" w:rsidR="00E77DBA" w:rsidRDefault="00E77DBA" w:rsidP="00E77DBA">
      <w:pPr>
        <w:rPr>
          <w:rFonts w:ascii="Calibri" w:hAnsi="Calibri"/>
          <w:szCs w:val="24"/>
        </w:rPr>
      </w:pPr>
      <w:r>
        <w:rPr>
          <w:rFonts w:ascii="Calibri" w:hAnsi="Calibri"/>
          <w:szCs w:val="24"/>
        </w:rPr>
        <w:t xml:space="preserve">Equivalency, or greater payments would therefore it would be for the Welsh Government to determine its priorities. However, in November 2017 the National Farmers Union </w:t>
      </w:r>
      <w:proofErr w:type="spellStart"/>
      <w:r>
        <w:rPr>
          <w:rFonts w:ascii="Calibri" w:hAnsi="Calibri"/>
          <w:szCs w:val="24"/>
        </w:rPr>
        <w:t>Cymru</w:t>
      </w:r>
      <w:proofErr w:type="spellEnd"/>
      <w:r>
        <w:rPr>
          <w:rFonts w:ascii="Calibri" w:hAnsi="Calibri"/>
          <w:szCs w:val="24"/>
        </w:rPr>
        <w:t xml:space="preserve"> reported that there had been a commitment from the Welsh Cabinet Secretary for Environment and Rural Affairs that any future subsidy would be ringfenced for Welsh farmers after Brexit (NFU </w:t>
      </w:r>
      <w:proofErr w:type="spellStart"/>
      <w:r>
        <w:rPr>
          <w:rFonts w:ascii="Calibri" w:hAnsi="Calibri"/>
          <w:szCs w:val="24"/>
        </w:rPr>
        <w:t>Cymru</w:t>
      </w:r>
      <w:proofErr w:type="spellEnd"/>
      <w:r>
        <w:rPr>
          <w:rFonts w:ascii="Calibri" w:hAnsi="Calibri"/>
          <w:szCs w:val="24"/>
        </w:rPr>
        <w:t xml:space="preserve">, 2017). However, there is also the suggestion that whilst maintaining current levels of funding and equivalent redistribution amongst the devolved nations is essential, Brexit presents the opportunity to redefine agricultural policy in Wales, meaning presumably, that farmers will have to meet new criteria for their subsidy (NFU </w:t>
      </w:r>
      <w:proofErr w:type="spellStart"/>
      <w:r>
        <w:rPr>
          <w:rFonts w:ascii="Calibri" w:hAnsi="Calibri"/>
          <w:szCs w:val="24"/>
        </w:rPr>
        <w:t>Cymru</w:t>
      </w:r>
      <w:proofErr w:type="spellEnd"/>
      <w:r>
        <w:rPr>
          <w:rFonts w:ascii="Calibri" w:hAnsi="Calibri"/>
          <w:szCs w:val="24"/>
        </w:rPr>
        <w:t xml:space="preserve">, 2017).      </w:t>
      </w:r>
    </w:p>
    <w:p w14:paraId="67F7DFDF" w14:textId="481EB069" w:rsidR="00A32CD2" w:rsidRDefault="005926B9" w:rsidP="004A4E53">
      <w:pPr>
        <w:rPr>
          <w:rFonts w:ascii="Calibri" w:hAnsi="Calibri"/>
          <w:szCs w:val="24"/>
        </w:rPr>
      </w:pPr>
      <w:r>
        <w:rPr>
          <w:rFonts w:ascii="Calibri" w:hAnsi="Calibri"/>
          <w:szCs w:val="24"/>
        </w:rPr>
        <w:t xml:space="preserve">Since Wales is so heavily reliant on EU funding, the Welsh Government, keen to protect its economic reliance on this </w:t>
      </w:r>
      <w:r>
        <w:rPr>
          <w:rFonts w:ascii="Calibri" w:hAnsi="Calibri"/>
          <w:szCs w:val="24"/>
        </w:rPr>
        <w:t>perceived E</w:t>
      </w:r>
      <w:r>
        <w:rPr>
          <w:rFonts w:ascii="Calibri" w:hAnsi="Calibri"/>
          <w:szCs w:val="24"/>
        </w:rPr>
        <w:t>U largesse</w:t>
      </w:r>
      <w:r>
        <w:rPr>
          <w:rFonts w:ascii="Calibri" w:hAnsi="Calibri"/>
          <w:szCs w:val="24"/>
        </w:rPr>
        <w:t>,</w:t>
      </w:r>
      <w:r>
        <w:rPr>
          <w:rFonts w:ascii="Calibri" w:hAnsi="Calibri"/>
          <w:szCs w:val="24"/>
        </w:rPr>
        <w:t xml:space="preserve"> has adopted a status-quo position; attempting both to secure its position within the UK and as part of the EU (Minto, 2017).</w:t>
      </w:r>
      <w:r w:rsidR="00E77DBA">
        <w:rPr>
          <w:rFonts w:ascii="Calibri" w:hAnsi="Calibri"/>
          <w:szCs w:val="24"/>
        </w:rPr>
        <w:t xml:space="preserve"> </w:t>
      </w:r>
      <w:r w:rsidR="00B65F4C">
        <w:rPr>
          <w:rFonts w:ascii="Calibri" w:hAnsi="Calibri"/>
          <w:szCs w:val="24"/>
        </w:rPr>
        <w:t>The Welsh G</w:t>
      </w:r>
      <w:r w:rsidR="00A659A4">
        <w:rPr>
          <w:rFonts w:ascii="Calibri" w:hAnsi="Calibri"/>
          <w:szCs w:val="24"/>
        </w:rPr>
        <w:t>over</w:t>
      </w:r>
      <w:r w:rsidR="00B65F4C">
        <w:rPr>
          <w:rFonts w:ascii="Calibri" w:hAnsi="Calibri"/>
          <w:szCs w:val="24"/>
        </w:rPr>
        <w:t xml:space="preserve">nment’s position </w:t>
      </w:r>
      <w:r w:rsidR="00A32CD2">
        <w:rPr>
          <w:rFonts w:ascii="Calibri" w:hAnsi="Calibri"/>
          <w:szCs w:val="24"/>
        </w:rPr>
        <w:t xml:space="preserve">is </w:t>
      </w:r>
      <w:r>
        <w:rPr>
          <w:rFonts w:ascii="Calibri" w:hAnsi="Calibri"/>
          <w:szCs w:val="24"/>
        </w:rPr>
        <w:t xml:space="preserve">neatly </w:t>
      </w:r>
      <w:r w:rsidR="00A32CD2">
        <w:rPr>
          <w:rFonts w:ascii="Calibri" w:hAnsi="Calibri"/>
          <w:szCs w:val="24"/>
        </w:rPr>
        <w:t xml:space="preserve">stated in the Forward to the Report by the Welsh Assembly’s Climate Change, Environment and Rural Affairs Committee; </w:t>
      </w:r>
      <w:r w:rsidR="00A32CD2">
        <w:rPr>
          <w:rFonts w:ascii="Calibri" w:hAnsi="Calibri"/>
          <w:i/>
          <w:szCs w:val="24"/>
        </w:rPr>
        <w:t xml:space="preserve">The Future of Land Management in Wales </w:t>
      </w:r>
      <w:r w:rsidR="00A32CD2" w:rsidRPr="00A32CD2">
        <w:rPr>
          <w:rFonts w:ascii="Calibri" w:hAnsi="Calibri"/>
          <w:szCs w:val="24"/>
        </w:rPr>
        <w:t>(March, 2017)</w:t>
      </w:r>
      <w:r w:rsidR="00A32CD2">
        <w:rPr>
          <w:rFonts w:ascii="Calibri" w:hAnsi="Calibri"/>
          <w:i/>
          <w:szCs w:val="24"/>
        </w:rPr>
        <w:t xml:space="preserve">. </w:t>
      </w:r>
      <w:r w:rsidR="00A32CD2">
        <w:rPr>
          <w:rFonts w:ascii="Calibri" w:hAnsi="Calibri"/>
          <w:szCs w:val="24"/>
        </w:rPr>
        <w:t xml:space="preserve">The Welsh Government calls on the UK Government to commit to funding agriculture in Wales at the same level it currently receives from the EU, and furthermore that any funding should not be subject to the Barnett formula (page 9). </w:t>
      </w:r>
      <w:r w:rsidR="00E51158">
        <w:rPr>
          <w:rFonts w:ascii="Calibri" w:hAnsi="Calibri"/>
          <w:szCs w:val="24"/>
        </w:rPr>
        <w:t>T</w:t>
      </w:r>
      <w:r w:rsidR="00A32CD2">
        <w:rPr>
          <w:rFonts w:ascii="Calibri" w:hAnsi="Calibri"/>
          <w:szCs w:val="24"/>
        </w:rPr>
        <w:t>he Committee also calls on the Welsh Government to commit to spending this funding on</w:t>
      </w:r>
      <w:r w:rsidR="00E2007D">
        <w:rPr>
          <w:rFonts w:ascii="Calibri" w:hAnsi="Calibri"/>
          <w:szCs w:val="24"/>
        </w:rPr>
        <w:t xml:space="preserve"> Welsh</w:t>
      </w:r>
      <w:r w:rsidR="00A32CD2">
        <w:rPr>
          <w:rFonts w:ascii="Calibri" w:hAnsi="Calibri"/>
          <w:szCs w:val="24"/>
        </w:rPr>
        <w:t xml:space="preserve"> agriculture (page 9).</w:t>
      </w:r>
      <w:r w:rsidR="00471ECA">
        <w:rPr>
          <w:rFonts w:ascii="Calibri" w:hAnsi="Calibri"/>
          <w:szCs w:val="24"/>
        </w:rPr>
        <w:t xml:space="preserve"> </w:t>
      </w:r>
    </w:p>
    <w:p w14:paraId="70C1D02F" w14:textId="77777777" w:rsidR="00923DCD" w:rsidRDefault="0073657F" w:rsidP="00075342">
      <w:pPr>
        <w:rPr>
          <w:rFonts w:ascii="Calibri" w:hAnsi="Calibri"/>
          <w:szCs w:val="24"/>
        </w:rPr>
      </w:pPr>
      <w:r>
        <w:rPr>
          <w:rFonts w:ascii="Calibri" w:hAnsi="Calibri"/>
          <w:szCs w:val="24"/>
        </w:rPr>
        <w:t>There are a number of aspects to these statements</w:t>
      </w:r>
      <w:r w:rsidR="00DD65B3">
        <w:rPr>
          <w:rFonts w:ascii="Calibri" w:hAnsi="Calibri"/>
          <w:szCs w:val="24"/>
        </w:rPr>
        <w:t xml:space="preserve">, specifically the references to the Barnett formula and the </w:t>
      </w:r>
      <w:r w:rsidR="007E1CE3">
        <w:rPr>
          <w:rFonts w:ascii="Calibri" w:hAnsi="Calibri"/>
          <w:szCs w:val="24"/>
        </w:rPr>
        <w:t>call for the commitment by the Welsh Government</w:t>
      </w:r>
      <w:r w:rsidR="0075049D">
        <w:rPr>
          <w:rFonts w:ascii="Calibri" w:hAnsi="Calibri"/>
          <w:szCs w:val="24"/>
        </w:rPr>
        <w:t xml:space="preserve"> which</w:t>
      </w:r>
      <w:r w:rsidR="007E1CE3">
        <w:rPr>
          <w:rFonts w:ascii="Calibri" w:hAnsi="Calibri"/>
          <w:szCs w:val="24"/>
        </w:rPr>
        <w:t xml:space="preserve"> relate </w:t>
      </w:r>
      <w:r w:rsidR="0075049D">
        <w:rPr>
          <w:rFonts w:ascii="Calibri" w:hAnsi="Calibri"/>
          <w:szCs w:val="24"/>
        </w:rPr>
        <w:t xml:space="preserve">specifically </w:t>
      </w:r>
      <w:r w:rsidR="007E1CE3">
        <w:rPr>
          <w:rFonts w:ascii="Calibri" w:hAnsi="Calibri"/>
          <w:szCs w:val="24"/>
        </w:rPr>
        <w:t xml:space="preserve">to the devolved status of Wales. </w:t>
      </w:r>
      <w:r w:rsidR="002416C3">
        <w:rPr>
          <w:rFonts w:ascii="Calibri" w:hAnsi="Calibri"/>
          <w:szCs w:val="24"/>
        </w:rPr>
        <w:t>The Barnett formula is the mechanism</w:t>
      </w:r>
      <w:r w:rsidR="00F4216E">
        <w:rPr>
          <w:rFonts w:ascii="Calibri" w:hAnsi="Calibri"/>
          <w:szCs w:val="24"/>
        </w:rPr>
        <w:t xml:space="preserve"> </w:t>
      </w:r>
      <w:r w:rsidR="002416C3">
        <w:rPr>
          <w:rFonts w:ascii="Calibri" w:hAnsi="Calibri"/>
          <w:szCs w:val="24"/>
        </w:rPr>
        <w:t>by which</w:t>
      </w:r>
      <w:r w:rsidR="00DF4610">
        <w:rPr>
          <w:rFonts w:ascii="Calibri" w:hAnsi="Calibri"/>
          <w:szCs w:val="24"/>
        </w:rPr>
        <w:t xml:space="preserve"> Wales, and the other devolved nations receives a proportionate share of public spending compared with the comparable activities in England through the payment of a block grant (Phillips, 2014). </w:t>
      </w:r>
      <w:r w:rsidR="007A5493">
        <w:rPr>
          <w:rFonts w:ascii="Calibri" w:hAnsi="Calibri"/>
          <w:szCs w:val="24"/>
        </w:rPr>
        <w:t xml:space="preserve">Having a formula means that the Welsh Government does not have to negotiate its </w:t>
      </w:r>
      <w:r w:rsidR="0075049D">
        <w:rPr>
          <w:rFonts w:ascii="Calibri" w:hAnsi="Calibri"/>
          <w:szCs w:val="24"/>
        </w:rPr>
        <w:t>budget each year, but it has been criticized as simplistic mechanism because it is based on population rather than equity</w:t>
      </w:r>
      <w:r w:rsidR="00F4216E">
        <w:rPr>
          <w:rFonts w:ascii="Calibri" w:hAnsi="Calibri"/>
          <w:szCs w:val="24"/>
        </w:rPr>
        <w:t>,</w:t>
      </w:r>
      <w:r w:rsidR="0075049D">
        <w:rPr>
          <w:rFonts w:ascii="Calibri" w:hAnsi="Calibri"/>
          <w:szCs w:val="24"/>
        </w:rPr>
        <w:t xml:space="preserve"> and there have been claims that </w:t>
      </w:r>
      <w:r w:rsidR="009B3476">
        <w:rPr>
          <w:rFonts w:ascii="Calibri" w:hAnsi="Calibri"/>
          <w:szCs w:val="24"/>
        </w:rPr>
        <w:t xml:space="preserve">since there has been no </w:t>
      </w:r>
      <w:r w:rsidR="00F4216E">
        <w:rPr>
          <w:rFonts w:ascii="Calibri" w:hAnsi="Calibri"/>
          <w:szCs w:val="24"/>
        </w:rPr>
        <w:t xml:space="preserve">recent </w:t>
      </w:r>
      <w:r w:rsidR="009B3476">
        <w:rPr>
          <w:rFonts w:ascii="Calibri" w:hAnsi="Calibri"/>
          <w:szCs w:val="24"/>
        </w:rPr>
        <w:t xml:space="preserve">needs assessment in Wales, the </w:t>
      </w:r>
      <w:r w:rsidR="0075049D">
        <w:rPr>
          <w:rFonts w:ascii="Calibri" w:hAnsi="Calibri"/>
          <w:szCs w:val="24"/>
        </w:rPr>
        <w:t>result i</w:t>
      </w:r>
      <w:r w:rsidR="009B3476">
        <w:rPr>
          <w:rFonts w:ascii="Calibri" w:hAnsi="Calibri"/>
          <w:szCs w:val="24"/>
        </w:rPr>
        <w:t>s</w:t>
      </w:r>
      <w:r w:rsidR="0075049D">
        <w:rPr>
          <w:rFonts w:ascii="Calibri" w:hAnsi="Calibri"/>
          <w:szCs w:val="24"/>
        </w:rPr>
        <w:t xml:space="preserve"> a shortfall to </w:t>
      </w:r>
      <w:r w:rsidR="00F4216E">
        <w:rPr>
          <w:rFonts w:ascii="Calibri" w:hAnsi="Calibri"/>
          <w:szCs w:val="24"/>
        </w:rPr>
        <w:t>the Welsh Government</w:t>
      </w:r>
      <w:r w:rsidR="0075049D">
        <w:rPr>
          <w:rFonts w:ascii="Calibri" w:hAnsi="Calibri"/>
          <w:szCs w:val="24"/>
        </w:rPr>
        <w:t xml:space="preserve"> of some £300 million</w:t>
      </w:r>
      <w:r w:rsidR="009B3476">
        <w:rPr>
          <w:rFonts w:ascii="Calibri" w:hAnsi="Calibri"/>
          <w:szCs w:val="24"/>
        </w:rPr>
        <w:t xml:space="preserve"> each year</w:t>
      </w:r>
      <w:r w:rsidR="0075049D">
        <w:rPr>
          <w:rFonts w:ascii="Calibri" w:hAnsi="Calibri"/>
          <w:szCs w:val="24"/>
        </w:rPr>
        <w:t xml:space="preserve"> (</w:t>
      </w:r>
      <w:r w:rsidR="009B3476">
        <w:rPr>
          <w:rFonts w:ascii="Calibri" w:hAnsi="Calibri"/>
          <w:szCs w:val="24"/>
        </w:rPr>
        <w:t>Hansard, 2015</w:t>
      </w:r>
      <w:r w:rsidR="00F4216E">
        <w:rPr>
          <w:rFonts w:ascii="Calibri" w:hAnsi="Calibri"/>
          <w:szCs w:val="24"/>
        </w:rPr>
        <w:t>; Trench, 2010</w:t>
      </w:r>
      <w:r w:rsidR="009B3476">
        <w:rPr>
          <w:rFonts w:ascii="Calibri" w:hAnsi="Calibri"/>
          <w:szCs w:val="24"/>
        </w:rPr>
        <w:t xml:space="preserve">). </w:t>
      </w:r>
      <w:r w:rsidR="00F4216E">
        <w:rPr>
          <w:rFonts w:ascii="Calibri" w:hAnsi="Calibri"/>
          <w:szCs w:val="24"/>
        </w:rPr>
        <w:t xml:space="preserve">The concern of the Welsh Government is that if the Barnett formula is applied to </w:t>
      </w:r>
      <w:r w:rsidR="00036123">
        <w:rPr>
          <w:rFonts w:ascii="Calibri" w:hAnsi="Calibri"/>
          <w:szCs w:val="24"/>
        </w:rPr>
        <w:t>any funding which replaces EU funding</w:t>
      </w:r>
      <w:r w:rsidR="00F4216E">
        <w:rPr>
          <w:rFonts w:ascii="Calibri" w:hAnsi="Calibri"/>
          <w:szCs w:val="24"/>
        </w:rPr>
        <w:t>, Wales will lose out because the funding that Engl</w:t>
      </w:r>
      <w:r w:rsidR="00036123">
        <w:rPr>
          <w:rFonts w:ascii="Calibri" w:hAnsi="Calibri"/>
          <w:szCs w:val="24"/>
        </w:rPr>
        <w:t>and</w:t>
      </w:r>
      <w:r w:rsidR="00F4216E">
        <w:rPr>
          <w:rFonts w:ascii="Calibri" w:hAnsi="Calibri"/>
          <w:szCs w:val="24"/>
        </w:rPr>
        <w:t xml:space="preserve"> receives from the EU is </w:t>
      </w:r>
      <w:r w:rsidR="00036123">
        <w:rPr>
          <w:rFonts w:ascii="Calibri" w:hAnsi="Calibri"/>
          <w:szCs w:val="24"/>
        </w:rPr>
        <w:t xml:space="preserve">significantly </w:t>
      </w:r>
      <w:r w:rsidR="00F4216E">
        <w:rPr>
          <w:rFonts w:ascii="Calibri" w:hAnsi="Calibri"/>
          <w:szCs w:val="24"/>
        </w:rPr>
        <w:t xml:space="preserve">lower than </w:t>
      </w:r>
      <w:r w:rsidR="00036123">
        <w:rPr>
          <w:rFonts w:ascii="Calibri" w:hAnsi="Calibri"/>
          <w:szCs w:val="24"/>
        </w:rPr>
        <w:t xml:space="preserve">that which </w:t>
      </w:r>
      <w:r w:rsidR="00F4216E">
        <w:rPr>
          <w:rFonts w:ascii="Calibri" w:hAnsi="Calibri"/>
          <w:szCs w:val="24"/>
        </w:rPr>
        <w:t>Wales</w:t>
      </w:r>
      <w:r w:rsidR="00036123">
        <w:rPr>
          <w:rFonts w:ascii="Calibri" w:hAnsi="Calibri"/>
          <w:szCs w:val="24"/>
        </w:rPr>
        <w:t xml:space="preserve"> receives; £102 per head against Wales’ £628 per head in 2014 (Jones, 2016). </w:t>
      </w:r>
    </w:p>
    <w:p w14:paraId="79353EA2" w14:textId="080C08D6" w:rsidR="00D96470" w:rsidRDefault="00923DCD" w:rsidP="00075342">
      <w:pPr>
        <w:rPr>
          <w:rFonts w:ascii="Calibri" w:hAnsi="Calibri"/>
          <w:szCs w:val="24"/>
        </w:rPr>
      </w:pPr>
      <w:r>
        <w:rPr>
          <w:rFonts w:ascii="Calibri" w:hAnsi="Calibri"/>
          <w:szCs w:val="24"/>
        </w:rPr>
        <w:t>Although the focus has been on EU subsidies under CAP,</w:t>
      </w:r>
      <w:r w:rsidR="006D0F2D">
        <w:rPr>
          <w:rFonts w:ascii="Calibri" w:hAnsi="Calibri"/>
          <w:szCs w:val="24"/>
        </w:rPr>
        <w:t xml:space="preserve"> because Wales is a relatively poor nation</w:t>
      </w:r>
      <w:r w:rsidR="00123DC9">
        <w:rPr>
          <w:rFonts w:ascii="Calibri" w:hAnsi="Calibri"/>
          <w:szCs w:val="24"/>
        </w:rPr>
        <w:t xml:space="preserve"> with areas which are</w:t>
      </w:r>
      <w:r w:rsidR="006D0F2D">
        <w:rPr>
          <w:rFonts w:ascii="Calibri" w:hAnsi="Calibri"/>
          <w:szCs w:val="24"/>
        </w:rPr>
        <w:t xml:space="preserve"> as poor</w:t>
      </w:r>
      <w:r w:rsidR="00AA674F">
        <w:rPr>
          <w:rFonts w:ascii="Calibri" w:hAnsi="Calibri"/>
          <w:szCs w:val="24"/>
        </w:rPr>
        <w:t xml:space="preserve"> as, or poorer than</w:t>
      </w:r>
      <w:r w:rsidR="006D0F2D">
        <w:rPr>
          <w:rFonts w:ascii="Calibri" w:hAnsi="Calibri"/>
          <w:szCs w:val="24"/>
        </w:rPr>
        <w:t xml:space="preserve"> some areas of Poland</w:t>
      </w:r>
      <w:r w:rsidR="00123DC9">
        <w:rPr>
          <w:rFonts w:ascii="Calibri" w:hAnsi="Calibri"/>
          <w:szCs w:val="24"/>
        </w:rPr>
        <w:t>, Bulgaria</w:t>
      </w:r>
      <w:r w:rsidR="006D0F2D">
        <w:rPr>
          <w:rFonts w:ascii="Calibri" w:hAnsi="Calibri"/>
          <w:szCs w:val="24"/>
        </w:rPr>
        <w:t xml:space="preserve"> and Romania </w:t>
      </w:r>
      <w:r w:rsidR="00075342">
        <w:rPr>
          <w:rFonts w:ascii="Calibri" w:hAnsi="Calibri"/>
          <w:szCs w:val="24"/>
        </w:rPr>
        <w:t>(</w:t>
      </w:r>
      <w:proofErr w:type="spellStart"/>
      <w:r w:rsidR="00123DC9">
        <w:rPr>
          <w:rFonts w:ascii="Calibri" w:hAnsi="Calibri"/>
          <w:szCs w:val="24"/>
        </w:rPr>
        <w:t>Winckler</w:t>
      </w:r>
      <w:proofErr w:type="spellEnd"/>
      <w:r w:rsidR="00123DC9">
        <w:rPr>
          <w:rFonts w:ascii="Calibri" w:hAnsi="Calibri"/>
          <w:szCs w:val="24"/>
        </w:rPr>
        <w:t>, 2016)</w:t>
      </w:r>
      <w:bookmarkStart w:id="0" w:name="_GoBack"/>
      <w:bookmarkEnd w:id="0"/>
      <w:r w:rsidR="00075342">
        <w:rPr>
          <w:rFonts w:ascii="Calibri" w:hAnsi="Calibri"/>
          <w:szCs w:val="24"/>
        </w:rPr>
        <w:t xml:space="preserve"> </w:t>
      </w:r>
      <w:r w:rsidR="006D0F2D">
        <w:rPr>
          <w:rFonts w:ascii="Calibri" w:hAnsi="Calibri"/>
          <w:szCs w:val="24"/>
        </w:rPr>
        <w:t xml:space="preserve">it benefits </w:t>
      </w:r>
      <w:r>
        <w:rPr>
          <w:rFonts w:ascii="Calibri" w:hAnsi="Calibri"/>
          <w:szCs w:val="24"/>
        </w:rPr>
        <w:t>from EU funding under the</w:t>
      </w:r>
      <w:r w:rsidR="006D0F2D">
        <w:rPr>
          <w:rFonts w:ascii="Calibri" w:hAnsi="Calibri"/>
          <w:szCs w:val="24"/>
        </w:rPr>
        <w:t xml:space="preserve"> European </w:t>
      </w:r>
      <w:r w:rsidR="00AA674F">
        <w:rPr>
          <w:rFonts w:ascii="Calibri" w:hAnsi="Calibri"/>
          <w:szCs w:val="24"/>
        </w:rPr>
        <w:t>S</w:t>
      </w:r>
      <w:r w:rsidR="006D0F2D">
        <w:rPr>
          <w:rFonts w:ascii="Calibri" w:hAnsi="Calibri"/>
          <w:szCs w:val="24"/>
        </w:rPr>
        <w:t xml:space="preserve">tructural </w:t>
      </w:r>
      <w:r w:rsidR="00AA674F">
        <w:rPr>
          <w:rFonts w:ascii="Calibri" w:hAnsi="Calibri"/>
          <w:szCs w:val="24"/>
        </w:rPr>
        <w:t>F</w:t>
      </w:r>
      <w:r w:rsidR="006D0F2D">
        <w:rPr>
          <w:rFonts w:ascii="Calibri" w:hAnsi="Calibri"/>
          <w:szCs w:val="24"/>
        </w:rPr>
        <w:t>unding</w:t>
      </w:r>
      <w:r w:rsidR="00AA674F">
        <w:rPr>
          <w:rFonts w:ascii="Calibri" w:hAnsi="Calibri"/>
          <w:szCs w:val="24"/>
        </w:rPr>
        <w:t xml:space="preserve"> Programme (ESF)</w:t>
      </w:r>
      <w:r w:rsidR="00CD5043">
        <w:rPr>
          <w:rFonts w:ascii="Calibri" w:hAnsi="Calibri"/>
          <w:szCs w:val="24"/>
        </w:rPr>
        <w:t xml:space="preserve">, which is intended to enable governments to invest in projects which make areas more </w:t>
      </w:r>
      <w:r w:rsidR="00CD5043">
        <w:rPr>
          <w:rFonts w:ascii="Calibri" w:hAnsi="Calibri"/>
          <w:szCs w:val="24"/>
        </w:rPr>
        <w:lastRenderedPageBreak/>
        <w:t>competitive and improve infrastructure such as transport and workforce skills</w:t>
      </w:r>
      <w:r>
        <w:rPr>
          <w:rFonts w:ascii="Calibri" w:hAnsi="Calibri"/>
          <w:szCs w:val="24"/>
        </w:rPr>
        <w:t>, and will have amount to some £2 billion between 2014 and 2020</w:t>
      </w:r>
      <w:r w:rsidR="00CD5043">
        <w:rPr>
          <w:rFonts w:ascii="Calibri" w:hAnsi="Calibri"/>
          <w:szCs w:val="24"/>
        </w:rPr>
        <w:t xml:space="preserve"> (Jones, 2016).</w:t>
      </w:r>
      <w:r w:rsidR="00134DFF">
        <w:rPr>
          <w:rFonts w:ascii="Calibri" w:hAnsi="Calibri"/>
          <w:szCs w:val="24"/>
        </w:rPr>
        <w:t xml:space="preserve"> Membership of the EU means Wales also qualifies for other financial support from the EU; £140 million has been secured under Horizon 2010 which is intended to promote research and development; and Erasmus assists students to study abroad (Jones, 2016)</w:t>
      </w:r>
      <w:r w:rsidR="00D96470">
        <w:rPr>
          <w:rFonts w:ascii="Calibri" w:hAnsi="Calibri"/>
          <w:szCs w:val="24"/>
        </w:rPr>
        <w:t>.</w:t>
      </w:r>
      <w:r w:rsidR="000F6813">
        <w:rPr>
          <w:rFonts w:ascii="Calibri" w:hAnsi="Calibri"/>
          <w:szCs w:val="24"/>
        </w:rPr>
        <w:t xml:space="preserve"> </w:t>
      </w:r>
      <w:r w:rsidR="00CA56C1">
        <w:rPr>
          <w:rFonts w:ascii="Calibri" w:hAnsi="Calibri"/>
          <w:szCs w:val="24"/>
        </w:rPr>
        <w:t xml:space="preserve"> However, there are claims that this regional aid has not provided the economic boost to wales that was a</w:t>
      </w:r>
      <w:r w:rsidR="00FA6332">
        <w:rPr>
          <w:rFonts w:ascii="Calibri" w:hAnsi="Calibri"/>
          <w:szCs w:val="24"/>
        </w:rPr>
        <w:t>n</w:t>
      </w:r>
      <w:r w:rsidR="00CA56C1">
        <w:rPr>
          <w:rFonts w:ascii="Calibri" w:hAnsi="Calibri"/>
          <w:szCs w:val="24"/>
        </w:rPr>
        <w:t>ticipated, and that</w:t>
      </w:r>
      <w:r w:rsidR="00FA6332">
        <w:rPr>
          <w:rFonts w:ascii="Calibri" w:hAnsi="Calibri"/>
          <w:szCs w:val="24"/>
        </w:rPr>
        <w:t xml:space="preserve"> expenditure outcomes focused on where the money was spent not on tangible results (Foreman-Peck, 2017). Any replacement of regional aid, therefore is likely to involve a mechanism whereby more effective us of regeneration monies can be demonstrated (Foreman-Peck, 2017). </w:t>
      </w:r>
    </w:p>
    <w:p w14:paraId="6E5281D2" w14:textId="1541C360" w:rsidR="00DF5A35" w:rsidRDefault="00D96470" w:rsidP="00075342">
      <w:pPr>
        <w:rPr>
          <w:rFonts w:ascii="Calibri" w:hAnsi="Calibri"/>
          <w:szCs w:val="24"/>
        </w:rPr>
      </w:pPr>
      <w:r>
        <w:rPr>
          <w:rFonts w:ascii="Calibri" w:hAnsi="Calibri"/>
          <w:szCs w:val="24"/>
        </w:rPr>
        <w:t xml:space="preserve">The </w:t>
      </w:r>
      <w:r w:rsidR="000F6813">
        <w:rPr>
          <w:rFonts w:ascii="Calibri" w:hAnsi="Calibri"/>
          <w:szCs w:val="24"/>
        </w:rPr>
        <w:t xml:space="preserve">continued </w:t>
      </w:r>
      <w:r>
        <w:rPr>
          <w:rFonts w:ascii="Calibri" w:hAnsi="Calibri"/>
          <w:szCs w:val="24"/>
        </w:rPr>
        <w:t>availability</w:t>
      </w:r>
      <w:r w:rsidR="00923DCD">
        <w:rPr>
          <w:rFonts w:ascii="Calibri" w:hAnsi="Calibri"/>
          <w:szCs w:val="24"/>
        </w:rPr>
        <w:t xml:space="preserve"> </w:t>
      </w:r>
      <w:r>
        <w:rPr>
          <w:rFonts w:ascii="Calibri" w:hAnsi="Calibri"/>
          <w:szCs w:val="24"/>
        </w:rPr>
        <w:t xml:space="preserve">of these </w:t>
      </w:r>
      <w:r w:rsidR="000F6813">
        <w:rPr>
          <w:rFonts w:ascii="Calibri" w:hAnsi="Calibri"/>
          <w:szCs w:val="24"/>
        </w:rPr>
        <w:t>subsidies and financial resources will depend very largely on the Brexit deal that the UK Government is able to negotiate with the EU. For example</w:t>
      </w:r>
      <w:r w:rsidR="00CA56C1">
        <w:rPr>
          <w:rFonts w:ascii="Calibri" w:hAnsi="Calibri"/>
          <w:szCs w:val="24"/>
        </w:rPr>
        <w:t>,</w:t>
      </w:r>
      <w:r w:rsidR="000F6813">
        <w:rPr>
          <w:rFonts w:ascii="Calibri" w:hAnsi="Calibri"/>
          <w:szCs w:val="24"/>
        </w:rPr>
        <w:t xml:space="preserve"> a ‘soft </w:t>
      </w:r>
      <w:r w:rsidR="00CA56C1">
        <w:rPr>
          <w:rFonts w:ascii="Calibri" w:hAnsi="Calibri"/>
          <w:szCs w:val="24"/>
        </w:rPr>
        <w:t>B</w:t>
      </w:r>
      <w:r w:rsidR="000F6813">
        <w:rPr>
          <w:rFonts w:ascii="Calibri" w:hAnsi="Calibri"/>
          <w:szCs w:val="24"/>
        </w:rPr>
        <w:t>rexit’ involving membership of the EEA does not mean that these sources will continue to be available, though a bespoke</w:t>
      </w:r>
      <w:r w:rsidR="00DF5A35">
        <w:rPr>
          <w:rFonts w:ascii="Calibri" w:hAnsi="Calibri"/>
          <w:szCs w:val="24"/>
        </w:rPr>
        <w:t xml:space="preserve"> agreement</w:t>
      </w:r>
      <w:r w:rsidR="00CA56C1">
        <w:rPr>
          <w:rFonts w:ascii="Calibri" w:hAnsi="Calibri"/>
          <w:szCs w:val="24"/>
        </w:rPr>
        <w:t xml:space="preserve"> (Jones 2016)</w:t>
      </w:r>
      <w:r w:rsidR="00DF5A35">
        <w:rPr>
          <w:rFonts w:ascii="Calibri" w:hAnsi="Calibri"/>
          <w:szCs w:val="24"/>
        </w:rPr>
        <w:t>.</w:t>
      </w:r>
    </w:p>
    <w:p w14:paraId="031366E5" w14:textId="77777777" w:rsidR="00E15C91" w:rsidRDefault="00CA56C1" w:rsidP="00075342">
      <w:pPr>
        <w:rPr>
          <w:rFonts w:ascii="Calibri" w:hAnsi="Calibri"/>
          <w:szCs w:val="24"/>
        </w:rPr>
      </w:pPr>
      <w:r>
        <w:rPr>
          <w:rFonts w:ascii="Calibri" w:hAnsi="Calibri"/>
          <w:szCs w:val="24"/>
        </w:rPr>
        <w:t xml:space="preserve">Although, the loss of subsidy to Wales from Brexit would be considerable, in terms of the financial commitments that the UK has, as a whole to the EU, it is relatively not significant (Jones, 2016). </w:t>
      </w:r>
      <w:r w:rsidR="00BA5329">
        <w:rPr>
          <w:rFonts w:ascii="Calibri" w:hAnsi="Calibri"/>
          <w:szCs w:val="24"/>
        </w:rPr>
        <w:t>According to the Office for National Statistics (ONS), i</w:t>
      </w:r>
      <w:r>
        <w:rPr>
          <w:rFonts w:ascii="Calibri" w:hAnsi="Calibri"/>
          <w:szCs w:val="24"/>
        </w:rPr>
        <w:t xml:space="preserve">n 2016, the </w:t>
      </w:r>
      <w:r w:rsidR="00FA6332">
        <w:rPr>
          <w:rFonts w:ascii="Calibri" w:hAnsi="Calibri"/>
          <w:szCs w:val="24"/>
        </w:rPr>
        <w:t xml:space="preserve">UK’s membership commitment </w:t>
      </w:r>
      <w:r w:rsidR="00BA5329">
        <w:rPr>
          <w:rFonts w:ascii="Calibri" w:hAnsi="Calibri"/>
          <w:szCs w:val="24"/>
        </w:rPr>
        <w:t xml:space="preserve">to the EU </w:t>
      </w:r>
      <w:r w:rsidR="00FA6332">
        <w:rPr>
          <w:rFonts w:ascii="Calibri" w:hAnsi="Calibri"/>
          <w:szCs w:val="24"/>
        </w:rPr>
        <w:t>was £1</w:t>
      </w:r>
      <w:r w:rsidR="00BA5329">
        <w:rPr>
          <w:rFonts w:ascii="Calibri" w:hAnsi="Calibri"/>
          <w:szCs w:val="24"/>
        </w:rPr>
        <w:t>8.9</w:t>
      </w:r>
      <w:r w:rsidR="00FA6332">
        <w:rPr>
          <w:rFonts w:ascii="Calibri" w:hAnsi="Calibri"/>
          <w:szCs w:val="24"/>
        </w:rPr>
        <w:t xml:space="preserve"> billion. However, this </w:t>
      </w:r>
      <w:r w:rsidR="00BA5329">
        <w:rPr>
          <w:rFonts w:ascii="Calibri" w:hAnsi="Calibri"/>
          <w:szCs w:val="24"/>
        </w:rPr>
        <w:t>was</w:t>
      </w:r>
      <w:r w:rsidR="00FA6332">
        <w:rPr>
          <w:rFonts w:ascii="Calibri" w:hAnsi="Calibri"/>
          <w:szCs w:val="24"/>
        </w:rPr>
        <w:t xml:space="preserve"> reduced to £13</w:t>
      </w:r>
      <w:r w:rsidR="00BA5329">
        <w:rPr>
          <w:rFonts w:ascii="Calibri" w:hAnsi="Calibri"/>
          <w:szCs w:val="24"/>
        </w:rPr>
        <w:t>.9</w:t>
      </w:r>
      <w:r w:rsidR="00FA6332">
        <w:rPr>
          <w:rFonts w:ascii="Calibri" w:hAnsi="Calibri"/>
          <w:szCs w:val="24"/>
        </w:rPr>
        <w:t xml:space="preserve"> billion by a rebate </w:t>
      </w:r>
      <w:r w:rsidR="00615DA4">
        <w:rPr>
          <w:rFonts w:ascii="Calibri" w:hAnsi="Calibri"/>
          <w:szCs w:val="24"/>
        </w:rPr>
        <w:t>of £</w:t>
      </w:r>
      <w:r w:rsidR="00BA5329">
        <w:rPr>
          <w:rFonts w:ascii="Calibri" w:hAnsi="Calibri"/>
          <w:szCs w:val="24"/>
        </w:rPr>
        <w:t>5</w:t>
      </w:r>
      <w:r w:rsidR="00615DA4">
        <w:rPr>
          <w:rFonts w:ascii="Calibri" w:hAnsi="Calibri"/>
          <w:szCs w:val="24"/>
        </w:rPr>
        <w:t xml:space="preserve"> billion </w:t>
      </w:r>
      <w:r w:rsidR="00FA6332">
        <w:rPr>
          <w:rFonts w:ascii="Calibri" w:hAnsi="Calibri"/>
          <w:szCs w:val="24"/>
        </w:rPr>
        <w:t xml:space="preserve">negotiated </w:t>
      </w:r>
      <w:r w:rsidR="00615DA4">
        <w:rPr>
          <w:rFonts w:ascii="Calibri" w:hAnsi="Calibri"/>
          <w:szCs w:val="24"/>
        </w:rPr>
        <w:t>by Margaret Thatcher</w:t>
      </w:r>
      <w:r w:rsidR="00BA5329">
        <w:rPr>
          <w:rFonts w:ascii="Calibri" w:hAnsi="Calibri"/>
          <w:szCs w:val="24"/>
        </w:rPr>
        <w:t xml:space="preserve"> in 1984 in a famous hand-bagging (Tiller, 2016). Of this £13.9 billion, approximately £4.4 billion is paid back to the UK in credits to support, agricul</w:t>
      </w:r>
      <w:r w:rsidR="00C77BE5">
        <w:rPr>
          <w:rFonts w:ascii="Calibri" w:hAnsi="Calibri"/>
          <w:szCs w:val="24"/>
        </w:rPr>
        <w:t xml:space="preserve">ture and in regional aid, meaning that the UK was a net contributor to the EU of some £9.4 billion (ONS, 2017). The EU uses a slightly different calculation which includes some aid to the private sector which puts the net contribution figure at £8.1 billion (ONS, 2017). Some commentators argue however, that the </w:t>
      </w:r>
      <w:r w:rsidR="00E15C91">
        <w:rPr>
          <w:rFonts w:ascii="Calibri" w:hAnsi="Calibri"/>
          <w:szCs w:val="24"/>
        </w:rPr>
        <w:t xml:space="preserve">direct </w:t>
      </w:r>
      <w:r w:rsidR="00C77BE5">
        <w:rPr>
          <w:rFonts w:ascii="Calibri" w:hAnsi="Calibri"/>
          <w:szCs w:val="24"/>
        </w:rPr>
        <w:t>benefits of EU membership such as the single market and tariff free trade, and the free movement of goods, people and services</w:t>
      </w:r>
      <w:r w:rsidR="00E15C91">
        <w:rPr>
          <w:rFonts w:ascii="Calibri" w:hAnsi="Calibri"/>
          <w:szCs w:val="24"/>
        </w:rPr>
        <w:t>, and indirect benefits such as reduction of barriers, increased choice and increased competition</w:t>
      </w:r>
      <w:r w:rsidR="00C77BE5">
        <w:rPr>
          <w:rFonts w:ascii="Calibri" w:hAnsi="Calibri"/>
          <w:szCs w:val="24"/>
        </w:rPr>
        <w:t xml:space="preserve"> </w:t>
      </w:r>
      <w:r w:rsidR="00E15C91">
        <w:rPr>
          <w:rFonts w:ascii="Calibri" w:hAnsi="Calibri"/>
          <w:szCs w:val="24"/>
        </w:rPr>
        <w:t>cannot be quantified through a simple examination of the UK’s membership fee (Emmerson, et al, 2016).</w:t>
      </w:r>
    </w:p>
    <w:p w14:paraId="12FC7BDA" w14:textId="77777777" w:rsidR="00930FCC" w:rsidRDefault="00E15C91" w:rsidP="00075342">
      <w:pPr>
        <w:rPr>
          <w:rFonts w:ascii="Calibri" w:hAnsi="Calibri"/>
          <w:szCs w:val="24"/>
        </w:rPr>
      </w:pPr>
      <w:r>
        <w:rPr>
          <w:rFonts w:ascii="Calibri" w:hAnsi="Calibri"/>
          <w:szCs w:val="24"/>
        </w:rPr>
        <w:t>Finally, the effect of Brexit on some other areas of the Welsh economy need to be considered.</w:t>
      </w:r>
      <w:r w:rsidR="00181C8B">
        <w:rPr>
          <w:rFonts w:ascii="Calibri" w:hAnsi="Calibri"/>
          <w:szCs w:val="24"/>
        </w:rPr>
        <w:t xml:space="preserve"> One of the pillars of the EU is the free movement of people meaning that EU citizens can enter, </w:t>
      </w:r>
      <w:r w:rsidR="005F1005">
        <w:rPr>
          <w:rFonts w:ascii="Calibri" w:hAnsi="Calibri"/>
          <w:szCs w:val="24"/>
        </w:rPr>
        <w:t>reside, study</w:t>
      </w:r>
      <w:r w:rsidR="00181C8B">
        <w:rPr>
          <w:rFonts w:ascii="Calibri" w:hAnsi="Calibri"/>
          <w:szCs w:val="24"/>
        </w:rPr>
        <w:t xml:space="preserve"> and work in the UK free from restrictions, and is a key element of </w:t>
      </w:r>
      <w:r w:rsidR="005F1005">
        <w:rPr>
          <w:rFonts w:ascii="Calibri" w:hAnsi="Calibri"/>
          <w:szCs w:val="24"/>
        </w:rPr>
        <w:t>the EU’s internal market (Woolford and Hunt, 2017). I</w:t>
      </w:r>
      <w:r w:rsidR="00181C8B">
        <w:rPr>
          <w:rFonts w:ascii="Calibri" w:hAnsi="Calibri"/>
          <w:szCs w:val="24"/>
        </w:rPr>
        <w:t xml:space="preserve">ssues around unrestricted EU immigration may have influenced the Leave vote, but others argue that inward migration has benefitted Wales and </w:t>
      </w:r>
      <w:r w:rsidR="005F1005">
        <w:rPr>
          <w:rFonts w:ascii="Calibri" w:hAnsi="Calibri"/>
          <w:szCs w:val="24"/>
        </w:rPr>
        <w:t xml:space="preserve">the Welsh economy, </w:t>
      </w:r>
      <w:r w:rsidR="00181C8B">
        <w:rPr>
          <w:rFonts w:ascii="Calibri" w:hAnsi="Calibri"/>
          <w:szCs w:val="24"/>
        </w:rPr>
        <w:t>particularly the public sector and service industries</w:t>
      </w:r>
      <w:r w:rsidR="005F1005">
        <w:rPr>
          <w:rFonts w:ascii="Calibri" w:hAnsi="Calibri"/>
          <w:szCs w:val="24"/>
        </w:rPr>
        <w:t xml:space="preserve"> (Woolford and Hunt, 2017).</w:t>
      </w:r>
      <w:r w:rsidR="00181C8B">
        <w:rPr>
          <w:rFonts w:ascii="Calibri" w:hAnsi="Calibri"/>
          <w:szCs w:val="24"/>
        </w:rPr>
        <w:t xml:space="preserve"> </w:t>
      </w:r>
      <w:r>
        <w:rPr>
          <w:rFonts w:ascii="Calibri" w:hAnsi="Calibri"/>
          <w:szCs w:val="24"/>
        </w:rPr>
        <w:t xml:space="preserve"> </w:t>
      </w:r>
      <w:r w:rsidR="005F1005">
        <w:rPr>
          <w:rFonts w:ascii="Calibri" w:hAnsi="Calibri"/>
          <w:szCs w:val="24"/>
        </w:rPr>
        <w:t xml:space="preserve">According to </w:t>
      </w:r>
      <w:proofErr w:type="spellStart"/>
      <w:r w:rsidR="006F1C9C">
        <w:rPr>
          <w:rFonts w:ascii="Calibri" w:hAnsi="Calibri"/>
          <w:szCs w:val="24"/>
        </w:rPr>
        <w:t>Makaki</w:t>
      </w:r>
      <w:proofErr w:type="spellEnd"/>
      <w:r w:rsidR="006F1C9C">
        <w:rPr>
          <w:rFonts w:ascii="Calibri" w:hAnsi="Calibri"/>
          <w:szCs w:val="24"/>
        </w:rPr>
        <w:t xml:space="preserve"> and Vargas Silva (2017)</w:t>
      </w:r>
      <w:r w:rsidR="005F1005">
        <w:rPr>
          <w:rFonts w:ascii="Calibri" w:hAnsi="Calibri"/>
          <w:szCs w:val="24"/>
        </w:rPr>
        <w:t xml:space="preserve"> </w:t>
      </w:r>
      <w:r w:rsidR="006F1C9C">
        <w:rPr>
          <w:rFonts w:ascii="Calibri" w:hAnsi="Calibri"/>
          <w:szCs w:val="24"/>
        </w:rPr>
        <w:t xml:space="preserve">in 2016 around 30% of non-UK residents worked in the public sector and 23% in services such as catering, restaurants, hotels and distribution (page1). </w:t>
      </w:r>
      <w:r w:rsidR="00181C8B">
        <w:rPr>
          <w:rFonts w:ascii="Calibri" w:hAnsi="Calibri"/>
          <w:szCs w:val="24"/>
        </w:rPr>
        <w:t xml:space="preserve">Whilst some claim that </w:t>
      </w:r>
      <w:r w:rsidR="005F1005">
        <w:rPr>
          <w:rFonts w:ascii="Calibri" w:hAnsi="Calibri"/>
          <w:szCs w:val="24"/>
        </w:rPr>
        <w:t>the UK leav</w:t>
      </w:r>
      <w:r w:rsidR="00930FCC">
        <w:rPr>
          <w:rFonts w:ascii="Calibri" w:hAnsi="Calibri"/>
          <w:szCs w:val="24"/>
        </w:rPr>
        <w:t>ing</w:t>
      </w:r>
      <w:r w:rsidR="005F1005">
        <w:rPr>
          <w:rFonts w:ascii="Calibri" w:hAnsi="Calibri"/>
          <w:szCs w:val="24"/>
        </w:rPr>
        <w:t xml:space="preserve"> the EU</w:t>
      </w:r>
      <w:r w:rsidR="00181C8B">
        <w:rPr>
          <w:rFonts w:ascii="Calibri" w:hAnsi="Calibri"/>
          <w:szCs w:val="24"/>
        </w:rPr>
        <w:t xml:space="preserve"> will leave Wales’ public and service sectors at risk of losing an essential source of employees, others suggest that</w:t>
      </w:r>
      <w:r w:rsidR="005F1005">
        <w:rPr>
          <w:rFonts w:ascii="Calibri" w:hAnsi="Calibri"/>
          <w:szCs w:val="24"/>
        </w:rPr>
        <w:t xml:space="preserve"> following Brexit, the UK will be able to determine its own immigration policies which could encompass the needs of these sectors</w:t>
      </w:r>
      <w:r w:rsidR="00930FCC">
        <w:rPr>
          <w:rFonts w:ascii="Calibri" w:hAnsi="Calibri"/>
          <w:szCs w:val="24"/>
        </w:rPr>
        <w:t xml:space="preserve"> and that issues such as wages and terms and conditions are important determinants as to whether people will continue to come to the UK for employment (Foreman Peck, 2017).</w:t>
      </w:r>
    </w:p>
    <w:p w14:paraId="16F0F466" w14:textId="50F61E15" w:rsidR="00CA56C1" w:rsidRDefault="00930FCC" w:rsidP="00075342">
      <w:pPr>
        <w:rPr>
          <w:rFonts w:ascii="Calibri" w:hAnsi="Calibri"/>
          <w:szCs w:val="24"/>
        </w:rPr>
      </w:pPr>
      <w:r>
        <w:rPr>
          <w:rFonts w:ascii="Calibri" w:hAnsi="Calibri"/>
          <w:szCs w:val="24"/>
        </w:rPr>
        <w:t xml:space="preserve">In conclusion therefore, the impact of Brexit on the Welsh Government is complex, crossing many areas of public and economic policy. The reasons for the Leave vote are multi-faceted involving socio-economic factors, views of national identity and possibly the alienation of the electorate from those in Government. Wales, unlike the UK as a whole is a net beneficiary of EU regional funding, and as such, the Welsh economy and certain sectors such as agriculture are reliant on EU subsidies. The Welsh Government sees as a priority the need to maintain these subsidies as at least the same level as pre-Brexit, though there is a recognition that policies such as regional aid and CAP may not </w:t>
      </w:r>
      <w:r>
        <w:rPr>
          <w:rFonts w:ascii="Calibri" w:hAnsi="Calibri"/>
          <w:szCs w:val="24"/>
        </w:rPr>
        <w:lastRenderedPageBreak/>
        <w:t xml:space="preserve">be as particularly effective and that Brexit </w:t>
      </w:r>
      <w:r w:rsidR="00C75B15">
        <w:rPr>
          <w:rFonts w:ascii="Calibri" w:hAnsi="Calibri"/>
          <w:szCs w:val="24"/>
        </w:rPr>
        <w:t>whilst posing many challenges, may</w:t>
      </w:r>
      <w:r>
        <w:rPr>
          <w:rFonts w:ascii="Calibri" w:hAnsi="Calibri"/>
          <w:szCs w:val="24"/>
        </w:rPr>
        <w:t xml:space="preserve"> also </w:t>
      </w:r>
      <w:r w:rsidR="00C75B15">
        <w:rPr>
          <w:rFonts w:ascii="Calibri" w:hAnsi="Calibri"/>
          <w:szCs w:val="24"/>
        </w:rPr>
        <w:t>offer the</w:t>
      </w:r>
      <w:r>
        <w:rPr>
          <w:rFonts w:ascii="Calibri" w:hAnsi="Calibri"/>
          <w:szCs w:val="24"/>
        </w:rPr>
        <w:t xml:space="preserve"> opportunity for the development of new </w:t>
      </w:r>
      <w:r w:rsidR="00C75B15">
        <w:rPr>
          <w:rFonts w:ascii="Calibri" w:hAnsi="Calibri"/>
          <w:szCs w:val="24"/>
        </w:rPr>
        <w:t>financial support strategies which are tailored to the needs of the UK and devolved nations.</w:t>
      </w:r>
      <w:r>
        <w:rPr>
          <w:rFonts w:ascii="Calibri" w:hAnsi="Calibri"/>
          <w:szCs w:val="24"/>
        </w:rPr>
        <w:t xml:space="preserve">  </w:t>
      </w:r>
      <w:r w:rsidR="00181C8B">
        <w:rPr>
          <w:rFonts w:ascii="Calibri" w:hAnsi="Calibri"/>
          <w:szCs w:val="24"/>
        </w:rPr>
        <w:t xml:space="preserve">  </w:t>
      </w:r>
      <w:r w:rsidR="006F1C9C">
        <w:rPr>
          <w:rFonts w:ascii="Calibri" w:hAnsi="Calibri"/>
          <w:szCs w:val="24"/>
        </w:rPr>
        <w:t xml:space="preserve">  </w:t>
      </w:r>
      <w:r w:rsidR="00C77BE5">
        <w:rPr>
          <w:rFonts w:ascii="Calibri" w:hAnsi="Calibri"/>
          <w:szCs w:val="24"/>
        </w:rPr>
        <w:t xml:space="preserve">  </w:t>
      </w:r>
      <w:r w:rsidR="00BA5329">
        <w:rPr>
          <w:rFonts w:ascii="Calibri" w:hAnsi="Calibri"/>
          <w:szCs w:val="24"/>
        </w:rPr>
        <w:t xml:space="preserve">  </w:t>
      </w:r>
      <w:r w:rsidR="00615DA4">
        <w:rPr>
          <w:rFonts w:ascii="Calibri" w:hAnsi="Calibri"/>
          <w:szCs w:val="24"/>
        </w:rPr>
        <w:t xml:space="preserve"> </w:t>
      </w:r>
      <w:r w:rsidR="00FA6332">
        <w:rPr>
          <w:rFonts w:ascii="Calibri" w:hAnsi="Calibri"/>
          <w:szCs w:val="24"/>
        </w:rPr>
        <w:t xml:space="preserve"> </w:t>
      </w:r>
    </w:p>
    <w:p w14:paraId="1549F8B1" w14:textId="269BCA80" w:rsidR="00CA56C1" w:rsidRDefault="00CA56C1" w:rsidP="00075342">
      <w:pPr>
        <w:rPr>
          <w:rFonts w:ascii="Calibri" w:hAnsi="Calibri"/>
          <w:szCs w:val="24"/>
        </w:rPr>
      </w:pPr>
    </w:p>
    <w:p w14:paraId="01A5EDE4" w14:textId="08C0D51A" w:rsidR="00134DFF" w:rsidRDefault="000F6813" w:rsidP="00075342">
      <w:pPr>
        <w:rPr>
          <w:rFonts w:ascii="Calibri" w:hAnsi="Calibri"/>
          <w:szCs w:val="24"/>
        </w:rPr>
      </w:pPr>
      <w:r>
        <w:rPr>
          <w:rFonts w:ascii="Calibri" w:hAnsi="Calibri"/>
          <w:szCs w:val="24"/>
        </w:rPr>
        <w:t xml:space="preserve">  </w:t>
      </w:r>
    </w:p>
    <w:p w14:paraId="5E3C6D42" w14:textId="0BA74744" w:rsidR="009965AD" w:rsidRDefault="00923DCD" w:rsidP="00075342">
      <w:pPr>
        <w:rPr>
          <w:rFonts w:ascii="Calibri" w:hAnsi="Calibri"/>
          <w:szCs w:val="24"/>
        </w:rPr>
      </w:pPr>
      <w:r>
        <w:rPr>
          <w:rFonts w:ascii="Calibri" w:hAnsi="Calibri"/>
          <w:szCs w:val="24"/>
        </w:rPr>
        <w:t xml:space="preserve"> </w:t>
      </w:r>
    </w:p>
    <w:p w14:paraId="3AA80CAE" w14:textId="6445A0F3" w:rsidR="00075342" w:rsidRDefault="00CD5043" w:rsidP="00075342">
      <w:pPr>
        <w:rPr>
          <w:rFonts w:ascii="Calibri" w:hAnsi="Calibri"/>
          <w:szCs w:val="24"/>
        </w:rPr>
      </w:pPr>
      <w:r>
        <w:rPr>
          <w:rFonts w:ascii="Calibri" w:hAnsi="Calibri"/>
          <w:szCs w:val="24"/>
        </w:rPr>
        <w:t xml:space="preserve"> </w:t>
      </w:r>
    </w:p>
    <w:p w14:paraId="3C076E11" w14:textId="77777777" w:rsidR="00333050" w:rsidRDefault="00333050" w:rsidP="00075342">
      <w:pPr>
        <w:rPr>
          <w:rFonts w:ascii="Calibri" w:hAnsi="Calibri"/>
          <w:szCs w:val="24"/>
        </w:rPr>
      </w:pPr>
    </w:p>
    <w:p w14:paraId="7C779574" w14:textId="5945AA73" w:rsidR="00B65F4C" w:rsidRPr="00A32CD2" w:rsidRDefault="00036123" w:rsidP="004A4E53">
      <w:pPr>
        <w:rPr>
          <w:rFonts w:ascii="Calibri" w:hAnsi="Calibri"/>
          <w:szCs w:val="24"/>
        </w:rPr>
      </w:pPr>
      <w:r>
        <w:rPr>
          <w:rFonts w:ascii="Calibri" w:hAnsi="Calibri"/>
          <w:szCs w:val="24"/>
        </w:rPr>
        <w:t>`</w:t>
      </w:r>
      <w:r w:rsidR="00F4216E">
        <w:rPr>
          <w:rFonts w:ascii="Calibri" w:hAnsi="Calibri"/>
          <w:szCs w:val="24"/>
        </w:rPr>
        <w:t xml:space="preserve">  </w:t>
      </w:r>
      <w:r w:rsidR="0075049D">
        <w:rPr>
          <w:rFonts w:ascii="Calibri" w:hAnsi="Calibri"/>
          <w:szCs w:val="24"/>
        </w:rPr>
        <w:t xml:space="preserve"> </w:t>
      </w:r>
      <w:r w:rsidR="007A5493">
        <w:rPr>
          <w:rFonts w:ascii="Calibri" w:hAnsi="Calibri"/>
          <w:szCs w:val="24"/>
        </w:rPr>
        <w:t xml:space="preserve"> </w:t>
      </w:r>
      <w:r w:rsidR="007E1CE3">
        <w:rPr>
          <w:rFonts w:ascii="Calibri" w:hAnsi="Calibri"/>
          <w:szCs w:val="24"/>
        </w:rPr>
        <w:t xml:space="preserve"> </w:t>
      </w:r>
      <w:r w:rsidR="00A32CD2">
        <w:rPr>
          <w:rFonts w:ascii="Calibri" w:hAnsi="Calibri"/>
          <w:szCs w:val="24"/>
        </w:rPr>
        <w:t xml:space="preserve"> </w:t>
      </w:r>
      <w:r w:rsidR="00A32CD2">
        <w:rPr>
          <w:rFonts w:ascii="Calibri" w:hAnsi="Calibri"/>
          <w:i/>
          <w:szCs w:val="24"/>
        </w:rPr>
        <w:t xml:space="preserve"> </w:t>
      </w:r>
    </w:p>
    <w:p w14:paraId="16CAE333" w14:textId="77777777" w:rsidR="00EE2926" w:rsidRDefault="00EE2926"/>
    <w:sectPr w:rsidR="00EE2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E53"/>
    <w:rsid w:val="00036123"/>
    <w:rsid w:val="000574F8"/>
    <w:rsid w:val="00075342"/>
    <w:rsid w:val="000967D2"/>
    <w:rsid w:val="000F6813"/>
    <w:rsid w:val="00123DC9"/>
    <w:rsid w:val="00134DFF"/>
    <w:rsid w:val="00152B1A"/>
    <w:rsid w:val="00170D90"/>
    <w:rsid w:val="00181C8B"/>
    <w:rsid w:val="001918B8"/>
    <w:rsid w:val="00194E9D"/>
    <w:rsid w:val="002416C3"/>
    <w:rsid w:val="00271C22"/>
    <w:rsid w:val="002E685F"/>
    <w:rsid w:val="00333050"/>
    <w:rsid w:val="00391008"/>
    <w:rsid w:val="003E51E0"/>
    <w:rsid w:val="00443A62"/>
    <w:rsid w:val="00471ECA"/>
    <w:rsid w:val="004855FF"/>
    <w:rsid w:val="004A4E53"/>
    <w:rsid w:val="005926B9"/>
    <w:rsid w:val="005F1005"/>
    <w:rsid w:val="00615DA4"/>
    <w:rsid w:val="00625D8F"/>
    <w:rsid w:val="006D0F2D"/>
    <w:rsid w:val="006E5E61"/>
    <w:rsid w:val="006F1C9C"/>
    <w:rsid w:val="006F6F13"/>
    <w:rsid w:val="0073657F"/>
    <w:rsid w:val="00746316"/>
    <w:rsid w:val="0075049D"/>
    <w:rsid w:val="007504FB"/>
    <w:rsid w:val="007A5493"/>
    <w:rsid w:val="007D7F28"/>
    <w:rsid w:val="007E1CE3"/>
    <w:rsid w:val="00810D38"/>
    <w:rsid w:val="00815BD3"/>
    <w:rsid w:val="008957F4"/>
    <w:rsid w:val="008C404C"/>
    <w:rsid w:val="00923DCD"/>
    <w:rsid w:val="00930FCC"/>
    <w:rsid w:val="009965AD"/>
    <w:rsid w:val="009B3476"/>
    <w:rsid w:val="009C5DA9"/>
    <w:rsid w:val="00A0103F"/>
    <w:rsid w:val="00A25BA5"/>
    <w:rsid w:val="00A32CD2"/>
    <w:rsid w:val="00A659A4"/>
    <w:rsid w:val="00A737DE"/>
    <w:rsid w:val="00AA674F"/>
    <w:rsid w:val="00B42CE9"/>
    <w:rsid w:val="00B65F4C"/>
    <w:rsid w:val="00BA170D"/>
    <w:rsid w:val="00BA5329"/>
    <w:rsid w:val="00BB07D3"/>
    <w:rsid w:val="00C33E88"/>
    <w:rsid w:val="00C4448F"/>
    <w:rsid w:val="00C50A0D"/>
    <w:rsid w:val="00C52BA5"/>
    <w:rsid w:val="00C75B15"/>
    <w:rsid w:val="00C77BE5"/>
    <w:rsid w:val="00C833A2"/>
    <w:rsid w:val="00CA56C1"/>
    <w:rsid w:val="00CD5043"/>
    <w:rsid w:val="00D03EC3"/>
    <w:rsid w:val="00D25863"/>
    <w:rsid w:val="00D734DE"/>
    <w:rsid w:val="00D96470"/>
    <w:rsid w:val="00DD65B3"/>
    <w:rsid w:val="00DF4610"/>
    <w:rsid w:val="00DF5A35"/>
    <w:rsid w:val="00E15C91"/>
    <w:rsid w:val="00E2007D"/>
    <w:rsid w:val="00E51158"/>
    <w:rsid w:val="00E77DBA"/>
    <w:rsid w:val="00E81D37"/>
    <w:rsid w:val="00EB6C8F"/>
    <w:rsid w:val="00EE2926"/>
    <w:rsid w:val="00EF5BEA"/>
    <w:rsid w:val="00F172CF"/>
    <w:rsid w:val="00F4216E"/>
    <w:rsid w:val="00FA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BBBCC"/>
  <w15:chartTrackingRefBased/>
  <w15:docId w15:val="{EFA6D113-EE5D-4B1C-8B5B-38A8482F2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4E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8C21A-E78A-4F77-9595-105AB982A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7</Pages>
  <Words>3920</Words>
  <Characters>22346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41</cp:revision>
  <dcterms:created xsi:type="dcterms:W3CDTF">2018-01-07T16:14:00Z</dcterms:created>
  <dcterms:modified xsi:type="dcterms:W3CDTF">2018-01-09T15:37:00Z</dcterms:modified>
</cp:coreProperties>
</file>