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221DA3A" w:rsidP="1DEB3512" w:rsidRDefault="4221DA3A" w14:paraId="26712855" w14:textId="2B5B6A44">
      <w:pPr>
        <w:rPr>
          <w:rFonts w:ascii="Aptos" w:hAnsi="Aptos" w:eastAsia="Aptos" w:cs="Aptos"/>
          <w:b w:val="0"/>
          <w:bCs w:val="0"/>
          <w:i w:val="0"/>
          <w:iCs w:val="0"/>
          <w:caps w:val="0"/>
          <w:smallCaps w:val="0"/>
          <w:noProof w:val="0"/>
          <w:color w:val="000000" w:themeColor="text1" w:themeTint="FF" w:themeShade="FF"/>
          <w:sz w:val="24"/>
          <w:szCs w:val="24"/>
          <w:lang w:val="en-GB"/>
        </w:rPr>
      </w:pPr>
      <w:r w:rsidR="4221DA3A">
        <w:drawing>
          <wp:inline wp14:editId="44D8B5FF" wp14:anchorId="3983901A">
            <wp:extent cx="2619375" cy="1171575"/>
            <wp:effectExtent l="0" t="0" r="0" b="0"/>
            <wp:docPr id="19863828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6382818" name="Picture 1986382818"/>
                    <pic:cNvPicPr/>
                  </pic:nvPicPr>
                  <pic:blipFill>
                    <a:blip xmlns:r="http://schemas.openxmlformats.org/officeDocument/2006/relationships" r:embed="rId1499932094">
                      <a:extLst>
                        <a:ext uri="{28A0092B-C50C-407E-A947-70E740481C1C}">
                          <a14:useLocalDpi xmlns:a14="http://schemas.microsoft.com/office/drawing/2010/main"/>
                        </a:ext>
                      </a:extLst>
                    </a:blip>
                    <a:stretch>
                      <a:fillRect/>
                    </a:stretch>
                  </pic:blipFill>
                  <pic:spPr>
                    <a:xfrm>
                      <a:off x="0" y="0"/>
                      <a:ext cx="2619375" cy="1171575"/>
                    </a:xfrm>
                    <a:prstGeom prst="rect">
                      <a:avLst/>
                    </a:prstGeom>
                  </pic:spPr>
                </pic:pic>
              </a:graphicData>
            </a:graphic>
          </wp:inline>
        </w:drawing>
      </w:r>
    </w:p>
    <w:p w:rsidR="1DEB3512" w:rsidP="1DEB3512" w:rsidRDefault="1DEB3512" w14:paraId="1EB1690A" w14:textId="4C8B92EA">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1B9EBC61" w14:textId="01A40D93">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54584431" w14:textId="410BD0B8">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36F3B100" w14:textId="6A4384FA">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4AF19502" w14:textId="7D703F72">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1C4C413D" w14:textId="0427BADB">
      <w:pPr>
        <w:rPr>
          <w:rFonts w:ascii="Aptos" w:hAnsi="Aptos" w:eastAsia="Aptos" w:cs="Aptos"/>
          <w:b w:val="0"/>
          <w:bCs w:val="0"/>
          <w:i w:val="0"/>
          <w:iCs w:val="0"/>
          <w:caps w:val="0"/>
          <w:smallCaps w:val="0"/>
          <w:noProof w:val="0"/>
          <w:color w:val="000000" w:themeColor="text1" w:themeTint="FF" w:themeShade="FF"/>
          <w:sz w:val="24"/>
          <w:szCs w:val="24"/>
          <w:lang w:val="en-GB"/>
        </w:rPr>
      </w:pPr>
    </w:p>
    <w:p w:rsidR="4221DA3A" w:rsidP="1DEB3512" w:rsidRDefault="4221DA3A" w14:paraId="63E63AF7" w14:textId="65E69AE5">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Name: Shazma Raza</w:t>
      </w:r>
    </w:p>
    <w:p w:rsidR="4221DA3A" w:rsidP="1DEB3512" w:rsidRDefault="4221DA3A" w14:paraId="4B8437E6" w14:textId="16C49972">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Student ID: 2515556</w:t>
      </w:r>
    </w:p>
    <w:p w:rsidR="4221DA3A" w:rsidP="1DEB3512" w:rsidRDefault="4221DA3A" w14:paraId="34C3D0CD" w14:textId="61FE4BB1">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Module Code: LCHS4001</w:t>
      </w:r>
    </w:p>
    <w:p w:rsidR="4221DA3A" w:rsidP="1DEB3512" w:rsidRDefault="4221DA3A" w14:paraId="0FE19948" w14:textId="5EDF39E1">
      <w:pPr>
        <w:spacing w:before="0" w:beforeAutospacing="off" w:after="0" w:afterAutospacing="off"/>
        <w:jc w:val="left"/>
        <w:rPr>
          <w:rFonts w:ascii="Segoe UI" w:hAnsi="Segoe UI" w:eastAsia="Segoe UI" w:cs="Segoe UI"/>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Module: </w:t>
      </w:r>
      <w:r w:rsidRPr="1DEB3512" w:rsidR="4221DA3A">
        <w:rPr>
          <w:rFonts w:ascii="Segoe UI" w:hAnsi="Segoe UI" w:eastAsia="Segoe UI" w:cs="Segoe UI"/>
          <w:b w:val="0"/>
          <w:bCs w:val="0"/>
          <w:i w:val="0"/>
          <w:iCs w:val="0"/>
          <w:caps w:val="0"/>
          <w:smallCaps w:val="0"/>
          <w:noProof w:val="0"/>
          <w:color w:val="000000" w:themeColor="text1" w:themeTint="FF" w:themeShade="FF"/>
          <w:sz w:val="28"/>
          <w:szCs w:val="28"/>
          <w:lang w:val="en-GB"/>
        </w:rPr>
        <w:t>Academic and Employability Skills</w:t>
      </w:r>
    </w:p>
    <w:p w:rsidR="4221DA3A" w:rsidP="1DEB3512" w:rsidRDefault="4221DA3A" w14:paraId="17980C6A" w14:textId="14DA4C69">
      <w:pPr>
        <w:spacing w:before="0" w:beforeAutospacing="off" w:after="160" w:afterAutospacing="off"/>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Lecturer: Daniel Jenkin-Smith</w:t>
      </w:r>
    </w:p>
    <w:p w:rsidR="1DEB3512" w:rsidP="1DEB3512" w:rsidRDefault="1DEB3512" w14:paraId="6BD05A99" w14:textId="123AF472">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6BAC830A" w14:textId="1A97B757">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55CE1946" w14:textId="360B79A6">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133BB74D" w14:textId="7CF0A8F2">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4EE2E319" w14:textId="29DECDB3">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10A5EBFE" w14:textId="4AE00C5A">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05557395" w14:textId="1BF30586">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25E34B24" w14:textId="1C230EB7">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0F096218" w14:textId="2CC1F253">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68A1162C" w14:textId="091091AA">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792D955A" w14:textId="7F135DC4">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5D26982B" w14:textId="3663CCCC">
      <w:pPr>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22DB67D5" w14:textId="47742505">
      <w:pPr>
        <w:rPr>
          <w:rFonts w:ascii="Aptos" w:hAnsi="Aptos" w:eastAsia="Aptos" w:cs="Aptos"/>
          <w:b w:val="0"/>
          <w:bCs w:val="0"/>
          <w:i w:val="0"/>
          <w:iCs w:val="0"/>
          <w:caps w:val="0"/>
          <w:smallCaps w:val="0"/>
          <w:noProof w:val="0"/>
          <w:color w:val="000000" w:themeColor="text1" w:themeTint="FF" w:themeShade="FF"/>
          <w:sz w:val="24"/>
          <w:szCs w:val="24"/>
          <w:lang w:val="en-GB"/>
        </w:rPr>
      </w:pPr>
    </w:p>
    <w:p w:rsidR="4221DA3A" w:rsidP="1DEB3512" w:rsidRDefault="4221DA3A" w14:paraId="4B6F23B8" w14:textId="4130051C">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DEB3512" w:rsidR="4221DA3A">
        <w:rPr>
          <w:rFonts w:ascii="Arial" w:hAnsi="Arial" w:eastAsia="Arial" w:cs="Arial"/>
          <w:b w:val="1"/>
          <w:bCs w:val="1"/>
          <w:i w:val="0"/>
          <w:iCs w:val="0"/>
          <w:caps w:val="0"/>
          <w:smallCaps w:val="0"/>
          <w:noProof w:val="0"/>
          <w:color w:val="000000" w:themeColor="text1" w:themeTint="FF" w:themeShade="FF"/>
          <w:sz w:val="32"/>
          <w:szCs w:val="32"/>
          <w:lang w:val="en-GB"/>
        </w:rPr>
        <w:t>Contents</w:t>
      </w:r>
    </w:p>
    <w:p w:rsidR="4221DA3A" w:rsidP="1DEB3512" w:rsidRDefault="4221DA3A" w14:paraId="2F59381C" w14:textId="18C6C50A">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4221DA3A" w:rsidP="1DEB3512" w:rsidRDefault="4221DA3A" w14:paraId="14E597D8" w14:textId="60AA1F7E">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Description of the Child Social Worker Role</w:t>
      </w:r>
    </w:p>
    <w:p w:rsidR="4221DA3A" w:rsidP="1DEB3512" w:rsidRDefault="4221DA3A" w14:paraId="2CA6A91D" w14:textId="01AE0A6B">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Essential Skills Required for the Role</w:t>
      </w:r>
    </w:p>
    <w:p w:rsidR="4221DA3A" w:rsidP="1DEB3512" w:rsidRDefault="4221DA3A" w14:paraId="60780DFC" w14:textId="69C1147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3.1 Communication Skills</w:t>
      </w:r>
    </w:p>
    <w:p w:rsidR="4221DA3A" w:rsidP="1DEB3512" w:rsidRDefault="4221DA3A" w14:paraId="1A81F581" w14:textId="6513328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3.2 Empathy and Emotional Resilience</w:t>
      </w:r>
    </w:p>
    <w:p w:rsidR="4221DA3A" w:rsidP="1DEB3512" w:rsidRDefault="4221DA3A" w14:paraId="5E769088" w14:textId="60FA727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3.3 Critical Thinking and Decision-Making</w:t>
      </w:r>
    </w:p>
    <w:p w:rsidR="4221DA3A" w:rsidP="1DEB3512" w:rsidRDefault="4221DA3A" w14:paraId="4686E02B" w14:textId="43105031">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Strategies to Improve Essential Skills</w:t>
      </w:r>
    </w:p>
    <w:p w:rsidR="4221DA3A" w:rsidP="1DEB3512" w:rsidRDefault="4221DA3A" w14:paraId="484B47DD" w14:textId="0A58F0A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4.1 Developing Communication Skills</w:t>
      </w:r>
    </w:p>
    <w:p w:rsidR="4221DA3A" w:rsidP="1DEB3512" w:rsidRDefault="4221DA3A" w14:paraId="734F0A7B" w14:textId="7183BF3B">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4.2 Strengthening Empathy and Emotional Resilience</w:t>
      </w:r>
    </w:p>
    <w:p w:rsidR="4221DA3A" w:rsidP="1DEB3512" w:rsidRDefault="4221DA3A" w14:paraId="4195F8D4" w14:textId="0E489D8C">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4.3 Enhancing Critical Thinking and Decision-Making</w:t>
      </w:r>
    </w:p>
    <w:p w:rsidR="4221DA3A" w:rsidP="1DEB3512" w:rsidRDefault="4221DA3A" w14:paraId="65AA2347" w14:textId="77C8903A">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Conclusion</w:t>
      </w:r>
    </w:p>
    <w:p w:rsidR="4221DA3A" w:rsidP="1DEB3512" w:rsidRDefault="4221DA3A" w14:paraId="5238A503" w14:textId="0171A77C">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References</w:t>
      </w:r>
    </w:p>
    <w:p w:rsidR="1DEB3512" w:rsidP="1DEB3512" w:rsidRDefault="1DEB3512" w14:paraId="7B4F7FDD" w14:textId="315CDB4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2B53389A" w14:textId="2801C34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41581687" w14:textId="4E808A2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11ACBCDC" w14:textId="7DAA46C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21DA3A" w:rsidP="1DEB3512" w:rsidRDefault="4221DA3A" w14:paraId="500C2227" w14:textId="6CEF2FB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1"/>
          <w:bCs w:val="1"/>
          <w:i w:val="0"/>
          <w:iCs w:val="0"/>
          <w:caps w:val="0"/>
          <w:smallCaps w:val="0"/>
          <w:noProof w:val="0"/>
          <w:color w:val="000000" w:themeColor="text1" w:themeTint="FF" w:themeShade="FF"/>
          <w:sz w:val="28"/>
          <w:szCs w:val="28"/>
          <w:lang w:val="en-GB"/>
        </w:rPr>
        <w:t>1. Introduction</w:t>
      </w:r>
    </w:p>
    <w:p w:rsidR="4221DA3A" w:rsidP="1DEB3512" w:rsidRDefault="4221DA3A" w14:paraId="1ED13211" w14:textId="4F45CEA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Child social workers are essential in helping struggling families and safeguarding kids who might be abused, neglected, or harmed. They are responsible for evaluating risks, carrying out focused interventions, and making sure that the rights and welfare of children are at the centre of all decisions (Department for Education, 2018). The main duties of child social workers are described in this report, along with the three fundamental abilities needed for successful practice—communication, empathy and emotional resilience, and critical thinking—as well as useful methods for honing these abilities. The knowledge and character traits required for effective practice in child social work are highlighted by an understanding of these areas.</w:t>
      </w:r>
    </w:p>
    <w:p w:rsidR="4221DA3A" w:rsidP="1DEB3512" w:rsidRDefault="4221DA3A" w14:paraId="13F14065" w14:textId="76A5D5D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1"/>
          <w:bCs w:val="1"/>
          <w:i w:val="0"/>
          <w:iCs w:val="0"/>
          <w:caps w:val="0"/>
          <w:smallCaps w:val="0"/>
          <w:noProof w:val="0"/>
          <w:color w:val="000000" w:themeColor="text1" w:themeTint="FF" w:themeShade="FF"/>
          <w:sz w:val="28"/>
          <w:szCs w:val="28"/>
          <w:lang w:val="en-GB"/>
        </w:rPr>
        <w:t>2. Description of the Child Social Worker Role</w:t>
      </w:r>
    </w:p>
    <w:p w:rsidR="4221DA3A" w:rsidP="1DEB3512" w:rsidRDefault="4221DA3A" w14:paraId="5D7F8A99" w14:textId="43B21C1B">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In the health and social care sector, child social workers work to shield kids from abuse, exploitation, neglect, and harm. Additionally, they strive to fortify families so that kids can stay in secure settings whenever feasible.</w:t>
      </w:r>
    </w:p>
    <w:p w:rsidR="4221DA3A" w:rsidP="1DEB3512" w:rsidRDefault="4221DA3A" w14:paraId="6FD99E7D" w14:textId="284A743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Important duties consist of:</w:t>
      </w:r>
    </w:p>
    <w:p w:rsidR="4221DA3A" w:rsidP="1DEB3512" w:rsidRDefault="4221DA3A" w14:paraId="48585CAF" w14:textId="2FB77643">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carrying out risk assessments to comprehend the child's situation and pinpoint issues related to safeguarding (Department for Education, 2018).</w:t>
      </w:r>
    </w:p>
    <w:p w:rsidR="4221DA3A" w:rsidP="1DEB3512" w:rsidRDefault="4221DA3A" w14:paraId="36BAB280" w14:textId="67B91029">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creating, evaluating, and carrying out care plans that are specific to each child's needs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Ruch et al., 2017)</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w:t>
      </w:r>
    </w:p>
    <w:p w:rsidR="4221DA3A" w:rsidP="1DEB3512" w:rsidRDefault="4221DA3A" w14:paraId="07643D31" w14:textId="0C9FBE3C">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helping kids and their families overcome obstacles by providing them with both practical and emotional support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(Grant &amp; Kinman, 2014)</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w:t>
      </w:r>
    </w:p>
    <w:p w:rsidR="4221DA3A" w:rsidP="1DEB3512" w:rsidRDefault="4221DA3A" w14:paraId="075C21FA" w14:textId="1C5B461C">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working together with important organisations like the police, schools, and medical professionals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(Department for Education, 2018)</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w:t>
      </w:r>
    </w:p>
    <w:p w:rsidR="4221DA3A" w:rsidP="1DEB3512" w:rsidRDefault="4221DA3A" w14:paraId="5A24C960" w14:textId="31407360">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keeping up-to-date case notes and records in compliance with legal requirements (NHS, 2023).</w:t>
      </w:r>
    </w:p>
    <w:p w:rsidR="4221DA3A" w:rsidP="1DEB3512" w:rsidRDefault="4221DA3A" w14:paraId="7D0AFEEB" w14:textId="54B0E3D6">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representing children in court, at case conferences, and in multi-agency gatherings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(Taylor &amp; Whittaker, 2020)</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w:t>
      </w:r>
    </w:p>
    <w:p w:rsidR="4221DA3A" w:rsidP="1DEB3512" w:rsidRDefault="4221DA3A" w14:paraId="2BB3F1FE" w14:textId="64100FC2">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This role requires specialist knowledge, emotional strength, and the ability to communicate effectively with children and adults in often highly stressful situations.</w:t>
      </w:r>
    </w:p>
    <w:p w:rsidR="1DEB3512" w:rsidP="1DEB3512" w:rsidRDefault="1DEB3512" w14:paraId="1AF8C28D" w14:textId="714E60E3">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4221DA3A" w:rsidP="1DEB3512" w:rsidRDefault="4221DA3A" w14:paraId="53F4B07D" w14:textId="77D48C35">
      <w:pPr>
        <w:spacing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EB3512" w:rsidR="4221DA3A">
        <w:rPr>
          <w:rFonts w:ascii="Arial" w:hAnsi="Arial" w:eastAsia="Arial" w:cs="Arial"/>
          <w:b w:val="1"/>
          <w:bCs w:val="1"/>
          <w:i w:val="0"/>
          <w:iCs w:val="0"/>
          <w:caps w:val="0"/>
          <w:smallCaps w:val="0"/>
          <w:noProof w:val="0"/>
          <w:color w:val="000000" w:themeColor="text1" w:themeTint="FF" w:themeShade="FF"/>
          <w:sz w:val="28"/>
          <w:szCs w:val="28"/>
          <w:lang w:val="en-GB"/>
        </w:rPr>
        <w:t>3. Essential Skills Required for the Role</w:t>
      </w:r>
    </w:p>
    <w:p w:rsidR="4221DA3A" w:rsidP="1DEB3512" w:rsidRDefault="4221DA3A" w14:paraId="71512F47" w14:textId="53D11A6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3.1 Communication Skills</w:t>
      </w:r>
    </w:p>
    <w:p w:rsidR="4221DA3A" w:rsidP="1DEB3512" w:rsidRDefault="4221DA3A" w14:paraId="02D64364" w14:textId="123BB41F">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For child social workers, communication is one of the most important abilities. They must interact with kids, parents, and experts in a clear and considerate manner. Accurate assessments, rapport-building with families, and professional collaboration are all facilitated by effective communication (Ruch et al., 2017). For example, the social worker must use age-appropriate language and exhibit active listening when interacting with a child who may have experienced trauma. Nonverbal clues like body language and facial expressions are also important in effective communication because they can foster understanding and trust with kids and families.(NHS, 2023).</w:t>
      </w:r>
    </w:p>
    <w:p w:rsidR="4221DA3A" w:rsidP="1DEB3512" w:rsidRDefault="4221DA3A" w14:paraId="7DA10179" w14:textId="60628BA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3.2 Empathy and Emotional Resilience</w:t>
      </w:r>
    </w:p>
    <w:p w:rsidR="4221DA3A" w:rsidP="1DEB3512" w:rsidRDefault="4221DA3A" w14:paraId="0454C152" w14:textId="4F20BB7C">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Social workers who possess empathy are better able to comprehend the feelings and experiences of children who are at risk. Because safeguarding work is difficult and sometimes upsetting, emotional resilience is essential. Employees must maintain composure, professionalism, and focus when dealing with emotionally charged situations (Grant &amp; Kinman, 2014). A social worker helping a child who has been abused, for instance, needs to be empathetic while upholding professional boundaries and controlling their own emotional responses. In order to build trust and encourage the sharing of sensitive information, social workers must be able to connect with children on a deeper level through empathy, which makes them feel heard, understood, and valued. (Ruch et al., 2017).</w:t>
      </w:r>
    </w:p>
    <w:p w:rsidR="4221DA3A" w:rsidP="1DEB3512" w:rsidRDefault="4221DA3A" w14:paraId="20A542C2" w14:textId="60D0D20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3.3 Critical Thinking and Decision-Making</w:t>
      </w:r>
    </w:p>
    <w:p w:rsidR="4221DA3A" w:rsidP="1DEB3512" w:rsidRDefault="4221DA3A" w14:paraId="24CCAF90" w14:textId="621E1B83">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To make decisions that are best for the child, social workers must evaluate information from various sources, recognise risks, and make well-informed choices. According to Taylor and Whittaker (2020), critical thinking facilitates precise analysis, expert judgement, and self-assured decision-making. For instance, determining whether a child can safely stay in their family home necessitates a sophisticated knowledge of risk factors, protective factors, and pertinent laws. Social workers have to keep objectivity and abstain from any personal opinions that might cloud their professional judgement and affect the welfare of the child. (Department for Education, 2018).</w:t>
      </w:r>
    </w:p>
    <w:p w:rsidR="1DEB3512" w:rsidP="1DEB3512" w:rsidRDefault="1DEB3512" w14:paraId="6FB3B142" w14:textId="64CE8452">
      <w:pPr>
        <w:spacing w:before="240" w:beforeAutospacing="off" w:after="240" w:afterAutospacing="off"/>
        <w:ind w:left="720"/>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1DEB3512" w:rsidP="1DEB3512" w:rsidRDefault="1DEB3512" w14:paraId="6ED38F60" w14:textId="5006DECA">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5294234D" w14:textId="28DA5194">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56E2B0D1" w14:textId="7A501836">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171769E9" w14:textId="3D34979D">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3BA57FB4" w14:textId="25FF0AEA">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4221DA3A" w:rsidP="1DEB3512" w:rsidRDefault="4221DA3A" w14:paraId="5CF12524" w14:textId="4B6C3622">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DEB3512" w:rsidR="4221DA3A">
        <w:rPr>
          <w:rFonts w:ascii="Arial" w:hAnsi="Arial" w:eastAsia="Arial" w:cs="Arial"/>
          <w:b w:val="1"/>
          <w:bCs w:val="1"/>
          <w:i w:val="0"/>
          <w:iCs w:val="0"/>
          <w:caps w:val="0"/>
          <w:smallCaps w:val="0"/>
          <w:noProof w:val="0"/>
          <w:color w:val="000000" w:themeColor="text1" w:themeTint="FF" w:themeShade="FF"/>
          <w:sz w:val="32"/>
          <w:szCs w:val="32"/>
          <w:lang w:val="en-GB"/>
        </w:rPr>
        <w:t>4. Strategies to Improve Essential Skills</w:t>
      </w:r>
    </w:p>
    <w:p w:rsidR="4221DA3A" w:rsidP="1DEB3512" w:rsidRDefault="4221DA3A" w14:paraId="6AAD07D3" w14:textId="16346C3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4.1 Developing Communication Skills</w:t>
      </w:r>
    </w:p>
    <w:p w:rsidR="4221DA3A" w:rsidP="1DEB3512" w:rsidRDefault="4221DA3A" w14:paraId="29F011A1" w14:textId="2E8C18B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There are three ways to improve communication skills:</w:t>
      </w:r>
    </w:p>
    <w:p w:rsidR="4221DA3A" w:rsidP="1DEB3512" w:rsidRDefault="4221DA3A" w14:paraId="07272728" w14:textId="57EDB929">
      <w:pPr>
        <w:pStyle w:val="ListParagraph"/>
        <w:numPr>
          <w:ilvl w:val="0"/>
          <w:numId w:val="3"/>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Reflective practice: By thinking back on past exchanges, social workers can pinpoint their areas of strength and improvement. This enhances their capacity to modify communication methods to accommodate children's and families' needs (Ruch et al., 2017).</w:t>
      </w:r>
    </w:p>
    <w:p w:rsidR="4221DA3A" w:rsidP="1DEB3512" w:rsidRDefault="4221DA3A" w14:paraId="74D14276" w14:textId="224115B8">
      <w:pPr>
        <w:pStyle w:val="ListParagraph"/>
        <w:numPr>
          <w:ilvl w:val="0"/>
          <w:numId w:val="3"/>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Role-playing and simulation training: Rehearsing challenging dialogues with peers or superiors increases self-assurance for real-world scenarios like parent-child conflict resolution or child interviews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(NHS, 2023).</w:t>
      </w:r>
    </w:p>
    <w:p w:rsidR="4221DA3A" w:rsidP="1DEB3512" w:rsidRDefault="4221DA3A" w14:paraId="0FD6F6DE" w14:textId="51F76F77">
      <w:pPr>
        <w:pStyle w:val="ListParagraph"/>
        <w:numPr>
          <w:ilvl w:val="0"/>
          <w:numId w:val="3"/>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supervision: Practitioners can review cases, get feedback, and have candid conversations about communication difficulties during regular supervision sessions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(Grant &amp; Kinman, 2014).</w:t>
      </w:r>
    </w:p>
    <w:p w:rsidR="4221DA3A" w:rsidP="1DEB3512" w:rsidRDefault="4221DA3A" w14:paraId="12C135DA" w14:textId="089DACB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4.2 Strengthening Empathy and Emotional Resilience</w:t>
      </w:r>
    </w:p>
    <w:p w:rsidR="4221DA3A" w:rsidP="1DEB3512" w:rsidRDefault="4221DA3A" w14:paraId="4E81B9A8" w14:textId="40DEEB36">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To develop empathy and resilience, the following strategies are effective:</w:t>
      </w:r>
    </w:p>
    <w:p w:rsidR="4221DA3A" w:rsidP="1DEB3512" w:rsidRDefault="4221DA3A" w14:paraId="55CC9B94" w14:textId="688872A4">
      <w:pPr>
        <w:pStyle w:val="ListParagraph"/>
        <w:numPr>
          <w:ilvl w:val="0"/>
          <w:numId w:val="4"/>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Training in mindfulness and stress management: Methods like breathing exercises, grounding techniques, and guided meditation assist practitioners in controlling their emotions and maintaining composure under pressure (Grant &amp; Kinman, 2014).</w:t>
      </w:r>
    </w:p>
    <w:p w:rsidR="4221DA3A" w:rsidP="1DEB3512" w:rsidRDefault="4221DA3A" w14:paraId="2C08F14A" w14:textId="48F2EA53">
      <w:pPr>
        <w:pStyle w:val="ListParagraph"/>
        <w:numPr>
          <w:ilvl w:val="0"/>
          <w:numId w:val="4"/>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Peer support groups: Talking about experiences with coworkers lowers stress, improves relationships, and normalises emotional reactions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(Ruch et al., 2017).</w:t>
      </w:r>
    </w:p>
    <w:p w:rsidR="4221DA3A" w:rsidP="1DEB3512" w:rsidRDefault="4221DA3A" w14:paraId="5DCFC5C7" w14:textId="1462C281">
      <w:pPr>
        <w:pStyle w:val="ListParagraph"/>
        <w:numPr>
          <w:ilvl w:val="0"/>
          <w:numId w:val="4"/>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CPD in trauma-informed practice: Training improves empathy and informed practice by assisting social workers in comprehending how trauma impacts a child's behaviour and emotional needs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(Taylor &amp; Whittaker, 2020).</w:t>
      </w:r>
    </w:p>
    <w:p w:rsidR="1DEB3512" w:rsidP="1DEB3512" w:rsidRDefault="1DEB3512" w14:paraId="6810FA8C" w14:textId="0435163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4BDE081C" w14:textId="0D4F6B95">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7DE04F84" w14:textId="5D1D6600">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7FDC66DA" w14:textId="397CE5AD">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DEB3512" w:rsidP="1DEB3512" w:rsidRDefault="1DEB3512" w14:paraId="1B704DEF" w14:textId="347008A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221DA3A" w:rsidP="1DEB3512" w:rsidRDefault="4221DA3A" w14:paraId="4BFE9B61" w14:textId="4DD7BBBF">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1"/>
          <w:bCs w:val="1"/>
          <w:i w:val="0"/>
          <w:iCs w:val="0"/>
          <w:caps w:val="0"/>
          <w:smallCaps w:val="0"/>
          <w:noProof w:val="0"/>
          <w:color w:val="000000" w:themeColor="text1" w:themeTint="FF" w:themeShade="FF"/>
          <w:sz w:val="24"/>
          <w:szCs w:val="24"/>
          <w:lang w:val="en-GB"/>
        </w:rPr>
        <w:t>4.3 Enhancing Critical Thinking and Decision-Making</w:t>
      </w:r>
    </w:p>
    <w:p w:rsidR="4221DA3A" w:rsidP="1DEB3512" w:rsidRDefault="4221DA3A" w14:paraId="194BC0EE" w14:textId="47462E6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Strategies for improving critical thinking include:</w:t>
      </w:r>
    </w:p>
    <w:p w:rsidR="4221DA3A" w:rsidP="1DEB3512" w:rsidRDefault="4221DA3A" w14:paraId="2E02F127" w14:textId="292CC89B">
      <w:pPr>
        <w:pStyle w:val="ListParagraph"/>
        <w:numPr>
          <w:ilvl w:val="0"/>
          <w:numId w:val="5"/>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Case study analysis: By examining actual or fictitious case studies, employees can create organised methods for risk assessment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(Ruch et al., 2017).</w:t>
      </w:r>
    </w:p>
    <w:p w:rsidR="4221DA3A" w:rsidP="1DEB3512" w:rsidRDefault="4221DA3A" w14:paraId="724B7700" w14:textId="72E295FF">
      <w:pPr>
        <w:pStyle w:val="ListParagraph"/>
        <w:numPr>
          <w:ilvl w:val="0"/>
          <w:numId w:val="5"/>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Training in evidence-based practice: Applying research to practice improves critical thinking and promotes sound decision-making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(Taylor &amp; Whittaker, 2020).</w:t>
      </w:r>
    </w:p>
    <w:p w:rsidR="4221DA3A" w:rsidP="1DEB3512" w:rsidRDefault="4221DA3A" w14:paraId="46103DF3" w14:textId="155DB50C">
      <w:pPr>
        <w:pStyle w:val="ListParagraph"/>
        <w:numPr>
          <w:ilvl w:val="0"/>
          <w:numId w:val="5"/>
        </w:numPr>
        <w:spacing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Mentoring by seasoned professionals: Mentors can question presumptions, present fresh viewpoints, and assist employees in making difficult safeguarding choices </w:t>
      </w:r>
      <w:r w:rsidRPr="1DEB3512" w:rsidR="4221DA3A">
        <w:rPr>
          <w:rFonts w:ascii="Aptos" w:hAnsi="Aptos" w:eastAsia="Aptos" w:cs="Aptos"/>
          <w:b w:val="0"/>
          <w:bCs w:val="0"/>
          <w:i w:val="0"/>
          <w:iCs w:val="0"/>
          <w:caps w:val="0"/>
          <w:smallCaps w:val="0"/>
          <w:noProof w:val="0"/>
          <w:color w:val="000000" w:themeColor="text1" w:themeTint="FF" w:themeShade="FF"/>
          <w:sz w:val="24"/>
          <w:szCs w:val="24"/>
          <w:lang w:val="en-GB"/>
        </w:rPr>
        <w:t>(Grant &amp; Kinman, 2014).</w:t>
      </w:r>
    </w:p>
    <w:p w:rsidR="1DEB3512" w:rsidP="1DEB3512" w:rsidRDefault="1DEB3512" w14:paraId="347EAF05" w14:textId="5F21E2C3">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4221DA3A" w:rsidP="1DEB3512" w:rsidRDefault="4221DA3A" w14:paraId="68FE22F9" w14:textId="41367E38">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DEB3512" w:rsidR="4221DA3A">
        <w:rPr>
          <w:rFonts w:ascii="Arial" w:hAnsi="Arial" w:eastAsia="Arial" w:cs="Arial"/>
          <w:b w:val="1"/>
          <w:bCs w:val="1"/>
          <w:i w:val="0"/>
          <w:iCs w:val="0"/>
          <w:caps w:val="0"/>
          <w:smallCaps w:val="0"/>
          <w:noProof w:val="0"/>
          <w:color w:val="000000" w:themeColor="text1" w:themeTint="FF" w:themeShade="FF"/>
          <w:sz w:val="32"/>
          <w:szCs w:val="32"/>
          <w:lang w:val="en-GB"/>
        </w:rPr>
        <w:t>5. Conclusion</w:t>
      </w:r>
    </w:p>
    <w:p w:rsidR="4221DA3A" w:rsidP="1DEB3512" w:rsidRDefault="4221DA3A" w14:paraId="162372DC" w14:textId="43BE4BB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Child social workers are essential in helping families and protecting children who are at risk. Their duties are wide-ranging and call for both professional knowledge and personal traits like critical thinking, effective communication, empathy, and emotional fortitude. These abilities help social workers manage complicated family situations, accurately assess risks, and make well-informed decisions that safeguard children's welfare. Enhancing these skills requires ongoing professional development through mentoring, CPD, supervision, and reflective practice. Social workers can deliver excellent, child-centered care, uphold professional standards, and make a positive difference in the lives of underprivileged children and families by consistently expanding their knowledge and skills. This dedication to professional growth guarantees that social workers will continue to play a vital role in the health and social care industry with efficacy, compassion, and resilience.</w:t>
      </w:r>
    </w:p>
    <w:p w:rsidR="1DEB3512" w:rsidP="1DEB3512" w:rsidRDefault="1DEB3512" w14:paraId="096129B4" w14:textId="6EF4DBD4">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74973071" w14:textId="00EEF54D">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33FC2F28" w14:textId="12FB724F">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1F8985E5" w14:textId="49B9E00A">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014336A9" w14:textId="285169DF">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20EAF834" w14:textId="6D05A10A">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5E49ED40" w14:textId="70C712A6">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4B25EA0A" w14:textId="673E7E24">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1DEB3512" w:rsidP="1DEB3512" w:rsidRDefault="1DEB3512" w14:paraId="7F3649F9" w14:textId="15350B3B">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4221DA3A" w:rsidP="1DEB3512" w:rsidRDefault="4221DA3A" w14:paraId="28E43600" w14:textId="6C5976FD">
      <w:pPr>
        <w:spacing w:line="360"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DEB3512" w:rsidR="4221DA3A">
        <w:rPr>
          <w:rFonts w:ascii="Arial" w:hAnsi="Arial" w:eastAsia="Arial" w:cs="Arial"/>
          <w:b w:val="1"/>
          <w:bCs w:val="1"/>
          <w:i w:val="0"/>
          <w:iCs w:val="0"/>
          <w:caps w:val="0"/>
          <w:smallCaps w:val="0"/>
          <w:noProof w:val="0"/>
          <w:color w:val="000000" w:themeColor="text1" w:themeTint="FF" w:themeShade="FF"/>
          <w:sz w:val="32"/>
          <w:szCs w:val="32"/>
          <w:lang w:val="en-GB"/>
        </w:rPr>
        <w:t>6. References</w:t>
      </w:r>
    </w:p>
    <w:p w:rsidR="4221DA3A" w:rsidP="1DEB3512" w:rsidRDefault="4221DA3A" w14:paraId="46E44734" w14:textId="65936A5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for Education (2018) </w:t>
      </w:r>
      <w:r w:rsidRPr="1DEB3512" w:rsidR="4221DA3A">
        <w:rPr>
          <w:rFonts w:ascii="Arial" w:hAnsi="Arial" w:eastAsia="Arial" w:cs="Arial"/>
          <w:b w:val="0"/>
          <w:bCs w:val="0"/>
          <w:i w:val="1"/>
          <w:iCs w:val="1"/>
          <w:caps w:val="0"/>
          <w:smallCaps w:val="0"/>
          <w:noProof w:val="0"/>
          <w:color w:val="000000" w:themeColor="text1" w:themeTint="FF" w:themeShade="FF"/>
          <w:sz w:val="24"/>
          <w:szCs w:val="24"/>
          <w:lang w:val="en-GB"/>
        </w:rPr>
        <w:t>Working Together to Safeguard Children</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26fa8481b184566">
        <w:r w:rsidRPr="1DEB3512" w:rsidR="4221DA3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https://www.gov.uk/government/publications/working-together-to-safeguard-children</w:t>
        </w:r>
      </w:hyperlink>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21DA3A" w:rsidP="1DEB3512" w:rsidRDefault="4221DA3A" w14:paraId="63175D40" w14:textId="4704D880">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Grant, L. &amp; Kinman, G. (2014) </w:t>
      </w:r>
      <w:r w:rsidRPr="1DEB3512" w:rsidR="4221DA3A">
        <w:rPr>
          <w:rFonts w:ascii="Arial" w:hAnsi="Arial" w:eastAsia="Arial" w:cs="Arial"/>
          <w:b w:val="0"/>
          <w:bCs w:val="0"/>
          <w:i w:val="1"/>
          <w:iCs w:val="1"/>
          <w:caps w:val="0"/>
          <w:smallCaps w:val="0"/>
          <w:noProof w:val="0"/>
          <w:color w:val="000000" w:themeColor="text1" w:themeTint="FF" w:themeShade="FF"/>
          <w:sz w:val="24"/>
          <w:szCs w:val="24"/>
          <w:lang w:val="en-GB"/>
        </w:rPr>
        <w:t>Developing Resilience for Social Work Practice</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Palgrave Macmillan.</w:t>
      </w:r>
    </w:p>
    <w:p w:rsidR="4221DA3A" w:rsidP="1DEB3512" w:rsidRDefault="4221DA3A" w14:paraId="78A5E197" w14:textId="5BDA8278">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NHS (2023) </w:t>
      </w:r>
      <w:r w:rsidRPr="1DEB3512" w:rsidR="4221DA3A">
        <w:rPr>
          <w:rFonts w:ascii="Arial" w:hAnsi="Arial" w:eastAsia="Arial" w:cs="Arial"/>
          <w:b w:val="0"/>
          <w:bCs w:val="0"/>
          <w:i w:val="1"/>
          <w:iCs w:val="1"/>
          <w:caps w:val="0"/>
          <w:smallCaps w:val="0"/>
          <w:noProof w:val="0"/>
          <w:color w:val="000000" w:themeColor="text1" w:themeTint="FF" w:themeShade="FF"/>
          <w:sz w:val="24"/>
          <w:szCs w:val="24"/>
          <w:lang w:val="en-GB"/>
        </w:rPr>
        <w:t>Social Worker (Children’s Services)</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6f4a51dd8774494">
        <w:r w:rsidRPr="1DEB3512" w:rsidR="4221DA3A">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lang w:val="en-GB"/>
          </w:rPr>
          <w:t>https://www.healthcareers.nhs.uk/explore-roles/social-care/social-worker</w:t>
        </w:r>
      </w:hyperlink>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221DA3A" w:rsidP="1DEB3512" w:rsidRDefault="4221DA3A" w14:paraId="7054FB2B" w14:textId="2CA26B0F">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Ruch, G., Turney, D. &amp; Ward, A. (2017) </w:t>
      </w:r>
      <w:r w:rsidRPr="1DEB3512" w:rsidR="4221DA3A">
        <w:rPr>
          <w:rFonts w:ascii="Arial" w:hAnsi="Arial" w:eastAsia="Arial" w:cs="Arial"/>
          <w:b w:val="0"/>
          <w:bCs w:val="0"/>
          <w:i w:val="1"/>
          <w:iCs w:val="1"/>
          <w:caps w:val="0"/>
          <w:smallCaps w:val="0"/>
          <w:noProof w:val="0"/>
          <w:color w:val="000000" w:themeColor="text1" w:themeTint="FF" w:themeShade="FF"/>
          <w:sz w:val="24"/>
          <w:szCs w:val="24"/>
          <w:lang w:val="en-GB"/>
        </w:rPr>
        <w:t>Relationship-based Social Work</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Jessica Kingsley Publishers.</w:t>
      </w:r>
    </w:p>
    <w:p w:rsidR="4221DA3A" w:rsidP="1DEB3512" w:rsidRDefault="4221DA3A" w14:paraId="132BAA12" w14:textId="16C3B916">
      <w:pPr>
        <w:spacing w:before="240" w:beforeAutospacing="off" w:after="240" w:afterAutospacing="off"/>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xml:space="preserve">Taylor, C. &amp; Whittaker, A. (2020) </w:t>
      </w:r>
      <w:r w:rsidRPr="1DEB3512" w:rsidR="4221DA3A">
        <w:rPr>
          <w:rFonts w:ascii="Arial" w:hAnsi="Arial" w:eastAsia="Arial" w:cs="Arial"/>
          <w:b w:val="0"/>
          <w:bCs w:val="0"/>
          <w:i w:val="1"/>
          <w:iCs w:val="1"/>
          <w:caps w:val="0"/>
          <w:smallCaps w:val="0"/>
          <w:noProof w:val="0"/>
          <w:color w:val="000000" w:themeColor="text1" w:themeTint="FF" w:themeShade="FF"/>
          <w:sz w:val="24"/>
          <w:szCs w:val="24"/>
          <w:lang w:val="en-GB"/>
        </w:rPr>
        <w:t>Professional Judgement in Social Work: Making a Difference</w:t>
      </w:r>
      <w:r w:rsidRPr="1DEB3512" w:rsidR="4221DA3A">
        <w:rPr>
          <w:rFonts w:ascii="Arial" w:hAnsi="Arial" w:eastAsia="Arial" w:cs="Arial"/>
          <w:b w:val="0"/>
          <w:bCs w:val="0"/>
          <w:i w:val="0"/>
          <w:iCs w:val="0"/>
          <w:caps w:val="0"/>
          <w:smallCaps w:val="0"/>
          <w:noProof w:val="0"/>
          <w:color w:val="000000" w:themeColor="text1" w:themeTint="FF" w:themeShade="FF"/>
          <w:sz w:val="24"/>
          <w:szCs w:val="24"/>
          <w:lang w:val="en-GB"/>
        </w:rPr>
        <w:t>. Red Globe Press.</w:t>
      </w:r>
    </w:p>
    <w:p w:rsidR="1DEB3512" w:rsidP="1DEB3512" w:rsidRDefault="1DEB3512" w14:paraId="444EF1BE" w14:textId="0B409AC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2bfc4f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53e3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f64f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13ad4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b85c6e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658C6B"/>
    <w:rsid w:val="1DEB3512"/>
    <w:rsid w:val="4221DA3A"/>
    <w:rsid w:val="58042003"/>
    <w:rsid w:val="5B658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58C6B"/>
  <w15:chartTrackingRefBased/>
  <w15:docId w15:val="{102F9C75-F38D-439E-A08A-72BCCA90C8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DEB3512"/>
    <w:pPr>
      <w:spacing/>
      <w:ind w:left="720"/>
      <w:contextualSpacing/>
    </w:pPr>
  </w:style>
  <w:style w:type="character" w:styleId="Hyperlink">
    <w:uiPriority w:val="99"/>
    <w:name w:val="Hyperlink"/>
    <w:basedOn w:val="DefaultParagraphFont"/>
    <w:unhideWhenUsed/>
    <w:rsid w:val="1DEB35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99932094" /><Relationship Type="http://schemas.openxmlformats.org/officeDocument/2006/relationships/hyperlink" Target="https://www.gov.uk/government/publications/working-together-to-safeguard-children" TargetMode="External" Id="Rd26fa8481b184566" /><Relationship Type="http://schemas.openxmlformats.org/officeDocument/2006/relationships/hyperlink" Target="https://www.healthcareers.nhs.uk/explore-roles/social-care/social-worker" TargetMode="External" Id="Rd6f4a51dd8774494" /><Relationship Type="http://schemas.openxmlformats.org/officeDocument/2006/relationships/numbering" Target="/word/numbering.xml" Id="R9964101fc6024d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2</revision>
  <dcterms:created xsi:type="dcterms:W3CDTF">2025-11-20T23:20:04.5702709Z</dcterms:created>
  <dcterms:modified xsi:type="dcterms:W3CDTF">2025-11-20T23:21:25.7238509Z</dcterms:modified>
</coreProperties>
</file>