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B1612A4" wp14:paraId="44ACF3F4" wp14:textId="681DE0FB">
      <w:pPr>
        <w:shd w:val="clear" w:color="auto" w:fill="FFFFFF" w:themeFill="background1"/>
        <w:spacing w:before="0" w:beforeAutospacing="off" w:after="120" w:afterAutospacing="off" w:line="276" w:lineRule="auto"/>
        <w:jc w:val="center"/>
      </w:pPr>
      <w:r w:rsidR="6D6DEB9D">
        <w:drawing>
          <wp:inline xmlns:wp14="http://schemas.microsoft.com/office/word/2010/wordprocessingDrawing" wp14:editId="5542853F" wp14:anchorId="06A43C89">
            <wp:extent cx="4419600" cy="2209800"/>
            <wp:effectExtent l="0" t="0" r="0" b="0"/>
            <wp:docPr id="11594007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9400735" name="Picture 1159400735"/>
                    <pic:cNvPicPr/>
                  </pic:nvPicPr>
                  <pic:blipFill>
                    <a:blip xmlns:r="http://schemas.openxmlformats.org/officeDocument/2006/relationships" r:embed="rId398690182">
                      <a:extLst>
                        <a:ext uri="{28A0092B-C50C-407E-A947-70E740481C1C}">
                          <a14:useLocalDpi xmlns:a14="http://schemas.microsoft.com/office/drawing/2010/main"/>
                        </a:ext>
                      </a:extLst>
                    </a:blip>
                    <a:stretch>
                      <a:fillRect/>
                    </a:stretch>
                  </pic:blipFill>
                  <pic:spPr>
                    <a:xfrm>
                      <a:off x="0" y="0"/>
                      <a:ext cx="4419600" cy="2209800"/>
                    </a:xfrm>
                    <a:prstGeom prst="rect">
                      <a:avLst/>
                    </a:prstGeom>
                  </pic:spPr>
                </pic:pic>
              </a:graphicData>
            </a:graphic>
          </wp:inline>
        </w:drawing>
      </w:r>
    </w:p>
    <w:p xmlns:wp14="http://schemas.microsoft.com/office/word/2010/wordml" w:rsidP="4B1612A4" wp14:paraId="75B94D14" wp14:textId="26E24555">
      <w:pPr>
        <w:pStyle w:val="Heading1"/>
        <w:shd w:val="clear" w:color="auto" w:fill="FFFFFF" w:themeFill="background1"/>
        <w:spacing w:before="0" w:beforeAutospacing="off" w:after="120" w:afterAutospacing="off" w:line="276" w:lineRule="auto"/>
        <w:jc w:val="center"/>
      </w:pPr>
      <w:r w:rsidRPr="4B1612A4" w:rsidR="6D6DEB9D">
        <w:rPr>
          <w:rFonts w:ascii="Aptos" w:hAnsi="Aptos" w:eastAsia="Aptos" w:cs="Aptos"/>
          <w:b w:val="0"/>
          <w:bCs w:val="0"/>
          <w:noProof w:val="0"/>
          <w:color w:val="1D2125"/>
          <w:sz w:val="28"/>
          <w:szCs w:val="28"/>
          <w:lang w:val="en-US"/>
        </w:rPr>
        <w:t>Bachelor of Arts, Business Management</w:t>
      </w:r>
    </w:p>
    <w:p xmlns:wp14="http://schemas.microsoft.com/office/word/2010/wordml" w:rsidP="4B1612A4" wp14:paraId="2E4C417C" wp14:textId="7E4AC442">
      <w:pPr>
        <w:spacing w:before="0" w:beforeAutospacing="off" w:after="160" w:afterAutospacing="off" w:line="276" w:lineRule="auto"/>
        <w:jc w:val="center"/>
      </w:pPr>
      <w:r w:rsidRPr="4B1612A4" w:rsidR="6D6DEB9D">
        <w:rPr>
          <w:rFonts w:ascii="Aptos" w:hAnsi="Aptos" w:eastAsia="Aptos" w:cs="Aptos"/>
          <w:noProof w:val="0"/>
          <w:sz w:val="28"/>
          <w:szCs w:val="28"/>
          <w:lang w:val="en-US"/>
        </w:rPr>
        <w:t>Strategic Management and Sustainability</w:t>
      </w:r>
      <w:r w:rsidRPr="4B1612A4" w:rsidR="6D6DEB9D">
        <w:rPr>
          <w:rFonts w:ascii="Aptos" w:hAnsi="Aptos" w:eastAsia="Aptos" w:cs="Aptos"/>
          <w:noProof w:val="0"/>
          <w:color w:val="000000" w:themeColor="text1" w:themeTint="FF" w:themeShade="FF"/>
          <w:sz w:val="28"/>
          <w:szCs w:val="28"/>
          <w:lang w:val="en-US"/>
        </w:rPr>
        <w:t xml:space="preserve">  LCBB6015</w:t>
      </w:r>
    </w:p>
    <w:p xmlns:wp14="http://schemas.microsoft.com/office/word/2010/wordml" w:rsidP="4B1612A4" wp14:paraId="30693DAD" wp14:textId="62C50A8B">
      <w:pPr>
        <w:spacing w:before="0" w:beforeAutospacing="off" w:after="160" w:afterAutospacing="off" w:line="276" w:lineRule="auto"/>
        <w:jc w:val="center"/>
      </w:pPr>
      <w:r w:rsidRPr="4B1612A4" w:rsidR="6D6DEB9D">
        <w:rPr>
          <w:rFonts w:ascii="Aptos" w:hAnsi="Aptos" w:eastAsia="Aptos" w:cs="Aptos"/>
          <w:noProof w:val="0"/>
          <w:color w:val="000000" w:themeColor="text1" w:themeTint="FF" w:themeShade="FF"/>
          <w:sz w:val="28"/>
          <w:szCs w:val="28"/>
          <w:lang w:val="en-US"/>
        </w:rPr>
        <w:t xml:space="preserve"> </w:t>
      </w:r>
    </w:p>
    <w:p xmlns:wp14="http://schemas.microsoft.com/office/word/2010/wordml" w:rsidP="4B1612A4" wp14:paraId="26B7A5AF" wp14:textId="1554D898">
      <w:pPr>
        <w:spacing w:before="0" w:beforeAutospacing="off" w:after="160" w:afterAutospacing="off" w:line="276" w:lineRule="auto"/>
        <w:jc w:val="center"/>
        <w:rPr>
          <w:rFonts w:ascii="Aptos" w:hAnsi="Aptos" w:eastAsia="Aptos" w:cs="Aptos"/>
          <w:noProof w:val="0"/>
          <w:color w:val="000000" w:themeColor="text1" w:themeTint="FF" w:themeShade="FF"/>
          <w:sz w:val="28"/>
          <w:szCs w:val="28"/>
          <w:lang w:val="en-GB"/>
        </w:rPr>
      </w:pPr>
    </w:p>
    <w:p xmlns:wp14="http://schemas.microsoft.com/office/word/2010/wordml" w:rsidP="4B1612A4" wp14:paraId="7D3EDFDF" wp14:textId="623069DB">
      <w:pPr>
        <w:spacing w:before="0" w:beforeAutospacing="off" w:after="160" w:afterAutospacing="off" w:line="276" w:lineRule="auto"/>
        <w:jc w:val="center"/>
        <w:rPr>
          <w:rFonts w:ascii="Aptos" w:hAnsi="Aptos" w:eastAsia="Aptos" w:cs="Aptos"/>
          <w:noProof w:val="0"/>
          <w:color w:val="000000" w:themeColor="text1" w:themeTint="FF" w:themeShade="FF"/>
          <w:sz w:val="28"/>
          <w:szCs w:val="28"/>
          <w:lang w:val="en-GB"/>
        </w:rPr>
      </w:pPr>
    </w:p>
    <w:p xmlns:wp14="http://schemas.microsoft.com/office/word/2010/wordml" w:rsidP="4B1612A4" wp14:paraId="75671699" wp14:textId="47DC22AD">
      <w:pPr>
        <w:spacing w:before="0" w:beforeAutospacing="off" w:after="160" w:afterAutospacing="off" w:line="276" w:lineRule="auto"/>
        <w:jc w:val="center"/>
        <w:rPr>
          <w:rFonts w:ascii="Aptos" w:hAnsi="Aptos" w:eastAsia="Aptos" w:cs="Aptos"/>
          <w:noProof w:val="0"/>
          <w:color w:val="000000" w:themeColor="text1" w:themeTint="FF" w:themeShade="FF"/>
          <w:sz w:val="28"/>
          <w:szCs w:val="28"/>
          <w:lang w:val="en-GB"/>
        </w:rPr>
      </w:pPr>
    </w:p>
    <w:p xmlns:wp14="http://schemas.microsoft.com/office/word/2010/wordml" w:rsidP="4B1612A4" wp14:paraId="18A606E6" wp14:textId="6CE67EED">
      <w:pPr>
        <w:spacing w:before="0" w:beforeAutospacing="off" w:after="160" w:afterAutospacing="off" w:line="276" w:lineRule="auto"/>
        <w:jc w:val="center"/>
      </w:pPr>
      <w:r w:rsidRPr="4B1612A4" w:rsidR="6D6DEB9D">
        <w:rPr>
          <w:rFonts w:ascii="Aptos" w:hAnsi="Aptos" w:eastAsia="Aptos" w:cs="Aptos"/>
          <w:noProof w:val="0"/>
          <w:color w:val="000000" w:themeColor="text1" w:themeTint="FF" w:themeShade="FF"/>
          <w:sz w:val="28"/>
          <w:szCs w:val="28"/>
          <w:lang w:val="en-GB"/>
        </w:rPr>
        <w:t xml:space="preserve"> </w:t>
      </w:r>
    </w:p>
    <w:p xmlns:wp14="http://schemas.microsoft.com/office/word/2010/wordml" w:rsidP="4B1612A4" wp14:paraId="40D4009D" wp14:textId="3F8D27D5">
      <w:pPr>
        <w:pStyle w:val="Normal"/>
        <w:suppressLineNumbers w:val="0"/>
        <w:bidi w:val="0"/>
        <w:spacing w:before="0" w:beforeAutospacing="off" w:after="160" w:afterAutospacing="off" w:line="276" w:lineRule="auto"/>
        <w:ind w:left="0" w:right="0"/>
        <w:jc w:val="left"/>
      </w:pPr>
      <w:r w:rsidRPr="4B1612A4" w:rsidR="6D6DEB9D">
        <w:rPr>
          <w:rFonts w:ascii="Aptos" w:hAnsi="Aptos" w:eastAsia="Aptos" w:cs="Aptos"/>
          <w:noProof w:val="0"/>
          <w:color w:val="000000" w:themeColor="text1" w:themeTint="FF" w:themeShade="FF"/>
          <w:sz w:val="28"/>
          <w:szCs w:val="28"/>
          <w:lang w:val="en-US"/>
        </w:rPr>
        <w:t xml:space="preserve">Student name &amp; </w:t>
      </w:r>
      <w:r w:rsidRPr="4B1612A4" w:rsidR="6D6DEB9D">
        <w:rPr>
          <w:rFonts w:ascii="Aptos" w:hAnsi="Aptos" w:eastAsia="Aptos" w:cs="Aptos"/>
          <w:noProof w:val="0"/>
          <w:color w:val="000000" w:themeColor="text1" w:themeTint="FF" w:themeShade="FF"/>
          <w:sz w:val="28"/>
          <w:szCs w:val="28"/>
          <w:lang w:val="en-US"/>
        </w:rPr>
        <w:t>ID :</w:t>
      </w:r>
      <w:r w:rsidRPr="4B1612A4" w:rsidR="6D6DEB9D">
        <w:rPr>
          <w:rFonts w:ascii="Aptos" w:hAnsi="Aptos" w:eastAsia="Aptos" w:cs="Aptos"/>
          <w:noProof w:val="0"/>
          <w:color w:val="000000" w:themeColor="text1" w:themeTint="FF" w:themeShade="FF"/>
          <w:sz w:val="28"/>
          <w:szCs w:val="28"/>
          <w:lang w:val="en-US"/>
        </w:rPr>
        <w:t xml:space="preserve"> </w:t>
      </w:r>
      <w:r w:rsidRPr="4B1612A4" w:rsidR="6D6DEB9D">
        <w:rPr>
          <w:rFonts w:ascii="Aptos" w:hAnsi="Aptos" w:eastAsia="Aptos" w:cs="Aptos"/>
          <w:noProof w:val="0"/>
          <w:color w:val="000000" w:themeColor="text1" w:themeTint="FF" w:themeShade="FF"/>
          <w:sz w:val="28"/>
          <w:szCs w:val="28"/>
          <w:lang w:val="en-US"/>
        </w:rPr>
        <w:t>Nedret</w:t>
      </w:r>
      <w:r w:rsidRPr="4B1612A4" w:rsidR="6D6DEB9D">
        <w:rPr>
          <w:rFonts w:ascii="Aptos" w:hAnsi="Aptos" w:eastAsia="Aptos" w:cs="Aptos"/>
          <w:noProof w:val="0"/>
          <w:color w:val="000000" w:themeColor="text1" w:themeTint="FF" w:themeShade="FF"/>
          <w:sz w:val="28"/>
          <w:szCs w:val="28"/>
          <w:lang w:val="en-US"/>
        </w:rPr>
        <w:t xml:space="preserve"> Metodiev 2317961</w:t>
      </w:r>
    </w:p>
    <w:p xmlns:wp14="http://schemas.microsoft.com/office/word/2010/wordml" w:rsidP="4B1612A4" wp14:paraId="31FD0142" wp14:textId="60638DD7">
      <w:pPr>
        <w:spacing w:before="0" w:beforeAutospacing="off" w:after="160" w:afterAutospacing="off" w:line="276" w:lineRule="auto"/>
      </w:pPr>
      <w:r w:rsidRPr="4B1612A4" w:rsidR="6D6DEB9D">
        <w:rPr>
          <w:rFonts w:ascii="Aptos" w:hAnsi="Aptos" w:eastAsia="Aptos" w:cs="Aptos"/>
          <w:noProof w:val="0"/>
          <w:color w:val="000000" w:themeColor="text1" w:themeTint="FF" w:themeShade="FF"/>
          <w:sz w:val="28"/>
          <w:szCs w:val="28"/>
          <w:lang w:val="en-US"/>
        </w:rPr>
        <w:t>Lecturer name:</w:t>
      </w:r>
      <w:r w:rsidRPr="4B1612A4" w:rsidR="6D6DEB9D">
        <w:rPr>
          <w:rFonts w:ascii="Aptos" w:hAnsi="Aptos" w:eastAsia="Aptos" w:cs="Aptos"/>
          <w:noProof w:val="0"/>
          <w:color w:val="1D2125"/>
          <w:sz w:val="28"/>
          <w:szCs w:val="28"/>
          <w:lang w:val="en-US"/>
        </w:rPr>
        <w:t xml:space="preserve"> </w:t>
      </w:r>
      <w:r w:rsidRPr="4B1612A4" w:rsidR="6D6DEB9D">
        <w:rPr>
          <w:rFonts w:ascii="Aptos" w:hAnsi="Aptos" w:eastAsia="Aptos" w:cs="Aptos"/>
          <w:noProof w:val="0"/>
          <w:sz w:val="28"/>
          <w:szCs w:val="28"/>
          <w:lang w:val="en-US"/>
        </w:rPr>
        <w:t>Dr Nerys Dosseh</w:t>
      </w:r>
    </w:p>
    <w:p xmlns:wp14="http://schemas.microsoft.com/office/word/2010/wordml" w:rsidP="4B1612A4" wp14:paraId="216D42C4" wp14:textId="13B97494">
      <w:pPr>
        <w:spacing w:before="0" w:beforeAutospacing="off" w:after="160" w:afterAutospacing="off" w:line="276" w:lineRule="auto"/>
      </w:pPr>
      <w:r w:rsidRPr="4B1612A4" w:rsidR="6D6DEB9D">
        <w:rPr>
          <w:rFonts w:ascii="Aptos" w:hAnsi="Aptos" w:eastAsia="Aptos" w:cs="Aptos"/>
          <w:noProof w:val="0"/>
          <w:color w:val="000000" w:themeColor="text1" w:themeTint="FF" w:themeShade="FF"/>
          <w:sz w:val="28"/>
          <w:szCs w:val="28"/>
          <w:lang w:val="en-US"/>
        </w:rPr>
        <w:t>Component 1: Coursework: W</w:t>
      </w:r>
      <w:r w:rsidRPr="4B1612A4" w:rsidR="6D6DEB9D">
        <w:rPr>
          <w:rFonts w:ascii="Aptos" w:hAnsi="Aptos" w:eastAsia="Aptos" w:cs="Aptos"/>
          <w:noProof w:val="0"/>
          <w:sz w:val="28"/>
          <w:szCs w:val="28"/>
          <w:lang w:val="en-US"/>
        </w:rPr>
        <w:t>ritten Report</w:t>
      </w:r>
    </w:p>
    <w:p xmlns:wp14="http://schemas.microsoft.com/office/word/2010/wordml" w:rsidP="4B1612A4" wp14:paraId="4FBE3CE9" wp14:textId="0C9A536E">
      <w:pPr>
        <w:spacing w:before="0" w:beforeAutospacing="off" w:after="160" w:afterAutospacing="off" w:line="276" w:lineRule="auto"/>
      </w:pPr>
      <w:r w:rsidRPr="4B1612A4" w:rsidR="6D6DEB9D">
        <w:rPr>
          <w:rFonts w:ascii="Aptos" w:hAnsi="Aptos" w:eastAsia="Aptos" w:cs="Aptos"/>
          <w:noProof w:val="0"/>
          <w:color w:val="1D2125"/>
          <w:sz w:val="28"/>
          <w:szCs w:val="28"/>
          <w:lang w:val="en-US"/>
        </w:rPr>
        <w:t>Submission:19.03.2026</w:t>
      </w:r>
    </w:p>
    <w:p xmlns:wp14="http://schemas.microsoft.com/office/word/2010/wordml" w:rsidP="4B1612A4" wp14:paraId="7E18551E" wp14:textId="533C73BD">
      <w:pPr>
        <w:spacing w:before="0" w:beforeAutospacing="off" w:after="160" w:afterAutospacing="off" w:line="276" w:lineRule="auto"/>
      </w:pPr>
      <w:r w:rsidRPr="4B1612A4" w:rsidR="6D6DEB9D">
        <w:rPr>
          <w:rFonts w:ascii="Aptos" w:hAnsi="Aptos" w:eastAsia="Aptos" w:cs="Aptos"/>
          <w:noProof w:val="0"/>
          <w:color w:val="1D2125"/>
          <w:sz w:val="28"/>
          <w:szCs w:val="28"/>
          <w:lang w:val="en-US"/>
        </w:rPr>
        <w:t>Word count:</w:t>
      </w:r>
      <w:r w:rsidRPr="4B1612A4" w:rsidR="06549CB9">
        <w:rPr>
          <w:rFonts w:ascii="Aptos" w:hAnsi="Aptos" w:eastAsia="Aptos" w:cs="Aptos"/>
          <w:noProof w:val="0"/>
          <w:color w:val="1D2125"/>
          <w:sz w:val="28"/>
          <w:szCs w:val="28"/>
          <w:lang w:val="en-US"/>
        </w:rPr>
        <w:t>2197</w:t>
      </w:r>
    </w:p>
    <w:p xmlns:wp14="http://schemas.microsoft.com/office/word/2010/wordml" w:rsidP="4B1612A4" wp14:paraId="7FFADE1E" wp14:textId="0BB9AE37">
      <w:pPr>
        <w:spacing w:before="0" w:beforeAutospacing="off" w:after="160" w:afterAutospacing="off" w:line="276" w:lineRule="auto"/>
      </w:pPr>
      <w:r w:rsidRPr="4B1612A4" w:rsidR="6D6DEB9D">
        <w:rPr>
          <w:rFonts w:ascii="Aptos" w:hAnsi="Aptos" w:eastAsia="Aptos" w:cs="Aptos"/>
          <w:noProof w:val="0"/>
          <w:color w:val="1D2125"/>
          <w:sz w:val="28"/>
          <w:szCs w:val="28"/>
          <w:lang w:val="en-US"/>
        </w:rPr>
        <w:t xml:space="preserve"> </w:t>
      </w:r>
    </w:p>
    <w:p xmlns:wp14="http://schemas.microsoft.com/office/word/2010/wordml" w:rsidP="4B1612A4" wp14:paraId="16A4AED9" wp14:textId="06E6AA18">
      <w:pPr>
        <w:spacing w:before="0" w:beforeAutospacing="off" w:after="160" w:afterAutospacing="off" w:line="276" w:lineRule="auto"/>
      </w:pPr>
      <w:r w:rsidRPr="4B1612A4" w:rsidR="6D6DEB9D">
        <w:rPr>
          <w:rFonts w:ascii="Aptos" w:hAnsi="Aptos" w:eastAsia="Aptos" w:cs="Aptos"/>
          <w:noProof w:val="0"/>
          <w:color w:val="1D2125"/>
          <w:sz w:val="28"/>
          <w:szCs w:val="28"/>
          <w:lang w:val="en-US"/>
        </w:rPr>
        <w:t xml:space="preserve"> </w:t>
      </w:r>
    </w:p>
    <w:p xmlns:wp14="http://schemas.microsoft.com/office/word/2010/wordml" w:rsidP="4B1612A4" wp14:paraId="6968160A" wp14:textId="67E53CB8">
      <w:pPr>
        <w:spacing w:before="0" w:beforeAutospacing="off" w:after="160" w:afterAutospacing="off" w:line="276" w:lineRule="auto"/>
      </w:pPr>
      <w:r w:rsidRPr="4B1612A4" w:rsidR="6D6DEB9D">
        <w:rPr>
          <w:rFonts w:ascii="Aptos" w:hAnsi="Aptos" w:eastAsia="Aptos" w:cs="Aptos"/>
          <w:noProof w:val="0"/>
          <w:color w:val="1D2125"/>
          <w:sz w:val="28"/>
          <w:szCs w:val="28"/>
          <w:lang w:val="en-US"/>
        </w:rPr>
        <w:t xml:space="preserve"> </w:t>
      </w:r>
    </w:p>
    <w:p xmlns:wp14="http://schemas.microsoft.com/office/word/2010/wordml" w:rsidP="4B1612A4" wp14:paraId="78B98C04" wp14:textId="65D16F88">
      <w:pPr>
        <w:spacing w:before="0" w:beforeAutospacing="off" w:after="160" w:afterAutospacing="off" w:line="276" w:lineRule="auto"/>
      </w:pPr>
      <w:r w:rsidRPr="4B1612A4" w:rsidR="6D6DEB9D">
        <w:rPr>
          <w:rFonts w:ascii="Aptos" w:hAnsi="Aptos" w:eastAsia="Aptos" w:cs="Aptos"/>
          <w:noProof w:val="0"/>
          <w:color w:val="1D2125"/>
          <w:sz w:val="28"/>
          <w:szCs w:val="28"/>
          <w:lang w:val="en-US"/>
        </w:rPr>
        <w:t xml:space="preserve"> </w:t>
      </w:r>
    </w:p>
    <w:p xmlns:wp14="http://schemas.microsoft.com/office/word/2010/wordml" w:rsidP="4B1612A4" wp14:paraId="7FA83FE0" wp14:textId="5817D8B2">
      <w:pPr>
        <w:spacing w:before="0" w:beforeAutospacing="off" w:after="160" w:afterAutospacing="off" w:line="276" w:lineRule="auto"/>
      </w:pPr>
      <w:r w:rsidRPr="4B1612A4" w:rsidR="6D6DEB9D">
        <w:rPr>
          <w:rFonts w:ascii="Aptos" w:hAnsi="Aptos" w:eastAsia="Aptos" w:cs="Aptos"/>
          <w:noProof w:val="0"/>
          <w:color w:val="1D2125"/>
          <w:sz w:val="28"/>
          <w:szCs w:val="28"/>
          <w:lang w:val="en-US"/>
        </w:rPr>
        <w:t xml:space="preserve"> </w:t>
      </w:r>
    </w:p>
    <w:p xmlns:wp14="http://schemas.microsoft.com/office/word/2010/wordml" w:rsidP="4B1612A4" wp14:paraId="665FD65E" wp14:textId="0BE0C8D2">
      <w:pPr>
        <w:spacing w:before="0" w:beforeAutospacing="off" w:after="160" w:afterAutospacing="off" w:line="276" w:lineRule="auto"/>
      </w:pPr>
      <w:r w:rsidRPr="4B1612A4" w:rsidR="6D6DEB9D">
        <w:rPr>
          <w:rFonts w:ascii="Aptos" w:hAnsi="Aptos" w:eastAsia="Aptos" w:cs="Aptos"/>
          <w:noProof w:val="0"/>
          <w:color w:val="1D2125"/>
          <w:sz w:val="28"/>
          <w:szCs w:val="28"/>
          <w:lang w:val="en-US"/>
        </w:rPr>
        <w:t xml:space="preserve"> </w:t>
      </w:r>
    </w:p>
    <w:p xmlns:wp14="http://schemas.microsoft.com/office/word/2010/wordml" w:rsidP="4B1612A4" wp14:paraId="279A0C43" wp14:textId="635B9D24">
      <w:pPr>
        <w:spacing w:before="0" w:beforeAutospacing="off" w:after="160" w:afterAutospacing="off" w:line="276" w:lineRule="auto"/>
      </w:pPr>
      <w:r w:rsidRPr="4B1612A4" w:rsidR="6D6DEB9D">
        <w:rPr>
          <w:rFonts w:ascii="Aptos" w:hAnsi="Aptos" w:eastAsia="Aptos" w:cs="Aptos"/>
          <w:noProof w:val="0"/>
          <w:color w:val="1D2125"/>
          <w:sz w:val="28"/>
          <w:szCs w:val="28"/>
          <w:lang w:val="en-US"/>
        </w:rPr>
        <w:t xml:space="preserve"> </w:t>
      </w:r>
    </w:p>
    <w:p xmlns:wp14="http://schemas.microsoft.com/office/word/2010/wordml" w:rsidP="4B1612A4" wp14:paraId="0683883C" wp14:textId="4B82913B">
      <w:pPr>
        <w:spacing w:before="0" w:beforeAutospacing="off" w:after="160" w:afterAutospacing="off" w:line="276" w:lineRule="auto"/>
        <w:rPr>
          <w:rFonts w:ascii="Aptos" w:hAnsi="Aptos" w:eastAsia="Aptos" w:cs="Aptos"/>
          <w:noProof w:val="0"/>
          <w:color w:val="1D2125"/>
          <w:sz w:val="28"/>
          <w:szCs w:val="28"/>
          <w:lang w:val="en-US"/>
        </w:rPr>
      </w:pPr>
    </w:p>
    <w:p xmlns:wp14="http://schemas.microsoft.com/office/word/2010/wordml" w:rsidP="4B1612A4" wp14:paraId="151A14D1" wp14:textId="2A6C678C">
      <w:pPr>
        <w:spacing w:before="0" w:beforeAutospacing="off" w:after="160" w:afterAutospacing="off" w:line="276" w:lineRule="auto"/>
        <w:jc w:val="center"/>
      </w:pPr>
      <w:r w:rsidRPr="4B1612A4" w:rsidR="6D6DEB9D">
        <w:rPr>
          <w:rFonts w:ascii="Aptos" w:hAnsi="Aptos" w:eastAsia="Aptos" w:cs="Aptos"/>
          <w:b w:val="1"/>
          <w:bCs w:val="1"/>
          <w:noProof w:val="0"/>
          <w:color w:val="1D2125"/>
          <w:sz w:val="36"/>
          <w:szCs w:val="36"/>
          <w:lang w:val="en-US"/>
        </w:rPr>
        <w:t>Table of Content</w:t>
      </w:r>
    </w:p>
    <w:p xmlns:wp14="http://schemas.microsoft.com/office/word/2010/wordml" w:rsidP="4B1612A4" wp14:paraId="778AB4EE" wp14:textId="27A6BB5F">
      <w:pPr>
        <w:spacing w:before="0" w:beforeAutospacing="off" w:after="160" w:afterAutospacing="off" w:line="276" w:lineRule="auto"/>
        <w:jc w:val="center"/>
        <w:rPr>
          <w:rFonts w:ascii="Aptos" w:hAnsi="Aptos" w:eastAsia="Aptos" w:cs="Aptos"/>
          <w:b w:val="1"/>
          <w:bCs w:val="1"/>
          <w:noProof w:val="0"/>
          <w:color w:val="auto"/>
          <w:sz w:val="36"/>
          <w:szCs w:val="36"/>
          <w:lang w:val="en-US"/>
        </w:rPr>
      </w:pPr>
      <w:r w:rsidRPr="4B1612A4" w:rsidR="6D6DEB9D">
        <w:rPr>
          <w:rFonts w:ascii="Aptos" w:hAnsi="Aptos" w:eastAsia="Aptos" w:cs="Aptos"/>
          <w:b w:val="1"/>
          <w:bCs w:val="1"/>
          <w:noProof w:val="0"/>
          <w:color w:val="auto"/>
          <w:sz w:val="36"/>
          <w:szCs w:val="36"/>
          <w:lang w:val="en-US"/>
        </w:rPr>
        <w:t xml:space="preserve"> </w:t>
      </w:r>
    </w:p>
    <w:p xmlns:wp14="http://schemas.microsoft.com/office/word/2010/wordml" w:rsidP="4B1612A4" wp14:paraId="554C026E" wp14:textId="104E57C4">
      <w:pPr>
        <w:pStyle w:val="Subtitle"/>
        <w:rPr>
          <w:noProof w:val="0"/>
          <w:color w:val="auto"/>
          <w:lang w:val="en-US"/>
        </w:rPr>
      </w:pPr>
      <w:r w:rsidRPr="4B1612A4" w:rsidR="74629E1C">
        <w:rPr>
          <w:noProof w:val="0"/>
          <w:color w:val="auto"/>
          <w:lang w:val="en-US"/>
        </w:rPr>
        <w:t>1.</w:t>
      </w:r>
      <w:r w:rsidRPr="4B1612A4" w:rsidR="6D6DEB9D">
        <w:rPr>
          <w:noProof w:val="0"/>
          <w:color w:val="auto"/>
          <w:lang w:val="en-US"/>
        </w:rPr>
        <w:t>Introduction............................................................................3</w:t>
      </w:r>
    </w:p>
    <w:p xmlns:wp14="http://schemas.microsoft.com/office/word/2010/wordml" w:rsidP="4B1612A4" wp14:paraId="19C41386" wp14:textId="16B01874">
      <w:pPr>
        <w:pStyle w:val="Subtitle"/>
        <w:rPr>
          <w:noProof w:val="0"/>
          <w:color w:val="auto"/>
          <w:lang w:val="en-US"/>
        </w:rPr>
      </w:pPr>
      <w:r w:rsidRPr="4B1612A4" w:rsidR="63ED87AA">
        <w:rPr>
          <w:noProof w:val="0"/>
          <w:color w:val="auto"/>
          <w:lang w:val="en-US"/>
        </w:rPr>
        <w:t>2.</w:t>
      </w:r>
      <w:r w:rsidRPr="4B1612A4" w:rsidR="6D6DEB9D">
        <w:rPr>
          <w:noProof w:val="0"/>
          <w:color w:val="auto"/>
          <w:lang w:val="en-US"/>
        </w:rPr>
        <w:t>Strategy Analysis.............................................................</w:t>
      </w:r>
      <w:r w:rsidRPr="4B1612A4" w:rsidR="5F68FA28">
        <w:rPr>
          <w:noProof w:val="0"/>
          <w:color w:val="auto"/>
          <w:lang w:val="en-US"/>
        </w:rPr>
        <w:t>.</w:t>
      </w:r>
      <w:r w:rsidRPr="4B1612A4" w:rsidR="6D6DEB9D">
        <w:rPr>
          <w:noProof w:val="0"/>
          <w:color w:val="auto"/>
          <w:lang w:val="en-US"/>
        </w:rPr>
        <w:t>.......4</w:t>
      </w:r>
    </w:p>
    <w:p xmlns:wp14="http://schemas.microsoft.com/office/word/2010/wordml" w:rsidP="4B1612A4" wp14:paraId="4CE2949B" wp14:textId="7AF86ECD">
      <w:pPr>
        <w:pStyle w:val="Subtitle"/>
        <w:rPr>
          <w:rFonts w:ascii="Aptos Display" w:hAnsi="Aptos Display" w:eastAsia="Aptos Display" w:cs="Aptos Display"/>
          <w:b w:val="0"/>
          <w:bCs w:val="0"/>
          <w:noProof w:val="0"/>
          <w:color w:val="auto"/>
          <w:sz w:val="32"/>
          <w:szCs w:val="32"/>
          <w:lang w:val="en-US"/>
        </w:rPr>
      </w:pPr>
      <w:r w:rsidRPr="4B1612A4" w:rsidR="71771CEB">
        <w:rPr>
          <w:noProof w:val="0"/>
          <w:color w:val="auto"/>
          <w:lang w:val="en-US"/>
        </w:rPr>
        <w:t>3.</w:t>
      </w:r>
      <w:r w:rsidRPr="4B1612A4" w:rsidR="6D6DEB9D">
        <w:rPr>
          <w:noProof w:val="0"/>
          <w:color w:val="auto"/>
          <w:lang w:val="en-US"/>
        </w:rPr>
        <w:t>Strategy Formulation...................................</w:t>
      </w:r>
      <w:r w:rsidRPr="4B1612A4" w:rsidR="3C6ECA75">
        <w:rPr>
          <w:noProof w:val="0"/>
          <w:color w:val="auto"/>
          <w:lang w:val="en-US"/>
        </w:rPr>
        <w:t>..</w:t>
      </w:r>
      <w:r w:rsidRPr="4B1612A4" w:rsidR="6D6DEB9D">
        <w:rPr>
          <w:noProof w:val="0"/>
          <w:color w:val="auto"/>
          <w:lang w:val="en-US"/>
        </w:rPr>
        <w:t>..........................</w:t>
      </w:r>
      <w:r w:rsidRPr="4B1612A4" w:rsidR="141F4948">
        <w:rPr>
          <w:noProof w:val="0"/>
          <w:color w:val="auto"/>
          <w:lang w:val="en-US"/>
        </w:rPr>
        <w:t>8</w:t>
      </w:r>
    </w:p>
    <w:p xmlns:wp14="http://schemas.microsoft.com/office/word/2010/wordml" w:rsidP="4B1612A4" wp14:paraId="26458450" wp14:textId="12554C0A">
      <w:pPr>
        <w:pStyle w:val="Subtitle"/>
        <w:rPr>
          <w:rFonts w:ascii="Aptos Display" w:hAnsi="Aptos Display" w:eastAsia="Aptos Display" w:cs="Aptos Display"/>
          <w:b w:val="0"/>
          <w:bCs w:val="0"/>
          <w:noProof w:val="0"/>
          <w:color w:val="auto"/>
          <w:sz w:val="32"/>
          <w:szCs w:val="32"/>
          <w:lang w:val="en-US"/>
        </w:rPr>
      </w:pPr>
      <w:r w:rsidRPr="4B1612A4" w:rsidR="0B3A1E04">
        <w:rPr>
          <w:noProof w:val="0"/>
          <w:color w:val="auto"/>
          <w:lang w:val="en-US"/>
        </w:rPr>
        <w:t>4.</w:t>
      </w:r>
      <w:r w:rsidRPr="4B1612A4" w:rsidR="6D6DEB9D">
        <w:rPr>
          <w:noProof w:val="0"/>
          <w:color w:val="auto"/>
          <w:lang w:val="en-US"/>
        </w:rPr>
        <w:t>Conclusion and Recommendations.................................</w:t>
      </w:r>
      <w:r w:rsidRPr="4B1612A4" w:rsidR="24DEE941">
        <w:rPr>
          <w:noProof w:val="0"/>
          <w:color w:val="auto"/>
          <w:lang w:val="en-US"/>
        </w:rPr>
        <w:t>....</w:t>
      </w:r>
      <w:r w:rsidRPr="4B1612A4" w:rsidR="6D6DEB9D">
        <w:rPr>
          <w:noProof w:val="0"/>
          <w:color w:val="auto"/>
          <w:lang w:val="en-US"/>
        </w:rPr>
        <w:t>.....</w:t>
      </w:r>
      <w:r w:rsidRPr="4B1612A4" w:rsidR="77D80E13">
        <w:rPr>
          <w:noProof w:val="0"/>
          <w:color w:val="auto"/>
          <w:lang w:val="en-US"/>
        </w:rPr>
        <w:t>9</w:t>
      </w:r>
    </w:p>
    <w:p xmlns:wp14="http://schemas.microsoft.com/office/word/2010/wordml" w:rsidP="4B1612A4" wp14:paraId="04227964" wp14:textId="472775DC">
      <w:pPr>
        <w:pStyle w:val="Subtitle"/>
        <w:rPr>
          <w:noProof w:val="0"/>
          <w:color w:val="auto"/>
          <w:lang w:val="en-US"/>
        </w:rPr>
      </w:pPr>
      <w:r w:rsidRPr="4B1612A4" w:rsidR="51C5CA66">
        <w:rPr>
          <w:noProof w:val="0"/>
          <w:color w:val="auto"/>
          <w:lang w:val="en-US"/>
        </w:rPr>
        <w:t>5.</w:t>
      </w:r>
      <w:r w:rsidRPr="4B1612A4" w:rsidR="6D6DEB9D">
        <w:rPr>
          <w:noProof w:val="0"/>
          <w:color w:val="auto"/>
          <w:lang w:val="en-US"/>
        </w:rPr>
        <w:t>References.............................................................................10</w:t>
      </w:r>
    </w:p>
    <w:p xmlns:wp14="http://schemas.microsoft.com/office/word/2010/wordml" w:rsidP="4B1612A4" wp14:paraId="48CA356A" wp14:textId="4C5E3E94">
      <w:pPr>
        <w:spacing w:before="0" w:beforeAutospacing="off" w:after="160" w:afterAutospacing="off" w:line="276" w:lineRule="auto"/>
        <w:rPr>
          <w:rFonts w:ascii="Aptos" w:hAnsi="Aptos" w:eastAsia="Aptos" w:cs="Aptos"/>
          <w:b w:val="1"/>
          <w:bCs w:val="1"/>
          <w:noProof w:val="0"/>
          <w:color w:val="auto"/>
          <w:sz w:val="32"/>
          <w:szCs w:val="32"/>
          <w:lang w:val="en-US"/>
        </w:rPr>
      </w:pPr>
    </w:p>
    <w:p xmlns:wp14="http://schemas.microsoft.com/office/word/2010/wordml" w:rsidP="4B1612A4" wp14:paraId="0E6C1825" wp14:textId="2FBB9DC9">
      <w:pPr>
        <w:pStyle w:val="Normal"/>
        <w:rPr>
          <w:noProof w:val="0"/>
          <w:color w:val="auto"/>
          <w:lang w:val="en-GB"/>
        </w:rPr>
      </w:pPr>
    </w:p>
    <w:p xmlns:wp14="http://schemas.microsoft.com/office/word/2010/wordml" w:rsidP="4B1612A4" wp14:paraId="412CDEC7" wp14:textId="0C94141F">
      <w:pPr>
        <w:pStyle w:val="Heading1"/>
        <w:spacing w:before="322" w:beforeAutospacing="off" w:after="322" w:afterAutospacing="off"/>
        <w:rPr>
          <w:rFonts w:ascii="Aptos" w:hAnsi="Aptos" w:eastAsia="Aptos" w:cs="Aptos"/>
          <w:b w:val="1"/>
          <w:bCs w:val="1"/>
          <w:noProof w:val="0"/>
          <w:sz w:val="48"/>
          <w:szCs w:val="48"/>
          <w:lang w:val="en-GB"/>
        </w:rPr>
      </w:pPr>
    </w:p>
    <w:p xmlns:wp14="http://schemas.microsoft.com/office/word/2010/wordml" w:rsidP="4B1612A4" wp14:paraId="45657082" wp14:textId="0A148D1B">
      <w:pPr>
        <w:pStyle w:val="Normal"/>
        <w:rPr>
          <w:noProof w:val="0"/>
          <w:lang w:val="en-GB"/>
        </w:rPr>
      </w:pPr>
    </w:p>
    <w:p xmlns:wp14="http://schemas.microsoft.com/office/word/2010/wordml" w:rsidP="4B1612A4" wp14:paraId="354E0128" wp14:textId="532E1C87">
      <w:pPr>
        <w:pStyle w:val="Normal"/>
        <w:rPr>
          <w:noProof w:val="0"/>
          <w:lang w:val="en-GB"/>
        </w:rPr>
      </w:pPr>
    </w:p>
    <w:p xmlns:wp14="http://schemas.microsoft.com/office/word/2010/wordml" w:rsidP="4B1612A4" wp14:paraId="0C5E55BB" wp14:textId="3387C015">
      <w:pPr>
        <w:pStyle w:val="Normal"/>
        <w:rPr>
          <w:noProof w:val="0"/>
          <w:lang w:val="en-GB"/>
        </w:rPr>
      </w:pPr>
    </w:p>
    <w:p xmlns:wp14="http://schemas.microsoft.com/office/word/2010/wordml" w:rsidP="4B1612A4" wp14:paraId="7DD58190" wp14:textId="4DC3215C">
      <w:pPr>
        <w:pStyle w:val="Normal"/>
        <w:rPr>
          <w:noProof w:val="0"/>
          <w:lang w:val="en-GB"/>
        </w:rPr>
      </w:pPr>
    </w:p>
    <w:p xmlns:wp14="http://schemas.microsoft.com/office/word/2010/wordml" w:rsidP="4B1612A4" wp14:paraId="382C919E" wp14:textId="4BD9B8E5">
      <w:pPr>
        <w:pStyle w:val="Normal"/>
        <w:rPr>
          <w:noProof w:val="0"/>
          <w:lang w:val="en-GB"/>
        </w:rPr>
      </w:pPr>
    </w:p>
    <w:p xmlns:wp14="http://schemas.microsoft.com/office/word/2010/wordml" w:rsidP="4B1612A4" wp14:paraId="3E6F5733" wp14:textId="5D82F260">
      <w:pPr>
        <w:pStyle w:val="Normal"/>
        <w:rPr>
          <w:noProof w:val="0"/>
          <w:lang w:val="en-GB"/>
        </w:rPr>
      </w:pPr>
    </w:p>
    <w:p xmlns:wp14="http://schemas.microsoft.com/office/word/2010/wordml" w:rsidP="4B1612A4" wp14:paraId="3326296A" wp14:textId="223E98E8">
      <w:pPr>
        <w:pStyle w:val="Normal"/>
        <w:rPr>
          <w:noProof w:val="0"/>
          <w:lang w:val="en-GB"/>
        </w:rPr>
      </w:pPr>
    </w:p>
    <w:p xmlns:wp14="http://schemas.microsoft.com/office/word/2010/wordml" w:rsidP="4B1612A4" wp14:paraId="741976E4" wp14:textId="17187CB1">
      <w:pPr>
        <w:pStyle w:val="Normal"/>
        <w:rPr>
          <w:noProof w:val="0"/>
          <w:lang w:val="en-GB"/>
        </w:rPr>
      </w:pPr>
    </w:p>
    <w:p xmlns:wp14="http://schemas.microsoft.com/office/word/2010/wordml" w:rsidP="4B1612A4" wp14:paraId="3B3B4B75" wp14:textId="5BB8CC4F">
      <w:pPr>
        <w:pStyle w:val="Normal"/>
        <w:rPr>
          <w:noProof w:val="0"/>
          <w:lang w:val="en-GB"/>
        </w:rPr>
      </w:pPr>
    </w:p>
    <w:p xmlns:wp14="http://schemas.microsoft.com/office/word/2010/wordml" w:rsidP="4B1612A4" wp14:paraId="132D57A6" wp14:textId="2373C550">
      <w:pPr>
        <w:pStyle w:val="Normal"/>
        <w:rPr>
          <w:noProof w:val="0"/>
          <w:lang w:val="en-GB"/>
        </w:rPr>
      </w:pPr>
    </w:p>
    <w:p xmlns:wp14="http://schemas.microsoft.com/office/word/2010/wordml" w:rsidP="4B1612A4" wp14:paraId="1D78A328" wp14:textId="08526A79">
      <w:pPr>
        <w:pStyle w:val="Heading1"/>
        <w:spacing w:before="322" w:beforeAutospacing="off" w:after="322" w:afterAutospacing="off"/>
        <w:jc w:val="center"/>
        <w:rPr>
          <w:rFonts w:ascii="Aptos" w:hAnsi="Aptos" w:eastAsia="Aptos" w:cs="Aptos"/>
          <w:b w:val="1"/>
          <w:bCs w:val="1"/>
          <w:noProof w:val="0"/>
          <w:color w:val="auto"/>
          <w:sz w:val="36"/>
          <w:szCs w:val="36"/>
          <w:lang w:val="en-GB"/>
        </w:rPr>
      </w:pPr>
      <w:r w:rsidRPr="4B1612A4" w:rsidR="026439BA">
        <w:rPr>
          <w:rFonts w:ascii="Aptos" w:hAnsi="Aptos" w:eastAsia="Aptos" w:cs="Aptos"/>
          <w:b w:val="1"/>
          <w:bCs w:val="1"/>
          <w:noProof w:val="0"/>
          <w:color w:val="auto"/>
          <w:sz w:val="36"/>
          <w:szCs w:val="36"/>
          <w:lang w:val="en-GB"/>
        </w:rPr>
        <w:t>1.</w:t>
      </w:r>
      <w:r w:rsidRPr="4B1612A4" w:rsidR="5BA9A181">
        <w:rPr>
          <w:rFonts w:ascii="Aptos" w:hAnsi="Aptos" w:eastAsia="Aptos" w:cs="Aptos"/>
          <w:b w:val="1"/>
          <w:bCs w:val="1"/>
          <w:noProof w:val="0"/>
          <w:color w:val="auto"/>
          <w:sz w:val="36"/>
          <w:szCs w:val="36"/>
          <w:lang w:val="en-GB"/>
        </w:rPr>
        <w:t>Introduction</w:t>
      </w:r>
    </w:p>
    <w:p xmlns:wp14="http://schemas.microsoft.com/office/word/2010/wordml" w:rsidP="4B1612A4" wp14:paraId="061515E2" wp14:textId="6FE8D216">
      <w:pPr>
        <w:spacing w:before="240" w:beforeAutospacing="off" w:after="240" w:afterAutospacing="off"/>
      </w:pPr>
      <w:r w:rsidRPr="4B1612A4" w:rsidR="5BA9A181">
        <w:rPr>
          <w:rFonts w:ascii="Aptos" w:hAnsi="Aptos" w:eastAsia="Aptos" w:cs="Aptos"/>
          <w:noProof w:val="0"/>
          <w:sz w:val="24"/>
          <w:szCs w:val="24"/>
          <w:lang w:val="en-GB"/>
        </w:rPr>
        <w:t xml:space="preserve">Strategic management plays a vital role in guiding organisations through increasingly complex and competitive environments. In the UK automotive sector, where technological disruption, environmental regulation, and shifting consumer expectations are reshaping industry dynamics, strategic management provides the analytical tools and </w:t>
      </w:r>
      <w:bookmarkStart w:name="_Int_PbJwkKxj" w:id="676811400"/>
      <w:r w:rsidRPr="4B1612A4" w:rsidR="5BA9A181">
        <w:rPr>
          <w:rFonts w:ascii="Aptos" w:hAnsi="Aptos" w:eastAsia="Aptos" w:cs="Aptos"/>
          <w:noProof w:val="0"/>
          <w:sz w:val="24"/>
          <w:szCs w:val="24"/>
          <w:lang w:val="en-GB"/>
        </w:rPr>
        <w:t>long term</w:t>
      </w:r>
      <w:bookmarkEnd w:id="676811400"/>
      <w:r w:rsidRPr="4B1612A4" w:rsidR="5BA9A181">
        <w:rPr>
          <w:rFonts w:ascii="Aptos" w:hAnsi="Aptos" w:eastAsia="Aptos" w:cs="Aptos"/>
          <w:noProof w:val="0"/>
          <w:sz w:val="24"/>
          <w:szCs w:val="24"/>
          <w:lang w:val="en-GB"/>
        </w:rPr>
        <w:t xml:space="preserve"> perspective necessary for firms to remain competitive. It enables organisations to </w:t>
      </w:r>
      <w:r w:rsidRPr="4B1612A4" w:rsidR="5BA9A181">
        <w:rPr>
          <w:rFonts w:ascii="Aptos" w:hAnsi="Aptos" w:eastAsia="Aptos" w:cs="Aptos"/>
          <w:noProof w:val="0"/>
          <w:sz w:val="24"/>
          <w:szCs w:val="24"/>
          <w:lang w:val="en-GB"/>
        </w:rPr>
        <w:t>anticipate</w:t>
      </w:r>
      <w:r w:rsidRPr="4B1612A4" w:rsidR="5BA9A181">
        <w:rPr>
          <w:rFonts w:ascii="Aptos" w:hAnsi="Aptos" w:eastAsia="Aptos" w:cs="Aptos"/>
          <w:noProof w:val="0"/>
          <w:sz w:val="24"/>
          <w:szCs w:val="24"/>
          <w:lang w:val="en-GB"/>
        </w:rPr>
        <w:t xml:space="preserve"> external pressures, evaluate internal capabilities, and formulate coherent strategies that support sustainable growth. As the sector transitions towards electrification and low‑carbon mobility, companies must adopt forward</w:t>
      </w:r>
      <w:r w:rsidRPr="4B1612A4" w:rsidR="262208A5">
        <w:rPr>
          <w:rFonts w:ascii="Aptos" w:hAnsi="Aptos" w:eastAsia="Aptos" w:cs="Aptos"/>
          <w:noProof w:val="0"/>
          <w:sz w:val="24"/>
          <w:szCs w:val="24"/>
          <w:lang w:val="en-GB"/>
        </w:rPr>
        <w:t>-</w:t>
      </w:r>
      <w:r w:rsidRPr="4B1612A4" w:rsidR="5BA9A181">
        <w:rPr>
          <w:rFonts w:ascii="Aptos" w:hAnsi="Aptos" w:eastAsia="Aptos" w:cs="Aptos"/>
          <w:noProof w:val="0"/>
          <w:sz w:val="24"/>
          <w:szCs w:val="24"/>
          <w:lang w:val="en-GB"/>
        </w:rPr>
        <w:t>looking strategies to navigate uncertainty and capitalise on emerging opportunities. Within this context, Aston Martin offers a compelling case for examining the importance of strategic management in a luxury automotive brand undergoing significant transformation.</w:t>
      </w:r>
    </w:p>
    <w:p xmlns:wp14="http://schemas.microsoft.com/office/word/2010/wordml" w:rsidP="4B1612A4" wp14:paraId="57AE432C" wp14:textId="6656BB43">
      <w:pPr>
        <w:spacing w:before="240" w:beforeAutospacing="off" w:after="240" w:afterAutospacing="off"/>
      </w:pPr>
      <w:r w:rsidRPr="4B1612A4" w:rsidR="5BA9A181">
        <w:rPr>
          <w:rFonts w:ascii="Aptos" w:hAnsi="Aptos" w:eastAsia="Aptos" w:cs="Aptos"/>
          <w:noProof w:val="0"/>
          <w:sz w:val="24"/>
          <w:szCs w:val="24"/>
          <w:lang w:val="en-GB"/>
        </w:rPr>
        <w:t>Aston Martin Lagonda is one of the most iconic names in British automotive history, renowned for its handcrafted luxury sports cars and long association with performance engineering and design excellence. Founded in 1913, the company has built a global reputation for exclusivity, craftsmanship, and heritage. Despite its strong brand identity, Aston Martin has faced recurring financial challenges, intensified competition, and the need to modernise its product portfolio in response to industry-wide shifts. In recent years, the company has embarked on a major strategic transformation under the “Racing. Green.” sustainability strategy and a renewed focus on electrification, technological innovation, and operational efficiency.</w:t>
      </w:r>
    </w:p>
    <w:p xmlns:wp14="http://schemas.microsoft.com/office/word/2010/wordml" w:rsidP="4B1612A4" wp14:paraId="315CABB3" wp14:textId="6D0EB760">
      <w:pPr>
        <w:spacing w:before="240" w:beforeAutospacing="off" w:after="240" w:afterAutospacing="off"/>
      </w:pPr>
      <w:r w:rsidRPr="4B1612A4" w:rsidR="5BA9A181">
        <w:rPr>
          <w:rFonts w:ascii="Aptos" w:hAnsi="Aptos" w:eastAsia="Aptos" w:cs="Aptos"/>
          <w:noProof w:val="0"/>
          <w:sz w:val="24"/>
          <w:szCs w:val="24"/>
          <w:lang w:val="en-GB"/>
        </w:rPr>
        <w:t>Aston Martin’s vision is to become the world’s most desirable ultra</w:t>
      </w:r>
      <w:r w:rsidRPr="4B1612A4" w:rsidR="132303DB">
        <w:rPr>
          <w:rFonts w:ascii="Aptos" w:hAnsi="Aptos" w:eastAsia="Aptos" w:cs="Aptos"/>
          <w:noProof w:val="0"/>
          <w:sz w:val="24"/>
          <w:szCs w:val="24"/>
          <w:lang w:val="en-GB"/>
        </w:rPr>
        <w:t>-</w:t>
      </w:r>
      <w:r w:rsidRPr="4B1612A4" w:rsidR="5BA9A181">
        <w:rPr>
          <w:rFonts w:ascii="Aptos" w:hAnsi="Aptos" w:eastAsia="Aptos" w:cs="Aptos"/>
          <w:noProof w:val="0"/>
          <w:sz w:val="24"/>
          <w:szCs w:val="24"/>
          <w:lang w:val="en-GB"/>
        </w:rPr>
        <w:t xml:space="preserve">luxury British performance brand, combining cutting‑edge technology with timeless design. Its mission centres on delivering exceptional driving experiences through high‑performance engineering, bespoke </w:t>
      </w:r>
      <w:r w:rsidRPr="4B1612A4" w:rsidR="5BA9A181">
        <w:rPr>
          <w:rFonts w:ascii="Aptos" w:hAnsi="Aptos" w:eastAsia="Aptos" w:cs="Aptos"/>
          <w:noProof w:val="0"/>
          <w:sz w:val="24"/>
          <w:szCs w:val="24"/>
          <w:lang w:val="en-GB"/>
        </w:rPr>
        <w:t>craftsmanship</w:t>
      </w:r>
      <w:r w:rsidRPr="4B1612A4" w:rsidR="5BA9A181">
        <w:rPr>
          <w:rFonts w:ascii="Aptos" w:hAnsi="Aptos" w:eastAsia="Aptos" w:cs="Aptos"/>
          <w:noProof w:val="0"/>
          <w:sz w:val="24"/>
          <w:szCs w:val="24"/>
          <w:lang w:val="en-GB"/>
        </w:rPr>
        <w:t xml:space="preserve">, and continuous innovation. The company’s strategic </w:t>
      </w:r>
      <w:r w:rsidRPr="4B1612A4" w:rsidR="5BA9A181">
        <w:rPr>
          <w:rFonts w:ascii="Aptos" w:hAnsi="Aptos" w:eastAsia="Aptos" w:cs="Aptos"/>
          <w:noProof w:val="0"/>
          <w:sz w:val="24"/>
          <w:szCs w:val="24"/>
          <w:lang w:val="en-GB"/>
        </w:rPr>
        <w:t>objectives</w:t>
      </w:r>
      <w:r w:rsidRPr="4B1612A4" w:rsidR="5BA9A181">
        <w:rPr>
          <w:rFonts w:ascii="Aptos" w:hAnsi="Aptos" w:eastAsia="Aptos" w:cs="Aptos"/>
          <w:noProof w:val="0"/>
          <w:sz w:val="24"/>
          <w:szCs w:val="24"/>
          <w:lang w:val="en-GB"/>
        </w:rPr>
        <w:t xml:space="preserve"> include expanding its product range, accelerating its transition to hybrid and electric vehicles, strengthening financial resilience, and enhancing sustainability across its operations. These goals reflect Aston Martin’s ambition to secure long‑term competitiveness while preserving the distinctive identity that defines the brand.</w:t>
      </w:r>
    </w:p>
    <w:p xmlns:wp14="http://schemas.microsoft.com/office/word/2010/wordml" w:rsidP="4B1612A4" wp14:paraId="582ECA5D" wp14:textId="0002E64D">
      <w:pPr>
        <w:spacing w:before="240" w:beforeAutospacing="off" w:after="240" w:afterAutospacing="off"/>
      </w:pPr>
      <w:r w:rsidRPr="4B1612A4" w:rsidR="5BA9A181">
        <w:rPr>
          <w:rFonts w:ascii="Aptos" w:hAnsi="Aptos" w:eastAsia="Aptos" w:cs="Aptos"/>
          <w:noProof w:val="0"/>
          <w:sz w:val="24"/>
          <w:szCs w:val="24"/>
          <w:lang w:val="en-GB"/>
        </w:rPr>
        <w:t xml:space="preserve">This introduction </w:t>
      </w:r>
      <w:r w:rsidRPr="4B1612A4" w:rsidR="5BA9A181">
        <w:rPr>
          <w:rFonts w:ascii="Aptos" w:hAnsi="Aptos" w:eastAsia="Aptos" w:cs="Aptos"/>
          <w:noProof w:val="0"/>
          <w:sz w:val="24"/>
          <w:szCs w:val="24"/>
          <w:lang w:val="en-GB"/>
        </w:rPr>
        <w:t>establishes</w:t>
      </w:r>
      <w:r w:rsidRPr="4B1612A4" w:rsidR="5BA9A181">
        <w:rPr>
          <w:rFonts w:ascii="Aptos" w:hAnsi="Aptos" w:eastAsia="Aptos" w:cs="Aptos"/>
          <w:noProof w:val="0"/>
          <w:sz w:val="24"/>
          <w:szCs w:val="24"/>
          <w:lang w:val="en-GB"/>
        </w:rPr>
        <w:t xml:space="preserve"> the foundation for analysing the strategic influences shaping Aston Martin and developing forward</w:t>
      </w:r>
      <w:r w:rsidRPr="4B1612A4" w:rsidR="160935C6">
        <w:rPr>
          <w:rFonts w:ascii="Aptos" w:hAnsi="Aptos" w:eastAsia="Aptos" w:cs="Aptos"/>
          <w:noProof w:val="0"/>
          <w:sz w:val="24"/>
          <w:szCs w:val="24"/>
          <w:lang w:val="en-GB"/>
        </w:rPr>
        <w:t>-</w:t>
      </w:r>
      <w:r w:rsidRPr="4B1612A4" w:rsidR="5BA9A181">
        <w:rPr>
          <w:rFonts w:ascii="Aptos" w:hAnsi="Aptos" w:eastAsia="Aptos" w:cs="Aptos"/>
          <w:noProof w:val="0"/>
          <w:sz w:val="24"/>
          <w:szCs w:val="24"/>
          <w:lang w:val="en-GB"/>
        </w:rPr>
        <w:t>looking strategies to support its future growth.</w:t>
      </w:r>
    </w:p>
    <w:p xmlns:wp14="http://schemas.microsoft.com/office/word/2010/wordml" w:rsidP="4B1612A4" wp14:paraId="3A58C14A" wp14:textId="6B66F4AA">
      <w:pPr>
        <w:pStyle w:val="Heading1"/>
        <w:spacing w:before="322" w:beforeAutospacing="off" w:after="322" w:afterAutospacing="off"/>
        <w:jc w:val="center"/>
        <w:rPr>
          <w:rFonts w:ascii="Aptos" w:hAnsi="Aptos" w:eastAsia="Aptos" w:cs="Aptos"/>
          <w:b w:val="1"/>
          <w:bCs w:val="1"/>
          <w:noProof w:val="0"/>
          <w:sz w:val="48"/>
          <w:szCs w:val="48"/>
          <w:lang w:val="en-GB"/>
        </w:rPr>
      </w:pPr>
      <w:r w:rsidRPr="4B1612A4" w:rsidR="2B379371">
        <w:rPr>
          <w:rFonts w:ascii="Aptos" w:hAnsi="Aptos" w:eastAsia="Aptos" w:cs="Aptos"/>
          <w:b w:val="1"/>
          <w:bCs w:val="1"/>
          <w:noProof w:val="0"/>
          <w:color w:val="auto"/>
          <w:sz w:val="36"/>
          <w:szCs w:val="36"/>
          <w:lang w:val="en-GB"/>
        </w:rPr>
        <w:t>2.</w:t>
      </w:r>
      <w:r w:rsidRPr="4B1612A4" w:rsidR="2C298CF1">
        <w:rPr>
          <w:rFonts w:ascii="Aptos" w:hAnsi="Aptos" w:eastAsia="Aptos" w:cs="Aptos"/>
          <w:b w:val="1"/>
          <w:bCs w:val="1"/>
          <w:noProof w:val="0"/>
          <w:color w:val="auto"/>
          <w:sz w:val="36"/>
          <w:szCs w:val="36"/>
          <w:lang w:val="en-GB"/>
        </w:rPr>
        <w:t>Strategy Analysis</w:t>
      </w:r>
      <w:r w:rsidRPr="4B1612A4" w:rsidR="2C298CF1">
        <w:rPr>
          <w:rFonts w:ascii="Aptos" w:hAnsi="Aptos" w:eastAsia="Aptos" w:cs="Aptos"/>
          <w:b w:val="1"/>
          <w:bCs w:val="1"/>
          <w:noProof w:val="0"/>
          <w:sz w:val="48"/>
          <w:szCs w:val="48"/>
          <w:lang w:val="en-GB"/>
        </w:rPr>
        <w:t xml:space="preserve"> </w:t>
      </w:r>
    </w:p>
    <w:p xmlns:wp14="http://schemas.microsoft.com/office/word/2010/wordml" w:rsidP="4B1612A4" wp14:paraId="67C31BC1" wp14:textId="46149D2A">
      <w:pPr>
        <w:spacing w:before="240" w:beforeAutospacing="off" w:after="240" w:afterAutospacing="off"/>
      </w:pPr>
      <w:r w:rsidRPr="4B1612A4" w:rsidR="2C298CF1">
        <w:rPr>
          <w:rFonts w:ascii="Aptos" w:hAnsi="Aptos" w:eastAsia="Aptos" w:cs="Aptos"/>
          <w:noProof w:val="0"/>
          <w:sz w:val="24"/>
          <w:szCs w:val="24"/>
          <w:lang w:val="en-GB"/>
        </w:rPr>
        <w:t>A comprehensive understanding of Aston Martin’s strategic position requires an evaluation of both the external environment shaping the UK automotive sector and the internal capabilities that define the company’s competitive strengths. The industry is undergoing profound transformation driven by electrification, sustainability pressures, technological innovation, and shifting consumer expectations. By applying analytical frameworks such as PESTLE, Porter’s Five Forces, the Value Chain, and the Resource‑Based View (including VRIO), it becomes possible to assess the opportunities and challenges facing Aston Martin. These insights can then be synthesised into a SWOT analysis that highlights the key strategic issues influencing the company’s future direction.</w:t>
      </w:r>
    </w:p>
    <w:p xmlns:wp14="http://schemas.microsoft.com/office/word/2010/wordml" w:rsidP="4B1612A4" wp14:paraId="17E75B9A" wp14:textId="6F6FE2E4">
      <w:pPr>
        <w:pStyle w:val="Heading2"/>
        <w:spacing w:before="299" w:beforeAutospacing="off" w:after="299" w:afterAutospacing="off"/>
        <w:jc w:val="center"/>
        <w:rPr>
          <w:rFonts w:ascii="Aptos" w:hAnsi="Aptos" w:eastAsia="Aptos" w:cs="Aptos"/>
          <w:b w:val="1"/>
          <w:bCs w:val="1"/>
          <w:noProof w:val="0"/>
          <w:color w:val="auto"/>
          <w:sz w:val="36"/>
          <w:szCs w:val="36"/>
          <w:lang w:val="en-GB"/>
        </w:rPr>
      </w:pPr>
      <w:r w:rsidRPr="4B1612A4" w:rsidR="2C298CF1">
        <w:rPr>
          <w:rFonts w:ascii="Aptos" w:hAnsi="Aptos" w:eastAsia="Aptos" w:cs="Aptos"/>
          <w:b w:val="1"/>
          <w:bCs w:val="1"/>
          <w:noProof w:val="0"/>
          <w:color w:val="auto"/>
          <w:sz w:val="36"/>
          <w:szCs w:val="36"/>
          <w:lang w:val="en-GB"/>
        </w:rPr>
        <w:t>External Environment Audit</w:t>
      </w:r>
    </w:p>
    <w:p xmlns:wp14="http://schemas.microsoft.com/office/word/2010/wordml" w:rsidP="4B1612A4" wp14:paraId="77D812B1" wp14:textId="7360CD6B">
      <w:pPr>
        <w:pStyle w:val="Heading3"/>
        <w:spacing w:before="281" w:beforeAutospacing="off" w:after="281" w:afterAutospacing="off"/>
        <w:jc w:val="center"/>
        <w:rPr>
          <w:rFonts w:ascii="Aptos" w:hAnsi="Aptos" w:eastAsia="Aptos" w:cs="Aptos"/>
          <w:b w:val="1"/>
          <w:bCs w:val="1"/>
          <w:noProof w:val="0"/>
          <w:color w:val="auto"/>
          <w:sz w:val="36"/>
          <w:szCs w:val="36"/>
          <w:lang w:val="en-GB"/>
        </w:rPr>
      </w:pPr>
      <w:r w:rsidRPr="4B1612A4" w:rsidR="2C298CF1">
        <w:rPr>
          <w:rFonts w:ascii="Aptos" w:hAnsi="Aptos" w:eastAsia="Aptos" w:cs="Aptos"/>
          <w:b w:val="1"/>
          <w:bCs w:val="1"/>
          <w:noProof w:val="0"/>
          <w:color w:val="auto"/>
          <w:sz w:val="36"/>
          <w:szCs w:val="36"/>
          <w:lang w:val="en-GB"/>
        </w:rPr>
        <w:t>PESTLE Analysis</w:t>
      </w:r>
    </w:p>
    <w:p xmlns:wp14="http://schemas.microsoft.com/office/word/2010/wordml" w:rsidP="4B1612A4" wp14:paraId="2FAEEBF6" wp14:textId="228DFC0B">
      <w:pPr>
        <w:spacing w:before="240" w:beforeAutospacing="off" w:after="240" w:afterAutospacing="off"/>
      </w:pPr>
      <w:r w:rsidRPr="4B1612A4" w:rsidR="2C298CF1">
        <w:rPr>
          <w:rFonts w:ascii="Aptos" w:hAnsi="Aptos" w:eastAsia="Aptos" w:cs="Aptos"/>
          <w:noProof w:val="0"/>
          <w:sz w:val="24"/>
          <w:szCs w:val="24"/>
          <w:lang w:val="en-GB"/>
        </w:rPr>
        <w:t>The macro‑environment presents a complex set of influences on Aston Martin’s strategic choices. Politically, the UK automotive sector has been shaped by post‑Brexit trade arrangements, which have introduced new customs procedures, regulatory divergence, and potential tariffs affecting supply chains. For a luxury manufacturer like Aston Martin, which relies heavily on imported components and exports a significant proportion of its vehicles, these political changes increase operational complexity and cost pressures. Government policies promoting electric vehicle (EV) adoption, including incentives and emissions regulations, also influence the company’s strategic priorities, particularly as it transitions towards hybrid and electric models.</w:t>
      </w:r>
    </w:p>
    <w:p xmlns:wp14="http://schemas.microsoft.com/office/word/2010/wordml" w:rsidP="4B1612A4" wp14:paraId="59FD6D20" wp14:textId="7E6CF983">
      <w:pPr>
        <w:spacing w:before="240" w:beforeAutospacing="off" w:after="240" w:afterAutospacing="off"/>
      </w:pPr>
      <w:r w:rsidRPr="4B1612A4" w:rsidR="2C298CF1">
        <w:rPr>
          <w:rFonts w:ascii="Aptos" w:hAnsi="Aptos" w:eastAsia="Aptos" w:cs="Aptos"/>
          <w:noProof w:val="0"/>
          <w:sz w:val="24"/>
          <w:szCs w:val="24"/>
          <w:lang w:val="en-GB"/>
        </w:rPr>
        <w:t>Economically, Aston Martin operates within a premium segment that is somewhat insulated from fluctuations in consumer spending, yet not immune to global economic uncertainty. Inflation, rising interest rates, and volatility in key markets such as China and the United States can affect demand for high‑value luxury vehicles. The company’s financial performance has historically been unstable, making economic resilience a critical strategic concern. However, the global luxury market continues to grow, offering opportunities for expansion if Aston Martin can strengthen its brand positioning and operational efficiency.</w:t>
      </w:r>
    </w:p>
    <w:p xmlns:wp14="http://schemas.microsoft.com/office/word/2010/wordml" w:rsidP="4B1612A4" wp14:paraId="7786742E" wp14:textId="66423242">
      <w:pPr>
        <w:spacing w:before="240" w:beforeAutospacing="off" w:after="240" w:afterAutospacing="off"/>
      </w:pPr>
      <w:r w:rsidRPr="4B1612A4" w:rsidR="2C298CF1">
        <w:rPr>
          <w:rFonts w:ascii="Aptos" w:hAnsi="Aptos" w:eastAsia="Aptos" w:cs="Aptos"/>
          <w:noProof w:val="0"/>
          <w:sz w:val="24"/>
          <w:szCs w:val="24"/>
          <w:lang w:val="en-GB"/>
        </w:rPr>
        <w:t>Social factors are increasingly shaping consumer preferences, particularly the growing emphasis on sustainability, ethical consumption, and technological sophistication. Luxury consumers now expect vehicles that combine performance with environmental responsibility. This shift places pressure on Aston Martin to accelerate its electrification strategy and integrate sustainable materials and manufacturing practices. Additionally, younger affluent consumers value digital connectivity and personalised experiences, requiring the company to enhance its technological capabilities.</w:t>
      </w:r>
    </w:p>
    <w:p xmlns:wp14="http://schemas.microsoft.com/office/word/2010/wordml" w:rsidP="4B1612A4" wp14:paraId="19073043" wp14:textId="6F48C5DA">
      <w:pPr>
        <w:spacing w:before="240" w:beforeAutospacing="off" w:after="240" w:afterAutospacing="off"/>
      </w:pPr>
      <w:r w:rsidRPr="4B1612A4" w:rsidR="2C298CF1">
        <w:rPr>
          <w:rFonts w:ascii="Aptos" w:hAnsi="Aptos" w:eastAsia="Aptos" w:cs="Aptos"/>
          <w:noProof w:val="0"/>
          <w:sz w:val="24"/>
          <w:szCs w:val="24"/>
          <w:lang w:val="en-GB"/>
        </w:rPr>
        <w:t>Technological change is one of the most significant drivers of transformation in the automotive industry. Advances in battery technology, autonomous driving systems, and software‑defined vehicles are reshaping competitive dynamics. Aston Martin’s partnership with Mercedes‑AMG for powertrains and electronics provides access to advanced technologies, yet the company must continue to invest in its own capabilities to remain competitive. The transition to electrification is particularly challenging for a brand known for traditional combustion‑engine performance, requiring a careful balance between heritage and innovation.</w:t>
      </w:r>
    </w:p>
    <w:p xmlns:wp14="http://schemas.microsoft.com/office/word/2010/wordml" w:rsidP="4B1612A4" wp14:paraId="3879F426" wp14:textId="0429ACA3">
      <w:pPr>
        <w:spacing w:before="240" w:beforeAutospacing="off" w:after="240" w:afterAutospacing="off"/>
      </w:pPr>
      <w:r w:rsidRPr="4B1612A4" w:rsidR="2C298CF1">
        <w:rPr>
          <w:rFonts w:ascii="Aptos" w:hAnsi="Aptos" w:eastAsia="Aptos" w:cs="Aptos"/>
          <w:noProof w:val="0"/>
          <w:sz w:val="24"/>
          <w:szCs w:val="24"/>
          <w:lang w:val="en-GB"/>
        </w:rPr>
        <w:t>Legal influences include stringent emissions regulations in the UK, EU, and global markets. Compliance requires substantial investment in hybrid and electric technologies, as well as sustainable manufacturing processes. Intellectual property protection, safety standards, and data privacy laws also shape the company’s operational environment, particularly as vehicles become more digitally integrated.</w:t>
      </w:r>
    </w:p>
    <w:p xmlns:wp14="http://schemas.microsoft.com/office/word/2010/wordml" w:rsidP="4B1612A4" wp14:paraId="2680E510" wp14:textId="46DDC8A3">
      <w:pPr>
        <w:spacing w:before="240" w:beforeAutospacing="off" w:after="240" w:afterAutospacing="off"/>
      </w:pPr>
      <w:r w:rsidRPr="4B1612A4" w:rsidR="2C298CF1">
        <w:rPr>
          <w:rFonts w:ascii="Aptos" w:hAnsi="Aptos" w:eastAsia="Aptos" w:cs="Aptos"/>
          <w:noProof w:val="0"/>
          <w:sz w:val="24"/>
          <w:szCs w:val="24"/>
          <w:lang w:val="en-GB"/>
        </w:rPr>
        <w:t>Environmental factors are central to Aston Martin’s long‑term strategy. Climate change, resource scarcity, and pressure to reduce carbon emissions are driving the industry towards sustainable mobility. Aston Martin’s “Racing. Green.” sustainability strategy reflects its commitment to reducing environmental impact, yet the company must accelerate progress to meet regulatory expectations and consumer demands. The shift towards circular economy principles, including recycling and sustainable materials, presents both challenges and opportunities for innovation.</w:t>
      </w:r>
    </w:p>
    <w:p xmlns:wp14="http://schemas.microsoft.com/office/word/2010/wordml" w:rsidP="4B1612A4" wp14:paraId="7405480F" wp14:textId="7AD8633E">
      <w:pPr>
        <w:pStyle w:val="Heading3"/>
        <w:spacing w:before="281" w:beforeAutospacing="off" w:after="281" w:afterAutospacing="off"/>
        <w:jc w:val="center"/>
        <w:rPr>
          <w:rFonts w:ascii="Aptos" w:hAnsi="Aptos" w:eastAsia="Aptos" w:cs="Aptos"/>
          <w:b w:val="1"/>
          <w:bCs w:val="1"/>
          <w:noProof w:val="0"/>
          <w:color w:val="auto"/>
          <w:sz w:val="36"/>
          <w:szCs w:val="36"/>
          <w:lang w:val="en-GB"/>
        </w:rPr>
      </w:pPr>
      <w:r w:rsidRPr="4B1612A4" w:rsidR="2C298CF1">
        <w:rPr>
          <w:rFonts w:ascii="Aptos" w:hAnsi="Aptos" w:eastAsia="Aptos" w:cs="Aptos"/>
          <w:b w:val="1"/>
          <w:bCs w:val="1"/>
          <w:noProof w:val="0"/>
          <w:color w:val="auto"/>
          <w:sz w:val="36"/>
          <w:szCs w:val="36"/>
          <w:lang w:val="en-GB"/>
        </w:rPr>
        <w:t>Porter’s Five Forces</w:t>
      </w:r>
    </w:p>
    <w:p xmlns:wp14="http://schemas.microsoft.com/office/word/2010/wordml" w:rsidP="4B1612A4" wp14:paraId="3B601CA7" wp14:textId="79BA5366">
      <w:pPr>
        <w:spacing w:before="240" w:beforeAutospacing="off" w:after="240" w:afterAutospacing="off"/>
      </w:pPr>
      <w:r w:rsidRPr="4B1612A4" w:rsidR="2C298CF1">
        <w:rPr>
          <w:rFonts w:ascii="Aptos" w:hAnsi="Aptos" w:eastAsia="Aptos" w:cs="Aptos"/>
          <w:noProof w:val="0"/>
          <w:sz w:val="24"/>
          <w:szCs w:val="24"/>
          <w:lang w:val="en-GB"/>
        </w:rPr>
        <w:t>The competitive intensity within the luxury automotive segment significantly influences Aston Martin’s strategic position. Rivalry among existing competitors is high, with brands such as Ferrari, Lamborghini, Porsche, Bentley, and McLaren competing on performance, design, technology, and exclusivity. These competitors have made significant advancements in electrification and digital innovation, increasing pressure on Aston Martin to modernise its product portfolio.</w:t>
      </w:r>
    </w:p>
    <w:p xmlns:wp14="http://schemas.microsoft.com/office/word/2010/wordml" w:rsidP="4B1612A4" wp14:paraId="757D101B" wp14:textId="6A895565">
      <w:pPr>
        <w:spacing w:before="240" w:beforeAutospacing="off" w:after="240" w:afterAutospacing="off"/>
      </w:pPr>
      <w:r w:rsidRPr="4B1612A4" w:rsidR="2C298CF1">
        <w:rPr>
          <w:rFonts w:ascii="Aptos" w:hAnsi="Aptos" w:eastAsia="Aptos" w:cs="Aptos"/>
          <w:noProof w:val="0"/>
          <w:sz w:val="24"/>
          <w:szCs w:val="24"/>
          <w:lang w:val="en-GB"/>
        </w:rPr>
        <w:t>The threat of new entrants is relatively low due to high capital requirements, technological complexity, and the importance of brand heritage in the luxury segment. However, emerging EV‑focused manufacturers, such as Rimac and Lucid, demonstrate that new entrants can disrupt the market if they offer superior technology or unique value propositions.</w:t>
      </w:r>
    </w:p>
    <w:p xmlns:wp14="http://schemas.microsoft.com/office/word/2010/wordml" w:rsidP="4B1612A4" wp14:paraId="2F1A57FD" wp14:textId="20171F45">
      <w:pPr>
        <w:spacing w:before="240" w:beforeAutospacing="off" w:after="240" w:afterAutospacing="off"/>
      </w:pPr>
      <w:r w:rsidRPr="4B1612A4" w:rsidR="2C298CF1">
        <w:rPr>
          <w:rFonts w:ascii="Aptos" w:hAnsi="Aptos" w:eastAsia="Aptos" w:cs="Aptos"/>
          <w:noProof w:val="0"/>
          <w:sz w:val="24"/>
          <w:szCs w:val="24"/>
          <w:lang w:val="en-GB"/>
        </w:rPr>
        <w:t>Supplier power is significant for Aston Martin, which relies on specialised components, advanced electronics, and high‑performance powertrains. The company’s partnership with Mercedes‑AMG provides access to cutting‑edge technology but also creates dependency. Supply‑chain disruptions, such as semiconductor shortages, further increase supplier leverage and operational risk.</w:t>
      </w:r>
    </w:p>
    <w:p xmlns:wp14="http://schemas.microsoft.com/office/word/2010/wordml" w:rsidP="4B1612A4" wp14:paraId="473DA8F1" wp14:textId="4D94EE4A">
      <w:pPr>
        <w:spacing w:before="240" w:beforeAutospacing="off" w:after="240" w:afterAutospacing="off"/>
      </w:pPr>
      <w:r w:rsidRPr="4B1612A4" w:rsidR="2C298CF1">
        <w:rPr>
          <w:rFonts w:ascii="Aptos" w:hAnsi="Aptos" w:eastAsia="Aptos" w:cs="Aptos"/>
          <w:noProof w:val="0"/>
          <w:sz w:val="24"/>
          <w:szCs w:val="24"/>
          <w:lang w:val="en-GB"/>
        </w:rPr>
        <w:t>Buyer power is moderate to high. Luxury consumers are highly discerning and expect exceptional quality, performance, and personalisation. The availability of numerous premium alternatives means that customers can easily switch brands if their expectations are not met. Maintaining strong brand differentiation is therefore essential.</w:t>
      </w:r>
    </w:p>
    <w:p xmlns:wp14="http://schemas.microsoft.com/office/word/2010/wordml" w:rsidP="4B1612A4" wp14:paraId="75632D8C" wp14:textId="6B4BBFEF">
      <w:pPr>
        <w:spacing w:before="240" w:beforeAutospacing="off" w:after="240" w:afterAutospacing="off"/>
      </w:pPr>
      <w:r w:rsidRPr="4B1612A4" w:rsidR="2C298CF1">
        <w:rPr>
          <w:rFonts w:ascii="Aptos" w:hAnsi="Aptos" w:eastAsia="Aptos" w:cs="Aptos"/>
          <w:noProof w:val="0"/>
          <w:sz w:val="24"/>
          <w:szCs w:val="24"/>
          <w:lang w:val="en-GB"/>
        </w:rPr>
        <w:t>The threat of substitutes is moderate. While public transport and ride‑sharing are not direct substitutes for luxury sports cars, alternative luxury experiences—such as yachts, private aviation, or high‑end EVs—compete for the same affluent customer base. Additionally, the rise of luxury EVs presents a technological substitute for traditional combustion‑engine performance.</w:t>
      </w:r>
    </w:p>
    <w:p xmlns:wp14="http://schemas.microsoft.com/office/word/2010/wordml" w:rsidP="4B1612A4" wp14:paraId="4DBD5DF6" wp14:textId="6A8871DE">
      <w:pPr>
        <w:pStyle w:val="Heading2"/>
        <w:spacing w:before="299" w:beforeAutospacing="off" w:after="299" w:afterAutospacing="off"/>
        <w:jc w:val="center"/>
        <w:rPr>
          <w:rFonts w:ascii="Aptos" w:hAnsi="Aptos" w:eastAsia="Aptos" w:cs="Aptos"/>
          <w:b w:val="1"/>
          <w:bCs w:val="1"/>
          <w:noProof w:val="0"/>
          <w:color w:val="auto"/>
          <w:sz w:val="36"/>
          <w:szCs w:val="36"/>
          <w:lang w:val="en-GB"/>
        </w:rPr>
      </w:pPr>
      <w:r w:rsidRPr="4B1612A4" w:rsidR="2C298CF1">
        <w:rPr>
          <w:rFonts w:ascii="Aptos" w:hAnsi="Aptos" w:eastAsia="Aptos" w:cs="Aptos"/>
          <w:b w:val="1"/>
          <w:bCs w:val="1"/>
          <w:noProof w:val="0"/>
          <w:color w:val="auto"/>
          <w:sz w:val="36"/>
          <w:szCs w:val="36"/>
          <w:lang w:val="en-GB"/>
        </w:rPr>
        <w:t>Internal Environment Audit</w:t>
      </w:r>
    </w:p>
    <w:p xmlns:wp14="http://schemas.microsoft.com/office/word/2010/wordml" w:rsidP="4B1612A4" wp14:paraId="1D1A21AB" wp14:textId="20C4E8F9">
      <w:pPr>
        <w:pStyle w:val="Heading3"/>
        <w:spacing w:before="281" w:beforeAutospacing="off" w:after="281" w:afterAutospacing="off"/>
        <w:jc w:val="center"/>
        <w:rPr>
          <w:rFonts w:ascii="Aptos" w:hAnsi="Aptos" w:eastAsia="Aptos" w:cs="Aptos"/>
          <w:b w:val="1"/>
          <w:bCs w:val="1"/>
          <w:noProof w:val="0"/>
          <w:color w:val="auto"/>
          <w:sz w:val="36"/>
          <w:szCs w:val="36"/>
          <w:lang w:val="en-GB"/>
        </w:rPr>
      </w:pPr>
      <w:r w:rsidRPr="4B1612A4" w:rsidR="2C298CF1">
        <w:rPr>
          <w:rFonts w:ascii="Aptos" w:hAnsi="Aptos" w:eastAsia="Aptos" w:cs="Aptos"/>
          <w:b w:val="1"/>
          <w:bCs w:val="1"/>
          <w:noProof w:val="0"/>
          <w:color w:val="auto"/>
          <w:sz w:val="36"/>
          <w:szCs w:val="36"/>
          <w:lang w:val="en-GB"/>
        </w:rPr>
        <w:t>Value Chain Analysis</w:t>
      </w:r>
    </w:p>
    <w:p xmlns:wp14="http://schemas.microsoft.com/office/word/2010/wordml" w:rsidP="4B1612A4" wp14:paraId="21D7DF35" wp14:textId="0D498E16">
      <w:pPr>
        <w:spacing w:before="240" w:beforeAutospacing="off" w:after="240" w:afterAutospacing="off"/>
      </w:pPr>
      <w:r w:rsidRPr="4B1612A4" w:rsidR="2C298CF1">
        <w:rPr>
          <w:rFonts w:ascii="Aptos" w:hAnsi="Aptos" w:eastAsia="Aptos" w:cs="Aptos"/>
          <w:noProof w:val="0"/>
          <w:sz w:val="24"/>
          <w:szCs w:val="24"/>
          <w:lang w:val="en-GB"/>
        </w:rPr>
        <w:t>Aston Martin’s internal capabilities can be examined through its value chain. Inbound logistics involve sourcing high‑quality materials and components from global suppliers. The company’s reliance on specialised parts increases vulnerability to supply‑chain disruptions, yet supports the craftsmanship and performance associated with the brand.</w:t>
      </w:r>
    </w:p>
    <w:p xmlns:wp14="http://schemas.microsoft.com/office/word/2010/wordml" w:rsidP="4B1612A4" wp14:paraId="7D861F0A" wp14:textId="43F40674">
      <w:pPr>
        <w:spacing w:before="240" w:beforeAutospacing="off" w:after="240" w:afterAutospacing="off"/>
      </w:pPr>
      <w:r w:rsidRPr="4B1612A4" w:rsidR="2C298CF1">
        <w:rPr>
          <w:rFonts w:ascii="Aptos" w:hAnsi="Aptos" w:eastAsia="Aptos" w:cs="Aptos"/>
          <w:noProof w:val="0"/>
          <w:sz w:val="24"/>
          <w:szCs w:val="24"/>
          <w:lang w:val="en-GB"/>
        </w:rPr>
        <w:t>Operations are a core strength, characterised by handcrafted manufacturing processes and bespoke vehicle production. This craftsmanship differentiates Aston Martin from mass‑market manufacturers, although it also results in higher production costs and limited economies of scale. The company’s manufacturing facilities in Gaydon and St Athan play a central role in its transformation towards electrification.</w:t>
      </w:r>
    </w:p>
    <w:p xmlns:wp14="http://schemas.microsoft.com/office/word/2010/wordml" w:rsidP="4B1612A4" wp14:paraId="2425C33F" wp14:textId="11EC9894">
      <w:pPr>
        <w:spacing w:before="240" w:beforeAutospacing="off" w:after="240" w:afterAutospacing="off"/>
      </w:pPr>
      <w:r w:rsidRPr="4B1612A4" w:rsidR="2C298CF1">
        <w:rPr>
          <w:rFonts w:ascii="Aptos" w:hAnsi="Aptos" w:eastAsia="Aptos" w:cs="Aptos"/>
          <w:noProof w:val="0"/>
          <w:sz w:val="24"/>
          <w:szCs w:val="24"/>
          <w:lang w:val="en-GB"/>
        </w:rPr>
        <w:t>Outbound logistics involve delivering vehicles to a global network of dealerships and customers. The exclusivity of Aston Martin’s products means that distribution is more controlled and personalised compared to mainstream brands.</w:t>
      </w:r>
    </w:p>
    <w:p xmlns:wp14="http://schemas.microsoft.com/office/word/2010/wordml" w:rsidP="4B1612A4" wp14:paraId="31B41383" wp14:textId="44906DD4">
      <w:pPr>
        <w:spacing w:before="240" w:beforeAutospacing="off" w:after="240" w:afterAutospacing="off"/>
      </w:pPr>
      <w:r w:rsidRPr="4B1612A4" w:rsidR="2C298CF1">
        <w:rPr>
          <w:rFonts w:ascii="Aptos" w:hAnsi="Aptos" w:eastAsia="Aptos" w:cs="Aptos"/>
          <w:noProof w:val="0"/>
          <w:sz w:val="24"/>
          <w:szCs w:val="24"/>
          <w:lang w:val="en-GB"/>
        </w:rPr>
        <w:t>Marketing and sales activities emphasise brand heritage, exclusivity, and performance. Collaborations with Formula 1 and luxury lifestyle brands enhance visibility and prestige. However, the company must continue to refine its brand positioning as it transitions towards electrified performance.</w:t>
      </w:r>
    </w:p>
    <w:p xmlns:wp14="http://schemas.microsoft.com/office/word/2010/wordml" w:rsidP="4B1612A4" wp14:paraId="7C857A79" wp14:textId="1AD57EE4">
      <w:pPr>
        <w:spacing w:before="240" w:beforeAutospacing="off" w:after="240" w:afterAutospacing="off"/>
      </w:pPr>
      <w:r w:rsidRPr="4B1612A4" w:rsidR="2C298CF1">
        <w:rPr>
          <w:rFonts w:ascii="Aptos" w:hAnsi="Aptos" w:eastAsia="Aptos" w:cs="Aptos"/>
          <w:noProof w:val="0"/>
          <w:sz w:val="24"/>
          <w:szCs w:val="24"/>
          <w:lang w:val="en-GB"/>
        </w:rPr>
        <w:t>After‑sales services, including maintenance, customisation, and digital support, are increasingly important for customer loyalty. As vehicles become more software‑driven, the ability to deliver seamless digital experiences will be essential.</w:t>
      </w:r>
    </w:p>
    <w:p xmlns:wp14="http://schemas.microsoft.com/office/word/2010/wordml" w:rsidP="4B1612A4" wp14:paraId="58BAA6AD" wp14:textId="65E42309">
      <w:pPr>
        <w:spacing w:before="240" w:beforeAutospacing="off" w:after="240" w:afterAutospacing="off"/>
      </w:pPr>
      <w:r w:rsidRPr="4B1612A4" w:rsidR="2C298CF1">
        <w:rPr>
          <w:rFonts w:ascii="Aptos" w:hAnsi="Aptos" w:eastAsia="Aptos" w:cs="Aptos"/>
          <w:noProof w:val="0"/>
          <w:sz w:val="24"/>
          <w:szCs w:val="24"/>
          <w:lang w:val="en-GB"/>
        </w:rPr>
        <w:t>Support activities such as R&amp;D, human resources, and procurement underpin the company’s competitive capabilities. Investment in electrification, hybrid technology, and digital systems is critical for future competitiveness. The company’s skilled workforce contributes to innovation and craftsmanship, although attracting talent in software engineering remains a challenge.</w:t>
      </w:r>
    </w:p>
    <w:p xmlns:wp14="http://schemas.microsoft.com/office/word/2010/wordml" w:rsidP="4B1612A4" wp14:paraId="69990396" wp14:textId="739ABBAF">
      <w:pPr>
        <w:pStyle w:val="Heading3"/>
        <w:spacing w:before="281" w:beforeAutospacing="off" w:after="281" w:afterAutospacing="off"/>
        <w:jc w:val="center"/>
        <w:rPr>
          <w:rFonts w:ascii="Aptos" w:hAnsi="Aptos" w:eastAsia="Aptos" w:cs="Aptos"/>
          <w:b w:val="1"/>
          <w:bCs w:val="1"/>
          <w:noProof w:val="0"/>
          <w:color w:val="auto"/>
          <w:sz w:val="36"/>
          <w:szCs w:val="36"/>
          <w:lang w:val="en-GB"/>
        </w:rPr>
      </w:pPr>
      <w:r w:rsidRPr="4B1612A4" w:rsidR="2C298CF1">
        <w:rPr>
          <w:rFonts w:ascii="Aptos" w:hAnsi="Aptos" w:eastAsia="Aptos" w:cs="Aptos"/>
          <w:b w:val="1"/>
          <w:bCs w:val="1"/>
          <w:noProof w:val="0"/>
          <w:color w:val="auto"/>
          <w:sz w:val="36"/>
          <w:szCs w:val="36"/>
          <w:lang w:val="en-GB"/>
        </w:rPr>
        <w:t>Resource‑Based View and VRIO Analysis</w:t>
      </w:r>
    </w:p>
    <w:p xmlns:wp14="http://schemas.microsoft.com/office/word/2010/wordml" w:rsidP="4B1612A4" wp14:paraId="3C293372" wp14:textId="0371F0A9">
      <w:pPr>
        <w:spacing w:before="240" w:beforeAutospacing="off" w:after="240" w:afterAutospacing="off"/>
      </w:pPr>
      <w:r w:rsidRPr="4B1612A4" w:rsidR="2C298CF1">
        <w:rPr>
          <w:rFonts w:ascii="Aptos" w:hAnsi="Aptos" w:eastAsia="Aptos" w:cs="Aptos"/>
          <w:noProof w:val="0"/>
          <w:sz w:val="24"/>
          <w:szCs w:val="24"/>
          <w:lang w:val="en-GB"/>
        </w:rPr>
        <w:t>Aston Martin’s competitive advantage is shaped by its unique resources and capabilities. Its brand heritage is one of its most valuable assets, associated with British luxury, craftsmanship, and performance. This brand equity is rare and difficult for competitors to imitate, providing a sustained competitive advantage.</w:t>
      </w:r>
    </w:p>
    <w:p xmlns:wp14="http://schemas.microsoft.com/office/word/2010/wordml" w:rsidP="4B1612A4" wp14:paraId="2ADCD4D4" wp14:textId="5C2BF7DD">
      <w:pPr>
        <w:spacing w:before="240" w:beforeAutospacing="off" w:after="240" w:afterAutospacing="off"/>
      </w:pPr>
      <w:r w:rsidRPr="4B1612A4" w:rsidR="2C298CF1">
        <w:rPr>
          <w:rFonts w:ascii="Aptos" w:hAnsi="Aptos" w:eastAsia="Aptos" w:cs="Aptos"/>
          <w:noProof w:val="0"/>
          <w:sz w:val="24"/>
          <w:szCs w:val="24"/>
          <w:lang w:val="en-GB"/>
        </w:rPr>
        <w:t>Technological capabilities are developing but remain an area of strategic focus. The partnership with Mercedes‑AMG enhances access to advanced powertrains and electronics, yet Aston Martin must continue to build internal expertise in electrification and software to remain competitive.</w:t>
      </w:r>
    </w:p>
    <w:p xmlns:wp14="http://schemas.microsoft.com/office/word/2010/wordml" w:rsidP="4B1612A4" wp14:paraId="0ED9D835" wp14:textId="231996A4">
      <w:pPr>
        <w:spacing w:before="240" w:beforeAutospacing="off" w:after="240" w:afterAutospacing="off"/>
      </w:pPr>
      <w:r w:rsidRPr="4B1612A4" w:rsidR="2C298CF1">
        <w:rPr>
          <w:rFonts w:ascii="Aptos" w:hAnsi="Aptos" w:eastAsia="Aptos" w:cs="Aptos"/>
          <w:noProof w:val="0"/>
          <w:sz w:val="24"/>
          <w:szCs w:val="24"/>
          <w:lang w:val="en-GB"/>
        </w:rPr>
        <w:t>Human capital is another key resource. The company’s engineers, designers, and craftspeople contribute to the distinctive quality of its vehicles. However, the shift towards digitalisation requires new skills in software development and data analytics.</w:t>
      </w:r>
    </w:p>
    <w:p xmlns:wp14="http://schemas.microsoft.com/office/word/2010/wordml" w:rsidP="4B1612A4" wp14:paraId="3C26C66A" wp14:textId="69C66E9D">
      <w:pPr>
        <w:spacing w:before="240" w:beforeAutospacing="off" w:after="240" w:afterAutospacing="off"/>
      </w:pPr>
      <w:r w:rsidRPr="4B1612A4" w:rsidR="2C298CF1">
        <w:rPr>
          <w:rFonts w:ascii="Aptos" w:hAnsi="Aptos" w:eastAsia="Aptos" w:cs="Aptos"/>
          <w:noProof w:val="0"/>
          <w:sz w:val="24"/>
          <w:szCs w:val="24"/>
          <w:lang w:val="en-GB"/>
        </w:rPr>
        <w:t>Applying the VRIO framework, Aston Martin’s brand, craftsmanship, and design expertise are valuable, rare, and difficult to imitate, providing long‑term competitive advantage. However, technological capabilities and operational efficiency are less developed, offering only temporary advantages unless strengthened.</w:t>
      </w:r>
    </w:p>
    <w:p xmlns:wp14="http://schemas.microsoft.com/office/word/2010/wordml" w:rsidP="4B1612A4" wp14:paraId="024A8604" wp14:textId="690E47BB">
      <w:pPr>
        <w:pStyle w:val="Heading2"/>
        <w:spacing w:before="299" w:beforeAutospacing="off" w:after="299" w:afterAutospacing="off"/>
        <w:jc w:val="center"/>
        <w:rPr>
          <w:rFonts w:ascii="Aptos" w:hAnsi="Aptos" w:eastAsia="Aptos" w:cs="Aptos"/>
          <w:b w:val="1"/>
          <w:bCs w:val="1"/>
          <w:noProof w:val="0"/>
          <w:color w:val="auto"/>
          <w:sz w:val="36"/>
          <w:szCs w:val="36"/>
          <w:lang w:val="en-GB"/>
        </w:rPr>
      </w:pPr>
      <w:r w:rsidRPr="4B1612A4" w:rsidR="2C298CF1">
        <w:rPr>
          <w:rFonts w:ascii="Aptos" w:hAnsi="Aptos" w:eastAsia="Aptos" w:cs="Aptos"/>
          <w:b w:val="1"/>
          <w:bCs w:val="1"/>
          <w:noProof w:val="0"/>
          <w:color w:val="auto"/>
          <w:sz w:val="36"/>
          <w:szCs w:val="36"/>
          <w:lang w:val="en-GB"/>
        </w:rPr>
        <w:t>SWOT Analysis</w:t>
      </w:r>
    </w:p>
    <w:p xmlns:wp14="http://schemas.microsoft.com/office/word/2010/wordml" w:rsidP="4B1612A4" wp14:paraId="2885A06B" wp14:textId="05059DEC">
      <w:pPr>
        <w:spacing w:before="240" w:beforeAutospacing="off" w:after="240" w:afterAutospacing="off"/>
      </w:pPr>
      <w:r w:rsidRPr="4B1612A4" w:rsidR="2C298CF1">
        <w:rPr>
          <w:rFonts w:ascii="Aptos" w:hAnsi="Aptos" w:eastAsia="Aptos" w:cs="Aptos"/>
          <w:noProof w:val="0"/>
          <w:sz w:val="24"/>
          <w:szCs w:val="24"/>
          <w:lang w:val="en-GB"/>
        </w:rPr>
        <w:t>Synthesising the internal and external analyses reveals several key strengths, weaknesses, opportunities, and threats for Aston Martin.</w:t>
      </w:r>
    </w:p>
    <w:p xmlns:wp14="http://schemas.microsoft.com/office/word/2010/wordml" w:rsidP="4B1612A4" wp14:paraId="43B5A72E" wp14:textId="4FD7AA14">
      <w:pPr>
        <w:spacing w:before="240" w:beforeAutospacing="off" w:after="240" w:afterAutospacing="off"/>
      </w:pPr>
      <w:r w:rsidRPr="4B1612A4" w:rsidR="2C298CF1">
        <w:rPr>
          <w:rFonts w:ascii="Aptos" w:hAnsi="Aptos" w:eastAsia="Aptos" w:cs="Aptos"/>
          <w:noProof w:val="0"/>
          <w:sz w:val="24"/>
          <w:szCs w:val="24"/>
          <w:lang w:val="en-GB"/>
        </w:rPr>
        <w:t>The company’s strengths include its iconic brand heritage, craftsmanship, and strong design capabilities. Partnerships with Mercedes‑AMG enhance technological access, while the “Racing. Green.” strategy demonstrates commitment to sustainability.</w:t>
      </w:r>
    </w:p>
    <w:p xmlns:wp14="http://schemas.microsoft.com/office/word/2010/wordml" w:rsidP="4B1612A4" wp14:paraId="55F2E440" wp14:textId="7E2E31A5">
      <w:pPr>
        <w:spacing w:before="240" w:beforeAutospacing="off" w:after="240" w:afterAutospacing="off"/>
      </w:pPr>
      <w:r w:rsidRPr="4B1612A4" w:rsidR="2C298CF1">
        <w:rPr>
          <w:rFonts w:ascii="Aptos" w:hAnsi="Aptos" w:eastAsia="Aptos" w:cs="Aptos"/>
          <w:noProof w:val="0"/>
          <w:sz w:val="24"/>
          <w:szCs w:val="24"/>
          <w:lang w:val="en-GB"/>
        </w:rPr>
        <w:t>Weaknesses include financial instability, limited economies of scale, and slower progress in electrification compared to competitors. Supply‑chain vulnerabilities and high production costs also constrain competitiveness.</w:t>
      </w:r>
    </w:p>
    <w:p xmlns:wp14="http://schemas.microsoft.com/office/word/2010/wordml" w:rsidP="4B1612A4" wp14:paraId="05A5648E" wp14:textId="66BBC72D">
      <w:pPr>
        <w:spacing w:before="240" w:beforeAutospacing="off" w:after="240" w:afterAutospacing="off"/>
      </w:pPr>
      <w:r w:rsidRPr="4B1612A4" w:rsidR="2C298CF1">
        <w:rPr>
          <w:rFonts w:ascii="Aptos" w:hAnsi="Aptos" w:eastAsia="Aptos" w:cs="Aptos"/>
          <w:noProof w:val="0"/>
          <w:sz w:val="24"/>
          <w:szCs w:val="24"/>
          <w:lang w:val="en-GB"/>
        </w:rPr>
        <w:t>Opportunities arise from the growing demand for luxury EVs, expansion into new markets, and the potential for digital services and personalisation. Strengthening sustainability credentials and leveraging Formula 1 exposure can further enhance brand appeal.</w:t>
      </w:r>
    </w:p>
    <w:p xmlns:wp14="http://schemas.microsoft.com/office/word/2010/wordml" w:rsidP="4B1612A4" wp14:paraId="4CBACED9" wp14:textId="59EDDAF5">
      <w:pPr>
        <w:spacing w:before="240" w:beforeAutospacing="off" w:after="240" w:afterAutospacing="off"/>
      </w:pPr>
      <w:r w:rsidRPr="4B1612A4" w:rsidR="2C298CF1">
        <w:rPr>
          <w:rFonts w:ascii="Aptos" w:hAnsi="Aptos" w:eastAsia="Aptos" w:cs="Aptos"/>
          <w:noProof w:val="0"/>
          <w:sz w:val="24"/>
          <w:szCs w:val="24"/>
          <w:lang w:val="en-GB"/>
        </w:rPr>
        <w:t>Threats include intense competition from established luxury brands and new EV entrants, regulatory pressures, economic uncertainty, and rapid technological change.</w:t>
      </w:r>
    </w:p>
    <w:p xmlns:wp14="http://schemas.microsoft.com/office/word/2010/wordml" w:rsidP="4B1612A4" wp14:paraId="6ECF9781" wp14:textId="612B4E64">
      <w:pPr>
        <w:pStyle w:val="Heading1"/>
        <w:spacing w:before="322" w:beforeAutospacing="off" w:after="322" w:afterAutospacing="off"/>
        <w:jc w:val="center"/>
        <w:rPr>
          <w:rFonts w:ascii="Aptos" w:hAnsi="Aptos" w:eastAsia="Aptos" w:cs="Aptos"/>
          <w:b w:val="1"/>
          <w:bCs w:val="1"/>
          <w:noProof w:val="0"/>
          <w:color w:val="auto"/>
          <w:sz w:val="36"/>
          <w:szCs w:val="36"/>
          <w:lang w:val="en-GB"/>
        </w:rPr>
      </w:pPr>
      <w:r w:rsidRPr="4B1612A4" w:rsidR="4BE8E6B7">
        <w:rPr>
          <w:rFonts w:ascii="Aptos" w:hAnsi="Aptos" w:eastAsia="Aptos" w:cs="Aptos"/>
          <w:b w:val="1"/>
          <w:bCs w:val="1"/>
          <w:noProof w:val="0"/>
          <w:color w:val="auto"/>
          <w:sz w:val="36"/>
          <w:szCs w:val="36"/>
          <w:lang w:val="en-GB"/>
        </w:rPr>
        <w:t>3.</w:t>
      </w:r>
      <w:r w:rsidRPr="4B1612A4" w:rsidR="4B06C524">
        <w:rPr>
          <w:rFonts w:ascii="Aptos" w:hAnsi="Aptos" w:eastAsia="Aptos" w:cs="Aptos"/>
          <w:b w:val="1"/>
          <w:bCs w:val="1"/>
          <w:noProof w:val="0"/>
          <w:color w:val="auto"/>
          <w:sz w:val="36"/>
          <w:szCs w:val="36"/>
          <w:lang w:val="en-GB"/>
        </w:rPr>
        <w:t>Strategy Formulation</w:t>
      </w:r>
    </w:p>
    <w:p xmlns:wp14="http://schemas.microsoft.com/office/word/2010/wordml" w:rsidP="4B1612A4" wp14:paraId="4017004B" wp14:textId="20F65484">
      <w:pPr>
        <w:spacing w:before="240" w:beforeAutospacing="off" w:after="240" w:afterAutospacing="off"/>
      </w:pPr>
      <w:r w:rsidRPr="4B1612A4" w:rsidR="4B06C524">
        <w:rPr>
          <w:rFonts w:ascii="Aptos" w:hAnsi="Aptos" w:eastAsia="Aptos" w:cs="Aptos"/>
          <w:noProof w:val="0"/>
          <w:sz w:val="24"/>
          <w:szCs w:val="24"/>
          <w:lang w:val="en-GB"/>
        </w:rPr>
        <w:t>Building on the strategic analysis, Aston Martin must adopt forward‑looking strategies that strengthen its competitive position while ensuring long‑term sustainability. The company operates in a luxury automotive segment characterised by rapid technological change, intensifying competition, and increasing regulatory pressure, making strategic adaptability essential (Grant, 2021).</w:t>
      </w:r>
    </w:p>
    <w:p xmlns:wp14="http://schemas.microsoft.com/office/word/2010/wordml" w:rsidP="4B1612A4" wp14:paraId="728C2162" wp14:textId="51A8C58F">
      <w:pPr>
        <w:spacing w:before="240" w:beforeAutospacing="off" w:after="240" w:afterAutospacing="off"/>
      </w:pPr>
      <w:r w:rsidRPr="4B1612A4" w:rsidR="4B06C524">
        <w:rPr>
          <w:rFonts w:ascii="Aptos" w:hAnsi="Aptos" w:eastAsia="Aptos" w:cs="Aptos"/>
          <w:noProof w:val="0"/>
          <w:sz w:val="24"/>
          <w:szCs w:val="24"/>
          <w:lang w:val="en-GB"/>
        </w:rPr>
        <w:t>A key strategic alternative is to accelerate Aston Martin’s transition towards electrification. Although the company has committed to launching its first battery‑electric vehicle in 2025, competitors such as Ferrari and Porsche are advancing rapidly in EV performance and battery innovation. Strengthening partnerships—particularly with Mercedes‑AMG—would allow Aston Martin to access cutting‑edge powertrain and software technologies while reducing development costs (Jaguar Land Rover, 2023; Hill, Jones and Schilling, 2020). This aligns with industry trends highlighted by ACEA (2024), which emphasise the growing dominance of EVs in the European market.</w:t>
      </w:r>
    </w:p>
    <w:p xmlns:wp14="http://schemas.microsoft.com/office/word/2010/wordml" w:rsidP="4B1612A4" wp14:paraId="141A1B7D" wp14:textId="41733833">
      <w:pPr>
        <w:spacing w:before="240" w:beforeAutospacing="off" w:after="240" w:afterAutospacing="off"/>
      </w:pPr>
      <w:r w:rsidRPr="4B1612A4" w:rsidR="4B06C524">
        <w:rPr>
          <w:rFonts w:ascii="Aptos" w:hAnsi="Aptos" w:eastAsia="Aptos" w:cs="Aptos"/>
          <w:noProof w:val="0"/>
          <w:sz w:val="24"/>
          <w:szCs w:val="24"/>
          <w:lang w:val="en-GB"/>
        </w:rPr>
        <w:t>A second strategic alternative involves enhancing brand differentiation through a clearer focus on ultra‑luxury craftsmanship combined with modern technology. Aston Martin’s heritage is a valuable and rare resource that provides sustained competitive advantage (Barney, 1991; Wernerfelt, 1984). By integrating advanced digital features, sustainable materials, and bespoke personalisation, the company can strengthen its appeal to affluent consumers seeking exclusivity and innovation.</w:t>
      </w:r>
    </w:p>
    <w:p xmlns:wp14="http://schemas.microsoft.com/office/word/2010/wordml" w:rsidP="4B1612A4" wp14:paraId="0A2FC70B" wp14:textId="6B5518AE">
      <w:pPr>
        <w:spacing w:before="240" w:beforeAutospacing="off" w:after="240" w:afterAutospacing="off"/>
      </w:pPr>
      <w:r w:rsidRPr="4B1612A4" w:rsidR="4B06C524">
        <w:rPr>
          <w:rFonts w:ascii="Aptos" w:hAnsi="Aptos" w:eastAsia="Aptos" w:cs="Aptos"/>
          <w:noProof w:val="0"/>
          <w:sz w:val="24"/>
          <w:szCs w:val="24"/>
          <w:lang w:val="en-GB"/>
        </w:rPr>
        <w:t>Improving operational resilience is another essential strategy. Supply‑chain disruptions have exposed vulnerabilities across the automotive sector (SMMT, 2024). Aston Martin should diversify suppliers, increase local sourcing, and invest in digital supply‑chain management to reduce production delays and enhance efficiency. This approach supports the development of dynamic capabilities necessary for long‑term competitiveness (Teece, 2007).</w:t>
      </w:r>
    </w:p>
    <w:p xmlns:wp14="http://schemas.microsoft.com/office/word/2010/wordml" w:rsidP="4B1612A4" wp14:paraId="255FE355" wp14:textId="5879D8D3">
      <w:pPr>
        <w:spacing w:before="240" w:beforeAutospacing="off" w:after="240" w:afterAutospacing="off"/>
      </w:pPr>
      <w:r w:rsidRPr="4B1612A4" w:rsidR="4B06C524">
        <w:rPr>
          <w:rFonts w:ascii="Aptos" w:hAnsi="Aptos" w:eastAsia="Aptos" w:cs="Aptos"/>
          <w:noProof w:val="0"/>
          <w:sz w:val="24"/>
          <w:szCs w:val="24"/>
          <w:lang w:val="en-GB"/>
        </w:rPr>
        <w:t>Finally, embedding sustainability more deeply into product development and operations will be critical. The company’s “Racing. Green.” strategy provides a foundation, but further investment in circular economy practices and carbon‑reduction initiatives is needed to meet regulatory expectations and evolving consumer values (ACEA, 2024).</w:t>
      </w:r>
    </w:p>
    <w:p xmlns:wp14="http://schemas.microsoft.com/office/word/2010/wordml" w:rsidP="4B1612A4" wp14:paraId="18DE6535" wp14:textId="3D8FFF74">
      <w:pPr>
        <w:spacing w:before="240" w:beforeAutospacing="off" w:after="240" w:afterAutospacing="off"/>
      </w:pPr>
      <w:r w:rsidRPr="4B1612A4" w:rsidR="4B06C524">
        <w:rPr>
          <w:rFonts w:ascii="Aptos" w:hAnsi="Aptos" w:eastAsia="Aptos" w:cs="Aptos"/>
          <w:noProof w:val="0"/>
          <w:sz w:val="24"/>
          <w:szCs w:val="24"/>
          <w:lang w:val="en-GB"/>
        </w:rPr>
        <w:t>Collectively, these strategic alternatives offer Aston Martin a coherent pathway to strengthen its market position and achieve sustainable growth in a rapidly evolving industry.</w:t>
      </w:r>
    </w:p>
    <w:p xmlns:wp14="http://schemas.microsoft.com/office/word/2010/wordml" w:rsidP="4B1612A4" wp14:paraId="4325ED79" wp14:textId="2E988E0F">
      <w:pPr>
        <w:pStyle w:val="Heading1"/>
        <w:spacing w:before="322" w:beforeAutospacing="off" w:after="322" w:afterAutospacing="off"/>
        <w:jc w:val="center"/>
        <w:rPr>
          <w:rFonts w:ascii="Aptos" w:hAnsi="Aptos" w:eastAsia="Aptos" w:cs="Aptos"/>
          <w:b w:val="1"/>
          <w:bCs w:val="1"/>
          <w:noProof w:val="0"/>
          <w:color w:val="auto"/>
          <w:sz w:val="36"/>
          <w:szCs w:val="36"/>
          <w:lang w:val="en-GB"/>
        </w:rPr>
      </w:pPr>
      <w:r w:rsidRPr="4B1612A4" w:rsidR="6E8AF472">
        <w:rPr>
          <w:rFonts w:ascii="Aptos" w:hAnsi="Aptos" w:eastAsia="Aptos" w:cs="Aptos"/>
          <w:b w:val="1"/>
          <w:bCs w:val="1"/>
          <w:noProof w:val="0"/>
          <w:color w:val="auto"/>
          <w:sz w:val="36"/>
          <w:szCs w:val="36"/>
          <w:lang w:val="en-GB"/>
        </w:rPr>
        <w:t>4.</w:t>
      </w:r>
      <w:r w:rsidRPr="4B1612A4" w:rsidR="01DF9718">
        <w:rPr>
          <w:rFonts w:ascii="Aptos" w:hAnsi="Aptos" w:eastAsia="Aptos" w:cs="Aptos"/>
          <w:b w:val="1"/>
          <w:bCs w:val="1"/>
          <w:noProof w:val="0"/>
          <w:color w:val="auto"/>
          <w:sz w:val="36"/>
          <w:szCs w:val="36"/>
          <w:lang w:val="en-GB"/>
        </w:rPr>
        <w:t>Conclusion and Recommendations</w:t>
      </w:r>
    </w:p>
    <w:p xmlns:wp14="http://schemas.microsoft.com/office/word/2010/wordml" w:rsidP="4B1612A4" wp14:paraId="62430582" wp14:textId="0AD9ED5C">
      <w:pPr>
        <w:spacing w:before="240" w:beforeAutospacing="off" w:after="240" w:afterAutospacing="off"/>
      </w:pPr>
      <w:r w:rsidRPr="4B1612A4" w:rsidR="01DF9718">
        <w:rPr>
          <w:rFonts w:ascii="Aptos" w:hAnsi="Aptos" w:eastAsia="Aptos" w:cs="Aptos"/>
          <w:noProof w:val="0"/>
          <w:sz w:val="24"/>
          <w:szCs w:val="24"/>
          <w:lang w:val="en-GB"/>
        </w:rPr>
        <w:t>The strategic analysis shows that Aston Martin operates in a luxury automotive sector undergoing rapid transformation driven by electrification, sustainability pressures, and technological innovation. Externally, the company faces increasing regulatory demands, shifting consumer expectations, and strong competition from both established luxury manufacturers and emerging electric‑vehicle brands. Internally, Aston Martin benefits from a powerful brand heritage, exceptional craftsmanship, and strong design capabilities, yet continues to face challenges related to financial instability, limited economies of scale, and the need to accelerate its technological development. To remain competitive, the company must align its strategic direction with the evolving demands of the global automotive landscape.</w:t>
      </w:r>
    </w:p>
    <w:p xmlns:wp14="http://schemas.microsoft.com/office/word/2010/wordml" w:rsidP="4B1612A4" wp14:paraId="120F5653" wp14:textId="03BAAB0F">
      <w:pPr>
        <w:spacing w:before="240" w:beforeAutospacing="off" w:after="240" w:afterAutospacing="off"/>
      </w:pPr>
      <w:r w:rsidRPr="4B1612A4" w:rsidR="01DF9718">
        <w:rPr>
          <w:rFonts w:ascii="Aptos" w:hAnsi="Aptos" w:eastAsia="Aptos" w:cs="Aptos"/>
          <w:noProof w:val="0"/>
          <w:sz w:val="24"/>
          <w:szCs w:val="24"/>
          <w:lang w:val="en-GB"/>
        </w:rPr>
        <w:t>Several recommendations emerge from this analysis. First, Aston Martin should intensify its investment in electrification and digital technologies to strengthen its position in the luxury EV market. Leveraging strategic partnerships will help accelerate innovation while reducing development costs. Second, the company should reinforce its brand differentiation by combining ultra‑luxury craftsmanship with modern sustainability and digital features, ensuring it remains distinctive in a crowded segment. Third, improving supply‑chain resilience through diversification and digitalisation will help mitigate operational risks and enhance efficiency. Finally, Aston Martin should expand its sustainability initiatives, embedding environmental responsibility across its products and operations to meet regulatory expectations and appeal to environmentally conscious consumers.</w:t>
      </w:r>
    </w:p>
    <w:p xmlns:wp14="http://schemas.microsoft.com/office/word/2010/wordml" w:rsidP="4B1612A4" wp14:paraId="2744EE9B" wp14:textId="337EFEDA">
      <w:pPr>
        <w:spacing w:before="240" w:beforeAutospacing="off" w:after="240" w:afterAutospacing="off"/>
      </w:pPr>
      <w:r w:rsidRPr="4B1612A4" w:rsidR="01DF9718">
        <w:rPr>
          <w:rFonts w:ascii="Aptos" w:hAnsi="Aptos" w:eastAsia="Aptos" w:cs="Aptos"/>
          <w:noProof w:val="0"/>
          <w:sz w:val="24"/>
          <w:szCs w:val="24"/>
          <w:lang w:val="en-GB"/>
        </w:rPr>
        <w:t>Together, these recommendations provide a clear pathway for Aston Martin to enhance competitiveness and achieve sustainable long‑term growth.</w:t>
      </w:r>
    </w:p>
    <w:p xmlns:wp14="http://schemas.microsoft.com/office/word/2010/wordml" w:rsidP="4B1612A4" wp14:paraId="7843A34B" wp14:textId="1DDB2D8C">
      <w:pPr>
        <w:spacing w:before="240" w:beforeAutospacing="off" w:after="240" w:afterAutospacing="off"/>
        <w:rPr>
          <w:rFonts w:ascii="Aptos" w:hAnsi="Aptos" w:eastAsia="Aptos" w:cs="Aptos"/>
          <w:noProof w:val="0"/>
          <w:sz w:val="24"/>
          <w:szCs w:val="24"/>
          <w:lang w:val="en-GB"/>
        </w:rPr>
      </w:pPr>
    </w:p>
    <w:p xmlns:wp14="http://schemas.microsoft.com/office/word/2010/wordml" w:rsidP="4B1612A4" wp14:paraId="50D7ED21" wp14:textId="64421282">
      <w:pPr>
        <w:spacing w:before="240" w:beforeAutospacing="off" w:after="240" w:afterAutospacing="off"/>
        <w:rPr>
          <w:rFonts w:ascii="Aptos" w:hAnsi="Aptos" w:eastAsia="Aptos" w:cs="Aptos"/>
          <w:noProof w:val="0"/>
          <w:sz w:val="24"/>
          <w:szCs w:val="24"/>
          <w:lang w:val="en-GB"/>
        </w:rPr>
      </w:pPr>
    </w:p>
    <w:p xmlns:wp14="http://schemas.microsoft.com/office/word/2010/wordml" w:rsidP="4B1612A4" wp14:paraId="33183B6D" wp14:textId="34EE64F7">
      <w:pPr>
        <w:spacing w:before="240" w:beforeAutospacing="off" w:after="240" w:afterAutospacing="off"/>
        <w:rPr>
          <w:rFonts w:ascii="Aptos" w:hAnsi="Aptos" w:eastAsia="Aptos" w:cs="Aptos"/>
          <w:noProof w:val="0"/>
          <w:sz w:val="24"/>
          <w:szCs w:val="24"/>
          <w:lang w:val="en-GB"/>
        </w:rPr>
      </w:pPr>
    </w:p>
    <w:p xmlns:wp14="http://schemas.microsoft.com/office/word/2010/wordml" w:rsidP="4B1612A4" wp14:paraId="4914C868" wp14:textId="7C5EA937">
      <w:pPr>
        <w:spacing w:before="240" w:beforeAutospacing="off" w:after="240" w:afterAutospacing="off"/>
        <w:rPr>
          <w:rFonts w:ascii="Aptos" w:hAnsi="Aptos" w:eastAsia="Aptos" w:cs="Aptos"/>
          <w:noProof w:val="0"/>
          <w:sz w:val="24"/>
          <w:szCs w:val="24"/>
          <w:lang w:val="en-GB"/>
        </w:rPr>
      </w:pPr>
    </w:p>
    <w:p xmlns:wp14="http://schemas.microsoft.com/office/word/2010/wordml" w:rsidP="4B1612A4" wp14:paraId="3031F6E5" wp14:textId="6EB2F8D0">
      <w:pPr>
        <w:spacing w:before="240" w:beforeAutospacing="off" w:after="240" w:afterAutospacing="off"/>
        <w:rPr>
          <w:rFonts w:ascii="Aptos" w:hAnsi="Aptos" w:eastAsia="Aptos" w:cs="Aptos"/>
          <w:noProof w:val="0"/>
          <w:sz w:val="24"/>
          <w:szCs w:val="24"/>
          <w:lang w:val="en-GB"/>
        </w:rPr>
      </w:pPr>
    </w:p>
    <w:p xmlns:wp14="http://schemas.microsoft.com/office/word/2010/wordml" w:rsidP="4B1612A4" wp14:paraId="0157834F" wp14:textId="45A9C4A7">
      <w:pPr>
        <w:spacing w:before="240" w:beforeAutospacing="off" w:after="240" w:afterAutospacing="off"/>
        <w:rPr>
          <w:rFonts w:ascii="Aptos" w:hAnsi="Aptos" w:eastAsia="Aptos" w:cs="Aptos"/>
          <w:noProof w:val="0"/>
          <w:sz w:val="24"/>
          <w:szCs w:val="24"/>
          <w:lang w:val="en-GB"/>
        </w:rPr>
      </w:pPr>
    </w:p>
    <w:p xmlns:wp14="http://schemas.microsoft.com/office/word/2010/wordml" w:rsidP="4B1612A4" wp14:paraId="39B0F281" wp14:textId="670A108C">
      <w:pPr>
        <w:spacing w:before="240" w:beforeAutospacing="off" w:after="240" w:afterAutospacing="off"/>
        <w:rPr>
          <w:rFonts w:ascii="Aptos" w:hAnsi="Aptos" w:eastAsia="Aptos" w:cs="Aptos"/>
          <w:noProof w:val="0"/>
          <w:sz w:val="24"/>
          <w:szCs w:val="24"/>
          <w:lang w:val="en-GB"/>
        </w:rPr>
      </w:pPr>
    </w:p>
    <w:p xmlns:wp14="http://schemas.microsoft.com/office/word/2010/wordml" w:rsidP="4B1612A4" wp14:paraId="5AE3A9CB" wp14:textId="7C335550">
      <w:pPr>
        <w:spacing w:before="240" w:beforeAutospacing="off" w:after="240" w:afterAutospacing="off"/>
        <w:jc w:val="center"/>
        <w:rPr>
          <w:rFonts w:ascii="Aptos" w:hAnsi="Aptos" w:eastAsia="Aptos" w:cs="Aptos"/>
          <w:b w:val="1"/>
          <w:bCs w:val="1"/>
          <w:noProof w:val="0"/>
          <w:color w:val="auto"/>
          <w:sz w:val="36"/>
          <w:szCs w:val="36"/>
          <w:lang w:val="en-GB"/>
        </w:rPr>
      </w:pPr>
      <w:r w:rsidRPr="4B1612A4" w:rsidR="7FA953A4">
        <w:rPr>
          <w:rFonts w:ascii="Aptos" w:hAnsi="Aptos" w:eastAsia="Aptos" w:cs="Aptos"/>
          <w:b w:val="1"/>
          <w:bCs w:val="1"/>
          <w:noProof w:val="0"/>
          <w:color w:val="auto"/>
          <w:sz w:val="36"/>
          <w:szCs w:val="36"/>
          <w:lang w:val="en-GB"/>
        </w:rPr>
        <w:t>5.</w:t>
      </w:r>
      <w:r w:rsidRPr="4B1612A4" w:rsidR="0F0D02E0">
        <w:rPr>
          <w:rFonts w:ascii="Aptos" w:hAnsi="Aptos" w:eastAsia="Aptos" w:cs="Aptos"/>
          <w:b w:val="1"/>
          <w:bCs w:val="1"/>
          <w:noProof w:val="0"/>
          <w:color w:val="auto"/>
          <w:sz w:val="36"/>
          <w:szCs w:val="36"/>
          <w:lang w:val="en-GB"/>
        </w:rPr>
        <w:t>References</w:t>
      </w:r>
    </w:p>
    <w:p xmlns:wp14="http://schemas.microsoft.com/office/word/2010/wordml" w:rsidP="4B1612A4" wp14:paraId="19366EC9" wp14:textId="2B48E7C4">
      <w:pPr>
        <w:spacing w:before="240" w:beforeAutospacing="off" w:after="240" w:afterAutospacing="off"/>
      </w:pPr>
      <w:r w:rsidRPr="4B1612A4" w:rsidR="622201EC">
        <w:rPr>
          <w:rFonts w:ascii="Aptos" w:hAnsi="Aptos" w:eastAsia="Aptos" w:cs="Aptos"/>
          <w:b w:val="1"/>
          <w:bCs w:val="1"/>
          <w:noProof w:val="0"/>
          <w:sz w:val="24"/>
          <w:szCs w:val="24"/>
          <w:lang w:val="en-GB"/>
        </w:rPr>
        <w:t>ACEA (2024)</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Economic and Market Report: Global and EU Auto Industry – Full Year 2024</w:t>
      </w:r>
      <w:r w:rsidRPr="4B1612A4" w:rsidR="622201EC">
        <w:rPr>
          <w:rFonts w:ascii="Aptos" w:hAnsi="Aptos" w:eastAsia="Aptos" w:cs="Aptos"/>
          <w:noProof w:val="0"/>
          <w:sz w:val="24"/>
          <w:szCs w:val="24"/>
          <w:lang w:val="en-GB"/>
        </w:rPr>
        <w:t xml:space="preserve">. European Automobile Manufacturers Association. Available at: </w:t>
      </w:r>
      <w:hyperlink r:id="R4b3e3905a15b4547">
        <w:r w:rsidRPr="4B1612A4" w:rsidR="622201EC">
          <w:rPr>
            <w:rStyle w:val="Hyperlink"/>
            <w:rFonts w:ascii="Consolas" w:hAnsi="Consolas" w:eastAsia="Consolas" w:cs="Consolas"/>
            <w:noProof w:val="0"/>
            <w:sz w:val="24"/>
            <w:szCs w:val="24"/>
            <w:lang w:val="en-GB"/>
          </w:rPr>
          <w:t>https://www.acea.auto/publication/economic-and-market-report-global-and-eu-auto-industry-full-year-2024/</w:t>
        </w:r>
      </w:hyperlink>
      <w:r w:rsidRPr="4B1612A4" w:rsidR="622201EC">
        <w:rPr>
          <w:rFonts w:ascii="Aptos" w:hAnsi="Aptos" w:eastAsia="Aptos" w:cs="Aptos"/>
          <w:noProof w:val="0"/>
          <w:sz w:val="24"/>
          <w:szCs w:val="24"/>
          <w:lang w:val="en-GB"/>
        </w:rPr>
        <w:t xml:space="preserve"> (</w:t>
      </w:r>
      <w:r w:rsidRPr="4B1612A4" w:rsidR="622201EC">
        <w:rPr>
          <w:rFonts w:ascii="Aptos" w:hAnsi="Aptos" w:eastAsia="Aptos" w:cs="Aptos"/>
          <w:noProof w:val="0"/>
          <w:sz w:val="24"/>
          <w:szCs w:val="24"/>
          <w:lang w:val="en-GB"/>
        </w:rPr>
        <w:t>acea.auto</w:t>
      </w:r>
      <w:r w:rsidRPr="4B1612A4" w:rsidR="622201EC">
        <w:rPr>
          <w:rFonts w:ascii="Aptos" w:hAnsi="Aptos" w:eastAsia="Aptos" w:cs="Aptos"/>
          <w:noProof w:val="0"/>
          <w:sz w:val="24"/>
          <w:szCs w:val="24"/>
          <w:lang w:val="en-GB"/>
        </w:rPr>
        <w:t xml:space="preserve"> in Bing) (Accessed:</w:t>
      </w:r>
      <w:r w:rsidRPr="4B1612A4" w:rsidR="0FBFC3CD">
        <w:rPr>
          <w:rFonts w:ascii="Aptos" w:hAnsi="Aptos" w:eastAsia="Aptos" w:cs="Aptos"/>
          <w:noProof w:val="0"/>
          <w:sz w:val="24"/>
          <w:szCs w:val="24"/>
          <w:lang w:val="en-GB"/>
        </w:rPr>
        <w:t>19 March 2026</w:t>
      </w:r>
      <w:r w:rsidRPr="4B1612A4" w:rsidR="622201EC">
        <w:rPr>
          <w:rFonts w:ascii="Aptos" w:hAnsi="Aptos" w:eastAsia="Aptos" w:cs="Aptos"/>
          <w:noProof w:val="0"/>
          <w:sz w:val="24"/>
          <w:szCs w:val="24"/>
          <w:lang w:val="en-GB"/>
        </w:rPr>
        <w:t>).</w:t>
      </w:r>
    </w:p>
    <w:p xmlns:wp14="http://schemas.microsoft.com/office/word/2010/wordml" w:rsidP="4B1612A4" wp14:paraId="07844DD6" wp14:textId="5F393E89">
      <w:pPr>
        <w:pStyle w:val="Normal"/>
        <w:spacing w:before="240" w:beforeAutospacing="off" w:after="240" w:afterAutospacing="off"/>
      </w:pPr>
      <w:r w:rsidRPr="4B1612A4" w:rsidR="622201EC">
        <w:rPr>
          <w:rFonts w:ascii="Aptos" w:hAnsi="Aptos" w:eastAsia="Aptos" w:cs="Aptos"/>
          <w:b w:val="1"/>
          <w:bCs w:val="1"/>
          <w:noProof w:val="0"/>
          <w:sz w:val="24"/>
          <w:szCs w:val="24"/>
          <w:lang w:val="en-GB"/>
        </w:rPr>
        <w:t>Aston Martin Lagonda (2022)</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Annual Report and Accounts 2022</w:t>
      </w:r>
      <w:r w:rsidRPr="4B1612A4" w:rsidR="622201EC">
        <w:rPr>
          <w:rFonts w:ascii="Aptos" w:hAnsi="Aptos" w:eastAsia="Aptos" w:cs="Aptos"/>
          <w:noProof w:val="0"/>
          <w:sz w:val="24"/>
          <w:szCs w:val="24"/>
          <w:lang w:val="en-GB"/>
        </w:rPr>
        <w:t xml:space="preserve">. Aston Martin Lagonda Global Holdings </w:t>
      </w:r>
      <w:r w:rsidRPr="4B1612A4" w:rsidR="622201EC">
        <w:rPr>
          <w:rFonts w:ascii="Aptos" w:hAnsi="Aptos" w:eastAsia="Aptos" w:cs="Aptos"/>
          <w:noProof w:val="0"/>
          <w:sz w:val="24"/>
          <w:szCs w:val="24"/>
          <w:lang w:val="en-GB"/>
        </w:rPr>
        <w:t>plc.</w:t>
      </w:r>
      <w:r w:rsidRPr="4B1612A4" w:rsidR="622201EC">
        <w:rPr>
          <w:rFonts w:ascii="Aptos" w:hAnsi="Aptos" w:eastAsia="Aptos" w:cs="Aptos"/>
          <w:noProof w:val="0"/>
          <w:sz w:val="24"/>
          <w:szCs w:val="24"/>
          <w:lang w:val="en-GB"/>
        </w:rPr>
        <w:t xml:space="preserve"> Available at: </w:t>
      </w:r>
      <w:hyperlink r:id="R262b1a0637b94638">
        <w:r w:rsidRPr="4B1612A4" w:rsidR="622201EC">
          <w:rPr>
            <w:rStyle w:val="Hyperlink"/>
            <w:rFonts w:ascii="Aptos" w:hAnsi="Aptos" w:eastAsia="Aptos" w:cs="Aptos"/>
            <w:noProof w:val="0"/>
            <w:sz w:val="24"/>
            <w:szCs w:val="24"/>
            <w:lang w:val="en-GB"/>
          </w:rPr>
          <w:t>https://www.astonmartinlagonda.com</w:t>
        </w:r>
      </w:hyperlink>
      <w:r w:rsidRPr="4B1612A4" w:rsidR="622201EC">
        <w:rPr>
          <w:rFonts w:ascii="Aptos" w:hAnsi="Aptos" w:eastAsia="Aptos" w:cs="Aptos"/>
          <w:noProof w:val="0"/>
          <w:sz w:val="24"/>
          <w:szCs w:val="24"/>
          <w:lang w:val="en-GB"/>
        </w:rPr>
        <w:t xml:space="preserve"> (Accessed: </w:t>
      </w:r>
      <w:r w:rsidRPr="4B1612A4" w:rsidR="07DD4FA3">
        <w:rPr>
          <w:rFonts w:ascii="Aptos" w:hAnsi="Aptos" w:eastAsia="Aptos" w:cs="Aptos"/>
          <w:noProof w:val="0"/>
          <w:sz w:val="24"/>
          <w:szCs w:val="24"/>
          <w:lang w:val="en-GB"/>
        </w:rPr>
        <w:t>18 March 2026</w:t>
      </w:r>
      <w:r w:rsidRPr="4B1612A4" w:rsidR="622201EC">
        <w:rPr>
          <w:rFonts w:ascii="Aptos" w:hAnsi="Aptos" w:eastAsia="Aptos" w:cs="Aptos"/>
          <w:noProof w:val="0"/>
          <w:sz w:val="24"/>
          <w:szCs w:val="24"/>
          <w:lang w:val="en-GB"/>
        </w:rPr>
        <w:t>).</w:t>
      </w:r>
    </w:p>
    <w:p xmlns:wp14="http://schemas.microsoft.com/office/word/2010/wordml" w:rsidP="4B1612A4" wp14:paraId="2CD8B533" wp14:textId="266101A0">
      <w:pPr>
        <w:pStyle w:val="Normal"/>
        <w:spacing w:before="240" w:beforeAutospacing="off" w:after="240" w:afterAutospacing="off"/>
      </w:pPr>
      <w:r w:rsidRPr="4B1612A4" w:rsidR="622201EC">
        <w:rPr>
          <w:rFonts w:ascii="Aptos" w:hAnsi="Aptos" w:eastAsia="Aptos" w:cs="Aptos"/>
          <w:b w:val="1"/>
          <w:bCs w:val="1"/>
          <w:noProof w:val="0"/>
          <w:sz w:val="24"/>
          <w:szCs w:val="24"/>
          <w:lang w:val="en-GB"/>
        </w:rPr>
        <w:t>Aston Martin Lagonda (2023)</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Annual Report and Accounts 2023</w:t>
      </w:r>
      <w:r w:rsidRPr="4B1612A4" w:rsidR="622201EC">
        <w:rPr>
          <w:rFonts w:ascii="Aptos" w:hAnsi="Aptos" w:eastAsia="Aptos" w:cs="Aptos"/>
          <w:noProof w:val="0"/>
          <w:sz w:val="24"/>
          <w:szCs w:val="24"/>
          <w:lang w:val="en-GB"/>
        </w:rPr>
        <w:t xml:space="preserve">. Aston Martin Lagonda Global Holdings </w:t>
      </w:r>
      <w:r w:rsidRPr="4B1612A4" w:rsidR="622201EC">
        <w:rPr>
          <w:rFonts w:ascii="Aptos" w:hAnsi="Aptos" w:eastAsia="Aptos" w:cs="Aptos"/>
          <w:noProof w:val="0"/>
          <w:sz w:val="24"/>
          <w:szCs w:val="24"/>
          <w:lang w:val="en-GB"/>
        </w:rPr>
        <w:t>plc.</w:t>
      </w:r>
      <w:r w:rsidRPr="4B1612A4" w:rsidR="622201EC">
        <w:rPr>
          <w:rFonts w:ascii="Aptos" w:hAnsi="Aptos" w:eastAsia="Aptos" w:cs="Aptos"/>
          <w:noProof w:val="0"/>
          <w:sz w:val="24"/>
          <w:szCs w:val="24"/>
          <w:lang w:val="en-GB"/>
        </w:rPr>
        <w:t xml:space="preserve"> Available at: </w:t>
      </w:r>
      <w:hyperlink r:id="Rd90fdefa929b4126">
        <w:r w:rsidRPr="4B1612A4" w:rsidR="622201EC">
          <w:rPr>
            <w:rStyle w:val="Hyperlink"/>
            <w:rFonts w:ascii="Aptos" w:hAnsi="Aptos" w:eastAsia="Aptos" w:cs="Aptos"/>
            <w:noProof w:val="0"/>
            <w:sz w:val="24"/>
            <w:szCs w:val="24"/>
            <w:lang w:val="en-GB"/>
          </w:rPr>
          <w:t>https://www.astonmartinlagonda.com</w:t>
        </w:r>
      </w:hyperlink>
      <w:r w:rsidRPr="4B1612A4" w:rsidR="622201EC">
        <w:rPr>
          <w:rFonts w:ascii="Aptos" w:hAnsi="Aptos" w:eastAsia="Aptos" w:cs="Aptos"/>
          <w:noProof w:val="0"/>
          <w:sz w:val="24"/>
          <w:szCs w:val="24"/>
          <w:lang w:val="en-GB"/>
        </w:rPr>
        <w:t xml:space="preserve"> (Accessed: </w:t>
      </w:r>
      <w:r w:rsidRPr="4B1612A4" w:rsidR="21216380">
        <w:rPr>
          <w:rFonts w:ascii="Aptos" w:hAnsi="Aptos" w:eastAsia="Aptos" w:cs="Aptos"/>
          <w:noProof w:val="0"/>
          <w:sz w:val="24"/>
          <w:szCs w:val="24"/>
          <w:lang w:val="en-GB"/>
        </w:rPr>
        <w:t>18 March 2026</w:t>
      </w:r>
      <w:r w:rsidRPr="4B1612A4" w:rsidR="622201EC">
        <w:rPr>
          <w:rFonts w:ascii="Aptos" w:hAnsi="Aptos" w:eastAsia="Aptos" w:cs="Aptos"/>
          <w:noProof w:val="0"/>
          <w:sz w:val="24"/>
          <w:szCs w:val="24"/>
          <w:lang w:val="en-GB"/>
        </w:rPr>
        <w:t>).</w:t>
      </w:r>
    </w:p>
    <w:p xmlns:wp14="http://schemas.microsoft.com/office/word/2010/wordml" w:rsidP="4B1612A4" wp14:paraId="16110398" wp14:textId="34B72A2A">
      <w:pPr>
        <w:pStyle w:val="Normal"/>
        <w:spacing w:before="240" w:beforeAutospacing="off" w:after="240" w:afterAutospacing="off"/>
      </w:pPr>
      <w:r w:rsidRPr="4B1612A4" w:rsidR="622201EC">
        <w:rPr>
          <w:rFonts w:ascii="Aptos" w:hAnsi="Aptos" w:eastAsia="Aptos" w:cs="Aptos"/>
          <w:b w:val="1"/>
          <w:bCs w:val="1"/>
          <w:noProof w:val="0"/>
          <w:sz w:val="24"/>
          <w:szCs w:val="24"/>
          <w:lang w:val="en-GB"/>
        </w:rPr>
        <w:t>Aston Martin Lagonda (2022b)</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Racing. Green. Sustainability Strategy</w:t>
      </w:r>
      <w:r w:rsidRPr="4B1612A4" w:rsidR="622201EC">
        <w:rPr>
          <w:rFonts w:ascii="Aptos" w:hAnsi="Aptos" w:eastAsia="Aptos" w:cs="Aptos"/>
          <w:noProof w:val="0"/>
          <w:sz w:val="24"/>
          <w:szCs w:val="24"/>
          <w:lang w:val="en-GB"/>
        </w:rPr>
        <w:t xml:space="preserve">. Aston Martin Lagonda Global Holdings </w:t>
      </w:r>
      <w:r w:rsidRPr="4B1612A4" w:rsidR="622201EC">
        <w:rPr>
          <w:rFonts w:ascii="Aptos" w:hAnsi="Aptos" w:eastAsia="Aptos" w:cs="Aptos"/>
          <w:noProof w:val="0"/>
          <w:sz w:val="24"/>
          <w:szCs w:val="24"/>
          <w:lang w:val="en-GB"/>
        </w:rPr>
        <w:t>plc.</w:t>
      </w:r>
      <w:r w:rsidRPr="4B1612A4" w:rsidR="622201EC">
        <w:rPr>
          <w:rFonts w:ascii="Aptos" w:hAnsi="Aptos" w:eastAsia="Aptos" w:cs="Aptos"/>
          <w:noProof w:val="0"/>
          <w:sz w:val="24"/>
          <w:szCs w:val="24"/>
          <w:lang w:val="en-GB"/>
        </w:rPr>
        <w:t xml:space="preserve"> Available at: </w:t>
      </w:r>
      <w:hyperlink r:id="R3b8bbaf56a304aa9">
        <w:r w:rsidRPr="4B1612A4" w:rsidR="622201EC">
          <w:rPr>
            <w:rStyle w:val="Hyperlink"/>
            <w:rFonts w:ascii="Consolas" w:hAnsi="Consolas" w:eastAsia="Consolas" w:cs="Consolas"/>
            <w:noProof w:val="0"/>
            <w:sz w:val="24"/>
            <w:szCs w:val="24"/>
            <w:lang w:val="en-GB"/>
          </w:rPr>
          <w:t>https://www.astonmartinlagonda.com/sustainability</w:t>
        </w:r>
      </w:hyperlink>
      <w:r w:rsidRPr="4B1612A4" w:rsidR="622201EC">
        <w:rPr>
          <w:rFonts w:ascii="Aptos" w:hAnsi="Aptos" w:eastAsia="Aptos" w:cs="Aptos"/>
          <w:noProof w:val="0"/>
          <w:sz w:val="24"/>
          <w:szCs w:val="24"/>
          <w:lang w:val="en-GB"/>
        </w:rPr>
        <w:t xml:space="preserve"> (astonmartinlagonda.com in Bing) (Accessed: </w:t>
      </w:r>
      <w:r w:rsidRPr="4B1612A4" w:rsidR="4C176BC3">
        <w:rPr>
          <w:rFonts w:ascii="Aptos" w:hAnsi="Aptos" w:eastAsia="Aptos" w:cs="Aptos"/>
          <w:noProof w:val="0"/>
          <w:sz w:val="24"/>
          <w:szCs w:val="24"/>
          <w:lang w:val="en-GB"/>
        </w:rPr>
        <w:t>19 March 2026</w:t>
      </w:r>
      <w:r w:rsidRPr="4B1612A4" w:rsidR="622201EC">
        <w:rPr>
          <w:rFonts w:ascii="Aptos" w:hAnsi="Aptos" w:eastAsia="Aptos" w:cs="Aptos"/>
          <w:noProof w:val="0"/>
          <w:sz w:val="24"/>
          <w:szCs w:val="24"/>
          <w:lang w:val="en-GB"/>
        </w:rPr>
        <w:t>).</w:t>
      </w:r>
    </w:p>
    <w:p xmlns:wp14="http://schemas.microsoft.com/office/word/2010/wordml" w:rsidP="4B1612A4" wp14:paraId="6795E3C1" wp14:textId="339C1097">
      <w:pPr>
        <w:spacing w:before="240" w:beforeAutospacing="off" w:after="240" w:afterAutospacing="off"/>
      </w:pPr>
      <w:r w:rsidRPr="4B1612A4" w:rsidR="622201EC">
        <w:rPr>
          <w:rFonts w:ascii="Aptos" w:hAnsi="Aptos" w:eastAsia="Aptos" w:cs="Aptos"/>
          <w:b w:val="1"/>
          <w:bCs w:val="1"/>
          <w:noProof w:val="0"/>
          <w:sz w:val="24"/>
          <w:szCs w:val="24"/>
          <w:lang w:val="en-GB"/>
        </w:rPr>
        <w:t>Barney, J. (1991)</w:t>
      </w:r>
      <w:r w:rsidRPr="4B1612A4" w:rsidR="622201EC">
        <w:rPr>
          <w:rFonts w:ascii="Aptos" w:hAnsi="Aptos" w:eastAsia="Aptos" w:cs="Aptos"/>
          <w:noProof w:val="0"/>
          <w:sz w:val="24"/>
          <w:szCs w:val="24"/>
          <w:lang w:val="en-GB"/>
        </w:rPr>
        <w:t xml:space="preserve"> ‘Firm resources and sustained competitive advantage’, </w:t>
      </w:r>
      <w:r w:rsidRPr="4B1612A4" w:rsidR="622201EC">
        <w:rPr>
          <w:rFonts w:ascii="Aptos" w:hAnsi="Aptos" w:eastAsia="Aptos" w:cs="Aptos"/>
          <w:i w:val="1"/>
          <w:iCs w:val="1"/>
          <w:noProof w:val="0"/>
          <w:sz w:val="24"/>
          <w:szCs w:val="24"/>
          <w:lang w:val="en-GB"/>
        </w:rPr>
        <w:t>Journal of Management</w:t>
      </w:r>
      <w:r w:rsidRPr="4B1612A4" w:rsidR="622201EC">
        <w:rPr>
          <w:rFonts w:ascii="Aptos" w:hAnsi="Aptos" w:eastAsia="Aptos" w:cs="Aptos"/>
          <w:noProof w:val="0"/>
          <w:sz w:val="24"/>
          <w:szCs w:val="24"/>
          <w:lang w:val="en-GB"/>
        </w:rPr>
        <w:t>, 17(1), pp. 99–120.</w:t>
      </w:r>
    </w:p>
    <w:p xmlns:wp14="http://schemas.microsoft.com/office/word/2010/wordml" w:rsidP="4B1612A4" wp14:paraId="71744B4A" wp14:textId="29CBDA8A">
      <w:pPr>
        <w:spacing w:before="240" w:beforeAutospacing="off" w:after="240" w:afterAutospacing="off"/>
      </w:pPr>
      <w:r w:rsidRPr="4B1612A4" w:rsidR="622201EC">
        <w:rPr>
          <w:rFonts w:ascii="Aptos" w:hAnsi="Aptos" w:eastAsia="Aptos" w:cs="Aptos"/>
          <w:b w:val="1"/>
          <w:bCs w:val="1"/>
          <w:noProof w:val="0"/>
          <w:sz w:val="24"/>
          <w:szCs w:val="24"/>
          <w:lang w:val="en-GB"/>
        </w:rPr>
        <w:t>Barney, J. and Hesterly, W. (2019)</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Strategic Management and Competitive Advantage: Concepts and Cases</w:t>
      </w:r>
      <w:r w:rsidRPr="4B1612A4" w:rsidR="622201EC">
        <w:rPr>
          <w:rFonts w:ascii="Aptos" w:hAnsi="Aptos" w:eastAsia="Aptos" w:cs="Aptos"/>
          <w:noProof w:val="0"/>
          <w:sz w:val="24"/>
          <w:szCs w:val="24"/>
          <w:lang w:val="en-GB"/>
        </w:rPr>
        <w:t>. 6th edn. Harlow: Pearson.</w:t>
      </w:r>
    </w:p>
    <w:p xmlns:wp14="http://schemas.microsoft.com/office/word/2010/wordml" w:rsidP="4B1612A4" wp14:paraId="218FD8B7" wp14:textId="4CD407D3">
      <w:pPr>
        <w:spacing w:before="240" w:beforeAutospacing="off" w:after="240" w:afterAutospacing="off"/>
      </w:pPr>
      <w:r w:rsidRPr="4B1612A4" w:rsidR="622201EC">
        <w:rPr>
          <w:rFonts w:ascii="Aptos" w:hAnsi="Aptos" w:eastAsia="Aptos" w:cs="Aptos"/>
          <w:b w:val="1"/>
          <w:bCs w:val="1"/>
          <w:noProof w:val="0"/>
          <w:sz w:val="24"/>
          <w:szCs w:val="24"/>
          <w:lang w:val="en-GB"/>
        </w:rPr>
        <w:t>Grant, R.M. (2021)</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Contemporary Strategy Analysis</w:t>
      </w:r>
      <w:r w:rsidRPr="4B1612A4" w:rsidR="622201EC">
        <w:rPr>
          <w:rFonts w:ascii="Aptos" w:hAnsi="Aptos" w:eastAsia="Aptos" w:cs="Aptos"/>
          <w:noProof w:val="0"/>
          <w:sz w:val="24"/>
          <w:szCs w:val="24"/>
          <w:lang w:val="en-GB"/>
        </w:rPr>
        <w:t>. 11th edn. Hoboken: Wiley.</w:t>
      </w:r>
    </w:p>
    <w:p xmlns:wp14="http://schemas.microsoft.com/office/word/2010/wordml" w:rsidP="4B1612A4" wp14:paraId="6D3E2A7D" wp14:textId="55C898BE">
      <w:pPr>
        <w:spacing w:before="240" w:beforeAutospacing="off" w:after="240" w:afterAutospacing="off"/>
      </w:pPr>
      <w:r w:rsidRPr="4B1612A4" w:rsidR="622201EC">
        <w:rPr>
          <w:rFonts w:ascii="Aptos" w:hAnsi="Aptos" w:eastAsia="Aptos" w:cs="Aptos"/>
          <w:b w:val="1"/>
          <w:bCs w:val="1"/>
          <w:noProof w:val="0"/>
          <w:sz w:val="24"/>
          <w:szCs w:val="24"/>
          <w:lang w:val="en-GB"/>
        </w:rPr>
        <w:t>Hill, C.W.L., Jones, G.R. and Schilling, M.A. (2020)</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Strategic Management: Theory: An Integrated Approach</w:t>
      </w:r>
      <w:r w:rsidRPr="4B1612A4" w:rsidR="622201EC">
        <w:rPr>
          <w:rFonts w:ascii="Aptos" w:hAnsi="Aptos" w:eastAsia="Aptos" w:cs="Aptos"/>
          <w:noProof w:val="0"/>
          <w:sz w:val="24"/>
          <w:szCs w:val="24"/>
          <w:lang w:val="en-GB"/>
        </w:rPr>
        <w:t>. 13th edn. Boston: Cengage.</w:t>
      </w:r>
    </w:p>
    <w:p xmlns:wp14="http://schemas.microsoft.com/office/word/2010/wordml" w:rsidP="4B1612A4" wp14:paraId="40E0A994" wp14:textId="2815FFD1">
      <w:pPr>
        <w:pStyle w:val="Normal"/>
        <w:spacing w:before="240" w:beforeAutospacing="off" w:after="240" w:afterAutospacing="off"/>
      </w:pPr>
      <w:r w:rsidRPr="4B1612A4" w:rsidR="622201EC">
        <w:rPr>
          <w:rFonts w:ascii="Aptos" w:hAnsi="Aptos" w:eastAsia="Aptos" w:cs="Aptos"/>
          <w:b w:val="1"/>
          <w:bCs w:val="1"/>
          <w:noProof w:val="0"/>
          <w:sz w:val="24"/>
          <w:szCs w:val="24"/>
          <w:lang w:val="en-GB"/>
        </w:rPr>
        <w:t>International Organization of Motor Vehicle Manufacturers (OICA) (2024)</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Production Statistics</w:t>
      </w:r>
      <w:r w:rsidRPr="4B1612A4" w:rsidR="622201EC">
        <w:rPr>
          <w:rFonts w:ascii="Aptos" w:hAnsi="Aptos" w:eastAsia="Aptos" w:cs="Aptos"/>
          <w:noProof w:val="0"/>
          <w:sz w:val="24"/>
          <w:szCs w:val="24"/>
          <w:lang w:val="en-GB"/>
        </w:rPr>
        <w:t xml:space="preserve">. Available at: </w:t>
      </w:r>
      <w:hyperlink r:id="Rb43b5eec145f415e">
        <w:r w:rsidRPr="4B1612A4" w:rsidR="622201EC">
          <w:rPr>
            <w:rStyle w:val="Hyperlink"/>
            <w:rFonts w:ascii="Aptos" w:hAnsi="Aptos" w:eastAsia="Aptos" w:cs="Aptos"/>
            <w:noProof w:val="0"/>
            <w:sz w:val="24"/>
            <w:szCs w:val="24"/>
            <w:lang w:val="en-GB"/>
          </w:rPr>
          <w:t>https://oica.net/</w:t>
        </w:r>
      </w:hyperlink>
      <w:r w:rsidRPr="4B1612A4" w:rsidR="622201EC">
        <w:rPr>
          <w:rFonts w:ascii="Aptos" w:hAnsi="Aptos" w:eastAsia="Aptos" w:cs="Aptos"/>
          <w:noProof w:val="0"/>
          <w:sz w:val="24"/>
          <w:szCs w:val="24"/>
          <w:lang w:val="en-GB"/>
        </w:rPr>
        <w:t xml:space="preserve"> (Accessed: </w:t>
      </w:r>
      <w:r w:rsidRPr="4B1612A4" w:rsidR="18C2D4C1">
        <w:rPr>
          <w:rFonts w:ascii="Aptos" w:hAnsi="Aptos" w:eastAsia="Aptos" w:cs="Aptos"/>
          <w:noProof w:val="0"/>
          <w:sz w:val="24"/>
          <w:szCs w:val="24"/>
          <w:lang w:val="en-GB"/>
        </w:rPr>
        <w:t>18 March 2026</w:t>
      </w:r>
      <w:r w:rsidRPr="4B1612A4" w:rsidR="622201EC">
        <w:rPr>
          <w:rFonts w:ascii="Aptos" w:hAnsi="Aptos" w:eastAsia="Aptos" w:cs="Aptos"/>
          <w:noProof w:val="0"/>
          <w:sz w:val="24"/>
          <w:szCs w:val="24"/>
          <w:lang w:val="en-GB"/>
        </w:rPr>
        <w:t>).</w:t>
      </w:r>
    </w:p>
    <w:p xmlns:wp14="http://schemas.microsoft.com/office/word/2010/wordml" w:rsidP="4B1612A4" wp14:paraId="73D92650" wp14:textId="2B5239E1">
      <w:pPr>
        <w:spacing w:before="240" w:beforeAutospacing="off" w:after="240" w:afterAutospacing="off"/>
      </w:pPr>
      <w:r w:rsidRPr="4B1612A4" w:rsidR="622201EC">
        <w:rPr>
          <w:rFonts w:ascii="Aptos" w:hAnsi="Aptos" w:eastAsia="Aptos" w:cs="Aptos"/>
          <w:b w:val="1"/>
          <w:bCs w:val="1"/>
          <w:noProof w:val="0"/>
          <w:sz w:val="24"/>
          <w:szCs w:val="24"/>
          <w:lang w:val="en-GB"/>
        </w:rPr>
        <w:t>Johnson, G., Whittington, R., Regnér, P., Scholes, K. and Angwin, D. (2020)</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Exploring Strategy</w:t>
      </w:r>
      <w:r w:rsidRPr="4B1612A4" w:rsidR="622201EC">
        <w:rPr>
          <w:rFonts w:ascii="Aptos" w:hAnsi="Aptos" w:eastAsia="Aptos" w:cs="Aptos"/>
          <w:noProof w:val="0"/>
          <w:sz w:val="24"/>
          <w:szCs w:val="24"/>
          <w:lang w:val="en-GB"/>
        </w:rPr>
        <w:t>. 12th edn. Harlow: Pearson.</w:t>
      </w:r>
    </w:p>
    <w:p xmlns:wp14="http://schemas.microsoft.com/office/word/2010/wordml" w:rsidP="4B1612A4" wp14:paraId="7043CBC8" wp14:textId="010BD5B4">
      <w:pPr>
        <w:spacing w:before="240" w:beforeAutospacing="off" w:after="240" w:afterAutospacing="off"/>
      </w:pPr>
      <w:r w:rsidRPr="4B1612A4" w:rsidR="622201EC">
        <w:rPr>
          <w:rFonts w:ascii="Aptos" w:hAnsi="Aptos" w:eastAsia="Aptos" w:cs="Aptos"/>
          <w:b w:val="1"/>
          <w:bCs w:val="1"/>
          <w:noProof w:val="0"/>
          <w:sz w:val="24"/>
          <w:szCs w:val="24"/>
          <w:lang w:val="en-GB"/>
        </w:rPr>
        <w:t>Kaplan, R.S. and Norton, D.P. (2008)</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The Execution Premium: Linking Strategy to Operations for Competitive Advantage</w:t>
      </w:r>
      <w:r w:rsidRPr="4B1612A4" w:rsidR="622201EC">
        <w:rPr>
          <w:rFonts w:ascii="Aptos" w:hAnsi="Aptos" w:eastAsia="Aptos" w:cs="Aptos"/>
          <w:noProof w:val="0"/>
          <w:sz w:val="24"/>
          <w:szCs w:val="24"/>
          <w:lang w:val="en-GB"/>
        </w:rPr>
        <w:t>. Boston: Harvard Business Press.</w:t>
      </w:r>
    </w:p>
    <w:p xmlns:wp14="http://schemas.microsoft.com/office/word/2010/wordml" w:rsidP="4B1612A4" wp14:paraId="7E3BAB67" wp14:textId="2A6DF7E4">
      <w:pPr>
        <w:spacing w:before="240" w:beforeAutospacing="off" w:after="240" w:afterAutospacing="off"/>
      </w:pPr>
      <w:r w:rsidRPr="4B1612A4" w:rsidR="622201EC">
        <w:rPr>
          <w:rFonts w:ascii="Aptos" w:hAnsi="Aptos" w:eastAsia="Aptos" w:cs="Aptos"/>
          <w:b w:val="1"/>
          <w:bCs w:val="1"/>
          <w:noProof w:val="0"/>
          <w:sz w:val="24"/>
          <w:szCs w:val="24"/>
          <w:lang w:val="en-GB"/>
        </w:rPr>
        <w:t>Porter, M.E. (1980)</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Competitive Strategy: Techniques for Analyzing Industries and Competitors</w:t>
      </w:r>
      <w:r w:rsidRPr="4B1612A4" w:rsidR="622201EC">
        <w:rPr>
          <w:rFonts w:ascii="Aptos" w:hAnsi="Aptos" w:eastAsia="Aptos" w:cs="Aptos"/>
          <w:noProof w:val="0"/>
          <w:sz w:val="24"/>
          <w:szCs w:val="24"/>
          <w:lang w:val="en-GB"/>
        </w:rPr>
        <w:t>. New York: Free Press.</w:t>
      </w:r>
    </w:p>
    <w:p xmlns:wp14="http://schemas.microsoft.com/office/word/2010/wordml" w:rsidP="4B1612A4" wp14:paraId="280809A9" wp14:textId="2B3E089D">
      <w:pPr>
        <w:spacing w:before="240" w:beforeAutospacing="off" w:after="240" w:afterAutospacing="off"/>
      </w:pPr>
      <w:r w:rsidRPr="4B1612A4" w:rsidR="622201EC">
        <w:rPr>
          <w:rFonts w:ascii="Aptos" w:hAnsi="Aptos" w:eastAsia="Aptos" w:cs="Aptos"/>
          <w:b w:val="1"/>
          <w:bCs w:val="1"/>
          <w:noProof w:val="0"/>
          <w:sz w:val="24"/>
          <w:szCs w:val="24"/>
          <w:lang w:val="en-GB"/>
        </w:rPr>
        <w:t>Porter, M.E. (1985)</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Competitive Advantage: Creating and Sustaining Superior Performance</w:t>
      </w:r>
      <w:r w:rsidRPr="4B1612A4" w:rsidR="622201EC">
        <w:rPr>
          <w:rFonts w:ascii="Aptos" w:hAnsi="Aptos" w:eastAsia="Aptos" w:cs="Aptos"/>
          <w:noProof w:val="0"/>
          <w:sz w:val="24"/>
          <w:szCs w:val="24"/>
          <w:lang w:val="en-GB"/>
        </w:rPr>
        <w:t>. New York: Free Press.</w:t>
      </w:r>
    </w:p>
    <w:p xmlns:wp14="http://schemas.microsoft.com/office/word/2010/wordml" w:rsidP="4B1612A4" wp14:paraId="68ED9218" wp14:textId="36E69367">
      <w:pPr>
        <w:spacing w:before="240" w:beforeAutospacing="off" w:after="240" w:afterAutospacing="off"/>
      </w:pPr>
      <w:r w:rsidRPr="4B1612A4" w:rsidR="622201EC">
        <w:rPr>
          <w:rFonts w:ascii="Aptos" w:hAnsi="Aptos" w:eastAsia="Aptos" w:cs="Aptos"/>
          <w:b w:val="1"/>
          <w:bCs w:val="1"/>
          <w:noProof w:val="0"/>
          <w:sz w:val="24"/>
          <w:szCs w:val="24"/>
          <w:lang w:val="en-GB"/>
        </w:rPr>
        <w:t>Prahalad, C.K. and Hamel, G. (1990)</w:t>
      </w:r>
      <w:r w:rsidRPr="4B1612A4" w:rsidR="622201EC">
        <w:rPr>
          <w:rFonts w:ascii="Aptos" w:hAnsi="Aptos" w:eastAsia="Aptos" w:cs="Aptos"/>
          <w:noProof w:val="0"/>
          <w:sz w:val="24"/>
          <w:szCs w:val="24"/>
          <w:lang w:val="en-GB"/>
        </w:rPr>
        <w:t xml:space="preserve"> ‘The core competence of the corporation’, </w:t>
      </w:r>
      <w:r w:rsidRPr="4B1612A4" w:rsidR="622201EC">
        <w:rPr>
          <w:rFonts w:ascii="Aptos" w:hAnsi="Aptos" w:eastAsia="Aptos" w:cs="Aptos"/>
          <w:i w:val="1"/>
          <w:iCs w:val="1"/>
          <w:noProof w:val="0"/>
          <w:sz w:val="24"/>
          <w:szCs w:val="24"/>
          <w:lang w:val="en-GB"/>
        </w:rPr>
        <w:t>Harvard Business Review</w:t>
      </w:r>
      <w:r w:rsidRPr="4B1612A4" w:rsidR="622201EC">
        <w:rPr>
          <w:rFonts w:ascii="Aptos" w:hAnsi="Aptos" w:eastAsia="Aptos" w:cs="Aptos"/>
          <w:noProof w:val="0"/>
          <w:sz w:val="24"/>
          <w:szCs w:val="24"/>
          <w:lang w:val="en-GB"/>
        </w:rPr>
        <w:t>, 68(3), pp. 79–91.</w:t>
      </w:r>
    </w:p>
    <w:p xmlns:wp14="http://schemas.microsoft.com/office/word/2010/wordml" w:rsidP="4B1612A4" wp14:paraId="25EE15DD" wp14:textId="254BE153">
      <w:pPr>
        <w:pStyle w:val="Normal"/>
        <w:spacing w:before="240" w:beforeAutospacing="off" w:after="240" w:afterAutospacing="off"/>
      </w:pPr>
      <w:r w:rsidRPr="4B1612A4" w:rsidR="622201EC">
        <w:rPr>
          <w:rFonts w:ascii="Aptos" w:hAnsi="Aptos" w:eastAsia="Aptos" w:cs="Aptos"/>
          <w:b w:val="1"/>
          <w:bCs w:val="1"/>
          <w:noProof w:val="0"/>
          <w:sz w:val="24"/>
          <w:szCs w:val="24"/>
          <w:lang w:val="en-GB"/>
        </w:rPr>
        <w:t>SMMT (2024)</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Automotive Industry Insights</w:t>
      </w:r>
      <w:r w:rsidRPr="4B1612A4" w:rsidR="622201EC">
        <w:rPr>
          <w:rFonts w:ascii="Aptos" w:hAnsi="Aptos" w:eastAsia="Aptos" w:cs="Aptos"/>
          <w:noProof w:val="0"/>
          <w:sz w:val="24"/>
          <w:szCs w:val="24"/>
          <w:lang w:val="en-GB"/>
        </w:rPr>
        <w:t xml:space="preserve">. Society of Motor Manufacturers and Traders. Available at: </w:t>
      </w:r>
      <w:hyperlink r:id="R645217763c584b94">
        <w:r w:rsidRPr="4B1612A4" w:rsidR="622201EC">
          <w:rPr>
            <w:rStyle w:val="Hyperlink"/>
            <w:rFonts w:ascii="Consolas" w:hAnsi="Consolas" w:eastAsia="Consolas" w:cs="Consolas"/>
            <w:noProof w:val="0"/>
            <w:sz w:val="24"/>
            <w:szCs w:val="24"/>
            <w:lang w:val="en-GB"/>
          </w:rPr>
          <w:t>https://www.smmt.co.uk/automotive-insights/</w:t>
        </w:r>
      </w:hyperlink>
      <w:r w:rsidRPr="4B1612A4" w:rsidR="622201EC">
        <w:rPr>
          <w:rFonts w:ascii="Aptos" w:hAnsi="Aptos" w:eastAsia="Aptos" w:cs="Aptos"/>
          <w:noProof w:val="0"/>
          <w:sz w:val="24"/>
          <w:szCs w:val="24"/>
          <w:lang w:val="en-GB"/>
        </w:rPr>
        <w:t xml:space="preserve"> (smmt.co.uk in Bing) (Accessed: </w:t>
      </w:r>
      <w:r w:rsidRPr="4B1612A4" w:rsidR="41D4657B">
        <w:rPr>
          <w:rFonts w:ascii="Aptos" w:hAnsi="Aptos" w:eastAsia="Aptos" w:cs="Aptos"/>
          <w:noProof w:val="0"/>
          <w:sz w:val="24"/>
          <w:szCs w:val="24"/>
          <w:lang w:val="en-GB"/>
        </w:rPr>
        <w:t>18 March 2026</w:t>
      </w:r>
      <w:r w:rsidRPr="4B1612A4" w:rsidR="622201EC">
        <w:rPr>
          <w:rFonts w:ascii="Aptos" w:hAnsi="Aptos" w:eastAsia="Aptos" w:cs="Aptos"/>
          <w:noProof w:val="0"/>
          <w:sz w:val="24"/>
          <w:szCs w:val="24"/>
          <w:lang w:val="en-GB"/>
        </w:rPr>
        <w:t>).</w:t>
      </w:r>
    </w:p>
    <w:p xmlns:wp14="http://schemas.microsoft.com/office/word/2010/wordml" w:rsidP="4B1612A4" wp14:paraId="3E96705B" wp14:textId="41CB54B9">
      <w:pPr>
        <w:spacing w:before="240" w:beforeAutospacing="off" w:after="240" w:afterAutospacing="off"/>
      </w:pPr>
      <w:r w:rsidRPr="4B1612A4" w:rsidR="622201EC">
        <w:rPr>
          <w:rFonts w:ascii="Aptos" w:hAnsi="Aptos" w:eastAsia="Aptos" w:cs="Aptos"/>
          <w:b w:val="1"/>
          <w:bCs w:val="1"/>
          <w:noProof w:val="0"/>
          <w:sz w:val="24"/>
          <w:szCs w:val="24"/>
          <w:lang w:val="en-GB"/>
        </w:rPr>
        <w:t>Teece, D.J. (2007)</w:t>
      </w:r>
      <w:r w:rsidRPr="4B1612A4" w:rsidR="622201EC">
        <w:rPr>
          <w:rFonts w:ascii="Aptos" w:hAnsi="Aptos" w:eastAsia="Aptos" w:cs="Aptos"/>
          <w:noProof w:val="0"/>
          <w:sz w:val="24"/>
          <w:szCs w:val="24"/>
          <w:lang w:val="en-GB"/>
        </w:rPr>
        <w:t xml:space="preserve"> ‘Explicating dynamic capabilities: The nature and microfoundations of sustainable enterprise performance’, </w:t>
      </w:r>
      <w:r w:rsidRPr="4B1612A4" w:rsidR="622201EC">
        <w:rPr>
          <w:rFonts w:ascii="Aptos" w:hAnsi="Aptos" w:eastAsia="Aptos" w:cs="Aptos"/>
          <w:i w:val="1"/>
          <w:iCs w:val="1"/>
          <w:noProof w:val="0"/>
          <w:sz w:val="24"/>
          <w:szCs w:val="24"/>
          <w:lang w:val="en-GB"/>
        </w:rPr>
        <w:t>Strategic Management Journal</w:t>
      </w:r>
      <w:r w:rsidRPr="4B1612A4" w:rsidR="622201EC">
        <w:rPr>
          <w:rFonts w:ascii="Aptos" w:hAnsi="Aptos" w:eastAsia="Aptos" w:cs="Aptos"/>
          <w:noProof w:val="0"/>
          <w:sz w:val="24"/>
          <w:szCs w:val="24"/>
          <w:lang w:val="en-GB"/>
        </w:rPr>
        <w:t>, 28(13), pp. 1319–1350.</w:t>
      </w:r>
    </w:p>
    <w:p xmlns:wp14="http://schemas.microsoft.com/office/word/2010/wordml" w:rsidP="4B1612A4" wp14:paraId="64E46FC2" wp14:textId="20EBF8C4">
      <w:pPr>
        <w:spacing w:before="240" w:beforeAutospacing="off" w:after="240" w:afterAutospacing="off"/>
      </w:pPr>
      <w:r w:rsidRPr="4B1612A4" w:rsidR="622201EC">
        <w:rPr>
          <w:rFonts w:ascii="Aptos" w:hAnsi="Aptos" w:eastAsia="Aptos" w:cs="Aptos"/>
          <w:b w:val="1"/>
          <w:bCs w:val="1"/>
          <w:noProof w:val="0"/>
          <w:sz w:val="24"/>
          <w:szCs w:val="24"/>
          <w:lang w:val="en-GB"/>
        </w:rPr>
        <w:t>Wernerfelt, B. (1984)</w:t>
      </w:r>
      <w:r w:rsidRPr="4B1612A4" w:rsidR="622201EC">
        <w:rPr>
          <w:rFonts w:ascii="Aptos" w:hAnsi="Aptos" w:eastAsia="Aptos" w:cs="Aptos"/>
          <w:noProof w:val="0"/>
          <w:sz w:val="24"/>
          <w:szCs w:val="24"/>
          <w:lang w:val="en-GB"/>
        </w:rPr>
        <w:t xml:space="preserve"> ‘A resource‑based view of the firm’, </w:t>
      </w:r>
      <w:r w:rsidRPr="4B1612A4" w:rsidR="622201EC">
        <w:rPr>
          <w:rFonts w:ascii="Aptos" w:hAnsi="Aptos" w:eastAsia="Aptos" w:cs="Aptos"/>
          <w:i w:val="1"/>
          <w:iCs w:val="1"/>
          <w:noProof w:val="0"/>
          <w:sz w:val="24"/>
          <w:szCs w:val="24"/>
          <w:lang w:val="en-GB"/>
        </w:rPr>
        <w:t>Strategic Management Journal</w:t>
      </w:r>
      <w:r w:rsidRPr="4B1612A4" w:rsidR="622201EC">
        <w:rPr>
          <w:rFonts w:ascii="Aptos" w:hAnsi="Aptos" w:eastAsia="Aptos" w:cs="Aptos"/>
          <w:noProof w:val="0"/>
          <w:sz w:val="24"/>
          <w:szCs w:val="24"/>
          <w:lang w:val="en-GB"/>
        </w:rPr>
        <w:t>, 5(2), pp. 171–180.</w:t>
      </w:r>
    </w:p>
    <w:p xmlns:wp14="http://schemas.microsoft.com/office/word/2010/wordml" w:rsidP="4B1612A4" wp14:paraId="415288BC" wp14:textId="521D4CF0">
      <w:pPr>
        <w:spacing w:before="240" w:beforeAutospacing="off" w:after="240" w:afterAutospacing="off"/>
      </w:pPr>
      <w:r w:rsidRPr="4B1612A4" w:rsidR="622201EC">
        <w:rPr>
          <w:rFonts w:ascii="Aptos" w:hAnsi="Aptos" w:eastAsia="Aptos" w:cs="Aptos"/>
          <w:b w:val="1"/>
          <w:bCs w:val="1"/>
          <w:noProof w:val="0"/>
          <w:sz w:val="24"/>
          <w:szCs w:val="24"/>
          <w:lang w:val="en-GB"/>
        </w:rPr>
        <w:t>Wells, P. and Nieuwenhuis, P. (2012)</w:t>
      </w:r>
      <w:r w:rsidRPr="4B1612A4" w:rsidR="622201EC">
        <w:rPr>
          <w:rFonts w:ascii="Aptos" w:hAnsi="Aptos" w:eastAsia="Aptos" w:cs="Aptos"/>
          <w:noProof w:val="0"/>
          <w:sz w:val="24"/>
          <w:szCs w:val="24"/>
          <w:lang w:val="en-GB"/>
        </w:rPr>
        <w:t xml:space="preserve"> </w:t>
      </w:r>
      <w:r w:rsidRPr="4B1612A4" w:rsidR="622201EC">
        <w:rPr>
          <w:rFonts w:ascii="Aptos" w:hAnsi="Aptos" w:eastAsia="Aptos" w:cs="Aptos"/>
          <w:i w:val="1"/>
          <w:iCs w:val="1"/>
          <w:noProof w:val="0"/>
          <w:sz w:val="24"/>
          <w:szCs w:val="24"/>
          <w:lang w:val="en-GB"/>
        </w:rPr>
        <w:t>The Automotive Industry and the Environment: A Technical, Business and Social Future</w:t>
      </w:r>
      <w:r w:rsidRPr="4B1612A4" w:rsidR="622201EC">
        <w:rPr>
          <w:rFonts w:ascii="Aptos" w:hAnsi="Aptos" w:eastAsia="Aptos" w:cs="Aptos"/>
          <w:noProof w:val="0"/>
          <w:sz w:val="24"/>
          <w:szCs w:val="24"/>
          <w:lang w:val="en-GB"/>
        </w:rPr>
        <w:t>. Cambridge: Woodhead Publishing.</w:t>
      </w:r>
    </w:p>
    <w:p xmlns:wp14="http://schemas.microsoft.com/office/word/2010/wordml" w:rsidP="4B1612A4" wp14:paraId="165E302D" wp14:textId="41D20B92">
      <w:pPr>
        <w:spacing w:before="240" w:beforeAutospacing="off" w:after="240" w:afterAutospacing="off"/>
        <w:rPr>
          <w:rFonts w:ascii="Aptos" w:hAnsi="Aptos" w:eastAsia="Aptos" w:cs="Aptos"/>
          <w:noProof w:val="0"/>
          <w:sz w:val="24"/>
          <w:szCs w:val="24"/>
          <w:lang w:val="en-GB"/>
        </w:rPr>
      </w:pPr>
    </w:p>
    <w:p xmlns:wp14="http://schemas.microsoft.com/office/word/2010/wordml" w:rsidP="4B1612A4" wp14:paraId="5B22CDD3" wp14:textId="4F8D06F7">
      <w:pPr>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455D168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PbJwkKxj" int2:invalidationBookmarkName="" int2:hashCode="MoY5WIGzvRNW3f" int2:id="VVz8DeaR">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77fe4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6ED158"/>
    <w:rsid w:val="01DF9718"/>
    <w:rsid w:val="026439BA"/>
    <w:rsid w:val="06549CB9"/>
    <w:rsid w:val="07B56BBF"/>
    <w:rsid w:val="07DD4FA3"/>
    <w:rsid w:val="0A75A7AE"/>
    <w:rsid w:val="0B3A1E04"/>
    <w:rsid w:val="0F0D02E0"/>
    <w:rsid w:val="0FBFC3CD"/>
    <w:rsid w:val="1242A753"/>
    <w:rsid w:val="127EE43F"/>
    <w:rsid w:val="12C8AEEF"/>
    <w:rsid w:val="132303DB"/>
    <w:rsid w:val="141F4948"/>
    <w:rsid w:val="14A10950"/>
    <w:rsid w:val="160935C6"/>
    <w:rsid w:val="18C2D4C1"/>
    <w:rsid w:val="18E4058F"/>
    <w:rsid w:val="19F2955D"/>
    <w:rsid w:val="1A04F9E2"/>
    <w:rsid w:val="1A40D526"/>
    <w:rsid w:val="1C9E8DE1"/>
    <w:rsid w:val="1DDAF5D9"/>
    <w:rsid w:val="21216380"/>
    <w:rsid w:val="24DEE941"/>
    <w:rsid w:val="262208A5"/>
    <w:rsid w:val="28B814E8"/>
    <w:rsid w:val="28C2245A"/>
    <w:rsid w:val="2B379371"/>
    <w:rsid w:val="2C298CF1"/>
    <w:rsid w:val="2DEAAB13"/>
    <w:rsid w:val="2F727860"/>
    <w:rsid w:val="2FDE246B"/>
    <w:rsid w:val="3AC156D3"/>
    <w:rsid w:val="3C6ECA75"/>
    <w:rsid w:val="41D4657B"/>
    <w:rsid w:val="4B06C524"/>
    <w:rsid w:val="4B1612A4"/>
    <w:rsid w:val="4BE8E6B7"/>
    <w:rsid w:val="4C176BC3"/>
    <w:rsid w:val="4D3C65E3"/>
    <w:rsid w:val="51C5CA66"/>
    <w:rsid w:val="5723F4D2"/>
    <w:rsid w:val="578310FE"/>
    <w:rsid w:val="590A8587"/>
    <w:rsid w:val="5ACA4CA4"/>
    <w:rsid w:val="5BA9A181"/>
    <w:rsid w:val="5DCB78DD"/>
    <w:rsid w:val="5F68FA28"/>
    <w:rsid w:val="622201EC"/>
    <w:rsid w:val="63ED87AA"/>
    <w:rsid w:val="666ED158"/>
    <w:rsid w:val="677BB884"/>
    <w:rsid w:val="6BCE77CA"/>
    <w:rsid w:val="6D6DEB9D"/>
    <w:rsid w:val="6E8AF472"/>
    <w:rsid w:val="704645A9"/>
    <w:rsid w:val="71771CEB"/>
    <w:rsid w:val="7202C098"/>
    <w:rsid w:val="74629E1C"/>
    <w:rsid w:val="77D80E13"/>
    <w:rsid w:val="7CBF9092"/>
    <w:rsid w:val="7FA95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ED158"/>
  <w15:chartTrackingRefBased/>
  <w15:docId w15:val="{23C8C3F7-B8EA-4722-977D-836D785B728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B1612A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B1612A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B1612A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B1612A4"/>
    <w:rPr>
      <w:color w:val="467886"/>
      <w:u w:val="single"/>
    </w:rPr>
  </w:style>
  <w:style w:type="paragraph" w:styleId="Subtitle">
    <w:uiPriority w:val="11"/>
    <w:name w:val="Subtitle"/>
    <w:basedOn w:val="Normal"/>
    <w:next w:val="Normal"/>
    <w:qFormat/>
    <w:rsid w:val="4B1612A4"/>
    <w:rPr>
      <w:rFonts w:eastAsia="" w:cs="" w:eastAsiaTheme="majorEastAsia" w:cstheme="majorBidi"/>
      <w:color w:val="595959" w:themeColor="text1" w:themeTint="A6" w:themeShade="FF"/>
      <w:sz w:val="28"/>
      <w:szCs w:val="28"/>
    </w:rPr>
  </w:style>
  <w:style w:type="character" w:styleId="Strong">
    <w:uiPriority w:val="22"/>
    <w:name w:val="Strong"/>
    <w:basedOn w:val="DefaultParagraphFont"/>
    <w:qFormat/>
    <w:rsid w:val="4B1612A4"/>
    <w:rPr>
      <w:b w:val="1"/>
      <w:bCs w:val="1"/>
    </w:rPr>
  </w:style>
  <w:style w:type="character" w:styleId="Emphasis">
    <w:uiPriority w:val="20"/>
    <w:name w:val="Emphasis"/>
    <w:basedOn w:val="DefaultParagraphFont"/>
    <w:qFormat/>
    <w:rsid w:val="4B1612A4"/>
    <w:rPr>
      <w:i w:val="1"/>
      <w:iCs w:val="1"/>
    </w:rPr>
  </w:style>
  <w:style w:type="character" w:styleId="IntenseEmphasis">
    <w:uiPriority w:val="21"/>
    <w:name w:val="Intense Emphasis"/>
    <w:basedOn w:val="DefaultParagraphFont"/>
    <w:qFormat/>
    <w:rsid w:val="4B1612A4"/>
    <w:rPr>
      <w:i w:val="1"/>
      <w:iCs w:val="1"/>
      <w:color w:val="0F4761" w:themeColor="accent1" w:themeTint="FF"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98690182" /><Relationship Type="http://schemas.openxmlformats.org/officeDocument/2006/relationships/hyperlink" Target="https://www.acea.auto/publication/economic-and-market-report-global-and-eu-auto-industry-full-year-2024/" TargetMode="External" Id="R4b3e3905a15b4547" /><Relationship Type="http://schemas.openxmlformats.org/officeDocument/2006/relationships/hyperlink" Target="https://www.astonmartinlagonda.com" TargetMode="External" Id="R262b1a0637b94638" /><Relationship Type="http://schemas.openxmlformats.org/officeDocument/2006/relationships/hyperlink" Target="https://www.astonmartinlagonda.com" TargetMode="External" Id="Rd90fdefa929b4126" /><Relationship Type="http://schemas.openxmlformats.org/officeDocument/2006/relationships/hyperlink" Target="https://www.astonmartinlagonda.com/sustainability" TargetMode="External" Id="R3b8bbaf56a304aa9" /><Relationship Type="http://schemas.openxmlformats.org/officeDocument/2006/relationships/hyperlink" Target="https://oica.net/" TargetMode="External" Id="Rb43b5eec145f415e" /><Relationship Type="http://schemas.openxmlformats.org/officeDocument/2006/relationships/hyperlink" Target="https://www.smmt.co.uk/automotive-insights/" TargetMode="External" Id="R645217763c584b94" /><Relationship Type="http://schemas.microsoft.com/office/2020/10/relationships/intelligence" Target="/word/intelligence2.xml" Id="R680a62b466c64bc6" /><Relationship Type="http://schemas.openxmlformats.org/officeDocument/2006/relationships/numbering" Target="/word/numbering.xml" Id="Re0fa0c70f682443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Nedret Nikolaev Metodiev (2317961)</dc:creator>
  <keywords/>
  <dc:description/>
  <lastModifiedBy>Nedret Nikolaev Metodiev (2317961)</lastModifiedBy>
  <revision>2</revision>
  <dcterms:created xsi:type="dcterms:W3CDTF">2026-03-19T18:57:04.8048374Z</dcterms:created>
  <dcterms:modified xsi:type="dcterms:W3CDTF">2026-03-19T20:10:06.6992085Z</dcterms:modified>
</coreProperties>
</file>