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mc:Ignorable="w14 w15 w16se w16cid w16 w16cex w16sdtdh w16sdtfl w16du wp14">
  <w:body>
    <w:sdt>
      <w:sdtPr>
        <w:id w:val="1865505325"/>
        <w:docPartObj>
          <w:docPartGallery w:val="Table of Contents"/>
          <w:docPartUnique/>
        </w:docPartObj>
      </w:sdtPr>
      <w:sdtContent>
        <w:p w:rsidRPr="00FC34C9" w:rsidR="00DF1415" w:rsidP="1B531125" w:rsidRDefault="00DF1415" w14:paraId="7C1D6307" w14:textId="1AD6DE9C">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"_Toc460218188" </w:instrText>
          </w:r>
          <w:r>
            <w:fldChar w:fldCharType="separate"/>
          </w:r>
          <w:r w:rsidRPr="1B531125" w:rsidR="1B531125">
            <w:rPr>
              <w:rStyle w:val="Hyperlink"/>
            </w:rPr>
            <w:t>Title Page</w:t>
          </w:r>
          <w:r>
            <w:tab/>
          </w:r>
          <w:r>
            <w:fldChar w:fldCharType="begin"/>
          </w:r>
          <w:r>
            <w:instrText xml:space="preserve">PAGEREF _Toc460218188 \h</w:instrText>
          </w:r>
          <w:r>
            <w:fldChar w:fldCharType="separate"/>
          </w:r>
          <w:r w:rsidRPr="1B531125" w:rsidR="1B531125">
            <w:rPr>
              <w:rStyle w:val="Hyperlink"/>
            </w:rPr>
            <w:t>1</w:t>
          </w:r>
          <w:r>
            <w:fldChar w:fldCharType="end"/>
          </w:r>
          <w:r>
            <w:fldChar w:fldCharType="end"/>
          </w:r>
        </w:p>
        <w:p w:rsidRPr="00FC34C9" w:rsidR="00DF1415" w:rsidP="1B531125" w:rsidRDefault="00DF1415" w14:paraId="55CAF90F" w14:textId="59656B75">
          <w:pPr>
            <w:pStyle w:val="TOC1"/>
            <w:tabs>
              <w:tab w:val="right" w:leader="dot" w:pos="9015"/>
            </w:tabs>
            <w:bidi w:val="0"/>
          </w:pPr>
          <w:r>
            <w:fldChar w:fldCharType="begin"/>
          </w:r>
          <w:r>
            <w:instrText xml:space="preserve">HYPERLINK  \l  "_Toc488201725" </w:instrText>
          </w:r>
          <w:r>
            <w:fldChar w:fldCharType="separate"/>
          </w:r>
          <w:r w:rsidRPr="1B531125" w:rsidR="1B531125">
            <w:rPr>
              <w:rStyle w:val="Hyperlink"/>
            </w:rPr>
            <w:t>Introduction</w:t>
          </w:r>
          <w:r>
            <w:tab/>
          </w:r>
          <w:r>
            <w:fldChar w:fldCharType="begin"/>
          </w:r>
          <w:r>
            <w:instrText xml:space="preserve">PAGEREF _Toc488201725 \h</w:instrText>
          </w:r>
          <w:r>
            <w:fldChar w:fldCharType="separate"/>
          </w:r>
          <w:r w:rsidRPr="1B531125" w:rsidR="1B531125">
            <w:rPr>
              <w:rStyle w:val="Hyperlink"/>
            </w:rPr>
            <w:t>2</w:t>
          </w:r>
          <w:r>
            <w:fldChar w:fldCharType="end"/>
          </w:r>
          <w:r>
            <w:fldChar w:fldCharType="end"/>
          </w:r>
        </w:p>
        <w:p w:rsidRPr="00FC34C9" w:rsidR="00DF1415" w:rsidP="1B531125" w:rsidRDefault="00DF1415" w14:paraId="52D6E547" w14:textId="40F30CFF">
          <w:pPr>
            <w:pStyle w:val="TOC1"/>
            <w:tabs>
              <w:tab w:val="right" w:leader="dot" w:pos="9015"/>
            </w:tabs>
            <w:bidi w:val="0"/>
          </w:pPr>
          <w:r>
            <w:fldChar w:fldCharType="begin"/>
          </w:r>
          <w:r>
            <w:instrText xml:space="preserve">HYPERLINK  \l  "_Toc1601505017" </w:instrText>
          </w:r>
          <w:r>
            <w:fldChar w:fldCharType="separate"/>
          </w:r>
          <w:r w:rsidRPr="1B531125" w:rsidR="1B531125">
            <w:rPr>
              <w:rStyle w:val="Hyperlink"/>
            </w:rPr>
            <w:t>1. Explanation of Key HR Challenges</w:t>
          </w:r>
          <w:r>
            <w:tab/>
          </w:r>
          <w:r>
            <w:fldChar w:fldCharType="begin"/>
          </w:r>
          <w:r>
            <w:instrText xml:space="preserve">PAGEREF _Toc1601505017 \h</w:instrText>
          </w:r>
          <w:r>
            <w:fldChar w:fldCharType="separate"/>
          </w:r>
          <w:r w:rsidRPr="1B531125" w:rsidR="1B531125">
            <w:rPr>
              <w:rStyle w:val="Hyperlink"/>
            </w:rPr>
            <w:t>2</w:t>
          </w:r>
          <w:r>
            <w:fldChar w:fldCharType="end"/>
          </w:r>
          <w:r>
            <w:fldChar w:fldCharType="end"/>
          </w:r>
        </w:p>
        <w:p w:rsidRPr="00FC34C9" w:rsidR="00DF1415" w:rsidP="1B531125" w:rsidRDefault="00DF1415" w14:paraId="07122B47" w14:textId="39DB761D">
          <w:pPr>
            <w:pStyle w:val="TOC2"/>
            <w:tabs>
              <w:tab w:val="right" w:leader="dot" w:pos="9015"/>
            </w:tabs>
            <w:bidi w:val="0"/>
          </w:pPr>
          <w:r>
            <w:fldChar w:fldCharType="begin"/>
          </w:r>
          <w:r>
            <w:instrText xml:space="preserve">HYPERLINK  \l  "_Toc1789843794" </w:instrText>
          </w:r>
          <w:r>
            <w:fldChar w:fldCharType="separate"/>
          </w:r>
          <w:r w:rsidRPr="1B531125" w:rsidR="1B531125">
            <w:rPr>
              <w:rStyle w:val="Hyperlink"/>
            </w:rPr>
            <w:t>Key Contemporary HR Challenges Facing Sports Direct</w:t>
          </w:r>
          <w:r>
            <w:tab/>
          </w:r>
          <w:r>
            <w:fldChar w:fldCharType="begin"/>
          </w:r>
          <w:r>
            <w:instrText xml:space="preserve">PAGEREF _Toc1789843794 \h</w:instrText>
          </w:r>
          <w:r>
            <w:fldChar w:fldCharType="separate"/>
          </w:r>
          <w:r w:rsidRPr="1B531125" w:rsidR="1B531125">
            <w:rPr>
              <w:rStyle w:val="Hyperlink"/>
            </w:rPr>
            <w:t>2</w:t>
          </w:r>
          <w:r>
            <w:fldChar w:fldCharType="end"/>
          </w:r>
          <w:r>
            <w:fldChar w:fldCharType="end"/>
          </w:r>
        </w:p>
        <w:p w:rsidRPr="00FC34C9" w:rsidR="00DF1415" w:rsidP="1B531125" w:rsidRDefault="00DF1415" w14:paraId="669088EF" w14:textId="0C4C3DF8">
          <w:pPr>
            <w:pStyle w:val="TOC3"/>
            <w:tabs>
              <w:tab w:val="right" w:leader="dot" w:pos="9015"/>
            </w:tabs>
            <w:bidi w:val="0"/>
          </w:pPr>
          <w:r>
            <w:fldChar w:fldCharType="begin"/>
          </w:r>
          <w:r>
            <w:instrText xml:space="preserve">HYPERLINK  \l  "_Toc1715954009" </w:instrText>
          </w:r>
          <w:r>
            <w:fldChar w:fldCharType="separate"/>
          </w:r>
          <w:r w:rsidRPr="1B531125" w:rsidR="1B531125">
            <w:rPr>
              <w:rStyle w:val="Hyperlink"/>
            </w:rPr>
            <w:t>1.1 Adapting to Technological Advancements</w:t>
          </w:r>
          <w:r>
            <w:tab/>
          </w:r>
          <w:r>
            <w:fldChar w:fldCharType="begin"/>
          </w:r>
          <w:r>
            <w:instrText xml:space="preserve">PAGEREF _Toc1715954009 \h</w:instrText>
          </w:r>
          <w:r>
            <w:fldChar w:fldCharType="separate"/>
          </w:r>
          <w:r w:rsidRPr="1B531125" w:rsidR="1B531125">
            <w:rPr>
              <w:rStyle w:val="Hyperlink"/>
            </w:rPr>
            <w:t>3</w:t>
          </w:r>
          <w:r>
            <w:fldChar w:fldCharType="end"/>
          </w:r>
          <w:r>
            <w:fldChar w:fldCharType="end"/>
          </w:r>
        </w:p>
        <w:p w:rsidRPr="00FC34C9" w:rsidR="00DF1415" w:rsidP="1B531125" w:rsidRDefault="00DF1415" w14:paraId="3718FD33" w14:textId="2778AE4F">
          <w:pPr>
            <w:pStyle w:val="TOC3"/>
            <w:tabs>
              <w:tab w:val="right" w:leader="dot" w:pos="9015"/>
            </w:tabs>
            <w:bidi w:val="0"/>
          </w:pPr>
          <w:r>
            <w:fldChar w:fldCharType="begin"/>
          </w:r>
          <w:r>
            <w:instrText xml:space="preserve">HYPERLINK  \l  "_Toc398335804" </w:instrText>
          </w:r>
          <w:r>
            <w:fldChar w:fldCharType="separate"/>
          </w:r>
          <w:r w:rsidRPr="1B531125" w:rsidR="1B531125">
            <w:rPr>
              <w:rStyle w:val="Hyperlink"/>
            </w:rPr>
            <w:t>1.2 Talent Acquisition and Retention</w:t>
          </w:r>
          <w:r>
            <w:tab/>
          </w:r>
          <w:r>
            <w:fldChar w:fldCharType="begin"/>
          </w:r>
          <w:r>
            <w:instrText xml:space="preserve">PAGEREF _Toc398335804 \h</w:instrText>
          </w:r>
          <w:r>
            <w:fldChar w:fldCharType="separate"/>
          </w:r>
          <w:r w:rsidRPr="1B531125" w:rsidR="1B531125">
            <w:rPr>
              <w:rStyle w:val="Hyperlink"/>
            </w:rPr>
            <w:t>3</w:t>
          </w:r>
          <w:r>
            <w:fldChar w:fldCharType="end"/>
          </w:r>
          <w:r>
            <w:fldChar w:fldCharType="end"/>
          </w:r>
        </w:p>
        <w:p w:rsidRPr="00FC34C9" w:rsidR="00DF1415" w:rsidP="1B531125" w:rsidRDefault="00DF1415" w14:paraId="3DAE22EB" w14:textId="736EE2BC">
          <w:pPr>
            <w:pStyle w:val="TOC3"/>
            <w:tabs>
              <w:tab w:val="right" w:leader="dot" w:pos="9015"/>
            </w:tabs>
            <w:bidi w:val="0"/>
          </w:pPr>
          <w:r>
            <w:fldChar w:fldCharType="begin"/>
          </w:r>
          <w:r>
            <w:instrText xml:space="preserve">HYPERLINK  \l  "_Toc144669624" </w:instrText>
          </w:r>
          <w:r>
            <w:fldChar w:fldCharType="separate"/>
          </w:r>
          <w:r w:rsidRPr="1B531125" w:rsidR="1B531125">
            <w:rPr>
              <w:rStyle w:val="Hyperlink"/>
            </w:rPr>
            <w:t>1.3 Diversity, Equity and Inclusion (DEI)</w:t>
          </w:r>
          <w:r>
            <w:tab/>
          </w:r>
          <w:r>
            <w:fldChar w:fldCharType="begin"/>
          </w:r>
          <w:r>
            <w:instrText xml:space="preserve">PAGEREF _Toc144669624 \h</w:instrText>
          </w:r>
          <w:r>
            <w:fldChar w:fldCharType="separate"/>
          </w:r>
          <w:r w:rsidRPr="1B531125" w:rsidR="1B531125">
            <w:rPr>
              <w:rStyle w:val="Hyperlink"/>
            </w:rPr>
            <w:t>3</w:t>
          </w:r>
          <w:r>
            <w:fldChar w:fldCharType="end"/>
          </w:r>
          <w:r>
            <w:fldChar w:fldCharType="end"/>
          </w:r>
        </w:p>
        <w:p w:rsidRPr="00FC34C9" w:rsidR="00DF1415" w:rsidP="1B531125" w:rsidRDefault="00DF1415" w14:paraId="520DFD5A" w14:textId="4D5ACD46">
          <w:pPr>
            <w:pStyle w:val="TOC2"/>
            <w:tabs>
              <w:tab w:val="right" w:leader="dot" w:pos="9015"/>
            </w:tabs>
            <w:bidi w:val="0"/>
          </w:pPr>
          <w:r>
            <w:fldChar w:fldCharType="begin"/>
          </w:r>
          <w:r>
            <w:instrText xml:space="preserve">HYPERLINK  \l  "_Toc1958944564" </w:instrText>
          </w:r>
          <w:r>
            <w:fldChar w:fldCharType="separate"/>
          </w:r>
          <w:r w:rsidRPr="1B531125" w:rsidR="1B531125">
            <w:rPr>
              <w:rStyle w:val="Hyperlink"/>
            </w:rPr>
            <w:t>2. Evaluation of Contemporary HR Practices</w:t>
          </w:r>
          <w:r>
            <w:tab/>
          </w:r>
          <w:r>
            <w:fldChar w:fldCharType="begin"/>
          </w:r>
          <w:r>
            <w:instrText xml:space="preserve">PAGEREF _Toc1958944564 \h</w:instrText>
          </w:r>
          <w:r>
            <w:fldChar w:fldCharType="separate"/>
          </w:r>
          <w:r w:rsidRPr="1B531125" w:rsidR="1B531125">
            <w:rPr>
              <w:rStyle w:val="Hyperlink"/>
            </w:rPr>
            <w:t>4</w:t>
          </w:r>
          <w:r>
            <w:fldChar w:fldCharType="end"/>
          </w:r>
          <w:r>
            <w:fldChar w:fldCharType="end"/>
          </w:r>
        </w:p>
        <w:p w:rsidRPr="00FC34C9" w:rsidR="00DF1415" w:rsidP="1B531125" w:rsidRDefault="00DF1415" w14:paraId="4C31C56C" w14:textId="0F2F082D">
          <w:pPr>
            <w:pStyle w:val="TOC3"/>
            <w:tabs>
              <w:tab w:val="right" w:leader="dot" w:pos="9015"/>
            </w:tabs>
            <w:bidi w:val="0"/>
          </w:pPr>
          <w:r>
            <w:fldChar w:fldCharType="begin"/>
          </w:r>
          <w:r>
            <w:instrText xml:space="preserve">HYPERLINK  \l  "_Toc265423666" </w:instrText>
          </w:r>
          <w:r>
            <w:fldChar w:fldCharType="separate"/>
          </w:r>
          <w:r w:rsidRPr="1B531125" w:rsidR="1B531125">
            <w:rPr>
              <w:rStyle w:val="Hyperlink"/>
            </w:rPr>
            <w:t>Table 2: Contemporary HR Practices for Sports Direct</w:t>
          </w:r>
          <w:r>
            <w:tab/>
          </w:r>
          <w:r>
            <w:fldChar w:fldCharType="begin"/>
          </w:r>
          <w:r>
            <w:instrText xml:space="preserve">PAGEREF _Toc265423666 \h</w:instrText>
          </w:r>
          <w:r>
            <w:fldChar w:fldCharType="separate"/>
          </w:r>
          <w:r w:rsidRPr="1B531125" w:rsidR="1B531125">
            <w:rPr>
              <w:rStyle w:val="Hyperlink"/>
            </w:rPr>
            <w:t>4</w:t>
          </w:r>
          <w:r>
            <w:fldChar w:fldCharType="end"/>
          </w:r>
          <w:r>
            <w:fldChar w:fldCharType="end"/>
          </w:r>
        </w:p>
        <w:p w:rsidRPr="00FC34C9" w:rsidR="00DF1415" w:rsidP="1B531125" w:rsidRDefault="00DF1415" w14:paraId="6AB4724F" w14:textId="39B4A1C3">
          <w:pPr>
            <w:pStyle w:val="TOC3"/>
            <w:tabs>
              <w:tab w:val="right" w:leader="dot" w:pos="9015"/>
            </w:tabs>
            <w:bidi w:val="0"/>
          </w:pPr>
          <w:r>
            <w:fldChar w:fldCharType="begin"/>
          </w:r>
          <w:r>
            <w:instrText xml:space="preserve">HYPERLINK  \l  "_Toc960907457" </w:instrText>
          </w:r>
          <w:r>
            <w:fldChar w:fldCharType="separate"/>
          </w:r>
          <w:r w:rsidRPr="1B531125" w:rsidR="1B531125">
            <w:rPr>
              <w:rStyle w:val="Hyperlink"/>
            </w:rPr>
            <w:t>2.1 Digital HR Systems and Workforce Analytics</w:t>
          </w:r>
          <w:r>
            <w:tab/>
          </w:r>
          <w:r>
            <w:fldChar w:fldCharType="begin"/>
          </w:r>
          <w:r>
            <w:instrText xml:space="preserve">PAGEREF _Toc960907457 \h</w:instrText>
          </w:r>
          <w:r>
            <w:fldChar w:fldCharType="separate"/>
          </w:r>
          <w:r w:rsidRPr="1B531125" w:rsidR="1B531125">
            <w:rPr>
              <w:rStyle w:val="Hyperlink"/>
            </w:rPr>
            <w:t>5</w:t>
          </w:r>
          <w:r>
            <w:fldChar w:fldCharType="end"/>
          </w:r>
          <w:r>
            <w:fldChar w:fldCharType="end"/>
          </w:r>
        </w:p>
        <w:p w:rsidRPr="00FC34C9" w:rsidR="00DF1415" w:rsidP="1B531125" w:rsidRDefault="00DF1415" w14:paraId="09623E40" w14:textId="4FEA4533">
          <w:pPr>
            <w:pStyle w:val="TOC3"/>
            <w:tabs>
              <w:tab w:val="right" w:leader="dot" w:pos="9015"/>
            </w:tabs>
            <w:bidi w:val="0"/>
          </w:pPr>
          <w:r>
            <w:fldChar w:fldCharType="begin"/>
          </w:r>
          <w:r>
            <w:instrText xml:space="preserve">HYPERLINK  \l  "_Toc2006032017" </w:instrText>
          </w:r>
          <w:r>
            <w:fldChar w:fldCharType="separate"/>
          </w:r>
          <w:r w:rsidRPr="1B531125" w:rsidR="1B531125">
            <w:rPr>
              <w:rStyle w:val="Hyperlink"/>
            </w:rPr>
            <w:t>2.2 Employer Branding and Strategic Workforce Planning</w:t>
          </w:r>
          <w:r>
            <w:tab/>
          </w:r>
          <w:r>
            <w:fldChar w:fldCharType="begin"/>
          </w:r>
          <w:r>
            <w:instrText xml:space="preserve">PAGEREF _Toc2006032017 \h</w:instrText>
          </w:r>
          <w:r>
            <w:fldChar w:fldCharType="separate"/>
          </w:r>
          <w:r w:rsidRPr="1B531125" w:rsidR="1B531125">
            <w:rPr>
              <w:rStyle w:val="Hyperlink"/>
            </w:rPr>
            <w:t>5</w:t>
          </w:r>
          <w:r>
            <w:fldChar w:fldCharType="end"/>
          </w:r>
          <w:r>
            <w:fldChar w:fldCharType="end"/>
          </w:r>
        </w:p>
        <w:p w:rsidRPr="00FC34C9" w:rsidR="00DF1415" w:rsidP="1B531125" w:rsidRDefault="00DF1415" w14:paraId="7E8A7CF3" w14:textId="1299BEBE">
          <w:pPr>
            <w:pStyle w:val="TOC3"/>
            <w:tabs>
              <w:tab w:val="right" w:leader="dot" w:pos="9015"/>
            </w:tabs>
            <w:bidi w:val="0"/>
          </w:pPr>
          <w:r>
            <w:fldChar w:fldCharType="begin"/>
          </w:r>
          <w:r>
            <w:instrText xml:space="preserve">HYPERLINK  \l  "_Toc630811473" </w:instrText>
          </w:r>
          <w:r>
            <w:fldChar w:fldCharType="separate"/>
          </w:r>
          <w:r w:rsidRPr="1B531125" w:rsidR="1B531125">
            <w:rPr>
              <w:rStyle w:val="Hyperlink"/>
            </w:rPr>
            <w:t>2.3 Employee Engagement and Retention</w:t>
          </w:r>
          <w:r>
            <w:tab/>
          </w:r>
          <w:r>
            <w:fldChar w:fldCharType="begin"/>
          </w:r>
          <w:r>
            <w:instrText xml:space="preserve">PAGEREF _Toc630811473 \h</w:instrText>
          </w:r>
          <w:r>
            <w:fldChar w:fldCharType="separate"/>
          </w:r>
          <w:r w:rsidRPr="1B531125" w:rsidR="1B531125">
            <w:rPr>
              <w:rStyle w:val="Hyperlink"/>
            </w:rPr>
            <w:t>6</w:t>
          </w:r>
          <w:r>
            <w:fldChar w:fldCharType="end"/>
          </w:r>
          <w:r>
            <w:fldChar w:fldCharType="end"/>
          </w:r>
        </w:p>
        <w:p w:rsidRPr="00FC34C9" w:rsidR="00DF1415" w:rsidP="1B531125" w:rsidRDefault="00DF1415" w14:paraId="7448387D" w14:textId="21879746">
          <w:pPr>
            <w:pStyle w:val="TOC3"/>
            <w:tabs>
              <w:tab w:val="right" w:leader="dot" w:pos="9015"/>
            </w:tabs>
            <w:bidi w:val="0"/>
          </w:pPr>
          <w:r>
            <w:fldChar w:fldCharType="begin"/>
          </w:r>
          <w:r>
            <w:instrText xml:space="preserve">HYPERLINK  \l  "_Toc226192849" </w:instrText>
          </w:r>
          <w:r>
            <w:fldChar w:fldCharType="separate"/>
          </w:r>
          <w:r w:rsidRPr="1B531125" w:rsidR="1B531125">
            <w:rPr>
              <w:rStyle w:val="Hyperlink"/>
            </w:rPr>
            <w:t>2.4 Inclusive Recruitment and DEI</w:t>
          </w:r>
          <w:r>
            <w:tab/>
          </w:r>
          <w:r>
            <w:fldChar w:fldCharType="begin"/>
          </w:r>
          <w:r>
            <w:instrText xml:space="preserve">PAGEREF _Toc226192849 \h</w:instrText>
          </w:r>
          <w:r>
            <w:fldChar w:fldCharType="separate"/>
          </w:r>
          <w:r w:rsidRPr="1B531125" w:rsidR="1B531125">
            <w:rPr>
              <w:rStyle w:val="Hyperlink"/>
            </w:rPr>
            <w:t>6</w:t>
          </w:r>
          <w:r>
            <w:fldChar w:fldCharType="end"/>
          </w:r>
          <w:r>
            <w:fldChar w:fldCharType="end"/>
          </w:r>
        </w:p>
        <w:p w:rsidRPr="00FC34C9" w:rsidR="00DF1415" w:rsidP="1B531125" w:rsidRDefault="00DF1415" w14:paraId="52CC17E5" w14:textId="0F829CC7">
          <w:pPr>
            <w:pStyle w:val="TOC2"/>
            <w:tabs>
              <w:tab w:val="right" w:leader="dot" w:pos="9015"/>
            </w:tabs>
            <w:bidi w:val="0"/>
          </w:pPr>
          <w:r>
            <w:fldChar w:fldCharType="begin"/>
          </w:r>
          <w:r>
            <w:instrText xml:space="preserve">HYPERLINK  \l  "_Toc1018361621" </w:instrText>
          </w:r>
          <w:r>
            <w:fldChar w:fldCharType="separate"/>
          </w:r>
          <w:r w:rsidRPr="1B531125" w:rsidR="1B531125">
            <w:rPr>
              <w:rStyle w:val="Hyperlink"/>
            </w:rPr>
            <w:t>3. Critical Evaluation of Managerial Implementation</w:t>
          </w:r>
          <w:r>
            <w:tab/>
          </w:r>
          <w:r>
            <w:fldChar w:fldCharType="begin"/>
          </w:r>
          <w:r>
            <w:instrText xml:space="preserve">PAGEREF _Toc1018361621 \h</w:instrText>
          </w:r>
          <w:r>
            <w:fldChar w:fldCharType="separate"/>
          </w:r>
          <w:r w:rsidRPr="1B531125" w:rsidR="1B531125">
            <w:rPr>
              <w:rStyle w:val="Hyperlink"/>
            </w:rPr>
            <w:t>6</w:t>
          </w:r>
          <w:r>
            <w:fldChar w:fldCharType="end"/>
          </w:r>
          <w:r>
            <w:fldChar w:fldCharType="end"/>
          </w:r>
        </w:p>
        <w:p w:rsidRPr="00FC34C9" w:rsidR="00DF1415" w:rsidP="1B531125" w:rsidRDefault="00DF1415" w14:paraId="1ED642FE" w14:textId="0C45C413">
          <w:pPr>
            <w:pStyle w:val="TOC3"/>
            <w:tabs>
              <w:tab w:val="right" w:leader="dot" w:pos="9015"/>
            </w:tabs>
            <w:bidi w:val="0"/>
          </w:pPr>
          <w:r>
            <w:fldChar w:fldCharType="begin"/>
          </w:r>
          <w:r>
            <w:instrText xml:space="preserve">HYPERLINK  \l  "_Toc1522829749" </w:instrText>
          </w:r>
          <w:r>
            <w:fldChar w:fldCharType="separate"/>
          </w:r>
          <w:r w:rsidRPr="1B531125" w:rsidR="1B531125">
            <w:rPr>
              <w:rStyle w:val="Hyperlink"/>
            </w:rPr>
            <w:t>Leadership Accountability</w:t>
          </w:r>
          <w:r>
            <w:tab/>
          </w:r>
          <w:r>
            <w:fldChar w:fldCharType="begin"/>
          </w:r>
          <w:r>
            <w:instrText xml:space="preserve">PAGEREF _Toc1522829749 \h</w:instrText>
          </w:r>
          <w:r>
            <w:fldChar w:fldCharType="separate"/>
          </w:r>
          <w:r w:rsidRPr="1B531125" w:rsidR="1B531125">
            <w:rPr>
              <w:rStyle w:val="Hyperlink"/>
            </w:rPr>
            <w:t>7</w:t>
          </w:r>
          <w:r>
            <w:fldChar w:fldCharType="end"/>
          </w:r>
          <w:r>
            <w:fldChar w:fldCharType="end"/>
          </w:r>
        </w:p>
        <w:p w:rsidRPr="00FC34C9" w:rsidR="00DF1415" w:rsidP="1B531125" w:rsidRDefault="00DF1415" w14:paraId="44636337" w14:textId="7AFFCD3D">
          <w:pPr>
            <w:pStyle w:val="TOC3"/>
            <w:tabs>
              <w:tab w:val="right" w:leader="dot" w:pos="9015"/>
            </w:tabs>
            <w:bidi w:val="0"/>
          </w:pPr>
          <w:r>
            <w:fldChar w:fldCharType="begin"/>
          </w:r>
          <w:r>
            <w:instrText xml:space="preserve">HYPERLINK  \l  "_Toc1614720122" </w:instrText>
          </w:r>
          <w:r>
            <w:fldChar w:fldCharType="separate"/>
          </w:r>
          <w:r w:rsidRPr="1B531125" w:rsidR="1B531125">
            <w:rPr>
              <w:rStyle w:val="Hyperlink"/>
            </w:rPr>
            <w:t>Communication and Employee Engagement</w:t>
          </w:r>
          <w:r>
            <w:tab/>
          </w:r>
          <w:r>
            <w:fldChar w:fldCharType="begin"/>
          </w:r>
          <w:r>
            <w:instrText xml:space="preserve">PAGEREF _Toc1614720122 \h</w:instrText>
          </w:r>
          <w:r>
            <w:fldChar w:fldCharType="separate"/>
          </w:r>
          <w:r w:rsidRPr="1B531125" w:rsidR="1B531125">
            <w:rPr>
              <w:rStyle w:val="Hyperlink"/>
            </w:rPr>
            <w:t>7</w:t>
          </w:r>
          <w:r>
            <w:fldChar w:fldCharType="end"/>
          </w:r>
          <w:r>
            <w:fldChar w:fldCharType="end"/>
          </w:r>
        </w:p>
        <w:p w:rsidRPr="00FC34C9" w:rsidR="00DF1415" w:rsidP="1B531125" w:rsidRDefault="00DF1415" w14:paraId="394A0432" w14:textId="59894E32">
          <w:pPr>
            <w:pStyle w:val="TOC3"/>
            <w:tabs>
              <w:tab w:val="right" w:leader="dot" w:pos="9015"/>
            </w:tabs>
            <w:bidi w:val="0"/>
          </w:pPr>
          <w:r>
            <w:fldChar w:fldCharType="begin"/>
          </w:r>
          <w:r>
            <w:instrText xml:space="preserve">HYPERLINK  \l  "_Toc1997316200" </w:instrText>
          </w:r>
          <w:r>
            <w:fldChar w:fldCharType="separate"/>
          </w:r>
          <w:r w:rsidRPr="1B531125" w:rsidR="1B531125">
            <w:rPr>
              <w:rStyle w:val="Hyperlink"/>
            </w:rPr>
            <w:t>Monitoring Performance and Building an Inclusive Culture</w:t>
          </w:r>
          <w:r>
            <w:tab/>
          </w:r>
          <w:r>
            <w:fldChar w:fldCharType="begin"/>
          </w:r>
          <w:r>
            <w:instrText xml:space="preserve">PAGEREF _Toc1997316200 \h</w:instrText>
          </w:r>
          <w:r>
            <w:fldChar w:fldCharType="separate"/>
          </w:r>
          <w:r w:rsidRPr="1B531125" w:rsidR="1B531125">
            <w:rPr>
              <w:rStyle w:val="Hyperlink"/>
            </w:rPr>
            <w:t>7</w:t>
          </w:r>
          <w:r>
            <w:fldChar w:fldCharType="end"/>
          </w:r>
          <w:r>
            <w:fldChar w:fldCharType="end"/>
          </w:r>
        </w:p>
        <w:p w:rsidRPr="00FC34C9" w:rsidR="00DF1415" w:rsidP="1B531125" w:rsidRDefault="00DF1415" w14:paraId="1FCAF986" w14:textId="4A531500">
          <w:pPr>
            <w:pStyle w:val="TOC3"/>
            <w:tabs>
              <w:tab w:val="right" w:leader="dot" w:pos="9015"/>
            </w:tabs>
            <w:bidi w:val="0"/>
          </w:pPr>
          <w:r>
            <w:fldChar w:fldCharType="begin"/>
          </w:r>
          <w:r>
            <w:instrText xml:space="preserve">HYPERLINK  \l  "_Toc1187146319" </w:instrText>
          </w:r>
          <w:r>
            <w:fldChar w:fldCharType="separate"/>
          </w:r>
          <w:r w:rsidRPr="1B531125" w:rsidR="1B531125">
            <w:rPr>
              <w:rStyle w:val="Hyperlink"/>
            </w:rPr>
            <w:t>Barriers to Implementation</w:t>
          </w:r>
          <w:r>
            <w:tab/>
          </w:r>
          <w:r>
            <w:fldChar w:fldCharType="begin"/>
          </w:r>
          <w:r>
            <w:instrText xml:space="preserve">PAGEREF _Toc1187146319 \h</w:instrText>
          </w:r>
          <w:r>
            <w:fldChar w:fldCharType="separate"/>
          </w:r>
          <w:r w:rsidRPr="1B531125" w:rsidR="1B531125">
            <w:rPr>
              <w:rStyle w:val="Hyperlink"/>
            </w:rPr>
            <w:t>8</w:t>
          </w:r>
          <w:r>
            <w:fldChar w:fldCharType="end"/>
          </w:r>
          <w:r>
            <w:fldChar w:fldCharType="end"/>
          </w:r>
        </w:p>
        <w:p w:rsidRPr="00FC34C9" w:rsidR="00DF1415" w:rsidP="1B531125" w:rsidRDefault="00DF1415" w14:paraId="6B48E676" w14:textId="52B6BF60">
          <w:pPr>
            <w:pStyle w:val="TOC1"/>
            <w:tabs>
              <w:tab w:val="right" w:leader="dot" w:pos="9015"/>
            </w:tabs>
            <w:bidi w:val="0"/>
          </w:pPr>
          <w:r>
            <w:fldChar w:fldCharType="begin"/>
          </w:r>
          <w:r>
            <w:instrText xml:space="preserve">HYPERLINK  \l  "_Toc509582978" </w:instrText>
          </w:r>
          <w:r>
            <w:fldChar w:fldCharType="separate"/>
          </w:r>
          <w:r w:rsidRPr="1B531125" w:rsidR="1B531125">
            <w:rPr>
              <w:rStyle w:val="Hyperlink"/>
            </w:rPr>
            <w:t>Conclusion</w:t>
          </w:r>
          <w:r>
            <w:tab/>
          </w:r>
          <w:r>
            <w:fldChar w:fldCharType="begin"/>
          </w:r>
          <w:r>
            <w:instrText xml:space="preserve">PAGEREF _Toc509582978 \h</w:instrText>
          </w:r>
          <w:r>
            <w:fldChar w:fldCharType="separate"/>
          </w:r>
          <w:r w:rsidRPr="1B531125" w:rsidR="1B531125">
            <w:rPr>
              <w:rStyle w:val="Hyperlink"/>
            </w:rPr>
            <w:t>8</w:t>
          </w:r>
          <w:r>
            <w:fldChar w:fldCharType="end"/>
          </w:r>
          <w:r>
            <w:fldChar w:fldCharType="end"/>
          </w:r>
        </w:p>
        <w:p w:rsidRPr="00FC34C9" w:rsidR="00DF1415" w:rsidP="1B531125" w:rsidRDefault="00DF1415" w14:paraId="510B5C46" w14:textId="2C8F85A4">
          <w:pPr>
            <w:pStyle w:val="TOC1"/>
            <w:tabs>
              <w:tab w:val="right" w:leader="dot" w:pos="9015"/>
            </w:tabs>
            <w:bidi w:val="0"/>
          </w:pPr>
          <w:r>
            <w:fldChar w:fldCharType="begin"/>
          </w:r>
          <w:r>
            <w:instrText xml:space="preserve">HYPERLINK  \l  "_Toc837940920" </w:instrText>
          </w:r>
          <w:r>
            <w:fldChar w:fldCharType="separate"/>
          </w:r>
          <w:r w:rsidRPr="1B531125" w:rsidR="1B531125">
            <w:rPr>
              <w:rStyle w:val="Hyperlink"/>
            </w:rPr>
            <w:t>Recommendations</w:t>
          </w:r>
          <w:r>
            <w:tab/>
          </w:r>
          <w:r>
            <w:fldChar w:fldCharType="begin"/>
          </w:r>
          <w:r>
            <w:instrText xml:space="preserve">PAGEREF _Toc837940920 \h</w:instrText>
          </w:r>
          <w:r>
            <w:fldChar w:fldCharType="separate"/>
          </w:r>
          <w:r w:rsidRPr="1B531125" w:rsidR="1B531125">
            <w:rPr>
              <w:rStyle w:val="Hyperlink"/>
            </w:rPr>
            <w:t>8</w:t>
          </w:r>
          <w:r>
            <w:fldChar w:fldCharType="end"/>
          </w:r>
          <w:r>
            <w:fldChar w:fldCharType="end"/>
          </w:r>
        </w:p>
        <w:p w:rsidRPr="00FC34C9" w:rsidR="00DF1415" w:rsidP="1B531125" w:rsidRDefault="00DF1415" w14:paraId="0F1793CC" w14:textId="2BA37B7E">
          <w:pPr>
            <w:pStyle w:val="TOC1"/>
            <w:tabs>
              <w:tab w:val="right" w:leader="dot" w:pos="9015"/>
            </w:tabs>
            <w:bidi w:val="0"/>
          </w:pPr>
          <w:r>
            <w:fldChar w:fldCharType="begin"/>
          </w:r>
          <w:r>
            <w:instrText xml:space="preserve">HYPERLINK  \l  "_Toc2091898051" </w:instrText>
          </w:r>
          <w:r>
            <w:fldChar w:fldCharType="separate"/>
          </w:r>
          <w:r w:rsidRPr="1B531125" w:rsidR="1B531125">
            <w:rPr>
              <w:rStyle w:val="Hyperlink"/>
            </w:rPr>
            <w:t>References</w:t>
          </w:r>
          <w:r>
            <w:tab/>
          </w:r>
          <w:r>
            <w:fldChar w:fldCharType="begin"/>
          </w:r>
          <w:r>
            <w:instrText xml:space="preserve">PAGEREF _Toc2091898051 \h</w:instrText>
          </w:r>
          <w:r>
            <w:fldChar w:fldCharType="separate"/>
          </w:r>
          <w:r w:rsidRPr="1B531125" w:rsidR="1B531125">
            <w:rPr>
              <w:rStyle w:val="Hyperlink"/>
            </w:rPr>
            <w:t>9</w:t>
          </w:r>
          <w:r>
            <w:fldChar w:fldCharType="end"/>
          </w:r>
          <w:r>
            <w:fldChar w:fldCharType="end"/>
          </w:r>
        </w:p>
        <w:p w:rsidRPr="00FC34C9" w:rsidR="00DF1415" w:rsidP="1B531125" w:rsidRDefault="00DF1415" w14:paraId="65BCE308" w14:textId="6DF6F87A">
          <w:pPr>
            <w:bidi w:val="0"/>
            <w:spacing w:before="100" w:beforeAutospacing="1" w:after="100" w:afterAutospacing="1" w:line="240" w:lineRule="auto"/>
          </w:pPr>
          <w:r>
            <w:fldChar w:fldCharType="end"/>
          </w:r>
        </w:p>
      </w:sdtContent>
    </w:sdt>
    <w:p w:rsidRPr="00FC34C9" w:rsidR="00DF1415" w:rsidP="1B531125" w:rsidRDefault="00DF1415" w14:paraId="6B2B18D4" w14:textId="38B10377">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5725C2DE" w14:textId="5A216D48">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422D6059" w14:textId="2FD655E3">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566B6E5C" w14:textId="019BB7D4">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01CF384F" w14:textId="177BDEF1">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7240818F" w14:textId="1791C6C8">
      <w:pPr>
        <w:spacing w:before="100" w:beforeAutospacing="on" w:after="100" w:afterAutospacing="on" w:line="240" w:lineRule="auto"/>
        <w:outlineLvl w:val="0"/>
        <w:rPr>
          <w:rFonts w:ascii="Times New Roman" w:hAnsi="Times New Roman" w:eastAsia="Times New Roman" w:cs="Times New Roman"/>
          <w:sz w:val="48"/>
          <w:szCs w:val="48"/>
        </w:rPr>
      </w:pPr>
      <w:bookmarkStart w:name="_Toc460218188" w:id="510583931"/>
      <w:r w:rsidRPr="1B531125" w:rsidR="4B186BD7">
        <w:rPr>
          <w:rFonts w:ascii="Times New Roman" w:hAnsi="Times New Roman" w:eastAsia="Times New Roman" w:cs="Times New Roman"/>
          <w:sz w:val="48"/>
          <w:szCs w:val="48"/>
        </w:rPr>
        <w:t>Title Page</w:t>
      </w:r>
      <w:bookmarkEnd w:id="510583931"/>
    </w:p>
    <w:p w:rsidRPr="00FC34C9" w:rsidR="00DF1415" w:rsidP="1B531125" w:rsidRDefault="00DF1415" w14:paraId="0A201441" w14:textId="462D8428">
      <w:pPr>
        <w:pStyle w:val="NoSpacing"/>
      </w:pPr>
      <w:r w:rsidR="4B186BD7">
        <w:rPr/>
        <w:t>Name</w:t>
      </w:r>
      <w:r w:rsidR="3D2B7E4E">
        <w:rPr/>
        <w:t>: Maria Hussain</w:t>
      </w:r>
    </w:p>
    <w:p w:rsidRPr="00FC34C9" w:rsidR="00DF1415" w:rsidP="1B531125" w:rsidRDefault="00DF1415" w14:paraId="061329E1" w14:textId="17EAF427">
      <w:pPr>
        <w:pStyle w:val="NoSpacing"/>
      </w:pPr>
      <w:r w:rsidR="4B186BD7">
        <w:rPr/>
        <w:t>Student Number</w:t>
      </w:r>
      <w:r w:rsidR="42D74297">
        <w:rPr/>
        <w:t>:</w:t>
      </w:r>
      <w:r w:rsidR="18ED06D8">
        <w:rPr/>
        <w:t xml:space="preserve"> 2436307</w:t>
      </w:r>
    </w:p>
    <w:p w:rsidRPr="00FC34C9" w:rsidR="00DF1415" w:rsidP="1B531125" w:rsidRDefault="00DF1415" w14:paraId="3A41CE95" w14:textId="5D13C3B4">
      <w:pPr>
        <w:pStyle w:val="NoSpacing"/>
      </w:pPr>
      <w:r w:rsidR="4B186BD7">
        <w:rPr/>
        <w:t>Module Name</w:t>
      </w:r>
      <w:r w:rsidR="6A70E830">
        <w:rPr/>
        <w:t>:</w:t>
      </w:r>
      <w:r w:rsidR="2E652F46">
        <w:rPr/>
        <w:t xml:space="preserve"> </w:t>
      </w:r>
      <w:r w:rsidRPr="1B531125" w:rsidR="5851E044">
        <w:rPr>
          <w:rFonts w:ascii="Segoe UI" w:hAnsi="Segoe UI" w:eastAsia="Segoe UI" w:cs="Segoe UI"/>
          <w:b w:val="1"/>
          <w:bCs w:val="1"/>
          <w:i w:val="0"/>
          <w:iCs w:val="0"/>
          <w:caps w:val="0"/>
          <w:smallCaps w:val="0"/>
          <w:noProof w:val="0"/>
          <w:color w:val="242424"/>
          <w:sz w:val="24"/>
          <w:szCs w:val="24"/>
          <w:lang w:val="en-GB"/>
        </w:rPr>
        <w:t>Developing and Managing Individuals and Teams</w:t>
      </w:r>
    </w:p>
    <w:p w:rsidRPr="00FC34C9" w:rsidR="00DF1415" w:rsidP="1B531125" w:rsidRDefault="00DF1415" w14:paraId="46DB2F17" w14:textId="24097D4F">
      <w:pPr>
        <w:pStyle w:val="NoSpacing"/>
      </w:pPr>
      <w:r w:rsidR="4B186BD7">
        <w:rPr/>
        <w:t>Module Code</w:t>
      </w:r>
      <w:r w:rsidR="16FEF9D7">
        <w:rPr/>
        <w:t>:</w:t>
      </w:r>
      <w:r w:rsidR="6DFB7517">
        <w:rPr/>
        <w:t>LCLM5002</w:t>
      </w:r>
    </w:p>
    <w:p w:rsidRPr="00FC34C9" w:rsidR="00DF1415" w:rsidP="1B531125" w:rsidRDefault="00DF1415" w14:paraId="5D1F42BB" w14:textId="48046334">
      <w:pPr>
        <w:pStyle w:val="NoSpacing"/>
      </w:pPr>
      <w:r w:rsidR="16FEF9D7">
        <w:rPr/>
        <w:t>Assignment Title:</w:t>
      </w:r>
      <w:r w:rsidRPr="1B531125" w:rsidR="5059C0D6">
        <w:rPr>
          <w:rFonts w:ascii="Segoe UI" w:hAnsi="Segoe UI" w:eastAsia="Segoe UI" w:cs="Segoe UI"/>
          <w:b w:val="1"/>
          <w:bCs w:val="1"/>
          <w:i w:val="0"/>
          <w:iCs w:val="0"/>
          <w:caps w:val="0"/>
          <w:smallCaps w:val="0"/>
          <w:noProof w:val="0"/>
          <w:color w:val="242424"/>
          <w:sz w:val="24"/>
          <w:szCs w:val="24"/>
          <w:lang w:val="en-GB"/>
        </w:rPr>
        <w:t xml:space="preserve"> Developing and Managing Individuals and Teams</w:t>
      </w:r>
    </w:p>
    <w:p w:rsidRPr="00FC34C9" w:rsidR="00DF1415" w:rsidP="1B531125" w:rsidRDefault="00DF1415" w14:paraId="2FAACC17" w14:textId="15362092">
      <w:pPr>
        <w:pStyle w:val="NoSpacing"/>
        <w:rPr>
          <w:rFonts w:ascii="Segoe UI" w:hAnsi="Segoe UI" w:eastAsia="Segoe UI" w:cs="Segoe UI"/>
          <w:b w:val="0"/>
          <w:bCs w:val="0"/>
          <w:i w:val="0"/>
          <w:iCs w:val="0"/>
          <w:caps w:val="0"/>
          <w:smallCaps w:val="0"/>
          <w:noProof w:val="0"/>
          <w:color w:val="242424"/>
          <w:sz w:val="21"/>
          <w:szCs w:val="21"/>
          <w:lang w:val="en-GB"/>
        </w:rPr>
      </w:pPr>
      <w:r w:rsidR="16FEF9D7">
        <w:rPr/>
        <w:t>Lecturers name:</w:t>
      </w:r>
      <w:r w:rsidR="54115D23">
        <w:rPr/>
        <w:t xml:space="preserve"> Samson </w:t>
      </w:r>
      <w:r w:rsidRPr="1B531125" w:rsidR="54115D23">
        <w:rPr>
          <w:rFonts w:ascii="Segoe UI" w:hAnsi="Segoe UI" w:eastAsia="Segoe UI" w:cs="Segoe UI"/>
          <w:b w:val="0"/>
          <w:bCs w:val="0"/>
          <w:i w:val="0"/>
          <w:iCs w:val="0"/>
          <w:caps w:val="0"/>
          <w:smallCaps w:val="0"/>
          <w:noProof w:val="0"/>
          <w:color w:val="242424"/>
          <w:sz w:val="21"/>
          <w:szCs w:val="21"/>
          <w:lang w:val="en-GB"/>
        </w:rPr>
        <w:t>Oladejo</w:t>
      </w:r>
      <w:r>
        <w:br/>
      </w:r>
      <w:r>
        <w:br/>
      </w:r>
    </w:p>
    <w:p w:rsidRPr="00FC34C9" w:rsidR="00DF1415" w:rsidP="1B531125" w:rsidRDefault="00DF1415" w14:paraId="6DB564E8" w14:textId="0D81E89A">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7A00353A" w14:textId="1FF7978A">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753D48AA" w14:textId="2A3B71FB">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33385A25" w14:textId="66D9B0AA">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4D591386" w14:textId="3BC8D303">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76FBB2E6" w14:textId="0165F4AF">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5EDDD600" w14:textId="1D677828">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4E860EF2" w14:textId="47E95DC6">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4FD8DB17" w14:textId="6460B8F7">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503B0C3C" w14:textId="19EF16CC">
      <w:pPr>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401AFB46" w14:textId="0E08C71E">
      <w:pPr>
        <w:pStyle w:val="Normal"/>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5F17E33D" w14:textId="7E1F9293">
      <w:pPr>
        <w:pStyle w:val="Normal"/>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7F6BA297" w14:textId="116717B7">
      <w:pPr>
        <w:pStyle w:val="Normal"/>
        <w:spacing w:before="100" w:beforeAutospacing="on" w:after="100" w:afterAutospacing="on" w:line="240" w:lineRule="auto"/>
        <w:outlineLvl w:val="0"/>
        <w:rPr>
          <w:rFonts w:ascii="Times New Roman" w:hAnsi="Times New Roman" w:eastAsia="Times New Roman" w:cs="Times New Roman"/>
          <w:sz w:val="48"/>
          <w:szCs w:val="48"/>
        </w:rPr>
      </w:pPr>
    </w:p>
    <w:p w:rsidRPr="00FC34C9" w:rsidR="00DF1415" w:rsidP="1B531125" w:rsidRDefault="00DF1415" w14:paraId="6EB4C381" w14:textId="344D4613">
      <w:pPr>
        <w:pStyle w:val="Normal"/>
        <w:spacing w:before="100" w:beforeAutospacing="on" w:after="100" w:afterAutospacing="on" w:line="240" w:lineRule="auto"/>
        <w:outlineLvl w:val="0"/>
        <w:rPr>
          <w:rFonts w:ascii="Times New Roman" w:hAnsi="Times New Roman" w:eastAsia="Times New Roman" w:cs="Times New Roman"/>
          <w:color w:val="auto"/>
          <w:kern w:val="36"/>
          <w:sz w:val="48"/>
          <w:szCs w:val="48"/>
          <w14:ligatures w14:val="none"/>
        </w:rPr>
      </w:pPr>
      <w:bookmarkStart w:name="_Toc488201725" w:id="50281742"/>
      <w:r w:rsidRPr="1B531125" w:rsidR="20F1A978">
        <w:rPr>
          <w:rFonts w:ascii="Times New Roman" w:hAnsi="Times New Roman" w:eastAsia="Times New Roman" w:cs="Times New Roman"/>
          <w:color w:val="auto"/>
          <w:sz w:val="48"/>
          <w:szCs w:val="48"/>
        </w:rPr>
        <w:t>Introduction</w:t>
      </w:r>
      <w:bookmarkEnd w:id="50281742"/>
      <w:r w:rsidRPr="1B531125" w:rsidR="20F1A978">
        <w:rPr>
          <w:rFonts w:ascii="Times New Roman" w:hAnsi="Times New Roman" w:eastAsia="Times New Roman" w:cs="Times New Roman"/>
          <w:color w:val="auto"/>
          <w:sz w:val="48"/>
          <w:szCs w:val="48"/>
        </w:rPr>
        <w:t xml:space="preserve"> </w:t>
      </w:r>
    </w:p>
    <w:p w:rsidRPr="00FC34C9" w:rsidR="00DF1415" w:rsidP="1B531125" w:rsidRDefault="00DF1415" w14:paraId="0CB370EA" w14:textId="33595EBB">
      <w:pPr>
        <w:pStyle w:val="Normal"/>
        <w:spacing w:beforeAutospacing="on" w:after="0" w:afterAutospacing="on" w:line="240" w:lineRule="auto"/>
        <w:rPr>
          <w:rFonts w:ascii="Times New Roman" w:hAnsi="Times New Roman" w:eastAsia="Times New Roman" w:cs="Times New Roman"/>
          <w:noProof w:val="0"/>
          <w:color w:val="auto"/>
          <w:kern w:val="0"/>
          <w:sz w:val="24"/>
          <w:szCs w:val="24"/>
          <w:lang w:val="en-GB"/>
          <w14:ligatures w14:val="none"/>
        </w:rPr>
      </w:pPr>
      <w:r w:rsidRPr="1B531125" w:rsidR="7A322172">
        <w:rPr>
          <w:rFonts w:ascii="Times New Roman" w:hAnsi="Times New Roman" w:eastAsia="Times New Roman" w:cs="Times New Roman"/>
          <w:noProof w:val="0"/>
          <w:color w:val="auto"/>
          <w:sz w:val="24"/>
          <w:szCs w:val="24"/>
          <w:lang w:val="en-GB"/>
        </w:rPr>
        <w:t xml:space="preserve">Human Resource (HR) management is increasingly important as organisations respond to rapid technological change, evolving employee expectations and growing demands for equality and inclusion. HR professionals must balance business performance with employee wellbeing to attract, </w:t>
      </w:r>
      <w:r w:rsidRPr="1B531125" w:rsidR="7A322172">
        <w:rPr>
          <w:rFonts w:ascii="Times New Roman" w:hAnsi="Times New Roman" w:eastAsia="Times New Roman" w:cs="Times New Roman"/>
          <w:noProof w:val="0"/>
          <w:color w:val="auto"/>
          <w:sz w:val="24"/>
          <w:szCs w:val="24"/>
          <w:lang w:val="en-GB"/>
        </w:rPr>
        <w:t>develop</w:t>
      </w:r>
      <w:r w:rsidRPr="1B531125" w:rsidR="7A322172">
        <w:rPr>
          <w:rFonts w:ascii="Times New Roman" w:hAnsi="Times New Roman" w:eastAsia="Times New Roman" w:cs="Times New Roman"/>
          <w:noProof w:val="0"/>
          <w:color w:val="auto"/>
          <w:sz w:val="24"/>
          <w:szCs w:val="24"/>
          <w:lang w:val="en-GB"/>
        </w:rPr>
        <w:t xml:space="preserve"> and </w:t>
      </w:r>
      <w:r w:rsidRPr="1B531125" w:rsidR="7A322172">
        <w:rPr>
          <w:rFonts w:ascii="Times New Roman" w:hAnsi="Times New Roman" w:eastAsia="Times New Roman" w:cs="Times New Roman"/>
          <w:noProof w:val="0"/>
          <w:color w:val="auto"/>
          <w:sz w:val="24"/>
          <w:szCs w:val="24"/>
          <w:lang w:val="en-GB"/>
        </w:rPr>
        <w:t>retain</w:t>
      </w:r>
      <w:r w:rsidRPr="1B531125" w:rsidR="7A322172">
        <w:rPr>
          <w:rFonts w:ascii="Times New Roman" w:hAnsi="Times New Roman" w:eastAsia="Times New Roman" w:cs="Times New Roman"/>
          <w:noProof w:val="0"/>
          <w:color w:val="auto"/>
          <w:sz w:val="24"/>
          <w:szCs w:val="24"/>
          <w:lang w:val="en-GB"/>
        </w:rPr>
        <w:t xml:space="preserve"> talent in a competitive market (CIPD, 2024). This report explores the key HR challenges facing Sports Direct, part of Frasers Group, including technology adoption, talent attraction and retention, and Diversity, </w:t>
      </w:r>
      <w:r w:rsidRPr="1B531125" w:rsidR="7A322172">
        <w:rPr>
          <w:rFonts w:ascii="Times New Roman" w:hAnsi="Times New Roman" w:eastAsia="Times New Roman" w:cs="Times New Roman"/>
          <w:noProof w:val="0"/>
          <w:color w:val="auto"/>
          <w:sz w:val="24"/>
          <w:szCs w:val="24"/>
          <w:lang w:val="en-GB"/>
        </w:rPr>
        <w:t>Equity</w:t>
      </w:r>
      <w:r w:rsidRPr="1B531125" w:rsidR="7A322172">
        <w:rPr>
          <w:rFonts w:ascii="Times New Roman" w:hAnsi="Times New Roman" w:eastAsia="Times New Roman" w:cs="Times New Roman"/>
          <w:noProof w:val="0"/>
          <w:color w:val="auto"/>
          <w:sz w:val="24"/>
          <w:szCs w:val="24"/>
          <w:lang w:val="en-GB"/>
        </w:rPr>
        <w:t xml:space="preserve"> and Inclusion (DEI). It evaluates HR practices that can address these issues and examines the role of managers in supporting effective implementation and long-term organisational success (Frasers Group, 2024).</w:t>
      </w:r>
    </w:p>
    <w:p w:rsidRPr="00FC34C9" w:rsidR="00DF1415" w:rsidP="1B531125" w:rsidRDefault="00DF1415" w14:paraId="5AFF681F" w14:textId="56EA5792">
      <w:pPr>
        <w:spacing w:before="100" w:beforeAutospacing="on" w:after="100" w:afterAutospacing="on" w:line="240" w:lineRule="auto"/>
        <w:outlineLvl w:val="0"/>
        <w:rPr>
          <w:rFonts w:ascii="Times New Roman" w:hAnsi="Times New Roman" w:eastAsia="Times New Roman" w:cs="Times New Roman"/>
          <w:color w:val="auto"/>
          <w:kern w:val="36"/>
          <w:sz w:val="48"/>
          <w:szCs w:val="48"/>
          <w14:ligatures w14:val="none"/>
        </w:rPr>
      </w:pPr>
      <w:bookmarkStart w:name="_Toc1601505017" w:id="1454540212"/>
      <w:r w:rsidRPr="1B531125" w:rsidR="20F1A978">
        <w:rPr>
          <w:rFonts w:ascii="Times New Roman" w:hAnsi="Times New Roman" w:eastAsia="Times New Roman" w:cs="Times New Roman"/>
          <w:color w:val="auto"/>
          <w:kern w:val="36"/>
          <w:sz w:val="48"/>
          <w:szCs w:val="48"/>
          <w14:ligatures w14:val="none"/>
        </w:rPr>
        <w:t>1. Explanation of Key HR Challenges</w:t>
      </w:r>
      <w:bookmarkEnd w:id="1454540212"/>
    </w:p>
    <w:p w:rsidRPr="00FC34C9" w:rsidR="00DF1415" w:rsidP="1B531125" w:rsidRDefault="00DF1415" w14:paraId="134A4B90" w14:textId="77777777">
      <w:pPr>
        <w:spacing w:before="100" w:beforeAutospacing="on" w:after="100" w:afterAutospacing="on" w:line="240" w:lineRule="auto"/>
        <w:outlineLvl w:val="1"/>
        <w:rPr>
          <w:rFonts w:ascii="Times New Roman" w:hAnsi="Times New Roman" w:eastAsia="Times New Roman" w:cs="Times New Roman"/>
          <w:color w:val="auto"/>
          <w:kern w:val="0"/>
          <w:sz w:val="36"/>
          <w:szCs w:val="36"/>
          <w14:ligatures w14:val="none"/>
        </w:rPr>
      </w:pPr>
      <w:bookmarkStart w:name="_Toc1789843794" w:id="2106497573"/>
      <w:r w:rsidRPr="1B531125" w:rsidR="20F1A978">
        <w:rPr>
          <w:rFonts w:ascii="Times New Roman" w:hAnsi="Times New Roman" w:eastAsia="Times New Roman" w:cs="Times New Roman"/>
          <w:color w:val="auto"/>
          <w:kern w:val="0"/>
          <w:sz w:val="36"/>
          <w:szCs w:val="36"/>
          <w14:ligatures w14:val="none"/>
        </w:rPr>
        <w:t>Key Contemporary HR Challenges Facing Sports Direct</w:t>
      </w:r>
      <w:bookmarkEnd w:id="2106497573"/>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829"/>
        <w:gridCol w:w="4208"/>
        <w:gridCol w:w="2973"/>
      </w:tblGrid>
      <w:tr w:rsidRPr="00FC34C9" w:rsidR="00CA7A69" w:rsidTr="1B531125" w14:paraId="186BA147"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0DD12083"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HR Challenge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2AD900AE"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Impact on Sports Direct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61FBEACD"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Strategic Importance</w:t>
            </w:r>
          </w:p>
        </w:tc>
      </w:tr>
      <w:tr w:rsidRPr="00FC34C9" w:rsidR="00CA7A69" w:rsidTr="1B531125" w14:paraId="05861EDA"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7416DC5C"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Technological advancement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2C109EC6"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Digital transformation, automation and AI require employees to develop new skills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14A7D43F"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Improves efficiency and customer experience</w:t>
            </w:r>
          </w:p>
        </w:tc>
      </w:tr>
      <w:tr w:rsidRPr="00FC34C9" w:rsidR="00CA7A69" w:rsidTr="1B531125" w14:paraId="456DD5D6"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055A39E3"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Talent acquisition and retention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716B5EC7"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Labour shortages and competition for skilled employees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3F1FE3AA"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Supports service quality and organisational performance</w:t>
            </w:r>
          </w:p>
        </w:tc>
      </w:tr>
      <w:tr w:rsidRPr="00FC34C9" w:rsidR="00CA7A69" w:rsidTr="1B531125" w14:paraId="555875F5"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21B14DDB"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Diversity, Equity and Inclusion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2A049F9B"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Creating an inclusive culture across a diverse workforce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CA7A69" w:rsidP="1B531125" w:rsidRDefault="00CA7A69" w14:paraId="0E6BB702"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2FBAB9BA">
              <w:rPr>
                <w:rFonts w:ascii="Times New Roman" w:hAnsi="Times New Roman" w:cs="Times New Roman"/>
                <w:color w:val="auto"/>
                <w:kern w:val="0"/>
                <w14:ligatures w14:val="none"/>
              </w:rPr>
              <w:t>Enhances innovation, reputation and legal compliance</w:t>
            </w:r>
          </w:p>
        </w:tc>
      </w:tr>
    </w:tbl>
    <w:p w:rsidRPr="00FC34C9" w:rsidR="00DF1415" w:rsidP="1B531125" w:rsidRDefault="00DF1415" w14:paraId="201DC420" w14:textId="77777777">
      <w:pPr>
        <w:rPr>
          <w:color w:val="auto"/>
        </w:rPr>
      </w:pPr>
    </w:p>
    <w:p w:rsidR="7650467E" w:rsidP="1B531125" w:rsidRDefault="7650467E" w14:paraId="3E2F7835" w14:textId="0313CE64">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715954009" w:id="360936072"/>
      <w:r w:rsidRPr="1B531125" w:rsidR="7650467E">
        <w:rPr>
          <w:rFonts w:ascii="Times New Roman" w:hAnsi="Times New Roman" w:eastAsia="Times New Roman" w:cs="Times New Roman"/>
          <w:b w:val="1"/>
          <w:bCs w:val="1"/>
          <w:noProof w:val="0"/>
          <w:color w:val="auto"/>
          <w:sz w:val="28"/>
          <w:szCs w:val="28"/>
          <w:lang w:val="en-GB"/>
        </w:rPr>
        <w:t>1.1 Adapting to Technological Advancements</w:t>
      </w:r>
      <w:bookmarkEnd w:id="360936072"/>
    </w:p>
    <w:p w:rsidR="7650467E" w:rsidP="1B531125" w:rsidRDefault="7650467E" w14:paraId="240118DB" w14:textId="2FAC264A">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Technology is transforming the retail industry, and Sports Direct has invested in digital platforms, warehouse automation, self-service technology and data analytics to improve efficiency and customer experience (Frasers Group, 2024). While these developments support business growth, they also require employees to continuously develop their digital skills.</w:t>
      </w:r>
    </w:p>
    <w:p w:rsidR="7650467E" w:rsidP="1B531125" w:rsidRDefault="7650467E" w14:paraId="4880E8AB" w14:textId="71B89CD6">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Modern retail roles increasingly involve using handheld devices, digital inventory systems and customer relationship management software. HR therefore has an important role in identifying skills gaps and providing training before new technologies are introduced (Armstrong and Taylor, 2023).</w:t>
      </w:r>
    </w:p>
    <w:p w:rsidR="7650467E" w:rsidP="1B531125" w:rsidRDefault="7650467E" w14:paraId="784BB9E2" w14:textId="0698C4F8">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If employees are not supported during this transition, productivity may fall and resistance to change may increase. Employees who lack confidence using new systems can experience greater stress and lower engagement. Kotter (2012) argues that organisational change often fails because of poor communication and limited employee involvement rather than the technology itself. Similarly, the Resource-Based View suggests that organisations gain a competitive advantage by developing valuable internal capabilities that competitors cannot easily copy (Barney, 1991). For Sports Direct, a digitally skilled workforce is therefore a key strategic asset.</w:t>
      </w:r>
    </w:p>
    <w:p w:rsidR="7650467E" w:rsidP="1B531125" w:rsidRDefault="7650467E" w14:paraId="37C8A8EA" w14:textId="069FC19D">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398335804" w:id="1050473534"/>
      <w:r w:rsidRPr="1B531125" w:rsidR="7650467E">
        <w:rPr>
          <w:rFonts w:ascii="Times New Roman" w:hAnsi="Times New Roman" w:eastAsia="Times New Roman" w:cs="Times New Roman"/>
          <w:b w:val="1"/>
          <w:bCs w:val="1"/>
          <w:noProof w:val="0"/>
          <w:color w:val="auto"/>
          <w:sz w:val="28"/>
          <w:szCs w:val="28"/>
          <w:lang w:val="en-GB"/>
        </w:rPr>
        <w:t>1.2 Talent Acquisition and Retention</w:t>
      </w:r>
      <w:bookmarkEnd w:id="1050473534"/>
    </w:p>
    <w:p w:rsidR="7650467E" w:rsidP="1B531125" w:rsidRDefault="7650467E" w14:paraId="76339E2A" w14:textId="1689359A">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Recruiting and retaining employees remains a major challenge for UK retailers due to labour shortages, increased competition and changing employee expectations (CIPD, 2024).</w:t>
      </w:r>
    </w:p>
    <w:p w:rsidR="7650467E" w:rsidP="1B531125" w:rsidRDefault="7650467E" w14:paraId="32C484D0" w14:textId="615C470B">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Sports Direct employs people across retail, warehousing, logistics and digital operations. High employee turnover increases recruitment, induction and training costs while reducing customer service quality as experienced staff leave the business.</w:t>
      </w:r>
    </w:p>
    <w:p w:rsidR="7650467E" w:rsidP="1B531125" w:rsidRDefault="7650467E" w14:paraId="4250594D" w14:textId="07C70D9B">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The Psychological Contract explains that employees develop expectations around career progression, recognition and organisational support (Rousseau, 1995). When these expectations are not met, commitment often declines, increasing the likelihood of employees leaving. Employer branding has also become increasingly important, with many applicants researching organisations through social media and employee review websites before applying (Backhaus and Tikoo, 2004). A positive reputation helps attract skilled applicants and improve retention.</w:t>
      </w:r>
    </w:p>
    <w:p w:rsidR="7650467E" w:rsidP="1B531125" w:rsidRDefault="7650467E" w14:paraId="2FF1E957" w14:textId="3AA610EE">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44669624" w:id="1761883362"/>
      <w:r w:rsidRPr="1B531125" w:rsidR="7650467E">
        <w:rPr>
          <w:rFonts w:ascii="Times New Roman" w:hAnsi="Times New Roman" w:eastAsia="Times New Roman" w:cs="Times New Roman"/>
          <w:b w:val="1"/>
          <w:bCs w:val="1"/>
          <w:noProof w:val="0"/>
          <w:color w:val="auto"/>
          <w:sz w:val="28"/>
          <w:szCs w:val="28"/>
          <w:lang w:val="en-GB"/>
        </w:rPr>
        <w:t>1.3 Diversity, Equity and Inclusion (DEI)</w:t>
      </w:r>
      <w:bookmarkEnd w:id="1761883362"/>
    </w:p>
    <w:p w:rsidR="7650467E" w:rsidP="1B531125" w:rsidRDefault="7650467E" w14:paraId="3DB1DE26" w14:textId="411AB23A">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Sports Direct employs people from a wide range of backgrounds, making Diversity, Equity and Inclusion (DEI) both a legal responsibility and a business priority. A diverse workforce brings different perspectives, while an inclusive culture helps employees feel respected and valued (CIPD, 2023).</w:t>
      </w:r>
    </w:p>
    <w:p w:rsidR="7650467E" w:rsidP="1B531125" w:rsidRDefault="7650467E" w14:paraId="31B52652" w14:textId="41BF2500">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The Equality Act 2010 requires employers to prevent discrimination and provide equal opportunities throughout employment. Beyond legal compliance, inclusion encourages innovation because employees who feel psychologically safe are more confident sharing ideas and working collaboratively. In contrast, discrimination and exclusion can reduce engagement, increase absenteeism and contribute to higher staff turnover (Shore et al., 2018).</w:t>
      </w:r>
    </w:p>
    <w:p w:rsidR="7650467E" w:rsidP="1B531125" w:rsidRDefault="7650467E" w14:paraId="089163DC" w14:textId="2E328621">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650467E">
        <w:rPr>
          <w:rFonts w:ascii="Times New Roman" w:hAnsi="Times New Roman" w:eastAsia="Times New Roman" w:cs="Times New Roman"/>
          <w:noProof w:val="0"/>
          <w:color w:val="auto"/>
          <w:sz w:val="24"/>
          <w:szCs w:val="24"/>
          <w:lang w:val="en-GB"/>
        </w:rPr>
        <w:t>Although Sports Direct has improved its employment practices in recent years, maintaining an inclusive culture remains essential as the organisation continues to grow. A diverse workforce also helps the business better understand and serve its increasingly varied customer base.</w:t>
      </w:r>
    </w:p>
    <w:p w:rsidR="1B531125" w:rsidP="1B531125" w:rsidRDefault="1B531125" w14:paraId="455CF518" w14:textId="365CDAD0">
      <w:pPr>
        <w:spacing w:beforeAutospacing="on" w:afterAutospacing="on" w:line="240" w:lineRule="auto"/>
        <w:rPr>
          <w:rFonts w:ascii="Times New Roman" w:hAnsi="Times New Roman" w:cs="Times New Roman"/>
          <w:color w:val="auto"/>
        </w:rPr>
      </w:pPr>
    </w:p>
    <w:p w:rsidR="426A5FCF" w:rsidP="1B531125" w:rsidRDefault="426A5FCF" w14:paraId="25F040FB" w14:textId="6CE06273">
      <w:pPr>
        <w:pStyle w:val="Heading2"/>
        <w:spacing w:before="299" w:beforeAutospacing="off" w:after="299" w:afterAutospacing="off"/>
        <w:rPr>
          <w:rFonts w:ascii="Times New Roman" w:hAnsi="Times New Roman" w:eastAsia="Times New Roman" w:cs="Times New Roman"/>
          <w:b w:val="1"/>
          <w:bCs w:val="1"/>
          <w:noProof w:val="0"/>
          <w:color w:val="auto"/>
          <w:sz w:val="36"/>
          <w:szCs w:val="36"/>
          <w:lang w:val="en-GB"/>
        </w:rPr>
      </w:pPr>
      <w:bookmarkStart w:name="_Toc1958944564" w:id="551404642"/>
      <w:r w:rsidRPr="1B531125" w:rsidR="426A5FCF">
        <w:rPr>
          <w:rFonts w:ascii="Times New Roman" w:hAnsi="Times New Roman" w:eastAsia="Times New Roman" w:cs="Times New Roman"/>
          <w:b w:val="1"/>
          <w:bCs w:val="1"/>
          <w:noProof w:val="0"/>
          <w:color w:val="auto"/>
          <w:sz w:val="36"/>
          <w:szCs w:val="36"/>
          <w:lang w:val="en-GB"/>
        </w:rPr>
        <w:t>2. Evaluation of Contemporary HR Practices</w:t>
      </w:r>
      <w:bookmarkEnd w:id="551404642"/>
    </w:p>
    <w:p w:rsidR="426A5FCF" w:rsidP="1B531125" w:rsidRDefault="426A5FCF" w14:paraId="1CA18F1B" w14:textId="6220BC7A">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426A5FCF">
        <w:rPr>
          <w:rFonts w:ascii="Times New Roman" w:hAnsi="Times New Roman" w:eastAsia="Times New Roman" w:cs="Times New Roman"/>
          <w:noProof w:val="0"/>
          <w:color w:val="auto"/>
          <w:sz w:val="24"/>
          <w:szCs w:val="24"/>
          <w:lang w:val="en-GB"/>
        </w:rPr>
        <w:t xml:space="preserve">Sports Direct </w:t>
      </w:r>
      <w:r w:rsidRPr="1B531125" w:rsidR="426A5FCF">
        <w:rPr>
          <w:rFonts w:ascii="Times New Roman" w:hAnsi="Times New Roman" w:eastAsia="Times New Roman" w:cs="Times New Roman"/>
          <w:noProof w:val="0"/>
          <w:color w:val="auto"/>
          <w:sz w:val="24"/>
          <w:szCs w:val="24"/>
          <w:lang w:val="en-GB"/>
        </w:rPr>
        <w:t>operates</w:t>
      </w:r>
      <w:r w:rsidRPr="1B531125" w:rsidR="426A5FCF">
        <w:rPr>
          <w:rFonts w:ascii="Times New Roman" w:hAnsi="Times New Roman" w:eastAsia="Times New Roman" w:cs="Times New Roman"/>
          <w:noProof w:val="0"/>
          <w:color w:val="auto"/>
          <w:sz w:val="24"/>
          <w:szCs w:val="24"/>
          <w:lang w:val="en-GB"/>
        </w:rPr>
        <w:t xml:space="preserve"> in a competitive retail market where technology, customer expectations and labour market conditions continue to change. To remain competitive, the organisation needs HR practices that address current challenges while supporting long-term business goals. However, introducing new HR initiatives is not enough. Their success depends on effective implementation and whether they genuinely improve employee experiences.</w:t>
      </w:r>
    </w:p>
    <w:p w:rsidRPr="00FC34C9" w:rsidR="008F5432" w:rsidP="1B531125" w:rsidRDefault="008F5432" w14:paraId="66BCBC41" w14:textId="77777777">
      <w:pPr>
        <w:spacing w:before="100" w:beforeAutospacing="on" w:after="100" w:afterAutospacing="on" w:line="240" w:lineRule="auto"/>
        <w:outlineLvl w:val="2"/>
        <w:rPr>
          <w:rFonts w:ascii="Times New Roman" w:hAnsi="Times New Roman" w:eastAsia="Times New Roman" w:cs="Times New Roman"/>
          <w:color w:val="auto"/>
          <w:kern w:val="0"/>
          <w:sz w:val="27"/>
          <w:szCs w:val="27"/>
          <w14:ligatures w14:val="none"/>
        </w:rPr>
      </w:pPr>
      <w:bookmarkStart w:name="_Toc265423666" w:id="505687285"/>
      <w:r w:rsidRPr="1B531125" w:rsidR="4975B983">
        <w:rPr>
          <w:rFonts w:ascii="Times New Roman" w:hAnsi="Times New Roman" w:eastAsia="Times New Roman" w:cs="Times New Roman"/>
          <w:color w:val="auto"/>
          <w:kern w:val="0"/>
          <w:sz w:val="27"/>
          <w:szCs w:val="27"/>
          <w14:ligatures w14:val="none"/>
        </w:rPr>
        <w:t>Table 2: Contemporary HR Practices for Sports Direct</w:t>
      </w:r>
      <w:bookmarkEnd w:id="505687285"/>
    </w:p>
    <w:tbl>
      <w:tblPr>
        <w:tblW w:w="5000" w:type="pct"/>
        <w:tblBorders>
          <w:top w:val="single" w:color="auto" w:sz="6" w:space="0"/>
          <w:left w:val="single" w:color="auto" w:sz="6" w:space="0"/>
          <w:bottom w:val="single" w:color="auto" w:sz="6" w:space="0"/>
          <w:right w:val="single" w:color="auto" w:sz="6" w:space="0"/>
        </w:tblBorders>
        <w:tblCellMar>
          <w:top w:w="160" w:type="dxa"/>
          <w:left w:w="160" w:type="dxa"/>
          <w:bottom w:w="160" w:type="dxa"/>
          <w:right w:w="160" w:type="dxa"/>
        </w:tblCellMar>
        <w:tblLook w:val="04A0" w:firstRow="1" w:lastRow="0" w:firstColumn="1" w:lastColumn="0" w:noHBand="0" w:noVBand="1"/>
      </w:tblPr>
      <w:tblGrid>
        <w:gridCol w:w="1443"/>
        <w:gridCol w:w="2538"/>
        <w:gridCol w:w="2384"/>
        <w:gridCol w:w="2645"/>
      </w:tblGrid>
      <w:tr w:rsidRPr="00FC34C9" w:rsidR="00363581" w:rsidTr="1B531125" w14:paraId="6033B898" w14:textId="77777777">
        <w:trPr>
          <w:tblHeader/>
        </w:trPr>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5159058C"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HR Challenge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5F36A2ED"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Contemporary HR Practice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4E153A7C"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Strengths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1F717F77" w14:textId="77777777">
            <w:pPr>
              <w:spacing w:before="100" w:beforeAutospacing="on" w:after="100" w:afterAutospacing="on" w:line="240" w:lineRule="auto"/>
              <w:jc w:val="center"/>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Potential Limitations</w:t>
            </w:r>
          </w:p>
        </w:tc>
      </w:tr>
      <w:tr w:rsidRPr="00FC34C9" w:rsidR="00363581" w:rsidTr="1B531125" w14:paraId="2E05CB7B"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3B3D7A2F"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Technological change</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4085242E"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Digital HR systems and workforce analytics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4EC9E103"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Improves efficiency, planning and decision-making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31CA03F0"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High implementation costs and employee resistance</w:t>
            </w:r>
          </w:p>
        </w:tc>
      </w:tr>
      <w:tr w:rsidRPr="00FC34C9" w:rsidR="00363581" w:rsidTr="1B531125" w14:paraId="0ACC3402"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2F5BF77D"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Talent acquisition and retention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76324D06"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Employer branding and strategic workforce planning</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02C1DE7D"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Attracts skilled candidates and reduces turnover</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628105E6"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Requires continuous investment and consistency</w:t>
            </w:r>
          </w:p>
        </w:tc>
      </w:tr>
      <w:tr w:rsidRPr="00FC34C9" w:rsidR="00363581" w:rsidTr="1B531125" w14:paraId="3401A9CE" w14:textId="77777777">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56F3E6F9"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Diversity, Equity and Inclusion</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65F0CBC7"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Inclusive recruitment, leadership development and DEI policies</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61C66BA8"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Encourages fairness, innovation and employee engagement</w:t>
            </w:r>
          </w:p>
        </w:tc>
        <w:tc>
          <w:tcPr>
            <w:tcW w:w="0" w:type="auto"/>
            <w:tcBorders>
              <w:top w:val="single" w:color="auto" w:sz="6" w:space="0"/>
              <w:left w:val="single" w:color="auto" w:sz="6" w:space="0"/>
              <w:bottom w:val="single" w:color="auto" w:sz="6" w:space="0"/>
              <w:right w:val="single" w:color="auto" w:sz="6" w:space="0"/>
            </w:tcBorders>
            <w:noWrap/>
            <w:tcMar>
              <w:top w:w="120" w:type="dxa"/>
              <w:left w:w="180" w:type="dxa"/>
              <w:bottom w:w="120" w:type="dxa"/>
              <w:right w:w="180" w:type="dxa"/>
            </w:tcMar>
            <w:vAlign w:val="center"/>
            <w:hideMark/>
          </w:tcPr>
          <w:p w:rsidRPr="00FC34C9" w:rsidR="00363581" w:rsidP="1B531125" w:rsidRDefault="00363581" w14:paraId="141CE81F"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52B2932A">
              <w:rPr>
                <w:rFonts w:ascii="Times New Roman" w:hAnsi="Times New Roman" w:cs="Times New Roman"/>
                <w:color w:val="auto"/>
                <w:kern w:val="0"/>
                <w14:ligatures w14:val="none"/>
              </w:rPr>
              <w:t>Cultural change can take time and requires leadership commitment</w:t>
            </w:r>
          </w:p>
        </w:tc>
      </w:tr>
    </w:tbl>
    <w:p w:rsidRPr="00FC34C9" w:rsidR="00CA7A69" w:rsidP="1B531125" w:rsidRDefault="00CA7A69" w14:paraId="73CDB85A" w14:textId="77777777">
      <w:pPr>
        <w:rPr>
          <w:color w:val="auto"/>
        </w:rPr>
      </w:pPr>
    </w:p>
    <w:p w:rsidR="7D5F733A" w:rsidP="1B531125" w:rsidRDefault="7D5F733A" w14:paraId="491A7A24" w14:textId="172BA699">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960907457" w:id="291713764"/>
      <w:r w:rsidRPr="1B531125" w:rsidR="7D5F733A">
        <w:rPr>
          <w:rFonts w:ascii="Times New Roman" w:hAnsi="Times New Roman" w:eastAsia="Times New Roman" w:cs="Times New Roman"/>
          <w:b w:val="1"/>
          <w:bCs w:val="1"/>
          <w:noProof w:val="0"/>
          <w:color w:val="auto"/>
          <w:sz w:val="28"/>
          <w:szCs w:val="28"/>
          <w:lang w:val="en-GB"/>
        </w:rPr>
        <w:t>2.1 Digital HR Systems and Workforce Analytics</w:t>
      </w:r>
      <w:bookmarkEnd w:id="291713764"/>
    </w:p>
    <w:p w:rsidR="7D5F733A" w:rsidP="1B531125" w:rsidRDefault="7D5F733A" w14:paraId="7CF1690D" w14:textId="70DD5E52">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As Sports Direct continues investing in digital retail and warehouse automation, HR must also make greater use of technology. Digital HR systems improve the management of recruitment, onboarding, training, attendance and performance through integrated platforms, helping HR teams work more efficiently (Armstrong and Taylor, 2023).</w:t>
      </w:r>
    </w:p>
    <w:p w:rsidR="7D5F733A" w:rsidP="1B531125" w:rsidRDefault="7D5F733A" w14:paraId="43C809C6" w14:textId="7572C3FF">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Workforce analytics also supports better decision-making by using data to identify trends in employee turnover, absence, productivity and engagement. For example, if a particular region experiences consistently high staff turnover, HR can investigate the causes and introduce targeted retention strategies before service quality is affected. Predictive analytics can also help forecast staffing needs during busy trading periods, such as Christmas or Black Friday, allowing Sports Direct to plan recruitment more effectively (CIPD, 2024).</w:t>
      </w:r>
    </w:p>
    <w:p w:rsidR="7D5F733A" w:rsidP="1B531125" w:rsidRDefault="7D5F733A" w14:paraId="3F154B36" w14:textId="7207D22F">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Despite these advantages, implementing digital systems requires investment in technology, employee training and ongoing maintenance. Some employees may also resist new systems if they believe technology could replace parts of their role. In addition, Sports Direct must manage employee data responsibly to comply with UK GDPR requirements. Overall, digital HR systems offer long-term benefits, but their success depends on effective communication and training.</w:t>
      </w:r>
    </w:p>
    <w:p w:rsidR="7D5F733A" w:rsidP="1B531125" w:rsidRDefault="7D5F733A" w14:paraId="43FD0EC8" w14:textId="50633647">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2006032017" w:id="1951962163"/>
      <w:r w:rsidRPr="1B531125" w:rsidR="7D5F733A">
        <w:rPr>
          <w:rFonts w:ascii="Times New Roman" w:hAnsi="Times New Roman" w:eastAsia="Times New Roman" w:cs="Times New Roman"/>
          <w:b w:val="1"/>
          <w:bCs w:val="1"/>
          <w:noProof w:val="0"/>
          <w:color w:val="auto"/>
          <w:sz w:val="28"/>
          <w:szCs w:val="28"/>
          <w:lang w:val="en-GB"/>
        </w:rPr>
        <w:t>2.2 Employer Branding and Strategic Workforce Planning</w:t>
      </w:r>
      <w:bookmarkEnd w:id="1951962163"/>
    </w:p>
    <w:p w:rsidR="7D5F733A" w:rsidP="1B531125" w:rsidRDefault="7D5F733A" w14:paraId="6DE6EA11" w14:textId="75D6F114">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Attracting and retaining skilled employees has become increasingly challenging in the retail sector, making employer branding more important than ever. Employer branding reflects how current and potential employees view an organisation as a place to work and influences recruitment and retention (Backhaus and Tikoo, 2004).</w:t>
      </w:r>
    </w:p>
    <w:p w:rsidR="7D5F733A" w:rsidP="1B531125" w:rsidRDefault="7D5F733A" w14:paraId="6EEB7B4B" w14:textId="65085D15">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Sports Direct has previously faced criticism over its employment practices, meaning rebuilding trust requires more than positive marketing. Employees need to experience fair treatment, career development opportunities and supportive leadership for the employer brand to remain credible.</w:t>
      </w:r>
    </w:p>
    <w:p w:rsidR="7D5F733A" w:rsidP="1B531125" w:rsidRDefault="7D5F733A" w14:paraId="5E7EEB28" w14:textId="59738A3C">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Strategic workforce planning supports this by ensuring the organisation has the right people with the right skills at the right time. By forecasting future staffing needs based on business growth, seasonal demand and technological developments, HR can prepare more effectively for future challenges (CIPD, 2024). Although forecasting is not always accurate due to economic uncertainty or changing labour markets, combining workforce planning with a strong employer brand improves organisational resilience and supports long-term recruitment.</w:t>
      </w:r>
    </w:p>
    <w:p w:rsidR="7D5F733A" w:rsidP="1B531125" w:rsidRDefault="7D5F733A" w14:paraId="2A20A778" w14:textId="1C9DA9DE">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630811473" w:id="1255157484"/>
      <w:r w:rsidRPr="1B531125" w:rsidR="7D5F733A">
        <w:rPr>
          <w:rFonts w:ascii="Times New Roman" w:hAnsi="Times New Roman" w:eastAsia="Times New Roman" w:cs="Times New Roman"/>
          <w:b w:val="1"/>
          <w:bCs w:val="1"/>
          <w:noProof w:val="0"/>
          <w:color w:val="auto"/>
          <w:sz w:val="28"/>
          <w:szCs w:val="28"/>
          <w:lang w:val="en-GB"/>
        </w:rPr>
        <w:t>2.3 Employee Engagement and Retention</w:t>
      </w:r>
      <w:bookmarkEnd w:id="1255157484"/>
    </w:p>
    <w:p w:rsidR="7D5F733A" w:rsidP="1B531125" w:rsidRDefault="7D5F733A" w14:paraId="21B597D3" w14:textId="377CAF36">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Keeping experienced employees is often more cost-effective than constantly recruiting new staff. Sports Direct can improve retention by investing in career development, regular feedback, recognition programmes and learning opportunities. Herzberg’s Two-Factor Theory suggests that recognition, achievement and personal growth increase employee motivation and job satisfaction (Herzberg, 1968).</w:t>
      </w:r>
    </w:p>
    <w:p w:rsidR="7D5F733A" w:rsidP="1B531125" w:rsidRDefault="7D5F733A" w14:paraId="7A10CD48" w14:textId="5C6BF80A">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Although retail work often requires employees to be on-site, offering flexible shift patterns, predictable rotas and wellbeing initiatives can improve work-life balance and employee satisfaction. However, engagement strategies must be applied fairly across the organisation. If opportunities vary between departments, employees may perceive unfairness, reducing trust and commitment. Regular employee surveys, performance data and exit interviews allow HR to monitor engagement and make improvements where needed.</w:t>
      </w:r>
    </w:p>
    <w:p w:rsidR="7D5F733A" w:rsidP="1B531125" w:rsidRDefault="7D5F733A" w14:paraId="5F7A43D6" w14:textId="56E76179">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226192849" w:id="997085631"/>
      <w:r w:rsidRPr="1B531125" w:rsidR="7D5F733A">
        <w:rPr>
          <w:rFonts w:ascii="Times New Roman" w:hAnsi="Times New Roman" w:eastAsia="Times New Roman" w:cs="Times New Roman"/>
          <w:b w:val="1"/>
          <w:bCs w:val="1"/>
          <w:noProof w:val="0"/>
          <w:color w:val="auto"/>
          <w:sz w:val="28"/>
          <w:szCs w:val="28"/>
          <w:lang w:val="en-GB"/>
        </w:rPr>
        <w:t>2.4 Inclusive Recruitment and DEI</w:t>
      </w:r>
      <w:bookmarkEnd w:id="997085631"/>
    </w:p>
    <w:p w:rsidR="7D5F733A" w:rsidP="1B531125" w:rsidRDefault="7D5F733A" w14:paraId="0361D5AF" w14:textId="3D7411BC">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Creating a diverse and inclusive workforce requires more than meeting legal requirements. Sports Direct should adopt recruitment practices that reduce unconscious bias and promote equal opportunities. Structured interviews, diverse recruitment panels and standardised assessment criteria help improve fairness and consistency during recruitment (CIPD, 2023). Encouraging applications from underrepresented groups can also widen the available talent pool.</w:t>
      </w:r>
    </w:p>
    <w:p w:rsidR="7D5F733A" w:rsidP="1B531125" w:rsidRDefault="7D5F733A" w14:paraId="4F51801A" w14:textId="2F06D797">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7D5F733A">
        <w:rPr>
          <w:rFonts w:ascii="Times New Roman" w:hAnsi="Times New Roman" w:eastAsia="Times New Roman" w:cs="Times New Roman"/>
          <w:noProof w:val="0"/>
          <w:color w:val="auto"/>
          <w:sz w:val="24"/>
          <w:szCs w:val="24"/>
          <w:lang w:val="en-GB"/>
        </w:rPr>
        <w:t xml:space="preserve">Managers should receive training in inclusive leadership, unconscious </w:t>
      </w:r>
      <w:r w:rsidRPr="1B531125" w:rsidR="7D5F733A">
        <w:rPr>
          <w:rFonts w:ascii="Times New Roman" w:hAnsi="Times New Roman" w:eastAsia="Times New Roman" w:cs="Times New Roman"/>
          <w:noProof w:val="0"/>
          <w:color w:val="auto"/>
          <w:sz w:val="24"/>
          <w:szCs w:val="24"/>
          <w:lang w:val="en-GB"/>
        </w:rPr>
        <w:t>bias</w:t>
      </w:r>
      <w:r w:rsidRPr="1B531125" w:rsidR="7D5F733A">
        <w:rPr>
          <w:rFonts w:ascii="Times New Roman" w:hAnsi="Times New Roman" w:eastAsia="Times New Roman" w:cs="Times New Roman"/>
          <w:noProof w:val="0"/>
          <w:color w:val="auto"/>
          <w:sz w:val="24"/>
          <w:szCs w:val="24"/>
          <w:lang w:val="en-GB"/>
        </w:rPr>
        <w:t xml:space="preserve"> and respectful workplace behaviours to help create an environment where employees feel valued and able to contribute. However, DEI initiatives can lose credibility if employees view them as compliance exercises rather than genuine organisational priorities. Lasting cultural change requires visible leadership commitment, continuous </w:t>
      </w:r>
      <w:r w:rsidRPr="1B531125" w:rsidR="7D5F733A">
        <w:rPr>
          <w:rFonts w:ascii="Times New Roman" w:hAnsi="Times New Roman" w:eastAsia="Times New Roman" w:cs="Times New Roman"/>
          <w:noProof w:val="0"/>
          <w:color w:val="auto"/>
          <w:sz w:val="24"/>
          <w:szCs w:val="24"/>
          <w:lang w:val="en-GB"/>
        </w:rPr>
        <w:t>communication</w:t>
      </w:r>
      <w:r w:rsidRPr="1B531125" w:rsidR="7D5F733A">
        <w:rPr>
          <w:rFonts w:ascii="Times New Roman" w:hAnsi="Times New Roman" w:eastAsia="Times New Roman" w:cs="Times New Roman"/>
          <w:noProof w:val="0"/>
          <w:color w:val="auto"/>
          <w:sz w:val="24"/>
          <w:szCs w:val="24"/>
          <w:lang w:val="en-GB"/>
        </w:rPr>
        <w:t xml:space="preserve"> and measurable </w:t>
      </w:r>
      <w:r w:rsidRPr="1B531125" w:rsidR="7D5F733A">
        <w:rPr>
          <w:rFonts w:ascii="Times New Roman" w:hAnsi="Times New Roman" w:eastAsia="Times New Roman" w:cs="Times New Roman"/>
          <w:noProof w:val="0"/>
          <w:color w:val="auto"/>
          <w:sz w:val="24"/>
          <w:szCs w:val="24"/>
          <w:lang w:val="en-GB"/>
        </w:rPr>
        <w:t>objectives</w:t>
      </w:r>
      <w:r w:rsidRPr="1B531125" w:rsidR="7D5F733A">
        <w:rPr>
          <w:rFonts w:ascii="Times New Roman" w:hAnsi="Times New Roman" w:eastAsia="Times New Roman" w:cs="Times New Roman"/>
          <w:noProof w:val="0"/>
          <w:color w:val="auto"/>
          <w:sz w:val="24"/>
          <w:szCs w:val="24"/>
          <w:lang w:val="en-GB"/>
        </w:rPr>
        <w:t xml:space="preserve">. When implemented effectively, inclusive recruitment and leadership development strengthen organisational culture, improve employee </w:t>
      </w:r>
      <w:r w:rsidRPr="1B531125" w:rsidR="7D5F733A">
        <w:rPr>
          <w:rFonts w:ascii="Times New Roman" w:hAnsi="Times New Roman" w:eastAsia="Times New Roman" w:cs="Times New Roman"/>
          <w:noProof w:val="0"/>
          <w:color w:val="auto"/>
          <w:sz w:val="24"/>
          <w:szCs w:val="24"/>
          <w:lang w:val="en-GB"/>
        </w:rPr>
        <w:t>engagement</w:t>
      </w:r>
      <w:r w:rsidRPr="1B531125" w:rsidR="7D5F733A">
        <w:rPr>
          <w:rFonts w:ascii="Times New Roman" w:hAnsi="Times New Roman" w:eastAsia="Times New Roman" w:cs="Times New Roman"/>
          <w:noProof w:val="0"/>
          <w:color w:val="auto"/>
          <w:sz w:val="24"/>
          <w:szCs w:val="24"/>
          <w:lang w:val="en-GB"/>
        </w:rPr>
        <w:t xml:space="preserve"> and support sustainable business performance.</w:t>
      </w:r>
    </w:p>
    <w:p w:rsidR="5D83CA9A" w:rsidP="1B531125" w:rsidRDefault="5D83CA9A" w14:paraId="6A210B24" w14:textId="0BD67950">
      <w:pPr>
        <w:pStyle w:val="Heading2"/>
        <w:spacing w:before="299" w:beforeAutospacing="off" w:after="299" w:afterAutospacing="off"/>
        <w:rPr>
          <w:rFonts w:ascii="Times New Roman" w:hAnsi="Times New Roman" w:eastAsia="Times New Roman" w:cs="Times New Roman"/>
          <w:b w:val="1"/>
          <w:bCs w:val="1"/>
          <w:noProof w:val="0"/>
          <w:color w:val="auto"/>
          <w:sz w:val="36"/>
          <w:szCs w:val="36"/>
          <w:lang w:val="en-GB"/>
        </w:rPr>
      </w:pPr>
      <w:bookmarkStart w:name="_Toc1018361621" w:id="542230072"/>
      <w:r w:rsidRPr="1B531125" w:rsidR="5D83CA9A">
        <w:rPr>
          <w:rFonts w:ascii="Times New Roman" w:hAnsi="Times New Roman" w:eastAsia="Times New Roman" w:cs="Times New Roman"/>
          <w:b w:val="1"/>
          <w:bCs w:val="1"/>
          <w:noProof w:val="0"/>
          <w:color w:val="auto"/>
          <w:sz w:val="36"/>
          <w:szCs w:val="36"/>
          <w:lang w:val="en-GB"/>
        </w:rPr>
        <w:t>3. Critical Evaluation of Managerial Implementation</w:t>
      </w:r>
      <w:bookmarkEnd w:id="542230072"/>
    </w:p>
    <w:p w:rsidR="5D83CA9A" w:rsidP="1B531125" w:rsidRDefault="5D83CA9A" w14:paraId="5808C2C6" w14:textId="2759AE41">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Introducing contemporary HR practices is only the first step; their success depends on how effectively departmental managers implement them. At Sports Direct, managers are responsible for putting HR policies into practice, helping employees understand organisational changes and creating a supportive working environment. Without effective leadership, even well-designed HR initiatives are unlikely to achieve their intended outcomes.</w:t>
      </w:r>
    </w:p>
    <w:p w:rsidR="5D83CA9A" w:rsidP="1B531125" w:rsidRDefault="5D83CA9A" w14:paraId="2DEEFF64" w14:textId="0370188D">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522829749" w:id="1723193884"/>
      <w:r w:rsidRPr="1B531125" w:rsidR="5D83CA9A">
        <w:rPr>
          <w:rFonts w:ascii="Times New Roman" w:hAnsi="Times New Roman" w:eastAsia="Times New Roman" w:cs="Times New Roman"/>
          <w:b w:val="1"/>
          <w:bCs w:val="1"/>
          <w:noProof w:val="0"/>
          <w:color w:val="auto"/>
          <w:sz w:val="28"/>
          <w:szCs w:val="28"/>
          <w:lang w:val="en-GB"/>
        </w:rPr>
        <w:t>Leadership Accountability</w:t>
      </w:r>
      <w:bookmarkEnd w:id="1723193884"/>
    </w:p>
    <w:p w:rsidR="5D83CA9A" w:rsidP="1B531125" w:rsidRDefault="5D83CA9A" w14:paraId="3FAF353A" w14:textId="1D7DA637">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Managers play an important role in ensuring HR policies are applied consistently across stores, distribution centres and head office functions. They are responsible for supporting employee development, promoting fairness and resolving workplace issues. Ulrich’s HR Model argues that HR should operate as a strategic partner alongside managers rather than focusing only on administration (Ulrich, 1997). This partnership enables managers to take responsibility for people management while HR provides guidance, training and policy support.</w:t>
      </w:r>
    </w:p>
    <w:p w:rsidR="5D83CA9A" w:rsidP="1B531125" w:rsidRDefault="5D83CA9A" w14:paraId="7FFC13EA" w14:textId="17E152D1">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Leadership accountability should also extend beyond financial performance. Managers should be assessed against measures such as employee engagement, staff turnover, absence rates and diversity objectives. Including these indicators in performance reviews encourages managers to value effective people management alongside business results.</w:t>
      </w:r>
    </w:p>
    <w:p w:rsidR="5D83CA9A" w:rsidP="1B531125" w:rsidRDefault="5D83CA9A" w14:paraId="1210A1C0" w14:textId="76717E76">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614720122" w:id="1806969603"/>
      <w:r w:rsidRPr="1B531125" w:rsidR="5D83CA9A">
        <w:rPr>
          <w:rFonts w:ascii="Times New Roman" w:hAnsi="Times New Roman" w:eastAsia="Times New Roman" w:cs="Times New Roman"/>
          <w:b w:val="1"/>
          <w:bCs w:val="1"/>
          <w:noProof w:val="0"/>
          <w:color w:val="auto"/>
          <w:sz w:val="28"/>
          <w:szCs w:val="28"/>
          <w:lang w:val="en-GB"/>
        </w:rPr>
        <w:t>Communication and Employee Engagement</w:t>
      </w:r>
      <w:bookmarkEnd w:id="1806969603"/>
    </w:p>
    <w:p w:rsidR="5D83CA9A" w:rsidP="1B531125" w:rsidRDefault="5D83CA9A" w14:paraId="4F21525B" w14:textId="7A885730">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Successful implementation depends on clear communication. Employees are more likely to accept change when they understand why it is happening and how it benefits both themselves and the organisation. Poor communication can create uncertainty, reduce morale and increase resistance.</w:t>
      </w:r>
    </w:p>
    <w:p w:rsidR="5D83CA9A" w:rsidP="1B531125" w:rsidRDefault="5D83CA9A" w14:paraId="144D3626" w14:textId="390F6053">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Managers should communicate regularly through team meetings, one-to-one discussions and digital platforms while encouraging employees to provide feedback. This two-way communication helps build trust and gives employees a greater sense of involvement.</w:t>
      </w:r>
    </w:p>
    <w:p w:rsidR="5D83CA9A" w:rsidP="1B531125" w:rsidRDefault="5D83CA9A" w14:paraId="6B95FD7F" w14:textId="7FBB4F03">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Kotter’s Eight-Step Change Model highlights the importance of creating a shared vision, communicating consistently and celebrating short-term successes to maintain employee commitment throughout organisational change (Kotter, 2012). Applying these principles would support successful implementation at Sports Direct.</w:t>
      </w:r>
    </w:p>
    <w:p w:rsidR="5D83CA9A" w:rsidP="1B531125" w:rsidRDefault="5D83CA9A" w14:paraId="505F98B2" w14:textId="0E42E5A1">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997316200" w:id="154986653"/>
      <w:r w:rsidRPr="1B531125" w:rsidR="5D83CA9A">
        <w:rPr>
          <w:rFonts w:ascii="Times New Roman" w:hAnsi="Times New Roman" w:eastAsia="Times New Roman" w:cs="Times New Roman"/>
          <w:b w:val="1"/>
          <w:bCs w:val="1"/>
          <w:noProof w:val="0"/>
          <w:color w:val="auto"/>
          <w:sz w:val="28"/>
          <w:szCs w:val="28"/>
          <w:lang w:val="en-GB"/>
        </w:rPr>
        <w:t>Monitoring Performance and Building an Inclusive Culture</w:t>
      </w:r>
      <w:bookmarkEnd w:id="154986653"/>
    </w:p>
    <w:p w:rsidR="5D83CA9A" w:rsidP="1B531125" w:rsidRDefault="5D83CA9A" w14:paraId="7687FACF" w14:textId="2C1F4428">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Managers should regularly monitor HR outcomes by reviewing recruitment, training, engagement, turnover and diversity data. Workforce analytics can identify trends and highlight issues before they become more serious. However, numbers alone cannot fully explain employee experiences. Managers should also gather qualitative feedback through conversations, focus groups and exit interviews to gain a fuller understanding of workplace culture.</w:t>
      </w:r>
    </w:p>
    <w:p w:rsidR="5D83CA9A" w:rsidP="1B531125" w:rsidRDefault="5D83CA9A" w14:paraId="7EA63037" w14:textId="50DD3FD7">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Inclusive leadership is equally important. Employees judge organisational values by how managers behave, make decisions and recognise performance. Creating a respectful environment where employees feel safe to contribute ideas supports psychological safety, improves engagement and strengthens organisational performance (Shore et al., 2018).</w:t>
      </w:r>
    </w:p>
    <w:p w:rsidR="5D83CA9A" w:rsidP="1B531125" w:rsidRDefault="5D83CA9A" w14:paraId="175EAC0B" w14:textId="57F9AEA0">
      <w:pPr>
        <w:pStyle w:val="Heading3"/>
        <w:spacing w:before="281" w:beforeAutospacing="off" w:after="281" w:afterAutospacing="off"/>
        <w:rPr>
          <w:rFonts w:ascii="Times New Roman" w:hAnsi="Times New Roman" w:eastAsia="Times New Roman" w:cs="Times New Roman"/>
          <w:b w:val="1"/>
          <w:bCs w:val="1"/>
          <w:noProof w:val="0"/>
          <w:color w:val="auto"/>
          <w:sz w:val="28"/>
          <w:szCs w:val="28"/>
          <w:lang w:val="en-GB"/>
        </w:rPr>
      </w:pPr>
      <w:bookmarkStart w:name="_Toc1187146319" w:id="212710381"/>
      <w:r w:rsidRPr="1B531125" w:rsidR="5D83CA9A">
        <w:rPr>
          <w:rFonts w:ascii="Times New Roman" w:hAnsi="Times New Roman" w:eastAsia="Times New Roman" w:cs="Times New Roman"/>
          <w:b w:val="1"/>
          <w:bCs w:val="1"/>
          <w:noProof w:val="0"/>
          <w:color w:val="auto"/>
          <w:sz w:val="28"/>
          <w:szCs w:val="28"/>
          <w:lang w:val="en-GB"/>
        </w:rPr>
        <w:t>Barriers to Implementation</w:t>
      </w:r>
      <w:bookmarkEnd w:id="212710381"/>
    </w:p>
    <w:p w:rsidR="5D83CA9A" w:rsidP="1B531125" w:rsidRDefault="5D83CA9A" w14:paraId="6FF91907" w14:textId="2A50DC51">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Sports Direct may face barriers such as limited budgets, time pressures and resistance to change. Employees may worry that technology could increase workloads or threaten job security, while different management styles across locations may create inconsistent employee experiences.</w:t>
      </w:r>
    </w:p>
    <w:p w:rsidR="5D83CA9A" w:rsidP="1B531125" w:rsidRDefault="5D83CA9A" w14:paraId="6F05418E" w14:textId="55DC097C">
      <w:pPr>
        <w:spacing w:before="240" w:beforeAutospacing="off" w:after="240" w:afterAutospacing="off"/>
        <w:rPr>
          <w:rFonts w:ascii="Times New Roman" w:hAnsi="Times New Roman" w:eastAsia="Times New Roman" w:cs="Times New Roman"/>
          <w:noProof w:val="0"/>
          <w:color w:val="auto"/>
          <w:sz w:val="24"/>
          <w:szCs w:val="24"/>
          <w:lang w:val="en-GB"/>
        </w:rPr>
      </w:pPr>
      <w:r w:rsidRPr="1B531125" w:rsidR="5D83CA9A">
        <w:rPr>
          <w:rFonts w:ascii="Times New Roman" w:hAnsi="Times New Roman" w:eastAsia="Times New Roman" w:cs="Times New Roman"/>
          <w:noProof w:val="0"/>
          <w:color w:val="auto"/>
          <w:sz w:val="24"/>
          <w:szCs w:val="24"/>
          <w:lang w:val="en-GB"/>
        </w:rPr>
        <w:t xml:space="preserve">These challenges can be addressed through phased implementation, ongoing management training and regular communication between HR and operational leaders. Senior leaders should provide sufficient resources, </w:t>
      </w:r>
      <w:r w:rsidRPr="1B531125" w:rsidR="5D83CA9A">
        <w:rPr>
          <w:rFonts w:ascii="Times New Roman" w:hAnsi="Times New Roman" w:eastAsia="Times New Roman" w:cs="Times New Roman"/>
          <w:noProof w:val="0"/>
          <w:color w:val="auto"/>
          <w:sz w:val="24"/>
          <w:szCs w:val="24"/>
          <w:lang w:val="en-GB"/>
        </w:rPr>
        <w:t>monitor</w:t>
      </w:r>
      <w:r w:rsidRPr="1B531125" w:rsidR="5D83CA9A">
        <w:rPr>
          <w:rFonts w:ascii="Times New Roman" w:hAnsi="Times New Roman" w:eastAsia="Times New Roman" w:cs="Times New Roman"/>
          <w:noProof w:val="0"/>
          <w:color w:val="auto"/>
          <w:sz w:val="24"/>
          <w:szCs w:val="24"/>
          <w:lang w:val="en-GB"/>
        </w:rPr>
        <w:t xml:space="preserve"> </w:t>
      </w:r>
      <w:r w:rsidRPr="1B531125" w:rsidR="5D83CA9A">
        <w:rPr>
          <w:rFonts w:ascii="Times New Roman" w:hAnsi="Times New Roman" w:eastAsia="Times New Roman" w:cs="Times New Roman"/>
          <w:noProof w:val="0"/>
          <w:color w:val="auto"/>
          <w:sz w:val="24"/>
          <w:szCs w:val="24"/>
          <w:lang w:val="en-GB"/>
        </w:rPr>
        <w:t>progress</w:t>
      </w:r>
      <w:r w:rsidRPr="1B531125" w:rsidR="5D83CA9A">
        <w:rPr>
          <w:rFonts w:ascii="Times New Roman" w:hAnsi="Times New Roman" w:eastAsia="Times New Roman" w:cs="Times New Roman"/>
          <w:noProof w:val="0"/>
          <w:color w:val="auto"/>
          <w:sz w:val="24"/>
          <w:szCs w:val="24"/>
          <w:lang w:val="en-GB"/>
        </w:rPr>
        <w:t xml:space="preserve"> and recognise managers who </w:t>
      </w:r>
      <w:r w:rsidRPr="1B531125" w:rsidR="5D83CA9A">
        <w:rPr>
          <w:rFonts w:ascii="Times New Roman" w:hAnsi="Times New Roman" w:eastAsia="Times New Roman" w:cs="Times New Roman"/>
          <w:noProof w:val="0"/>
          <w:color w:val="auto"/>
          <w:sz w:val="24"/>
          <w:szCs w:val="24"/>
          <w:lang w:val="en-GB"/>
        </w:rPr>
        <w:t>demonstrate</w:t>
      </w:r>
      <w:r w:rsidRPr="1B531125" w:rsidR="5D83CA9A">
        <w:rPr>
          <w:rFonts w:ascii="Times New Roman" w:hAnsi="Times New Roman" w:eastAsia="Times New Roman" w:cs="Times New Roman"/>
          <w:noProof w:val="0"/>
          <w:color w:val="auto"/>
          <w:sz w:val="24"/>
          <w:szCs w:val="24"/>
          <w:lang w:val="en-GB"/>
        </w:rPr>
        <w:t xml:space="preserve"> effective people management. </w:t>
      </w:r>
      <w:r w:rsidRPr="1B531125" w:rsidR="5D83CA9A">
        <w:rPr>
          <w:rFonts w:ascii="Times New Roman" w:hAnsi="Times New Roman" w:eastAsia="Times New Roman" w:cs="Times New Roman"/>
          <w:noProof w:val="0"/>
          <w:color w:val="auto"/>
          <w:sz w:val="24"/>
          <w:szCs w:val="24"/>
          <w:lang w:val="en-GB"/>
        </w:rPr>
        <w:t>Ultimately, successful</w:t>
      </w:r>
      <w:r w:rsidRPr="1B531125" w:rsidR="5D83CA9A">
        <w:rPr>
          <w:rFonts w:ascii="Times New Roman" w:hAnsi="Times New Roman" w:eastAsia="Times New Roman" w:cs="Times New Roman"/>
          <w:noProof w:val="0"/>
          <w:color w:val="auto"/>
          <w:sz w:val="24"/>
          <w:szCs w:val="24"/>
          <w:lang w:val="en-GB"/>
        </w:rPr>
        <w:t xml:space="preserve"> HR implementation depends not only on strong policies but also on managers applying them consistently to build trust, </w:t>
      </w:r>
      <w:r w:rsidRPr="1B531125" w:rsidR="5D83CA9A">
        <w:rPr>
          <w:rFonts w:ascii="Times New Roman" w:hAnsi="Times New Roman" w:eastAsia="Times New Roman" w:cs="Times New Roman"/>
          <w:noProof w:val="0"/>
          <w:color w:val="auto"/>
          <w:sz w:val="24"/>
          <w:szCs w:val="24"/>
          <w:lang w:val="en-GB"/>
        </w:rPr>
        <w:t>engagement</w:t>
      </w:r>
      <w:r w:rsidRPr="1B531125" w:rsidR="5D83CA9A">
        <w:rPr>
          <w:rFonts w:ascii="Times New Roman" w:hAnsi="Times New Roman" w:eastAsia="Times New Roman" w:cs="Times New Roman"/>
          <w:noProof w:val="0"/>
          <w:color w:val="auto"/>
          <w:sz w:val="24"/>
          <w:szCs w:val="24"/>
          <w:lang w:val="en-GB"/>
        </w:rPr>
        <w:t xml:space="preserve"> and long-term organisational success.</w:t>
      </w:r>
    </w:p>
    <w:p w:rsidRPr="00FC34C9" w:rsidR="00A451B9" w:rsidP="1B531125" w:rsidRDefault="00A451B9" w14:paraId="68D73B38" w14:textId="2E32F64E">
      <w:pPr>
        <w:spacing w:before="100" w:beforeAutospacing="on" w:after="100" w:afterAutospacing="on" w:line="240" w:lineRule="auto"/>
        <w:outlineLvl w:val="0"/>
        <w:rPr>
          <w:rFonts w:ascii="Times New Roman" w:hAnsi="Times New Roman" w:eastAsia="Times New Roman" w:cs="Times New Roman"/>
          <w:color w:val="auto"/>
          <w:kern w:val="36"/>
          <w:sz w:val="48"/>
          <w:szCs w:val="48"/>
          <w14:ligatures w14:val="none"/>
        </w:rPr>
      </w:pPr>
      <w:bookmarkStart w:name="_Toc509582978" w:id="393253744"/>
      <w:r w:rsidRPr="1B531125" w:rsidR="3F9FDF31">
        <w:rPr>
          <w:rFonts w:ascii="Times New Roman" w:hAnsi="Times New Roman" w:eastAsia="Times New Roman" w:cs="Times New Roman"/>
          <w:color w:val="auto"/>
          <w:kern w:val="36"/>
          <w:sz w:val="48"/>
          <w:szCs w:val="48"/>
          <w14:ligatures w14:val="none"/>
        </w:rPr>
        <w:t>Conclusion</w:t>
      </w:r>
      <w:bookmarkEnd w:id="393253744"/>
    </w:p>
    <w:p w:rsidRPr="00FC34C9" w:rsidR="00A451B9" w:rsidP="1B531125" w:rsidRDefault="00A451B9" w14:paraId="2407D3FF"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3F9FDF31">
        <w:rPr>
          <w:rFonts w:ascii="Times New Roman" w:hAnsi="Times New Roman" w:cs="Times New Roman"/>
          <w:color w:val="auto"/>
          <w:kern w:val="0"/>
          <w14:ligatures w14:val="none"/>
        </w:rPr>
        <w:t>Sports Direct operates in a retail sector where technological innovation, competition for skilled employees and increasing expectations around diversity and inclusion continue to shape organisational success. This report has shown that these challenges are closely connected and require a strategic HR approach rather than isolated initiatives. Investing in digital capability, strengthening employer branding, improving employee engagement and embedding inclusive practices can enhance organisational performance and employee commitment. However, the success of these initiatives depends on strong leadership, effective communication and continuous monitoring. By aligning HR strategy with business objectives, Sports Direct can build a more resilient, motivated and future-ready workforce capable of supporting sustainable growth.</w:t>
      </w:r>
    </w:p>
    <w:p w:rsidRPr="00FC34C9" w:rsidR="00A451B9" w:rsidP="1B531125" w:rsidRDefault="00A451B9" w14:paraId="5B5CB2C1" w14:textId="77777777">
      <w:pPr>
        <w:spacing w:after="0" w:line="240" w:lineRule="auto"/>
        <w:rPr>
          <w:rFonts w:ascii="Times New Roman" w:hAnsi="Times New Roman" w:eastAsia="Times New Roman" w:cs="Times New Roman"/>
          <w:color w:val="auto"/>
          <w:kern w:val="0"/>
          <w14:ligatures w14:val="none"/>
        </w:rPr>
      </w:pPr>
      <w:r w:rsidR="3F9FDF31">
        <mc:AlternateContent>
          <mc:Choice Requires="wps">
            <w:drawing>
              <wp:inline wp14:editId="3B75FBD5" wp14:anchorId="14A5CD48">
                <wp:extent cx="5731510" cy="1270"/>
                <wp:effectExtent l="0" t="31750" r="0" b="36830"/>
                <wp:docPr id="157919959" name="Rectangle 2"/>
                <wp:cNvGraphicFramePr>
                  <a:graphicFrameLocks/>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rrowheads="1"/>
                      </wps:cNvSpPr>
                      <wps:spPr bwMode="auto">
                        <a:xfrm xmlns:a="http://schemas.openxmlformats.org/drawingml/2006/main">
                          <a:off x="0" y="0"/>
                          <a:ext cx="41614725" cy="1270"/>
                        </a:xfrm>
                        <a:prstGeom xmlns:a="http://schemas.openxmlformats.org/drawingml/2006/main" prst="rect">
                          <a:avLst/>
                        </a:prstGeom>
                        <a:noFill xmlns:a="http://schemas.openxmlformats.org/drawingml/2006/main"/>
                        <a:ln xmlns:a="http://schemas.openxmlformats.org/drawingml/2006/mai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xmlns:a="http://schemas.openxmlformats.org/drawingml/2006/main"/>
                      </wps:bodyPr>
                    </wps:wsp>
                  </a:graphicData>
                </a:graphic>
              </wp:inline>
            </w:drawing>
          </mc:Choice>
          <mc:Fallback/>
        </mc:AlternateContent>
      </w:r>
    </w:p>
    <w:p w:rsidRPr="00FC34C9" w:rsidR="00A451B9" w:rsidP="1B531125" w:rsidRDefault="00A451B9" w14:paraId="0E427D25" w14:textId="349ED03F">
      <w:pPr>
        <w:spacing w:before="100" w:beforeAutospacing="on" w:after="100" w:afterAutospacing="on" w:line="240" w:lineRule="auto"/>
        <w:outlineLvl w:val="0"/>
        <w:rPr>
          <w:rFonts w:ascii="Times New Roman" w:hAnsi="Times New Roman" w:eastAsia="Times New Roman" w:cs="Times New Roman"/>
          <w:color w:val="auto"/>
          <w:kern w:val="36"/>
          <w:sz w:val="48"/>
          <w:szCs w:val="48"/>
          <w14:ligatures w14:val="none"/>
        </w:rPr>
      </w:pPr>
      <w:bookmarkStart w:name="_Toc837940920" w:id="1387751136"/>
      <w:r w:rsidRPr="1B531125" w:rsidR="3F9FDF31">
        <w:rPr>
          <w:rFonts w:ascii="Times New Roman" w:hAnsi="Times New Roman" w:eastAsia="Times New Roman" w:cs="Times New Roman"/>
          <w:color w:val="auto"/>
          <w:kern w:val="36"/>
          <w:sz w:val="48"/>
          <w:szCs w:val="48"/>
          <w14:ligatures w14:val="none"/>
        </w:rPr>
        <w:t>Recommendations</w:t>
      </w:r>
      <w:bookmarkEnd w:id="1387751136"/>
    </w:p>
    <w:p w:rsidRPr="00FC34C9" w:rsidR="00A451B9" w:rsidP="1B531125" w:rsidRDefault="00A451B9" w14:paraId="27C79E8E"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3F9FDF31">
        <w:rPr>
          <w:rFonts w:ascii="Times New Roman" w:hAnsi="Times New Roman" w:cs="Times New Roman"/>
          <w:color w:val="auto"/>
          <w:kern w:val="0"/>
          <w14:ligatures w14:val="none"/>
        </w:rPr>
        <w:t>Based on the findings of this report, Sports Direct should prioritise the following actions:</w:t>
      </w:r>
    </w:p>
    <w:p w:rsidRPr="00FC34C9" w:rsidR="00A451B9" w:rsidP="1B531125" w:rsidRDefault="00A451B9" w14:paraId="301A6436" w14:textId="77777777">
      <w:pPr>
        <w:numPr>
          <w:ilvl w:val="0"/>
          <w:numId w:val="1"/>
        </w:numPr>
        <w:spacing w:before="100" w:beforeAutospacing="on" w:after="100" w:afterAutospacing="on" w:line="240" w:lineRule="auto"/>
        <w:rPr>
          <w:rFonts w:ascii="Times New Roman" w:hAnsi="Times New Roman" w:eastAsia="Times New Roman" w:cs="Times New Roman"/>
          <w:color w:val="auto"/>
          <w:kern w:val="0"/>
          <w14:ligatures w14:val="none"/>
        </w:rPr>
      </w:pPr>
      <w:r w:rsidRPr="1B531125" w:rsidR="3F9FDF31">
        <w:rPr>
          <w:rFonts w:ascii="Times New Roman" w:hAnsi="Times New Roman" w:eastAsia="Times New Roman" w:cs="Times New Roman"/>
          <w:color w:val="auto"/>
          <w:kern w:val="0"/>
          <w14:ligatures w14:val="none"/>
        </w:rPr>
        <w:t>Invest in continuous digital learning by providing regular training programmes that enable employees and managers to confidently use new technologies and adapt to digital change.</w:t>
      </w:r>
    </w:p>
    <w:p w:rsidRPr="00FC34C9" w:rsidR="00A451B9" w:rsidP="1B531125" w:rsidRDefault="00A451B9" w14:paraId="7F832F0D" w14:textId="77777777">
      <w:pPr>
        <w:numPr>
          <w:ilvl w:val="0"/>
          <w:numId w:val="1"/>
        </w:numPr>
        <w:spacing w:before="100" w:beforeAutospacing="on" w:after="100" w:afterAutospacing="on" w:line="240" w:lineRule="auto"/>
        <w:rPr>
          <w:rFonts w:ascii="Times New Roman" w:hAnsi="Times New Roman" w:eastAsia="Times New Roman" w:cs="Times New Roman"/>
          <w:color w:val="auto"/>
          <w:kern w:val="0"/>
          <w14:ligatures w14:val="none"/>
        </w:rPr>
      </w:pPr>
      <w:r w:rsidRPr="1B531125" w:rsidR="3F9FDF31">
        <w:rPr>
          <w:rFonts w:ascii="Times New Roman" w:hAnsi="Times New Roman" w:eastAsia="Times New Roman" w:cs="Times New Roman"/>
          <w:color w:val="auto"/>
          <w:kern w:val="0"/>
          <w14:ligatures w14:val="none"/>
        </w:rPr>
        <w:t>Strengthen employee retention through clear career development pathways, regular feedback, wellbeing initiatives and competitive reward packages that improve engagement and reduce staff turnover.</w:t>
      </w:r>
    </w:p>
    <w:p w:rsidRPr="00FC34C9" w:rsidR="00A451B9" w:rsidP="1B531125" w:rsidRDefault="00A451B9" w14:paraId="66B0F1D8" w14:textId="77777777">
      <w:pPr>
        <w:numPr>
          <w:ilvl w:val="0"/>
          <w:numId w:val="1"/>
        </w:numPr>
        <w:spacing w:before="100" w:beforeAutospacing="on" w:after="100" w:afterAutospacing="on" w:line="240" w:lineRule="auto"/>
        <w:rPr>
          <w:rFonts w:ascii="Times New Roman" w:hAnsi="Times New Roman" w:eastAsia="Times New Roman" w:cs="Times New Roman"/>
          <w:color w:val="auto"/>
          <w:kern w:val="0"/>
          <w14:ligatures w14:val="none"/>
        </w:rPr>
      </w:pPr>
      <w:r w:rsidRPr="1B531125" w:rsidR="3F9FDF31">
        <w:rPr>
          <w:rFonts w:ascii="Times New Roman" w:hAnsi="Times New Roman" w:eastAsia="Times New Roman" w:cs="Times New Roman"/>
          <w:color w:val="auto"/>
          <w:kern w:val="0"/>
          <w14:ligatures w14:val="none"/>
        </w:rPr>
        <w:t>Embed diversity and inclusion into everyday management by introducing inclusive leadership training, monitoring diversity data and holding managers accountable for creating fair and respectful workplaces.</w:t>
      </w:r>
    </w:p>
    <w:p w:rsidRPr="00FC34C9" w:rsidR="00A451B9" w:rsidP="1B531125" w:rsidRDefault="00A451B9" w14:paraId="2D3AC981" w14:textId="77777777">
      <w:pPr>
        <w:spacing w:before="100" w:beforeAutospacing="on" w:after="100" w:afterAutospacing="on" w:line="240" w:lineRule="auto"/>
        <w:rPr>
          <w:rFonts w:ascii="Times New Roman" w:hAnsi="Times New Roman" w:cs="Times New Roman"/>
          <w:color w:val="auto"/>
          <w:kern w:val="0"/>
          <w14:ligatures w14:val="none"/>
        </w:rPr>
      </w:pPr>
      <w:r w:rsidRPr="1B531125" w:rsidR="3F9FDF31">
        <w:rPr>
          <w:rFonts w:ascii="Times New Roman" w:hAnsi="Times New Roman" w:cs="Times New Roman"/>
          <w:color w:val="auto"/>
          <w:kern w:val="0"/>
          <w14:ligatures w14:val="none"/>
        </w:rPr>
        <w:t>Implementing these recommendations will improve organisational performance while supporting long-term employee engagement and business sustainability.</w:t>
      </w:r>
    </w:p>
    <w:p w:rsidRPr="00FC34C9" w:rsidR="00A451B9" w:rsidP="00A451B9" w:rsidRDefault="00A451B9" w14:paraId="43513221" w14:textId="1487910B">
      <w:pPr>
        <w:spacing w:after="0" w:line="240" w:lineRule="auto"/>
      </w:pPr>
    </w:p>
    <w:p w:rsidR="1B531125" w:rsidP="1B531125" w:rsidRDefault="1B531125" w14:paraId="74F2DF29" w14:textId="347ED842">
      <w:pPr>
        <w:spacing w:after="0" w:line="240" w:lineRule="auto"/>
      </w:pPr>
    </w:p>
    <w:p w:rsidR="1B531125" w:rsidP="1B531125" w:rsidRDefault="1B531125" w14:paraId="10FFBABA" w14:textId="4949CC6A">
      <w:pPr>
        <w:spacing w:after="0" w:line="240" w:lineRule="auto"/>
      </w:pPr>
    </w:p>
    <w:p w:rsidR="1B531125" w:rsidP="1B531125" w:rsidRDefault="1B531125" w14:paraId="6B14D21D" w14:textId="6FF0C650">
      <w:pPr>
        <w:spacing w:after="0" w:line="240" w:lineRule="auto"/>
      </w:pPr>
    </w:p>
    <w:p w:rsidR="1B531125" w:rsidP="1B531125" w:rsidRDefault="1B531125" w14:paraId="036420A8" w14:textId="25E3F245">
      <w:pPr>
        <w:spacing w:after="0" w:line="240" w:lineRule="auto"/>
      </w:pPr>
    </w:p>
    <w:p w:rsidR="1B531125" w:rsidP="1B531125" w:rsidRDefault="1B531125" w14:paraId="63C4D408" w14:textId="47CCD9F6">
      <w:pPr>
        <w:spacing w:after="0" w:line="240" w:lineRule="auto"/>
      </w:pPr>
    </w:p>
    <w:p w:rsidR="1B531125" w:rsidP="1B531125" w:rsidRDefault="1B531125" w14:paraId="523B0C52" w14:textId="0542FD4B">
      <w:pPr>
        <w:spacing w:after="0" w:line="240" w:lineRule="auto"/>
      </w:pPr>
    </w:p>
    <w:p w:rsidR="1B531125" w:rsidP="1B531125" w:rsidRDefault="1B531125" w14:paraId="1657B478" w14:textId="5A8DA1D6">
      <w:pPr>
        <w:spacing w:after="0" w:line="240" w:lineRule="auto"/>
      </w:pPr>
    </w:p>
    <w:p w:rsidR="1B531125" w:rsidP="1B531125" w:rsidRDefault="1B531125" w14:paraId="0D5F4FF8" w14:textId="49B78408">
      <w:pPr>
        <w:spacing w:after="0" w:line="240" w:lineRule="auto"/>
      </w:pPr>
    </w:p>
    <w:p w:rsidR="1B531125" w:rsidP="1B531125" w:rsidRDefault="1B531125" w14:paraId="4B4A9C29" w14:textId="6D09DF83">
      <w:pPr>
        <w:spacing w:after="0" w:line="240" w:lineRule="auto"/>
      </w:pPr>
    </w:p>
    <w:p w:rsidR="1B531125" w:rsidP="1B531125" w:rsidRDefault="1B531125" w14:paraId="68CC7A44" w14:textId="74E97578">
      <w:pPr>
        <w:spacing w:after="0" w:line="240" w:lineRule="auto"/>
      </w:pPr>
    </w:p>
    <w:p w:rsidR="1B531125" w:rsidP="1B531125" w:rsidRDefault="1B531125" w14:paraId="60EE6DE2" w14:textId="4E99C0D6">
      <w:pPr>
        <w:spacing w:after="0" w:line="240" w:lineRule="auto"/>
      </w:pPr>
    </w:p>
    <w:p w:rsidR="1B531125" w:rsidP="1B531125" w:rsidRDefault="1B531125" w14:paraId="21CDF5EF" w14:textId="35878A2F">
      <w:pPr>
        <w:spacing w:after="0" w:line="240" w:lineRule="auto"/>
      </w:pPr>
    </w:p>
    <w:p w:rsidR="1B531125" w:rsidP="1B531125" w:rsidRDefault="1B531125" w14:paraId="6F1A3E15" w14:textId="544FD3A0">
      <w:pPr>
        <w:spacing w:after="0" w:line="240" w:lineRule="auto"/>
      </w:pPr>
    </w:p>
    <w:p w:rsidR="1B531125" w:rsidP="1B531125" w:rsidRDefault="1B531125" w14:paraId="3B899014" w14:textId="308B2684">
      <w:pPr>
        <w:spacing w:after="0" w:line="240" w:lineRule="auto"/>
      </w:pPr>
    </w:p>
    <w:p w:rsidR="1B531125" w:rsidP="1B531125" w:rsidRDefault="1B531125" w14:paraId="592AE97D" w14:textId="2F06C620">
      <w:pPr>
        <w:spacing w:after="0" w:line="240" w:lineRule="auto"/>
      </w:pPr>
    </w:p>
    <w:p w:rsidR="1B531125" w:rsidP="1B531125" w:rsidRDefault="1B531125" w14:paraId="33EB9284" w14:textId="5D1D52C8">
      <w:pPr>
        <w:spacing w:after="0" w:line="240" w:lineRule="auto"/>
      </w:pPr>
    </w:p>
    <w:p w:rsidRPr="00FC34C9" w:rsidR="00A451B9" w:rsidP="1B531125" w:rsidRDefault="00A451B9" w14:paraId="1CFCF4C8" w14:textId="549142B5">
      <w:pPr>
        <w:spacing w:before="100" w:beforeAutospacing="on" w:after="100" w:afterAutospacing="on" w:line="240" w:lineRule="auto"/>
        <w:outlineLvl w:val="0"/>
        <w:rPr>
          <w:rFonts w:ascii="Times New Roman" w:hAnsi="Times New Roman" w:eastAsia="Times New Roman" w:cs="Times New Roman"/>
          <w:kern w:val="36"/>
          <w:sz w:val="48"/>
          <w:szCs w:val="48"/>
          <w14:ligatures w14:val="none"/>
        </w:rPr>
      </w:pPr>
      <w:bookmarkStart w:name="_Toc2091898051" w:id="970531524"/>
      <w:r w:rsidRPr="00FC34C9" w:rsidR="3F9FDF31">
        <w:rPr>
          <w:rFonts w:ascii="Times New Roman" w:hAnsi="Times New Roman" w:eastAsia="Times New Roman" w:cs="Times New Roman"/>
          <w:kern w:val="36"/>
          <w:sz w:val="48"/>
          <w:szCs w:val="48"/>
          <w14:ligatures w14:val="none"/>
        </w:rPr>
        <w:t>References</w:t>
      </w:r>
      <w:bookmarkEnd w:id="970531524"/>
    </w:p>
    <w:p w:rsidRPr="00FC34C9" w:rsidR="00A451B9" w:rsidP="00A451B9" w:rsidRDefault="00A451B9" w14:paraId="2F475980"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Armstrong, M. and Taylor, S. (2023) </w:t>
      </w:r>
      <w:r w:rsidRPr="00FC34C9">
        <w:rPr>
          <w:rFonts w:ascii="Times New Roman" w:hAnsi="Times New Roman" w:cs="Times New Roman"/>
          <w:i/>
          <w:iCs/>
          <w:kern w:val="0"/>
          <w14:ligatures w14:val="none"/>
        </w:rPr>
        <w:t>Armstrong’s Handbook of Human Resource Management Practice</w:t>
      </w:r>
      <w:r w:rsidRPr="00FC34C9">
        <w:rPr>
          <w:rFonts w:ascii="Times New Roman" w:hAnsi="Times New Roman" w:cs="Times New Roman"/>
          <w:kern w:val="0"/>
          <w14:ligatures w14:val="none"/>
        </w:rPr>
        <w:t xml:space="preserve">. 16th </w:t>
      </w:r>
      <w:proofErr w:type="spellStart"/>
      <w:r w:rsidRPr="00FC34C9">
        <w:rPr>
          <w:rFonts w:ascii="Times New Roman" w:hAnsi="Times New Roman" w:cs="Times New Roman"/>
          <w:kern w:val="0"/>
          <w14:ligatures w14:val="none"/>
        </w:rPr>
        <w:t>edn</w:t>
      </w:r>
      <w:proofErr w:type="spellEnd"/>
      <w:r w:rsidRPr="00FC34C9">
        <w:rPr>
          <w:rFonts w:ascii="Times New Roman" w:hAnsi="Times New Roman" w:cs="Times New Roman"/>
          <w:kern w:val="0"/>
          <w14:ligatures w14:val="none"/>
        </w:rPr>
        <w:t>. London: Kogan Page.</w:t>
      </w:r>
    </w:p>
    <w:p w:rsidRPr="00FC34C9" w:rsidR="00A451B9" w:rsidP="00A451B9" w:rsidRDefault="00A451B9" w14:paraId="5F4149DB" w14:textId="77777777">
      <w:pPr>
        <w:spacing w:before="100" w:beforeAutospacing="1" w:after="100" w:afterAutospacing="1" w:line="240" w:lineRule="auto"/>
        <w:rPr>
          <w:rFonts w:ascii="Times New Roman" w:hAnsi="Times New Roman" w:cs="Times New Roman"/>
          <w:kern w:val="0"/>
          <w14:ligatures w14:val="none"/>
        </w:rPr>
      </w:pPr>
      <w:proofErr w:type="spellStart"/>
      <w:r w:rsidRPr="00FC34C9">
        <w:rPr>
          <w:rFonts w:ascii="Times New Roman" w:hAnsi="Times New Roman" w:cs="Times New Roman"/>
          <w:kern w:val="0"/>
          <w14:ligatures w14:val="none"/>
        </w:rPr>
        <w:t>Backhaus</w:t>
      </w:r>
      <w:proofErr w:type="spellEnd"/>
      <w:r w:rsidRPr="00FC34C9">
        <w:rPr>
          <w:rFonts w:ascii="Times New Roman" w:hAnsi="Times New Roman" w:cs="Times New Roman"/>
          <w:kern w:val="0"/>
          <w14:ligatures w14:val="none"/>
        </w:rPr>
        <w:t xml:space="preserve">, K. and </w:t>
      </w:r>
      <w:proofErr w:type="spellStart"/>
      <w:r w:rsidRPr="00FC34C9">
        <w:rPr>
          <w:rFonts w:ascii="Times New Roman" w:hAnsi="Times New Roman" w:cs="Times New Roman"/>
          <w:kern w:val="0"/>
          <w14:ligatures w14:val="none"/>
        </w:rPr>
        <w:t>Tikoo</w:t>
      </w:r>
      <w:proofErr w:type="spellEnd"/>
      <w:r w:rsidRPr="00FC34C9">
        <w:rPr>
          <w:rFonts w:ascii="Times New Roman" w:hAnsi="Times New Roman" w:cs="Times New Roman"/>
          <w:kern w:val="0"/>
          <w14:ligatures w14:val="none"/>
        </w:rPr>
        <w:t xml:space="preserve">, S. (2004) ‘Conceptualising and researching employer branding’, </w:t>
      </w:r>
      <w:r w:rsidRPr="00FC34C9">
        <w:rPr>
          <w:rFonts w:ascii="Times New Roman" w:hAnsi="Times New Roman" w:cs="Times New Roman"/>
          <w:i/>
          <w:iCs/>
          <w:kern w:val="0"/>
          <w14:ligatures w14:val="none"/>
        </w:rPr>
        <w:t>Career Development International</w:t>
      </w:r>
      <w:r w:rsidRPr="00FC34C9">
        <w:rPr>
          <w:rFonts w:ascii="Times New Roman" w:hAnsi="Times New Roman" w:cs="Times New Roman"/>
          <w:kern w:val="0"/>
          <w14:ligatures w14:val="none"/>
        </w:rPr>
        <w:t>, 9(5), pp. 501–517.</w:t>
      </w:r>
    </w:p>
    <w:p w:rsidRPr="00FC34C9" w:rsidR="00A451B9" w:rsidP="00A451B9" w:rsidRDefault="00A451B9" w14:paraId="66BB45E6"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Barney, J. (1991) ‘Firm resources and sustained competitive advantage’, </w:t>
      </w:r>
      <w:r w:rsidRPr="00FC34C9">
        <w:rPr>
          <w:rFonts w:ascii="Times New Roman" w:hAnsi="Times New Roman" w:cs="Times New Roman"/>
          <w:i/>
          <w:iCs/>
          <w:kern w:val="0"/>
          <w14:ligatures w14:val="none"/>
        </w:rPr>
        <w:t>Journal of Management</w:t>
      </w:r>
      <w:r w:rsidRPr="00FC34C9">
        <w:rPr>
          <w:rFonts w:ascii="Times New Roman" w:hAnsi="Times New Roman" w:cs="Times New Roman"/>
          <w:kern w:val="0"/>
          <w14:ligatures w14:val="none"/>
        </w:rPr>
        <w:t>, 17(1), pp. 99–120.</w:t>
      </w:r>
    </w:p>
    <w:p w:rsidRPr="00FC34C9" w:rsidR="00A451B9" w:rsidP="00A451B9" w:rsidRDefault="00A451B9" w14:paraId="3975859C"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CIPD (2023) </w:t>
      </w:r>
      <w:r w:rsidRPr="00FC34C9">
        <w:rPr>
          <w:rFonts w:ascii="Times New Roman" w:hAnsi="Times New Roman" w:cs="Times New Roman"/>
          <w:i/>
          <w:iCs/>
          <w:kern w:val="0"/>
          <w14:ligatures w14:val="none"/>
        </w:rPr>
        <w:t>Inclusion and Diversity at Work</w:t>
      </w:r>
      <w:r w:rsidRPr="00FC34C9">
        <w:rPr>
          <w:rFonts w:ascii="Times New Roman" w:hAnsi="Times New Roman" w:cs="Times New Roman"/>
          <w:kern w:val="0"/>
          <w14:ligatures w14:val="none"/>
        </w:rPr>
        <w:t>. London: Chartered Institute of Personnel and Development.</w:t>
      </w:r>
    </w:p>
    <w:p w:rsidRPr="00FC34C9" w:rsidR="00A451B9" w:rsidP="00A451B9" w:rsidRDefault="00A451B9" w14:paraId="6C939194"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CIPD (2024) </w:t>
      </w:r>
      <w:r w:rsidRPr="00FC34C9">
        <w:rPr>
          <w:rFonts w:ascii="Times New Roman" w:hAnsi="Times New Roman" w:cs="Times New Roman"/>
          <w:i/>
          <w:iCs/>
          <w:kern w:val="0"/>
          <w14:ligatures w14:val="none"/>
        </w:rPr>
        <w:t>People Profession Survey 2024</w:t>
      </w:r>
      <w:r w:rsidRPr="00FC34C9">
        <w:rPr>
          <w:rFonts w:ascii="Times New Roman" w:hAnsi="Times New Roman" w:cs="Times New Roman"/>
          <w:kern w:val="0"/>
          <w14:ligatures w14:val="none"/>
        </w:rPr>
        <w:t>. London: Chartered Institute of Personnel and Development.</w:t>
      </w:r>
    </w:p>
    <w:p w:rsidRPr="00FC34C9" w:rsidR="00A451B9" w:rsidP="00A451B9" w:rsidRDefault="00A451B9" w14:paraId="7444C7C9" w14:textId="77777777">
      <w:pPr>
        <w:spacing w:before="100" w:beforeAutospacing="1" w:after="100" w:afterAutospacing="1" w:line="240" w:lineRule="auto"/>
        <w:rPr>
          <w:rFonts w:ascii="Times New Roman" w:hAnsi="Times New Roman" w:cs="Times New Roman"/>
          <w:kern w:val="0"/>
          <w14:ligatures w14:val="none"/>
        </w:rPr>
      </w:pPr>
      <w:proofErr w:type="spellStart"/>
      <w:r w:rsidRPr="00FC34C9">
        <w:rPr>
          <w:rFonts w:ascii="Times New Roman" w:hAnsi="Times New Roman" w:cs="Times New Roman"/>
          <w:kern w:val="0"/>
          <w14:ligatures w14:val="none"/>
        </w:rPr>
        <w:t>Collings</w:t>
      </w:r>
      <w:proofErr w:type="spellEnd"/>
      <w:r w:rsidRPr="00FC34C9">
        <w:rPr>
          <w:rFonts w:ascii="Times New Roman" w:hAnsi="Times New Roman" w:cs="Times New Roman"/>
          <w:kern w:val="0"/>
          <w14:ligatures w14:val="none"/>
        </w:rPr>
        <w:t xml:space="preserve">, D.G., Scullion, H. and </w:t>
      </w:r>
      <w:proofErr w:type="spellStart"/>
      <w:r w:rsidRPr="00FC34C9">
        <w:rPr>
          <w:rFonts w:ascii="Times New Roman" w:hAnsi="Times New Roman" w:cs="Times New Roman"/>
          <w:kern w:val="0"/>
          <w14:ligatures w14:val="none"/>
        </w:rPr>
        <w:t>Vaiman</w:t>
      </w:r>
      <w:proofErr w:type="spellEnd"/>
      <w:r w:rsidRPr="00FC34C9">
        <w:rPr>
          <w:rFonts w:ascii="Times New Roman" w:hAnsi="Times New Roman" w:cs="Times New Roman"/>
          <w:kern w:val="0"/>
          <w14:ligatures w14:val="none"/>
        </w:rPr>
        <w:t xml:space="preserve">, V. (2015) ‘Talent management: Progress and prospects’, </w:t>
      </w:r>
      <w:r w:rsidRPr="00FC34C9">
        <w:rPr>
          <w:rFonts w:ascii="Times New Roman" w:hAnsi="Times New Roman" w:cs="Times New Roman"/>
          <w:i/>
          <w:iCs/>
          <w:kern w:val="0"/>
          <w14:ligatures w14:val="none"/>
        </w:rPr>
        <w:t>Human Resource Management Review</w:t>
      </w:r>
      <w:r w:rsidRPr="00FC34C9">
        <w:rPr>
          <w:rFonts w:ascii="Times New Roman" w:hAnsi="Times New Roman" w:cs="Times New Roman"/>
          <w:kern w:val="0"/>
          <w14:ligatures w14:val="none"/>
        </w:rPr>
        <w:t>, 25(3), pp. 233–235.</w:t>
      </w:r>
    </w:p>
    <w:p w:rsidRPr="00FC34C9" w:rsidR="00A451B9" w:rsidP="00A451B9" w:rsidRDefault="00A451B9" w14:paraId="0DB14EF4"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Equality Act 2010. c.15. London: The Stationery Office.</w:t>
      </w:r>
    </w:p>
    <w:p w:rsidRPr="00FC34C9" w:rsidR="00A451B9" w:rsidP="00A451B9" w:rsidRDefault="00A451B9" w14:paraId="662E8D87"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Frasers Group (2024) </w:t>
      </w:r>
      <w:r w:rsidRPr="00FC34C9">
        <w:rPr>
          <w:rFonts w:ascii="Times New Roman" w:hAnsi="Times New Roman" w:cs="Times New Roman"/>
          <w:i/>
          <w:iCs/>
          <w:kern w:val="0"/>
          <w14:ligatures w14:val="none"/>
        </w:rPr>
        <w:t>Annual Report and Accounts 2024</w:t>
      </w:r>
      <w:r w:rsidRPr="00FC34C9">
        <w:rPr>
          <w:rFonts w:ascii="Times New Roman" w:hAnsi="Times New Roman" w:cs="Times New Roman"/>
          <w:kern w:val="0"/>
          <w14:ligatures w14:val="none"/>
        </w:rPr>
        <w:t>. London: Frasers Group plc.</w:t>
      </w:r>
    </w:p>
    <w:p w:rsidRPr="00FC34C9" w:rsidR="00A451B9" w:rsidP="00A451B9" w:rsidRDefault="00A451B9" w14:paraId="22F8584D" w14:textId="77777777">
      <w:pPr>
        <w:spacing w:before="100" w:beforeAutospacing="1" w:after="100" w:afterAutospacing="1" w:line="240" w:lineRule="auto"/>
        <w:rPr>
          <w:rFonts w:ascii="Times New Roman" w:hAnsi="Times New Roman" w:cs="Times New Roman"/>
          <w:kern w:val="0"/>
          <w14:ligatures w14:val="none"/>
        </w:rPr>
      </w:pPr>
      <w:proofErr w:type="spellStart"/>
      <w:r w:rsidRPr="00FC34C9">
        <w:rPr>
          <w:rFonts w:ascii="Times New Roman" w:hAnsi="Times New Roman" w:cs="Times New Roman"/>
          <w:kern w:val="0"/>
          <w14:ligatures w14:val="none"/>
        </w:rPr>
        <w:t>Herzberg</w:t>
      </w:r>
      <w:proofErr w:type="spellEnd"/>
      <w:r w:rsidRPr="00FC34C9">
        <w:rPr>
          <w:rFonts w:ascii="Times New Roman" w:hAnsi="Times New Roman" w:cs="Times New Roman"/>
          <w:kern w:val="0"/>
          <w14:ligatures w14:val="none"/>
        </w:rPr>
        <w:t xml:space="preserve">, F. (1968) ‘One more time: How do you motivate employees?’, </w:t>
      </w:r>
      <w:r w:rsidRPr="00FC34C9">
        <w:rPr>
          <w:rFonts w:ascii="Times New Roman" w:hAnsi="Times New Roman" w:cs="Times New Roman"/>
          <w:i/>
          <w:iCs/>
          <w:kern w:val="0"/>
          <w14:ligatures w14:val="none"/>
        </w:rPr>
        <w:t>Harvard Business Review</w:t>
      </w:r>
      <w:r w:rsidRPr="00FC34C9">
        <w:rPr>
          <w:rFonts w:ascii="Times New Roman" w:hAnsi="Times New Roman" w:cs="Times New Roman"/>
          <w:kern w:val="0"/>
          <w14:ligatures w14:val="none"/>
        </w:rPr>
        <w:t>, 46(1), pp. 53–62.</w:t>
      </w:r>
    </w:p>
    <w:p w:rsidRPr="00FC34C9" w:rsidR="00A451B9" w:rsidP="00A451B9" w:rsidRDefault="00A451B9" w14:paraId="2C6036CC" w14:textId="77777777">
      <w:pPr>
        <w:spacing w:before="100" w:beforeAutospacing="1" w:after="100" w:afterAutospacing="1" w:line="240" w:lineRule="auto"/>
        <w:rPr>
          <w:rFonts w:ascii="Times New Roman" w:hAnsi="Times New Roman" w:cs="Times New Roman"/>
          <w:kern w:val="0"/>
          <w14:ligatures w14:val="none"/>
        </w:rPr>
      </w:pPr>
      <w:proofErr w:type="spellStart"/>
      <w:r w:rsidRPr="00FC34C9">
        <w:rPr>
          <w:rFonts w:ascii="Times New Roman" w:hAnsi="Times New Roman" w:cs="Times New Roman"/>
          <w:kern w:val="0"/>
          <w14:ligatures w14:val="none"/>
        </w:rPr>
        <w:t>Kotter</w:t>
      </w:r>
      <w:proofErr w:type="spellEnd"/>
      <w:r w:rsidRPr="00FC34C9">
        <w:rPr>
          <w:rFonts w:ascii="Times New Roman" w:hAnsi="Times New Roman" w:cs="Times New Roman"/>
          <w:kern w:val="0"/>
          <w14:ligatures w14:val="none"/>
        </w:rPr>
        <w:t xml:space="preserve">, J.P. (2012) </w:t>
      </w:r>
      <w:r w:rsidRPr="00FC34C9">
        <w:rPr>
          <w:rFonts w:ascii="Times New Roman" w:hAnsi="Times New Roman" w:cs="Times New Roman"/>
          <w:i/>
          <w:iCs/>
          <w:kern w:val="0"/>
          <w14:ligatures w14:val="none"/>
        </w:rPr>
        <w:t>Leading Change</w:t>
      </w:r>
      <w:r w:rsidRPr="00FC34C9">
        <w:rPr>
          <w:rFonts w:ascii="Times New Roman" w:hAnsi="Times New Roman" w:cs="Times New Roman"/>
          <w:kern w:val="0"/>
          <w14:ligatures w14:val="none"/>
        </w:rPr>
        <w:t xml:space="preserve">. Revised </w:t>
      </w:r>
      <w:proofErr w:type="spellStart"/>
      <w:r w:rsidRPr="00FC34C9">
        <w:rPr>
          <w:rFonts w:ascii="Times New Roman" w:hAnsi="Times New Roman" w:cs="Times New Roman"/>
          <w:kern w:val="0"/>
          <w14:ligatures w14:val="none"/>
        </w:rPr>
        <w:t>edn</w:t>
      </w:r>
      <w:proofErr w:type="spellEnd"/>
      <w:r w:rsidRPr="00FC34C9">
        <w:rPr>
          <w:rFonts w:ascii="Times New Roman" w:hAnsi="Times New Roman" w:cs="Times New Roman"/>
          <w:kern w:val="0"/>
          <w14:ligatures w14:val="none"/>
        </w:rPr>
        <w:t>. Boston: Harvard Business Review Press.</w:t>
      </w:r>
    </w:p>
    <w:p w:rsidRPr="00FC34C9" w:rsidR="00A451B9" w:rsidP="00A451B9" w:rsidRDefault="00A451B9" w14:paraId="02230C20"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Porter, M.E. (1985) </w:t>
      </w:r>
      <w:r w:rsidRPr="00FC34C9">
        <w:rPr>
          <w:rFonts w:ascii="Times New Roman" w:hAnsi="Times New Roman" w:cs="Times New Roman"/>
          <w:i/>
          <w:iCs/>
          <w:kern w:val="0"/>
          <w14:ligatures w14:val="none"/>
        </w:rPr>
        <w:t>Competitive Advantage: Creating and Sustaining Superior Performance</w:t>
      </w:r>
      <w:r w:rsidRPr="00FC34C9">
        <w:rPr>
          <w:rFonts w:ascii="Times New Roman" w:hAnsi="Times New Roman" w:cs="Times New Roman"/>
          <w:kern w:val="0"/>
          <w14:ligatures w14:val="none"/>
        </w:rPr>
        <w:t>. New York: Free Press.</w:t>
      </w:r>
    </w:p>
    <w:p w:rsidRPr="00FC34C9" w:rsidR="00A451B9" w:rsidP="00A451B9" w:rsidRDefault="00A451B9" w14:paraId="1594DD34"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Robbins, S.P. and Judge, T.A. (2023) </w:t>
      </w:r>
      <w:r w:rsidRPr="00FC34C9">
        <w:rPr>
          <w:rFonts w:ascii="Times New Roman" w:hAnsi="Times New Roman" w:cs="Times New Roman"/>
          <w:i/>
          <w:iCs/>
          <w:kern w:val="0"/>
          <w14:ligatures w14:val="none"/>
        </w:rPr>
        <w:t>Organisational Behaviour</w:t>
      </w:r>
      <w:r w:rsidRPr="00FC34C9">
        <w:rPr>
          <w:rFonts w:ascii="Times New Roman" w:hAnsi="Times New Roman" w:cs="Times New Roman"/>
          <w:kern w:val="0"/>
          <w14:ligatures w14:val="none"/>
        </w:rPr>
        <w:t xml:space="preserve">. 19th </w:t>
      </w:r>
      <w:proofErr w:type="spellStart"/>
      <w:r w:rsidRPr="00FC34C9">
        <w:rPr>
          <w:rFonts w:ascii="Times New Roman" w:hAnsi="Times New Roman" w:cs="Times New Roman"/>
          <w:kern w:val="0"/>
          <w14:ligatures w14:val="none"/>
        </w:rPr>
        <w:t>edn</w:t>
      </w:r>
      <w:proofErr w:type="spellEnd"/>
      <w:r w:rsidRPr="00FC34C9">
        <w:rPr>
          <w:rFonts w:ascii="Times New Roman" w:hAnsi="Times New Roman" w:cs="Times New Roman"/>
          <w:kern w:val="0"/>
          <w14:ligatures w14:val="none"/>
        </w:rPr>
        <w:t>. Harlow: Pearson.</w:t>
      </w:r>
    </w:p>
    <w:p w:rsidRPr="00FC34C9" w:rsidR="00A451B9" w:rsidP="00A451B9" w:rsidRDefault="00A451B9" w14:paraId="0AF6C280"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Rousseau, D.M. (1995) </w:t>
      </w:r>
      <w:r w:rsidRPr="00FC34C9">
        <w:rPr>
          <w:rFonts w:ascii="Times New Roman" w:hAnsi="Times New Roman" w:cs="Times New Roman"/>
          <w:i/>
          <w:iCs/>
          <w:kern w:val="0"/>
          <w14:ligatures w14:val="none"/>
        </w:rPr>
        <w:t>Psychological Contracts in Organisations: Understanding Written and Unwritten Agreements</w:t>
      </w:r>
      <w:r w:rsidRPr="00FC34C9">
        <w:rPr>
          <w:rFonts w:ascii="Times New Roman" w:hAnsi="Times New Roman" w:cs="Times New Roman"/>
          <w:kern w:val="0"/>
          <w14:ligatures w14:val="none"/>
        </w:rPr>
        <w:t>. Thousand Oaks: Sage.</w:t>
      </w:r>
    </w:p>
    <w:p w:rsidRPr="00FC34C9" w:rsidR="00A451B9" w:rsidP="00A451B9" w:rsidRDefault="00A451B9" w14:paraId="3790723B"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Shore, L.M., Cleveland, J.N. and Sanchez, D. (2018) ‘Inclusive workplaces: A review and model’, </w:t>
      </w:r>
      <w:r w:rsidRPr="00FC34C9">
        <w:rPr>
          <w:rFonts w:ascii="Times New Roman" w:hAnsi="Times New Roman" w:cs="Times New Roman"/>
          <w:i/>
          <w:iCs/>
          <w:kern w:val="0"/>
          <w14:ligatures w14:val="none"/>
        </w:rPr>
        <w:t>Human Resource Management Review</w:t>
      </w:r>
      <w:r w:rsidRPr="00FC34C9">
        <w:rPr>
          <w:rFonts w:ascii="Times New Roman" w:hAnsi="Times New Roman" w:cs="Times New Roman"/>
          <w:kern w:val="0"/>
          <w14:ligatures w14:val="none"/>
        </w:rPr>
        <w:t>, 28(2), pp. 176–189.</w:t>
      </w:r>
    </w:p>
    <w:p w:rsidRPr="00FC34C9" w:rsidR="00A451B9" w:rsidP="00A451B9" w:rsidRDefault="00A451B9" w14:paraId="3B7B1115"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Storey, J. (2016) </w:t>
      </w:r>
      <w:r w:rsidRPr="00FC34C9">
        <w:rPr>
          <w:rFonts w:ascii="Times New Roman" w:hAnsi="Times New Roman" w:cs="Times New Roman"/>
          <w:i/>
          <w:iCs/>
          <w:kern w:val="0"/>
          <w14:ligatures w14:val="none"/>
        </w:rPr>
        <w:t>Human Resource Management: A Critical Text</w:t>
      </w:r>
      <w:r w:rsidRPr="00FC34C9">
        <w:rPr>
          <w:rFonts w:ascii="Times New Roman" w:hAnsi="Times New Roman" w:cs="Times New Roman"/>
          <w:kern w:val="0"/>
          <w14:ligatures w14:val="none"/>
        </w:rPr>
        <w:t xml:space="preserve">. 5th </w:t>
      </w:r>
      <w:proofErr w:type="spellStart"/>
      <w:r w:rsidRPr="00FC34C9">
        <w:rPr>
          <w:rFonts w:ascii="Times New Roman" w:hAnsi="Times New Roman" w:cs="Times New Roman"/>
          <w:kern w:val="0"/>
          <w14:ligatures w14:val="none"/>
        </w:rPr>
        <w:t>edn</w:t>
      </w:r>
      <w:proofErr w:type="spellEnd"/>
      <w:r w:rsidRPr="00FC34C9">
        <w:rPr>
          <w:rFonts w:ascii="Times New Roman" w:hAnsi="Times New Roman" w:cs="Times New Roman"/>
          <w:kern w:val="0"/>
          <w14:ligatures w14:val="none"/>
        </w:rPr>
        <w:t xml:space="preserve">. London: </w:t>
      </w:r>
      <w:proofErr w:type="spellStart"/>
      <w:r w:rsidRPr="00FC34C9">
        <w:rPr>
          <w:rFonts w:ascii="Times New Roman" w:hAnsi="Times New Roman" w:cs="Times New Roman"/>
          <w:kern w:val="0"/>
          <w14:ligatures w14:val="none"/>
        </w:rPr>
        <w:t>Cengage</w:t>
      </w:r>
      <w:proofErr w:type="spellEnd"/>
      <w:r w:rsidRPr="00FC34C9">
        <w:rPr>
          <w:rFonts w:ascii="Times New Roman" w:hAnsi="Times New Roman" w:cs="Times New Roman"/>
          <w:kern w:val="0"/>
          <w14:ligatures w14:val="none"/>
        </w:rPr>
        <w:t xml:space="preserve"> Learning.</w:t>
      </w:r>
    </w:p>
    <w:p w:rsidRPr="00FC34C9" w:rsidR="00A451B9" w:rsidP="00A451B9" w:rsidRDefault="00A451B9" w14:paraId="7B4B2FB0"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Ulrich, D. (1997) </w:t>
      </w:r>
      <w:r w:rsidRPr="00FC34C9">
        <w:rPr>
          <w:rFonts w:ascii="Times New Roman" w:hAnsi="Times New Roman" w:cs="Times New Roman"/>
          <w:i/>
          <w:iCs/>
          <w:kern w:val="0"/>
          <w14:ligatures w14:val="none"/>
        </w:rPr>
        <w:t>Human Resource Champions</w:t>
      </w:r>
      <w:r w:rsidRPr="00FC34C9">
        <w:rPr>
          <w:rFonts w:ascii="Times New Roman" w:hAnsi="Times New Roman" w:cs="Times New Roman"/>
          <w:kern w:val="0"/>
          <w14:ligatures w14:val="none"/>
        </w:rPr>
        <w:t>. Boston: Harvard Business School Press.</w:t>
      </w:r>
    </w:p>
    <w:p w:rsidRPr="00FC34C9" w:rsidR="00A451B9" w:rsidP="00A451B9" w:rsidRDefault="00A451B9" w14:paraId="0E7163B5"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Acas (2023) </w:t>
      </w:r>
      <w:r w:rsidRPr="00FC34C9">
        <w:rPr>
          <w:rFonts w:ascii="Times New Roman" w:hAnsi="Times New Roman" w:cs="Times New Roman"/>
          <w:i/>
          <w:iCs/>
          <w:kern w:val="0"/>
          <w14:ligatures w14:val="none"/>
        </w:rPr>
        <w:t>Managing People and Performance</w:t>
      </w:r>
      <w:r w:rsidRPr="00FC34C9">
        <w:rPr>
          <w:rFonts w:ascii="Times New Roman" w:hAnsi="Times New Roman" w:cs="Times New Roman"/>
          <w:kern w:val="0"/>
          <w14:ligatures w14:val="none"/>
        </w:rPr>
        <w:t>. London: Advisory, Conciliation and Arbitration Service.</w:t>
      </w:r>
    </w:p>
    <w:p w:rsidRPr="00FC34C9" w:rsidR="00A451B9" w:rsidP="00A451B9" w:rsidRDefault="00A451B9" w14:paraId="2F0AD878" w14:textId="77777777">
      <w:pPr>
        <w:spacing w:before="100" w:beforeAutospacing="1" w:after="100" w:afterAutospacing="1" w:line="240" w:lineRule="auto"/>
        <w:rPr>
          <w:rFonts w:ascii="Times New Roman" w:hAnsi="Times New Roman" w:cs="Times New Roman"/>
          <w:kern w:val="0"/>
          <w14:ligatures w14:val="none"/>
        </w:rPr>
      </w:pPr>
      <w:proofErr w:type="spellStart"/>
      <w:r w:rsidRPr="00FC34C9">
        <w:rPr>
          <w:rFonts w:ascii="Times New Roman" w:hAnsi="Times New Roman" w:cs="Times New Roman"/>
          <w:kern w:val="0"/>
          <w14:ligatures w14:val="none"/>
        </w:rPr>
        <w:t>Boxall</w:t>
      </w:r>
      <w:proofErr w:type="spellEnd"/>
      <w:r w:rsidRPr="00FC34C9">
        <w:rPr>
          <w:rFonts w:ascii="Times New Roman" w:hAnsi="Times New Roman" w:cs="Times New Roman"/>
          <w:kern w:val="0"/>
          <w14:ligatures w14:val="none"/>
        </w:rPr>
        <w:t xml:space="preserve">, P. and Purcell, J. (2022) </w:t>
      </w:r>
      <w:r w:rsidRPr="00FC34C9">
        <w:rPr>
          <w:rFonts w:ascii="Times New Roman" w:hAnsi="Times New Roman" w:cs="Times New Roman"/>
          <w:i/>
          <w:iCs/>
          <w:kern w:val="0"/>
          <w14:ligatures w14:val="none"/>
        </w:rPr>
        <w:t>Strategy and Human Resource Management</w:t>
      </w:r>
      <w:r w:rsidRPr="00FC34C9">
        <w:rPr>
          <w:rFonts w:ascii="Times New Roman" w:hAnsi="Times New Roman" w:cs="Times New Roman"/>
          <w:kern w:val="0"/>
          <w14:ligatures w14:val="none"/>
        </w:rPr>
        <w:t xml:space="preserve">. 5th </w:t>
      </w:r>
      <w:proofErr w:type="spellStart"/>
      <w:r w:rsidRPr="00FC34C9">
        <w:rPr>
          <w:rFonts w:ascii="Times New Roman" w:hAnsi="Times New Roman" w:cs="Times New Roman"/>
          <w:kern w:val="0"/>
          <w14:ligatures w14:val="none"/>
        </w:rPr>
        <w:t>edn</w:t>
      </w:r>
      <w:proofErr w:type="spellEnd"/>
      <w:r w:rsidRPr="00FC34C9">
        <w:rPr>
          <w:rFonts w:ascii="Times New Roman" w:hAnsi="Times New Roman" w:cs="Times New Roman"/>
          <w:kern w:val="0"/>
          <w14:ligatures w14:val="none"/>
        </w:rPr>
        <w:t>. London: Red Globe Press.</w:t>
      </w:r>
    </w:p>
    <w:p w:rsidRPr="00FC34C9" w:rsidR="00A451B9" w:rsidP="00A451B9" w:rsidRDefault="00A451B9" w14:paraId="4E1F3288" w14:textId="77777777">
      <w:pPr>
        <w:spacing w:before="100" w:beforeAutospacing="1" w:after="100" w:afterAutospacing="1" w:line="240" w:lineRule="auto"/>
        <w:rPr>
          <w:rFonts w:ascii="Times New Roman" w:hAnsi="Times New Roman" w:cs="Times New Roman"/>
          <w:kern w:val="0"/>
          <w14:ligatures w14:val="none"/>
        </w:rPr>
      </w:pPr>
      <w:proofErr w:type="spellStart"/>
      <w:r w:rsidRPr="00FC34C9">
        <w:rPr>
          <w:rFonts w:ascii="Times New Roman" w:hAnsi="Times New Roman" w:cs="Times New Roman"/>
          <w:kern w:val="0"/>
          <w14:ligatures w14:val="none"/>
        </w:rPr>
        <w:t>Bratton</w:t>
      </w:r>
      <w:proofErr w:type="spellEnd"/>
      <w:r w:rsidRPr="00FC34C9">
        <w:rPr>
          <w:rFonts w:ascii="Times New Roman" w:hAnsi="Times New Roman" w:cs="Times New Roman"/>
          <w:kern w:val="0"/>
          <w14:ligatures w14:val="none"/>
        </w:rPr>
        <w:t xml:space="preserve">, J. and Gold, J. (2023) </w:t>
      </w:r>
      <w:r w:rsidRPr="00FC34C9">
        <w:rPr>
          <w:rFonts w:ascii="Times New Roman" w:hAnsi="Times New Roman" w:cs="Times New Roman"/>
          <w:i/>
          <w:iCs/>
          <w:kern w:val="0"/>
          <w14:ligatures w14:val="none"/>
        </w:rPr>
        <w:t>Human Resource Management: Theory and Practice</w:t>
      </w:r>
      <w:r w:rsidRPr="00FC34C9">
        <w:rPr>
          <w:rFonts w:ascii="Times New Roman" w:hAnsi="Times New Roman" w:cs="Times New Roman"/>
          <w:kern w:val="0"/>
          <w14:ligatures w14:val="none"/>
        </w:rPr>
        <w:t xml:space="preserve">. 8th </w:t>
      </w:r>
      <w:proofErr w:type="spellStart"/>
      <w:r w:rsidRPr="00FC34C9">
        <w:rPr>
          <w:rFonts w:ascii="Times New Roman" w:hAnsi="Times New Roman" w:cs="Times New Roman"/>
          <w:kern w:val="0"/>
          <w14:ligatures w14:val="none"/>
        </w:rPr>
        <w:t>edn</w:t>
      </w:r>
      <w:proofErr w:type="spellEnd"/>
      <w:r w:rsidRPr="00FC34C9">
        <w:rPr>
          <w:rFonts w:ascii="Times New Roman" w:hAnsi="Times New Roman" w:cs="Times New Roman"/>
          <w:kern w:val="0"/>
          <w14:ligatures w14:val="none"/>
        </w:rPr>
        <w:t>. London: Red Globe Press.</w:t>
      </w:r>
    </w:p>
    <w:p w:rsidRPr="00FC34C9" w:rsidR="00A451B9" w:rsidP="00A451B9" w:rsidRDefault="00A451B9" w14:paraId="1DE27B6D" w14:textId="77777777">
      <w:pPr>
        <w:spacing w:before="100" w:beforeAutospacing="1" w:after="100" w:afterAutospacing="1" w:line="240" w:lineRule="auto"/>
        <w:rPr>
          <w:rFonts w:ascii="Times New Roman" w:hAnsi="Times New Roman" w:cs="Times New Roman"/>
          <w:kern w:val="0"/>
          <w14:ligatures w14:val="none"/>
        </w:rPr>
      </w:pPr>
      <w:r w:rsidRPr="00FC34C9">
        <w:rPr>
          <w:rFonts w:ascii="Times New Roman" w:hAnsi="Times New Roman" w:cs="Times New Roman"/>
          <w:kern w:val="0"/>
          <w14:ligatures w14:val="none"/>
        </w:rPr>
        <w:t xml:space="preserve">World Economic Forum (2023) </w:t>
      </w:r>
      <w:r w:rsidRPr="00FC34C9">
        <w:rPr>
          <w:rFonts w:ascii="Times New Roman" w:hAnsi="Times New Roman" w:cs="Times New Roman"/>
          <w:i/>
          <w:iCs/>
          <w:kern w:val="0"/>
          <w14:ligatures w14:val="none"/>
        </w:rPr>
        <w:t>The Future of Jobs Report 2023</w:t>
      </w:r>
      <w:r w:rsidRPr="00FC34C9">
        <w:rPr>
          <w:rFonts w:ascii="Times New Roman" w:hAnsi="Times New Roman" w:cs="Times New Roman"/>
          <w:kern w:val="0"/>
          <w14:ligatures w14:val="none"/>
        </w:rPr>
        <w:t>. Geneva: World Economic Forum.</w:t>
      </w:r>
    </w:p>
    <w:p w:rsidRPr="00FC34C9" w:rsidR="00FC1889" w:rsidRDefault="00FC1889" w14:paraId="4920EAC2" w14:textId="6F2E0CE7"/>
    <w:sectPr w:rsidRPr="00FC34C9" w:rsidR="00FC1889">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67A29F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8990326">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revisionView w:inkAnnotations="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415"/>
    <w:rsid w:val="00363581"/>
    <w:rsid w:val="00592847"/>
    <w:rsid w:val="00706F7D"/>
    <w:rsid w:val="00785662"/>
    <w:rsid w:val="007E3146"/>
    <w:rsid w:val="0083685E"/>
    <w:rsid w:val="008F5432"/>
    <w:rsid w:val="00A451B9"/>
    <w:rsid w:val="00A93BA2"/>
    <w:rsid w:val="00CA7A69"/>
    <w:rsid w:val="00CB3272"/>
    <w:rsid w:val="00DF1415"/>
    <w:rsid w:val="00EA216B"/>
    <w:rsid w:val="00EC285E"/>
    <w:rsid w:val="00FC1889"/>
    <w:rsid w:val="00FC34C9"/>
    <w:rsid w:val="0992028F"/>
    <w:rsid w:val="0B49261E"/>
    <w:rsid w:val="0B49261E"/>
    <w:rsid w:val="14F2BD7C"/>
    <w:rsid w:val="16FEF9D7"/>
    <w:rsid w:val="18ED06D8"/>
    <w:rsid w:val="1B531125"/>
    <w:rsid w:val="20F1A978"/>
    <w:rsid w:val="24329344"/>
    <w:rsid w:val="24C24AA7"/>
    <w:rsid w:val="2D77A35F"/>
    <w:rsid w:val="2E652F46"/>
    <w:rsid w:val="2FBAB9BA"/>
    <w:rsid w:val="36A4CBCE"/>
    <w:rsid w:val="38AC62A7"/>
    <w:rsid w:val="3AC6B3DC"/>
    <w:rsid w:val="3D2B7E4E"/>
    <w:rsid w:val="3F7237EB"/>
    <w:rsid w:val="3F9FDF31"/>
    <w:rsid w:val="426A5FCF"/>
    <w:rsid w:val="42D74297"/>
    <w:rsid w:val="42E91386"/>
    <w:rsid w:val="42F0B932"/>
    <w:rsid w:val="4975B983"/>
    <w:rsid w:val="4B186BD7"/>
    <w:rsid w:val="5059C0D6"/>
    <w:rsid w:val="52B2932A"/>
    <w:rsid w:val="54115D23"/>
    <w:rsid w:val="5851E044"/>
    <w:rsid w:val="5D83CA9A"/>
    <w:rsid w:val="61A6694E"/>
    <w:rsid w:val="666789E2"/>
    <w:rsid w:val="682B4630"/>
    <w:rsid w:val="6A70E830"/>
    <w:rsid w:val="6BC7BA1A"/>
    <w:rsid w:val="6D379F9E"/>
    <w:rsid w:val="6DFB7517"/>
    <w:rsid w:val="70A6EDE7"/>
    <w:rsid w:val="7650467E"/>
    <w:rsid w:val="773FAD60"/>
    <w:rsid w:val="7A322172"/>
    <w:rsid w:val="7CE9B432"/>
    <w:rsid w:val="7D25CAB2"/>
    <w:rsid w:val="7D5F7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468E76"/>
  <w15:chartTrackingRefBased/>
  <w15:docId w15:val="{9BBF50E8-7B37-B644-9626-CD528263E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F141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141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F14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4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4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4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4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4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41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F141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F141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F141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F141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F141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F141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F141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F141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F1415"/>
    <w:rPr>
      <w:rFonts w:eastAsiaTheme="majorEastAsia" w:cstheme="majorBidi"/>
      <w:color w:val="272727" w:themeColor="text1" w:themeTint="D8"/>
    </w:rPr>
  </w:style>
  <w:style w:type="paragraph" w:styleId="Title">
    <w:name w:val="Title"/>
    <w:basedOn w:val="Normal"/>
    <w:next w:val="Normal"/>
    <w:link w:val="TitleChar"/>
    <w:uiPriority w:val="10"/>
    <w:qFormat/>
    <w:rsid w:val="00DF141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F141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F141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F14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415"/>
    <w:pPr>
      <w:spacing w:before="160"/>
      <w:jc w:val="center"/>
    </w:pPr>
    <w:rPr>
      <w:i/>
      <w:iCs/>
      <w:color w:val="404040" w:themeColor="text1" w:themeTint="BF"/>
    </w:rPr>
  </w:style>
  <w:style w:type="character" w:styleId="QuoteChar" w:customStyle="1">
    <w:name w:val="Quote Char"/>
    <w:basedOn w:val="DefaultParagraphFont"/>
    <w:link w:val="Quote"/>
    <w:uiPriority w:val="29"/>
    <w:rsid w:val="00DF1415"/>
    <w:rPr>
      <w:i/>
      <w:iCs/>
      <w:color w:val="404040" w:themeColor="text1" w:themeTint="BF"/>
    </w:rPr>
  </w:style>
  <w:style w:type="paragraph" w:styleId="ListParagraph">
    <w:name w:val="List Paragraph"/>
    <w:basedOn w:val="Normal"/>
    <w:uiPriority w:val="34"/>
    <w:qFormat/>
    <w:rsid w:val="00DF1415"/>
    <w:pPr>
      <w:ind w:left="720"/>
      <w:contextualSpacing/>
    </w:pPr>
  </w:style>
  <w:style w:type="character" w:styleId="IntenseEmphasis">
    <w:name w:val="Intense Emphasis"/>
    <w:basedOn w:val="DefaultParagraphFont"/>
    <w:uiPriority w:val="21"/>
    <w:qFormat/>
    <w:rsid w:val="00DF1415"/>
    <w:rPr>
      <w:i/>
      <w:iCs/>
      <w:color w:val="0F4761" w:themeColor="accent1" w:themeShade="BF"/>
    </w:rPr>
  </w:style>
  <w:style w:type="paragraph" w:styleId="IntenseQuote">
    <w:name w:val="Intense Quote"/>
    <w:basedOn w:val="Normal"/>
    <w:next w:val="Normal"/>
    <w:link w:val="IntenseQuoteChar"/>
    <w:uiPriority w:val="30"/>
    <w:qFormat/>
    <w:rsid w:val="00DF141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F1415"/>
    <w:rPr>
      <w:i/>
      <w:iCs/>
      <w:color w:val="0F4761" w:themeColor="accent1" w:themeShade="BF"/>
    </w:rPr>
  </w:style>
  <w:style w:type="character" w:styleId="IntenseReference">
    <w:name w:val="Intense Reference"/>
    <w:basedOn w:val="DefaultParagraphFont"/>
    <w:uiPriority w:val="32"/>
    <w:qFormat/>
    <w:rsid w:val="00DF1415"/>
    <w:rPr>
      <w:b/>
      <w:bCs/>
      <w:smallCaps/>
      <w:color w:val="0F4761" w:themeColor="accent1" w:themeShade="BF"/>
      <w:spacing w:val="5"/>
    </w:rPr>
  </w:style>
  <w:style w:type="character" w:styleId="s1" w:customStyle="1">
    <w:name w:val="s1"/>
    <w:basedOn w:val="DefaultParagraphFont"/>
    <w:rsid w:val="00DF1415"/>
  </w:style>
  <w:style w:type="paragraph" w:styleId="p2" w:customStyle="1">
    <w:name w:val="p2"/>
    <w:basedOn w:val="Normal"/>
    <w:rsid w:val="00DF1415"/>
    <w:pPr>
      <w:spacing w:before="100" w:beforeAutospacing="1" w:after="100" w:afterAutospacing="1" w:line="240" w:lineRule="auto"/>
    </w:pPr>
    <w:rPr>
      <w:rFonts w:ascii="Times New Roman" w:hAnsi="Times New Roman" w:cs="Times New Roman"/>
      <w:kern w:val="0"/>
      <w14:ligatures w14:val="none"/>
    </w:rPr>
  </w:style>
  <w:style w:type="paragraph" w:styleId="p3" w:customStyle="1">
    <w:name w:val="p3"/>
    <w:basedOn w:val="Normal"/>
    <w:rsid w:val="00DF1415"/>
    <w:pPr>
      <w:spacing w:before="100" w:beforeAutospacing="1" w:after="100" w:afterAutospacing="1" w:line="240" w:lineRule="auto"/>
    </w:pPr>
    <w:rPr>
      <w:rFonts w:ascii="Times New Roman" w:hAnsi="Times New Roman" w:cs="Times New Roman"/>
      <w:kern w:val="0"/>
      <w14:ligatures w14:val="none"/>
    </w:rPr>
  </w:style>
  <w:style w:type="paragraph" w:styleId="p1" w:customStyle="1">
    <w:name w:val="p1"/>
    <w:basedOn w:val="Normal"/>
    <w:rsid w:val="00CA7A69"/>
    <w:pPr>
      <w:spacing w:before="100" w:beforeAutospacing="1" w:after="100" w:afterAutospacing="1" w:line="240" w:lineRule="auto"/>
    </w:pPr>
    <w:rPr>
      <w:rFonts w:ascii="Times New Roman" w:hAnsi="Times New Roman" w:cs="Times New Roman"/>
      <w:kern w:val="0"/>
      <w14:ligatures w14:val="none"/>
    </w:rPr>
  </w:style>
  <w:style w:type="character" w:styleId="s2" w:customStyle="1">
    <w:name w:val="s2"/>
    <w:basedOn w:val="DefaultParagraphFont"/>
    <w:rsid w:val="00A451B9"/>
  </w:style>
  <w:style w:type="paragraph" w:styleId="p4" w:customStyle="1">
    <w:name w:val="p4"/>
    <w:basedOn w:val="Normal"/>
    <w:rsid w:val="00A451B9"/>
    <w:pPr>
      <w:spacing w:before="100" w:beforeAutospacing="1" w:after="100" w:afterAutospacing="1" w:line="240" w:lineRule="auto"/>
    </w:pPr>
    <w:rPr>
      <w:rFonts w:ascii="Times New Roman" w:hAnsi="Times New Roman" w:cs="Times New Roman"/>
      <w:kern w:val="0"/>
      <w14:ligatures w14:val="none"/>
    </w:rPr>
  </w:style>
  <w:style w:type="paragraph" w:styleId="NoSpacing">
    <w:uiPriority w:val="1"/>
    <w:name w:val="No Spacing"/>
    <w:qFormat/>
    <w:rsid w:val="1B531125"/>
    <w:pPr>
      <w:spacing w:after="0"/>
    </w:pPr>
  </w:style>
  <w:style w:type="character" w:styleId="Hyperlink">
    <w:uiPriority w:val="99"/>
    <w:name w:val="Hyperlink"/>
    <w:basedOn w:val="DefaultParagraphFont"/>
    <w:unhideWhenUsed/>
    <w:rsid w:val="1B531125"/>
    <w:rPr>
      <w:color w:val="467886"/>
      <w:u w:val="single"/>
    </w:rPr>
  </w:style>
  <w:style w:type="paragraph" w:styleId="TOC1">
    <w:uiPriority w:val="39"/>
    <w:name w:val="toc 1"/>
    <w:basedOn w:val="Normal"/>
    <w:next w:val="Normal"/>
    <w:unhideWhenUsed/>
    <w:rsid w:val="1B531125"/>
    <w:pPr>
      <w:spacing w:after="100"/>
    </w:pPr>
  </w:style>
  <w:style w:type="paragraph" w:styleId="TOC2">
    <w:uiPriority w:val="39"/>
    <w:name w:val="toc 2"/>
    <w:basedOn w:val="Normal"/>
    <w:next w:val="Normal"/>
    <w:unhideWhenUsed/>
    <w:rsid w:val="1B531125"/>
    <w:pPr>
      <w:spacing w:after="100"/>
      <w:ind w:left="220"/>
    </w:pPr>
  </w:style>
  <w:style w:type="paragraph" w:styleId="TOC3">
    <w:uiPriority w:val="39"/>
    <w:name w:val="toc 3"/>
    <w:basedOn w:val="Normal"/>
    <w:next w:val="Normal"/>
    <w:unhideWhenUsed/>
    <w:rsid w:val="1B53112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Maria Hussain</dc:creator>
  <keywords/>
  <dc:description/>
  <lastModifiedBy>Maria Hussain (2436307)</lastModifiedBy>
  <revision>3</revision>
  <dcterms:created xsi:type="dcterms:W3CDTF">2026-07-20T01:29:00.0000000Z</dcterms:created>
  <dcterms:modified xsi:type="dcterms:W3CDTF">2026-07-20T02:12:47.8080325Z</dcterms:modified>
</coreProperties>
</file>