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6A6A3" w14:textId="08ED4AC4" w:rsidR="00F97502" w:rsidRPr="00A0146E" w:rsidRDefault="00F45265">
      <w:pPr>
        <w:rPr>
          <w:rFonts w:asciiTheme="majorHAnsi" w:hAnsiTheme="majorHAnsi" w:cstheme="majorHAnsi"/>
          <w:b/>
          <w:bCs/>
          <w:sz w:val="32"/>
          <w:szCs w:val="32"/>
          <w:u w:val="single"/>
        </w:rPr>
      </w:pPr>
      <w:r>
        <w:rPr>
          <w:rFonts w:asciiTheme="majorHAnsi" w:hAnsiTheme="majorHAnsi" w:cstheme="majorHAnsi"/>
          <w:b/>
          <w:bCs/>
          <w:sz w:val="32"/>
          <w:szCs w:val="32"/>
          <w:u w:val="single"/>
        </w:rPr>
        <w:t>introduction</w:t>
      </w:r>
    </w:p>
    <w:p w14:paraId="3AF0C5C9" w14:textId="56317B6F" w:rsidR="008B2C84" w:rsidRPr="00722FF1" w:rsidRDefault="00F45265">
      <w:r w:rsidRPr="00722FF1">
        <w:t>Homicide offences</w:t>
      </w:r>
      <w:r w:rsidR="005B64C8" w:rsidRPr="00722FF1">
        <w:t xml:space="preserve"> are also known as murder. Which is defined as the </w:t>
      </w:r>
      <w:r w:rsidRPr="00722FF1">
        <w:t>killing of an individual by another individua</w:t>
      </w:r>
      <w:r w:rsidR="005B64C8" w:rsidRPr="00722FF1">
        <w:t>l or causing serious injury unlawfully</w:t>
      </w:r>
      <w:r w:rsidR="00291BD3" w:rsidRPr="00722FF1">
        <w:t xml:space="preserve"> </w:t>
      </w:r>
      <w:r w:rsidR="00126BB7">
        <w:fldChar w:fldCharType="begin"/>
      </w:r>
      <w:r w:rsidR="00304F2F">
        <w:instrText xml:space="preserve"> ADDIN EN.CITE &lt;EndNote&gt;&lt;Cite&gt;&lt;Author&gt;Homicide&lt;/Author&gt;&lt;Year&gt;2021&lt;/Year&gt;&lt;RecNum&gt;8&lt;/RecNum&gt;&lt;DisplayText&gt;(Homicide, 2021a)&lt;/DisplayText&gt;&lt;record&gt;&lt;rec-number&gt;8&lt;/rec-number&gt;&lt;foreign-keys&gt;&lt;key app="EN" db-id="zz2dfdfwnwv0x2e2dzmvddw520zaa2zvrwta" timestamp="1636667143"&gt;8&lt;/key&gt;&lt;/foreign-keys&gt;&lt;ref-type name="Web Page"&gt;12&lt;/ref-type&gt;&lt;contributors&gt;&lt;authors&gt;&lt;author&gt;Homicide&lt;/author&gt;&lt;/authors&gt;&lt;/contributors&gt;&lt;titles&gt;&lt;title&gt;Homicide: Murder and Manslaughter&lt;/title&gt;&lt;/titles&gt;&lt;number&gt;25th october 2021&lt;/number&gt;&lt;dates&gt;&lt;year&gt;2021&lt;/year&gt;&lt;/dates&gt;&lt;urls&gt;&lt;related-urls&gt;&lt;url&gt;https://www.cps.gov.uk/legal-guidance/homicide-murder-and-manslaughter&lt;/url&gt;&lt;/related-urls&gt;&lt;/urls&gt;&lt;/record&gt;&lt;/Cite&gt;&lt;/EndNote&gt;</w:instrText>
      </w:r>
      <w:r w:rsidR="00126BB7">
        <w:fldChar w:fldCharType="separate"/>
      </w:r>
      <w:r w:rsidR="00304F2F">
        <w:rPr>
          <w:noProof/>
        </w:rPr>
        <w:t>(Homicide, 2021a)</w:t>
      </w:r>
      <w:r w:rsidR="00126BB7">
        <w:fldChar w:fldCharType="end"/>
      </w:r>
      <w:r w:rsidR="004601CB" w:rsidRPr="00722FF1">
        <w:t xml:space="preserve">Murder and manslaughter are offences that also represent homicide. </w:t>
      </w:r>
      <w:r w:rsidR="00CA5AC6" w:rsidRPr="00722FF1">
        <w:t>There are two types of manslaughter, which are voluntary and involuntary manslaughter</w:t>
      </w:r>
      <w:r w:rsidR="003677B3" w:rsidRPr="00722FF1">
        <w:t>. Before sentencing the defendant with murder the judge must look at the following, if the murder or serious injury unlawfully was with direct intention or indirect intention</w:t>
      </w:r>
      <w:r w:rsidR="00F97502" w:rsidRPr="00722FF1">
        <w:t>, manslaughter lastly loss of diminished responsibility</w:t>
      </w:r>
      <w:r w:rsidR="00F97502" w:rsidRPr="00722FF1">
        <w:rPr>
          <w:i/>
          <w:iCs/>
        </w:rPr>
        <w:t xml:space="preserve"> </w:t>
      </w:r>
      <w:r w:rsidR="00F97502" w:rsidRPr="00722FF1">
        <w:rPr>
          <w:i/>
          <w:iCs/>
        </w:rPr>
        <w:fldChar w:fldCharType="begin"/>
      </w:r>
      <w:r w:rsidR="00F97502" w:rsidRPr="00722FF1">
        <w:rPr>
          <w:i/>
          <w:iCs/>
        </w:rPr>
        <w:instrText xml:space="preserve"> ADDIN EN.CITE &lt;EndNote&gt;&lt;Cite&gt;&lt;Author&gt;cps.gov.uk&lt;/Author&gt;&lt;Year&gt;2021&lt;/Year&gt;&lt;RecNum&gt;3&lt;/RecNum&gt;&lt;DisplayText&gt;(cps.gov.uk, 2021)&lt;/DisplayText&gt;&lt;record&gt;&lt;rec-number&gt;3&lt;/rec-number&gt;&lt;foreign-keys&gt;&lt;key app="EN" db-id="rspawaw9h9f2soe2ee8xzdzzdpdd52xaevtx" timestamp="1634129094"&gt;3&lt;/key&gt;&lt;/foreign-keys&gt;&lt;ref-type name="Web Page"&gt;12&lt;/ref-type&gt;&lt;contributors&gt;&lt;authors&gt;&lt;author&gt;cps.gov.uk&lt;/author&gt;&lt;/authors&gt;&lt;secondary-authors&gt;&lt;author&gt;cps.gov.uk&lt;/author&gt;&lt;/secondary-authors&gt;&lt;/contributors&gt;&lt;titles&gt;&lt;title&gt;Homicide: Murder and Manslaughter | The Crown Prosecution Service&lt;/title&gt;&lt;/titles&gt;&lt;number&gt;13th october 2021&lt;/number&gt;&lt;dates&gt;&lt;year&gt;2021&lt;/year&gt;&lt;/dates&gt;&lt;urls&gt;&lt;related-urls&gt;&lt;url&gt;https://www.cps.gov.uk/legal-guidance/homicide-murder-and-manslaughter&lt;/url&gt;&lt;/related-urls&gt;&lt;/urls&gt;&lt;/record&gt;&lt;/Cite&gt;&lt;/EndNote&gt;</w:instrText>
      </w:r>
      <w:r w:rsidR="00F97502" w:rsidRPr="00722FF1">
        <w:rPr>
          <w:i/>
          <w:iCs/>
        </w:rPr>
        <w:fldChar w:fldCharType="separate"/>
      </w:r>
      <w:r w:rsidR="00F97502" w:rsidRPr="00722FF1">
        <w:rPr>
          <w:i/>
          <w:iCs/>
          <w:noProof/>
        </w:rPr>
        <w:t>(cps.gov.uk, 2021)</w:t>
      </w:r>
      <w:r w:rsidR="00F97502" w:rsidRPr="00722FF1">
        <w:rPr>
          <w:i/>
          <w:iCs/>
        </w:rPr>
        <w:fldChar w:fldCharType="end"/>
      </w:r>
      <w:r w:rsidR="00F97502" w:rsidRPr="00722FF1">
        <w:rPr>
          <w:i/>
          <w:iCs/>
        </w:rPr>
        <w:t xml:space="preserve">. </w:t>
      </w:r>
      <w:r w:rsidR="00C65D42" w:rsidRPr="00722FF1">
        <w:rPr>
          <w:i/>
          <w:iCs/>
        </w:rPr>
        <w:t xml:space="preserve"> </w:t>
      </w:r>
      <w:r w:rsidR="00EC47B8" w:rsidRPr="00722FF1">
        <w:t xml:space="preserve">The homicide act was introduced </w:t>
      </w:r>
      <w:r w:rsidR="00F97502" w:rsidRPr="00722FF1">
        <w:t>on</w:t>
      </w:r>
      <w:r w:rsidR="00EC47B8" w:rsidRPr="00722FF1">
        <w:t xml:space="preserve"> 21</w:t>
      </w:r>
      <w:r w:rsidR="00EC47B8" w:rsidRPr="00722FF1">
        <w:rPr>
          <w:vertAlign w:val="superscript"/>
        </w:rPr>
        <w:t>st</w:t>
      </w:r>
      <w:r w:rsidR="00EC47B8" w:rsidRPr="00722FF1">
        <w:t xml:space="preserve"> </w:t>
      </w:r>
      <w:r w:rsidRPr="00722FF1">
        <w:t>March</w:t>
      </w:r>
      <w:r w:rsidR="00EC47B8" w:rsidRPr="00722FF1">
        <w:t xml:space="preserve"> 1957 by the Royal Commission to prevent capital punishment known as the death penalty. </w:t>
      </w:r>
      <w:r w:rsidRPr="00722FF1">
        <w:t>After passing</w:t>
      </w:r>
      <w:r w:rsidR="00EC47B8" w:rsidRPr="00722FF1">
        <w:t xml:space="preserve"> the act Mr. R. A Butler</w:t>
      </w:r>
      <w:r w:rsidRPr="00722FF1">
        <w:t xml:space="preserve"> </w:t>
      </w:r>
      <w:r w:rsidR="00EC47B8" w:rsidRPr="00722FF1">
        <w:t xml:space="preserve">mentions that 66 people have been charged </w:t>
      </w:r>
      <w:r w:rsidRPr="00722FF1">
        <w:t xml:space="preserve">with murder but later they were found guilty of manslaughter under diminished responsibility under </w:t>
      </w:r>
      <w:r w:rsidRPr="00722FF1">
        <w:rPr>
          <w:i/>
          <w:iCs/>
        </w:rPr>
        <w:t xml:space="preserve">Section 2 of the Homicide Act </w:t>
      </w:r>
      <w:r w:rsidR="000A3DD9" w:rsidRPr="00722FF1">
        <w:rPr>
          <w:i/>
          <w:iCs/>
        </w:rPr>
        <w:t xml:space="preserve">1957 </w:t>
      </w:r>
      <w:r w:rsidR="00E24D2A" w:rsidRPr="00722FF1">
        <w:rPr>
          <w:i/>
          <w:iCs/>
        </w:rPr>
        <w:fldChar w:fldCharType="begin"/>
      </w:r>
      <w:r w:rsidR="00E24D2A" w:rsidRPr="00722FF1">
        <w:rPr>
          <w:i/>
          <w:iCs/>
        </w:rPr>
        <w:instrText xml:space="preserve"> ADDIN EN.CITE &lt;EndNote&gt;&lt;Cite&gt;&lt;Author&gt;parliment.uk&lt;/Author&gt;&lt;Year&gt;2021&lt;/Year&gt;&lt;RecNum&gt;4&lt;/RecNum&gt;&lt;DisplayText&gt;(parliment.uk, 2021)&lt;/DisplayText&gt;&lt;record&gt;&lt;rec-number&gt;4&lt;/rec-number&gt;&lt;foreign-keys&gt;&lt;key app="EN" db-id="rspawaw9h9f2soe2ee8xzdzzdpdd52xaevtx" timestamp="1634153254"&gt;4&lt;/key&gt;&lt;/foreign-keys&gt;&lt;ref-type name="Journal Article"&gt;17&lt;/ref-type&gt;&lt;contributors&gt;&lt;authors&gt;&lt;author&gt;parliment.uk &lt;/author&gt;&lt;/authors&gt;&lt;/contributors&gt;&lt;auth-address&gt;https://api.parliament.uk/historic-hansard/commons/1960/may/19/homicide-act-1957&lt;/auth-address&gt;&lt;titles&gt;&lt;title&gt;Homicide Act, 1957 (Hansard, 19 May 1960)&lt;/title&gt;&lt;secondary-title&gt;https://api.parliament.uk/historic-hansard/commons/1960/may/19/homicide-act-1957&lt;/secondary-title&gt;&lt;/titles&gt;&lt;periodical&gt;&lt;full-title&gt;https://api.parliament.uk/historic-hansard/commons/1960/may/19/homicide-act-1957&lt;/full-title&gt;&lt;/periodical&gt;&lt;dates&gt;&lt;year&gt;2021&lt;/year&gt;&lt;/dates&gt;&lt;urls&gt;&lt;related-urls&gt;&lt;url&gt;https://api.parliament.uk/historic-hansard/commons/1960/may/19/homicide-act-1957&lt;/url&gt;&lt;/related-urls&gt;&lt;/urls&gt;&lt;access-date&gt;13th october 2021&lt;/access-date&gt;&lt;/record&gt;&lt;/Cite&gt;&lt;/EndNote&gt;</w:instrText>
      </w:r>
      <w:r w:rsidR="00E24D2A" w:rsidRPr="00722FF1">
        <w:rPr>
          <w:i/>
          <w:iCs/>
        </w:rPr>
        <w:fldChar w:fldCharType="separate"/>
      </w:r>
      <w:r w:rsidR="00E24D2A" w:rsidRPr="00722FF1">
        <w:rPr>
          <w:i/>
          <w:iCs/>
          <w:noProof/>
        </w:rPr>
        <w:t>(parliament. UK, 2021)</w:t>
      </w:r>
      <w:r w:rsidR="00E24D2A" w:rsidRPr="00722FF1">
        <w:rPr>
          <w:i/>
          <w:iCs/>
        </w:rPr>
        <w:fldChar w:fldCharType="end"/>
      </w:r>
      <w:r w:rsidR="00E24D2A" w:rsidRPr="00722FF1">
        <w:rPr>
          <w:i/>
          <w:iCs/>
        </w:rPr>
        <w:t xml:space="preserve">. </w:t>
      </w:r>
      <w:r w:rsidR="00E24D2A" w:rsidRPr="00722FF1">
        <w:t xml:space="preserve">This suggests that </w:t>
      </w:r>
      <w:r w:rsidR="003677B3" w:rsidRPr="00722FF1">
        <w:t xml:space="preserve">the </w:t>
      </w:r>
      <w:r w:rsidR="00E24D2A" w:rsidRPr="00722FF1">
        <w:t>introduc</w:t>
      </w:r>
      <w:r w:rsidR="003677B3" w:rsidRPr="00722FF1">
        <w:t>tion of</w:t>
      </w:r>
      <w:r w:rsidR="00E24D2A" w:rsidRPr="00722FF1">
        <w:t xml:space="preserve"> the Homicide Act 1957 </w:t>
      </w:r>
      <w:r w:rsidR="003677B3" w:rsidRPr="00722FF1">
        <w:t>plays an important role in criminal.</w:t>
      </w:r>
      <w:r w:rsidR="00741A0B" w:rsidRPr="00722FF1">
        <w:t xml:space="preserve"> There </w:t>
      </w:r>
      <w:r w:rsidR="00431F78" w:rsidRPr="00722FF1">
        <w:t>is</w:t>
      </w:r>
      <w:r w:rsidR="00741A0B" w:rsidRPr="00722FF1">
        <w:t xml:space="preserve"> various literature that discusses the accuracy and reliability of the Homicide Act 1957, this study aims to identify the advantages and disadvantages of the Homicide Act 1957 by evaluating previous literature and discussing whether the homicide act</w:t>
      </w:r>
      <w:r w:rsidR="00EC4D6F" w:rsidRPr="00722FF1">
        <w:t xml:space="preserve"> in England and Wales</w:t>
      </w:r>
      <w:r w:rsidR="00741A0B" w:rsidRPr="00722FF1">
        <w:t xml:space="preserve"> </w:t>
      </w:r>
      <w:r w:rsidR="00EC4D6F" w:rsidRPr="00722FF1">
        <w:t>needs</w:t>
      </w:r>
      <w:r w:rsidR="00741A0B" w:rsidRPr="00722FF1">
        <w:t xml:space="preserve"> reform. </w:t>
      </w:r>
    </w:p>
    <w:p w14:paraId="5E1A06AC" w14:textId="77777777" w:rsidR="00B77063" w:rsidRPr="00722FF1" w:rsidRDefault="00B77063"/>
    <w:p w14:paraId="0CC9F2CC" w14:textId="200B2FD0" w:rsidR="00DE6FA3" w:rsidRPr="008063B7" w:rsidRDefault="00F45265">
      <w:pPr>
        <w:rPr>
          <w:rFonts w:asciiTheme="majorHAnsi" w:hAnsiTheme="majorHAnsi" w:cstheme="majorHAnsi"/>
          <w:b/>
          <w:bCs/>
          <w:sz w:val="28"/>
          <w:szCs w:val="28"/>
        </w:rPr>
      </w:pPr>
      <w:r w:rsidRPr="008063B7">
        <w:rPr>
          <w:rFonts w:asciiTheme="majorHAnsi" w:hAnsiTheme="majorHAnsi" w:cstheme="majorHAnsi"/>
          <w:b/>
          <w:bCs/>
          <w:sz w:val="28"/>
          <w:szCs w:val="28"/>
        </w:rPr>
        <w:t xml:space="preserve">The current law governing </w:t>
      </w:r>
      <w:r w:rsidR="00F97058" w:rsidRPr="008063B7">
        <w:rPr>
          <w:rFonts w:asciiTheme="majorHAnsi" w:hAnsiTheme="majorHAnsi" w:cstheme="majorHAnsi"/>
          <w:b/>
          <w:bCs/>
          <w:sz w:val="28"/>
          <w:szCs w:val="28"/>
        </w:rPr>
        <w:t xml:space="preserve">homicide in England and Wales </w:t>
      </w:r>
    </w:p>
    <w:p w14:paraId="31047975" w14:textId="2D33758B" w:rsidR="00DB4BCE" w:rsidRPr="00722FF1" w:rsidRDefault="00F45265">
      <w:r w:rsidRPr="00722FF1">
        <w:t xml:space="preserve">Before sentencing someone for murder </w:t>
      </w:r>
      <w:r w:rsidR="00647ED6" w:rsidRPr="00722FF1">
        <w:t xml:space="preserve">or manslaughter </w:t>
      </w:r>
      <w:r w:rsidRPr="00722FF1">
        <w:t xml:space="preserve">the judge must look at the </w:t>
      </w:r>
      <w:r w:rsidR="00930259" w:rsidRPr="00722FF1">
        <w:t>following, actus</w:t>
      </w:r>
      <w:r w:rsidR="00C32693" w:rsidRPr="00722FF1">
        <w:t xml:space="preserve"> reus and men’s rea for murder. Actus reus </w:t>
      </w:r>
      <w:r w:rsidR="00930259" w:rsidRPr="00722FF1">
        <w:t>is defined as the guilty act which is any physical harm or causing death. Whereas men’s rea is the guilty mind which can be the intention of causing someone serious body injury unlawfully or intention to kill someone</w:t>
      </w:r>
      <w:r w:rsidR="00647ED6" w:rsidRPr="00722FF1">
        <w:t xml:space="preserve"> unlawfully. Manslaughter falls under two categories, voluntary and involuntary manslaughter. Voluntary manslaughter is</w:t>
      </w:r>
      <w:r w:rsidR="003B1826" w:rsidRPr="00722FF1">
        <w:t xml:space="preserve"> when</w:t>
      </w:r>
      <w:r w:rsidR="00A30EB9" w:rsidRPr="00722FF1">
        <w:t xml:space="preserve"> a murder takes place</w:t>
      </w:r>
      <w:r w:rsidR="00717008" w:rsidRPr="00722FF1">
        <w:t>,</w:t>
      </w:r>
      <w:r w:rsidR="00DF236F" w:rsidRPr="00722FF1">
        <w:t xml:space="preserve"> </w:t>
      </w:r>
      <w:r w:rsidR="00080AA5" w:rsidRPr="00722FF1">
        <w:t>whereas</w:t>
      </w:r>
      <w:r w:rsidR="00DF236F" w:rsidRPr="00722FF1">
        <w:t xml:space="preserve"> involuntary manslaughter is when the defendant didn’t </w:t>
      </w:r>
      <w:r w:rsidR="008B6A68" w:rsidRPr="00722FF1">
        <w:t xml:space="preserve">intentionally </w:t>
      </w:r>
      <w:r w:rsidR="00FC033A" w:rsidRPr="00722FF1">
        <w:t xml:space="preserve">cause the death </w:t>
      </w:r>
      <w:r w:rsidR="00BE2306" w:rsidRPr="00722FF1">
        <w:t>or voluntarily.</w:t>
      </w:r>
      <w:r w:rsidR="00C373D2" w:rsidRPr="00722FF1">
        <w:t xml:space="preserve"> </w:t>
      </w:r>
      <w:r w:rsidR="00032B54" w:rsidRPr="00722FF1">
        <w:t>I</w:t>
      </w:r>
      <w:r w:rsidRPr="00722FF1">
        <w:t>f the judge can</w:t>
      </w:r>
      <w:r w:rsidR="00032B54" w:rsidRPr="00722FF1">
        <w:t>’</w:t>
      </w:r>
      <w:r w:rsidRPr="00722FF1">
        <w:t xml:space="preserve">t decide if the </w:t>
      </w:r>
      <w:r w:rsidR="00267EE2" w:rsidRPr="00722FF1">
        <w:t xml:space="preserve">defendant caused murder or </w:t>
      </w:r>
      <w:r w:rsidR="00547655" w:rsidRPr="00722FF1">
        <w:t>manslaughter,</w:t>
      </w:r>
      <w:r w:rsidR="00267EE2" w:rsidRPr="00722FF1">
        <w:t xml:space="preserve"> </w:t>
      </w:r>
      <w:r w:rsidR="008615DA" w:rsidRPr="00722FF1">
        <w:t xml:space="preserve">he </w:t>
      </w:r>
      <w:r w:rsidR="00DE6FA3" w:rsidRPr="00722FF1">
        <w:t>could</w:t>
      </w:r>
      <w:r w:rsidR="00032B54" w:rsidRPr="00722FF1">
        <w:t xml:space="preserve"> do the but</w:t>
      </w:r>
      <w:r w:rsidR="008615DA" w:rsidRPr="00722FF1">
        <w:t>-for</w:t>
      </w:r>
      <w:r w:rsidR="00032B54" w:rsidRPr="00722FF1">
        <w:t xml:space="preserve"> test.</w:t>
      </w:r>
    </w:p>
    <w:p w14:paraId="2F9576AB" w14:textId="6104420A" w:rsidR="007B2E4E" w:rsidRPr="00722FF1" w:rsidRDefault="00F45265" w:rsidP="00E06E42">
      <w:r w:rsidRPr="00722FF1">
        <w:t>The current law</w:t>
      </w:r>
      <w:r w:rsidR="00AC6A1C" w:rsidRPr="00722FF1">
        <w:t xml:space="preserve"> governing homicide</w:t>
      </w:r>
      <w:r w:rsidR="00736727" w:rsidRPr="00722FF1">
        <w:t xml:space="preserve"> in England and Wales was introduced in 1957 known as the Homicide Act 1957</w:t>
      </w:r>
      <w:r w:rsidR="00B263EC" w:rsidRPr="00722FF1">
        <w:t xml:space="preserve">. The main reason the act was introduced </w:t>
      </w:r>
      <w:r w:rsidR="00EF1CFE" w:rsidRPr="00722FF1">
        <w:t xml:space="preserve">is to remove capital punishment </w:t>
      </w:r>
      <w:r w:rsidR="00F42097" w:rsidRPr="00722FF1">
        <w:t>to</w:t>
      </w:r>
      <w:r w:rsidR="00EF1CFE" w:rsidRPr="00722FF1">
        <w:t xml:space="preserve"> prevent innocent people from getting the death penalty.</w:t>
      </w:r>
      <w:r w:rsidR="00E55819" w:rsidRPr="00722FF1">
        <w:t xml:space="preserve"> Meanwhile, after a few centuries, </w:t>
      </w:r>
      <w:r w:rsidR="0083788E" w:rsidRPr="00722FF1">
        <w:t>there’s</w:t>
      </w:r>
      <w:r w:rsidR="00E55819" w:rsidRPr="00722FF1">
        <w:t xml:space="preserve"> been some complication and </w:t>
      </w:r>
      <w:r w:rsidR="0083788E" w:rsidRPr="00722FF1">
        <w:t>difficulties</w:t>
      </w:r>
      <w:r w:rsidR="00E55819" w:rsidRPr="00722FF1">
        <w:t xml:space="preserve"> with the </w:t>
      </w:r>
      <w:r w:rsidR="0083788E" w:rsidRPr="00722FF1">
        <w:t xml:space="preserve">act. </w:t>
      </w:r>
      <w:r w:rsidR="00EC4D6F" w:rsidRPr="00722FF1">
        <w:t>The fundamental problem regarding the current homicide law in England and Wales has been referred to as 'blunt'</w:t>
      </w:r>
      <w:r w:rsidR="0035766F" w:rsidRPr="00722FF1">
        <w:fldChar w:fldCharType="begin"/>
      </w:r>
      <w:r w:rsidR="00D3782C" w:rsidRPr="00722FF1">
        <w:instrText xml:space="preserve"> ADDIN EN.CITE &lt;EndNote&gt;&lt;Cite&gt;&lt;Author&gt;lawcom.gov.uk&lt;/Author&gt;&lt;Year&gt;2021&lt;/Year&gt;&lt;RecNum&gt;6&lt;/RecNum&gt;&lt;DisplayText&gt;(lawcom.gov.uk, 2021c)&lt;/DisplayText&gt;&lt;record&gt;&lt;rec-number&gt;6&lt;/rec-number&gt;&lt;foreign-keys&gt;&lt;key app="EN" db-id="rspawaw9h9f2soe2ee8xzdzzdpdd52xaevtx" timestamp="1634229614"&gt;6&lt;/key&gt;&lt;/foreign-keys&gt;&lt;ref-type name="Web Page"&gt;12&lt;/ref-type&gt;&lt;contributors&gt;&lt;authors&gt;&lt;author&gt;lawcom.gov.uk&lt;/author&gt;&lt;/authors&gt;&lt;/contributors&gt;&lt;titles&gt;&lt;title&gt;murder law commission&lt;/title&gt;&lt;/titles&gt;&lt;number&gt;14th october 2021&lt;/number&gt;&lt;dates&gt;&lt;year&gt;2021&lt;/year&gt;&lt;/dates&gt;&lt;urls&gt;&lt;related-urls&gt;&lt;url&gt;https://www.lawcom.gov.uk/project/murder/&lt;/url&gt;&lt;/related-urls&gt;&lt;/urls&gt;&lt;/record&gt;&lt;/Cite&gt;&lt;/EndNote&gt;</w:instrText>
      </w:r>
      <w:r w:rsidR="0035766F" w:rsidRPr="00722FF1">
        <w:fldChar w:fldCharType="separate"/>
      </w:r>
      <w:r w:rsidR="00D3782C" w:rsidRPr="00722FF1">
        <w:rPr>
          <w:noProof/>
        </w:rPr>
        <w:t>(lawcom.gov.uk, 2021c)</w:t>
      </w:r>
      <w:r w:rsidR="0035766F" w:rsidRPr="00722FF1">
        <w:fldChar w:fldCharType="end"/>
      </w:r>
      <w:r w:rsidR="00C60ED6" w:rsidRPr="00722FF1">
        <w:t xml:space="preserve">. It also states that some rules remain unaltered from the seventeenth century. As stated by the report in 2004 they have </w:t>
      </w:r>
      <w:r w:rsidR="005451A0" w:rsidRPr="00722FF1">
        <w:t>portrayed the current law of Partial Defences to Murder as a ‘mess</w:t>
      </w:r>
      <w:r w:rsidR="00DD65AA" w:rsidRPr="00722FF1">
        <w:t>’</w:t>
      </w:r>
      <w:r w:rsidR="00FF3484" w:rsidRPr="00722FF1">
        <w:t xml:space="preserve"> </w:t>
      </w:r>
      <w:r w:rsidR="00FF3484" w:rsidRPr="00722FF1">
        <w:fldChar w:fldCharType="begin"/>
      </w:r>
      <w:r w:rsidR="00D3782C" w:rsidRPr="00722FF1">
        <w:instrText xml:space="preserve"> ADDIN EN.CITE &lt;EndNote&gt;&lt;Cite&gt;&lt;Author&gt;lawcom.gov.uk&lt;/Author&gt;&lt;Year&gt;2021&lt;/Year&gt;&lt;RecNum&gt;6&lt;/RecNum&gt;&lt;DisplayText&gt;(lawcom.gov.uk, 2021c)&lt;/DisplayText&gt;&lt;record&gt;&lt;rec-number&gt;6&lt;/rec-number&gt;&lt;foreign-keys&gt;&lt;key app="EN" db-id="rspawaw9h9f2soe2ee8xzdzzdpdd52xaevtx" timestamp="1634229614"&gt;6&lt;/key&gt;&lt;/foreign-keys&gt;&lt;ref-type name="Web Page"&gt;12&lt;/ref-type&gt;&lt;contributors&gt;&lt;authors&gt;&lt;author&gt;lawcom.gov.uk&lt;/author&gt;&lt;/authors&gt;&lt;/contributors&gt;&lt;titles&gt;&lt;title&gt;murder law commission&lt;/title&gt;&lt;/titles&gt;&lt;number&gt;14th october 2021&lt;/number&gt;&lt;dates&gt;&lt;year&gt;2021&lt;/year&gt;&lt;/dates&gt;&lt;urls&gt;&lt;related-urls&gt;&lt;url&gt;https://www.lawcom.gov.uk/project/murder/&lt;/url&gt;&lt;/related-urls&gt;&lt;/urls&gt;&lt;/record&gt;&lt;/Cite&gt;&lt;/EndNote&gt;</w:instrText>
      </w:r>
      <w:r w:rsidR="00FF3484" w:rsidRPr="00722FF1">
        <w:fldChar w:fldCharType="separate"/>
      </w:r>
      <w:r w:rsidR="00D3782C" w:rsidRPr="00722FF1">
        <w:rPr>
          <w:noProof/>
        </w:rPr>
        <w:t>(lawcom.</w:t>
      </w:r>
      <w:r w:rsidR="00D3782C" w:rsidRPr="00722FF1">
        <w:rPr>
          <w:i/>
          <w:iCs/>
          <w:noProof/>
        </w:rPr>
        <w:t>gov</w:t>
      </w:r>
      <w:r w:rsidR="00D3782C" w:rsidRPr="00722FF1">
        <w:rPr>
          <w:noProof/>
        </w:rPr>
        <w:t>.uk, 2021c)</w:t>
      </w:r>
      <w:r w:rsidR="00FF3484" w:rsidRPr="00722FF1">
        <w:fldChar w:fldCharType="end"/>
      </w:r>
      <w:r w:rsidR="00746CB7" w:rsidRPr="00722FF1">
        <w:t xml:space="preserve">. Taking the previous statement into account this shows that the </w:t>
      </w:r>
      <w:r w:rsidR="008D05AB" w:rsidRPr="00722FF1">
        <w:t xml:space="preserve">law commission </w:t>
      </w:r>
      <w:r w:rsidR="00746CB7" w:rsidRPr="00722FF1">
        <w:t>hasn’t made any changes to the Homicide Act 1957</w:t>
      </w:r>
      <w:r w:rsidR="004353E8" w:rsidRPr="00722FF1">
        <w:t xml:space="preserve">, mainly defences to murder which can </w:t>
      </w:r>
      <w:r w:rsidR="0035766F" w:rsidRPr="00722FF1">
        <w:t xml:space="preserve">be </w:t>
      </w:r>
      <w:r w:rsidR="004353E8" w:rsidRPr="00722FF1">
        <w:t xml:space="preserve">misleading, misunderstood, and cause </w:t>
      </w:r>
      <w:r w:rsidR="0035766F" w:rsidRPr="00722FF1">
        <w:t>difficulties as</w:t>
      </w:r>
      <w:r w:rsidR="004353E8" w:rsidRPr="00722FF1">
        <w:t xml:space="preserve"> </w:t>
      </w:r>
      <w:r w:rsidR="0035766F" w:rsidRPr="00722FF1">
        <w:t>stated by the House of Lords</w:t>
      </w:r>
      <w:r w:rsidR="002851BF" w:rsidRPr="00722FF1">
        <w:t xml:space="preserve"> </w:t>
      </w:r>
      <w:r w:rsidR="002851BF" w:rsidRPr="00722FF1">
        <w:fldChar w:fldCharType="begin"/>
      </w:r>
      <w:r w:rsidR="002851BF" w:rsidRPr="00722FF1">
        <w:instrText xml:space="preserve"> ADDIN EN.CITE &lt;EndNote&gt;&lt;Cite&gt;&lt;Author&gt;lawcom.gov.uk&lt;/Author&gt;&lt;Year&gt;2021&lt;/Year&gt;&lt;RecNum&gt;7&lt;/RecNum&gt;&lt;DisplayText&gt;(lawcom.gov.uk, 2021a)&lt;/DisplayText&gt;&lt;record&gt;&lt;rec-number&gt;7&lt;/rec-number&gt;&lt;foreign-keys&gt;&lt;key app="EN" db-id="rspawaw9h9f2soe2ee8xzdzzdpdd52xaevtx" timestamp="1634235890"&gt;7&lt;/key&gt;&lt;/foreign-keys&gt;&lt;ref-type name="Web Page"&gt;12&lt;/ref-type&gt;&lt;contributors&gt;&lt;authors&gt;&lt;author&gt;lawcom.gov.uk&lt;/author&gt;&lt;/authors&gt;&lt;/contributors&gt;&lt;titles&gt;&lt;title&gt;law commission overview&lt;/title&gt;&lt;/titles&gt;&lt;pages&gt;p4&lt;/pages&gt;&lt;number&gt;14th october 2021&lt;/number&gt;&lt;dates&gt;&lt;year&gt;2021&lt;/year&gt;&lt;/dates&gt;&lt;urls&gt;&lt;related-urls&gt;&lt;url&gt;http://www.lawcom.gov.uk/app/uploads/2015/03/cp177_Murder_Manslaughter_and_Infanticide_consultation_overview_.pdf&lt;/url&gt;&lt;/related-urls&gt;&lt;/urls&gt;&lt;/record&gt;&lt;/Cite&gt;&lt;/EndNote&gt;</w:instrText>
      </w:r>
      <w:r w:rsidR="002851BF" w:rsidRPr="00722FF1">
        <w:fldChar w:fldCharType="separate"/>
      </w:r>
      <w:r w:rsidR="002851BF" w:rsidRPr="00722FF1">
        <w:rPr>
          <w:i/>
          <w:iCs/>
          <w:noProof/>
        </w:rPr>
        <w:t>(lawcom.gov.uk, 2021a</w:t>
      </w:r>
      <w:r w:rsidR="002851BF" w:rsidRPr="00722FF1">
        <w:rPr>
          <w:noProof/>
        </w:rPr>
        <w:t>)</w:t>
      </w:r>
      <w:r w:rsidR="002851BF" w:rsidRPr="00722FF1">
        <w:fldChar w:fldCharType="end"/>
      </w:r>
      <w:r w:rsidR="00092FA8" w:rsidRPr="00722FF1">
        <w:t>.</w:t>
      </w:r>
      <w:r w:rsidR="00574EEC" w:rsidRPr="00722FF1">
        <w:t xml:space="preserve"> </w:t>
      </w:r>
      <w:r w:rsidR="00092FA8" w:rsidRPr="00722FF1">
        <w:t xml:space="preserve"> </w:t>
      </w:r>
      <w:r w:rsidR="00E06E42" w:rsidRPr="00722FF1">
        <w:t xml:space="preserve">The House of Lords has examined the fault elements of murder specifically the meaning of 'malice aforethought. </w:t>
      </w:r>
      <w:r w:rsidR="00092FA8" w:rsidRPr="00722FF1">
        <w:t>A</w:t>
      </w:r>
      <w:r w:rsidR="002851BF" w:rsidRPr="00722FF1">
        <w:t>fter looking at the overview of the law commission there's a lot of disadvantages regarding the law to murder, for example, on</w:t>
      </w:r>
      <w:r w:rsidR="00092FA8" w:rsidRPr="00722FF1">
        <w:t>e</w:t>
      </w:r>
      <w:r w:rsidR="002851BF" w:rsidRPr="00722FF1">
        <w:t xml:space="preserve"> of the main </w:t>
      </w:r>
      <w:r w:rsidR="00C32693" w:rsidRPr="00722FF1">
        <w:t>problems</w:t>
      </w:r>
      <w:r w:rsidR="00092FA8" w:rsidRPr="00722FF1">
        <w:t xml:space="preserve"> is a defence to murder </w:t>
      </w:r>
      <w:r w:rsidR="007071CD" w:rsidRPr="00722FF1">
        <w:t xml:space="preserve">according to the house of lords, the requirement </w:t>
      </w:r>
      <w:r w:rsidR="002470BC" w:rsidRPr="00722FF1">
        <w:t xml:space="preserve">for an individual to be guilty of murder include the intention to kill or cause serious </w:t>
      </w:r>
      <w:r w:rsidR="00133DCF" w:rsidRPr="00722FF1">
        <w:t xml:space="preserve">harm, however, previous literature suggests </w:t>
      </w:r>
      <w:r w:rsidR="00F657EA" w:rsidRPr="00722FF1">
        <w:t>there remains uncertainty behind the interpretation of ‘intention’ and ‘serious</w:t>
      </w:r>
      <w:r w:rsidR="007B2A75" w:rsidRPr="00722FF1">
        <w:t>’</w:t>
      </w:r>
      <w:r w:rsidR="00D3782C" w:rsidRPr="00722FF1">
        <w:t xml:space="preserve"> just after passing the Homicide Act 1957 the court of criminal appeal accepted that the parliament's knowledge of law had been </w:t>
      </w:r>
      <w:r w:rsidR="00E06E42" w:rsidRPr="00722FF1">
        <w:t>wrong</w:t>
      </w:r>
      <w:r w:rsidR="00D3782C" w:rsidRPr="00722FF1">
        <w:t xml:space="preserve"> </w:t>
      </w:r>
      <w:r w:rsidR="00D3782C" w:rsidRPr="00722FF1">
        <w:fldChar w:fldCharType="begin"/>
      </w:r>
      <w:r w:rsidR="00D3782C" w:rsidRPr="00722FF1">
        <w:instrText xml:space="preserve"> ADDIN EN.CITE &lt;EndNote&gt;&lt;Cite&gt;&lt;Author&gt;lawcom.gov.uk&lt;/Author&gt;&lt;Year&gt;2021&lt;/Year&gt;&lt;RecNum&gt;8&lt;/RecNum&gt;&lt;DisplayText&gt;(lawcom.gov.uk, 2021b)&lt;/DisplayText&gt;&lt;record&gt;&lt;rec-number&gt;8&lt;/rec-number&gt;&lt;foreign-keys&gt;&lt;key app="EN" db-id="rspawaw9h9f2soe2ee8xzdzzdpdd52xaevtx" timestamp="1634332507"&gt;8&lt;/key&gt;&lt;/foreign-keys&gt;&lt;ref-type name="Web Page"&gt;12&lt;/ref-type&gt;&lt;contributors&gt;&lt;authors&gt;&lt;author&gt;lawcom.gov.uk&lt;/author&gt;&lt;/authors&gt;&lt;/contributors&gt;&lt;titles&gt;&lt;title&gt;law commission overview&amp;#xD;&lt;/title&gt;&lt;/titles&gt;&lt;number&gt;15&lt;/number&gt;&lt;dates&gt;&lt;year&gt;2021&lt;/year&gt;&lt;/dates&gt;&lt;urls&gt;&lt;related-urls&gt;&lt;url&gt;http://www.lawcom.gov.uk/app/uploads/2015/03/cp177_Murder_Manslaughter_and_Infanticide_consultation_overview_.pdf&lt;/url&gt;&lt;/related-urls&gt;&lt;/urls&gt;&lt;/record&gt;&lt;/Cite&gt;&lt;/EndNote&gt;</w:instrText>
      </w:r>
      <w:r w:rsidR="00D3782C" w:rsidRPr="00722FF1">
        <w:fldChar w:fldCharType="separate"/>
      </w:r>
      <w:r w:rsidR="00D3782C" w:rsidRPr="00722FF1">
        <w:rPr>
          <w:i/>
          <w:iCs/>
          <w:noProof/>
        </w:rPr>
        <w:t>(lawcom.gov.uk, 2021b</w:t>
      </w:r>
      <w:r w:rsidR="00D3782C" w:rsidRPr="00722FF1">
        <w:rPr>
          <w:noProof/>
        </w:rPr>
        <w:t>)</w:t>
      </w:r>
      <w:r w:rsidR="00D3782C" w:rsidRPr="00722FF1">
        <w:fldChar w:fldCharType="end"/>
      </w:r>
      <w:r w:rsidR="00D3782C" w:rsidRPr="00722FF1">
        <w:t>.</w:t>
      </w:r>
      <w:r w:rsidR="001C4664" w:rsidRPr="00722FF1">
        <w:t xml:space="preserve"> </w:t>
      </w:r>
    </w:p>
    <w:p w14:paraId="68D5A825" w14:textId="25F398A2" w:rsidR="00365842" w:rsidRPr="00722FF1" w:rsidRDefault="00F45265" w:rsidP="00574EEC">
      <w:r w:rsidRPr="00722FF1">
        <w:lastRenderedPageBreak/>
        <w:t xml:space="preserve">Considering the previous statement, it demonstrates that if the parliament has understood the homicide law wrong, this shows they may have sentenced criminals that have been charged with murder wrong, therefore the Homicide Act 1957 </w:t>
      </w:r>
      <w:r w:rsidR="007B2E4E" w:rsidRPr="00722FF1">
        <w:t>needs</w:t>
      </w:r>
      <w:r w:rsidRPr="00722FF1">
        <w:t xml:space="preserve"> reform firstly because, it’s an old act that hasn’t been unaltered and secondly even the parliaments are misunderstanding the meaning</w:t>
      </w:r>
      <w:r w:rsidR="006625B7" w:rsidRPr="00722FF1">
        <w:t xml:space="preserve"> of it</w:t>
      </w:r>
      <w:r w:rsidR="006949FF" w:rsidRPr="00722FF1">
        <w:t>,</w:t>
      </w:r>
      <w:r w:rsidR="00574EEC" w:rsidRPr="00722FF1">
        <w:t xml:space="preserve"> therefore it can be argued that they may have convicted defendants wrong and unfairly. </w:t>
      </w:r>
    </w:p>
    <w:p w14:paraId="04B07D8E" w14:textId="77777777" w:rsidR="00674F82" w:rsidRPr="008063B7" w:rsidRDefault="00674F82" w:rsidP="00574EEC">
      <w:pPr>
        <w:rPr>
          <w:rFonts w:asciiTheme="majorHAnsi" w:hAnsiTheme="majorHAnsi" w:cstheme="majorHAnsi"/>
        </w:rPr>
      </w:pPr>
    </w:p>
    <w:p w14:paraId="752D5902" w14:textId="31C6632E" w:rsidR="00CA559C" w:rsidRPr="008063B7" w:rsidRDefault="00F45265" w:rsidP="00574EEC">
      <w:pPr>
        <w:rPr>
          <w:rFonts w:asciiTheme="majorHAnsi" w:hAnsiTheme="majorHAnsi" w:cstheme="majorHAnsi"/>
          <w:b/>
          <w:bCs/>
          <w:sz w:val="28"/>
          <w:szCs w:val="28"/>
        </w:rPr>
      </w:pPr>
      <w:r w:rsidRPr="008063B7">
        <w:rPr>
          <w:rFonts w:asciiTheme="majorHAnsi" w:hAnsiTheme="majorHAnsi" w:cstheme="majorHAnsi"/>
          <w:b/>
          <w:bCs/>
          <w:sz w:val="28"/>
          <w:szCs w:val="28"/>
        </w:rPr>
        <w:t>Some of th</w:t>
      </w:r>
      <w:r w:rsidR="00365842" w:rsidRPr="008063B7">
        <w:rPr>
          <w:rFonts w:asciiTheme="majorHAnsi" w:hAnsiTheme="majorHAnsi" w:cstheme="majorHAnsi"/>
          <w:b/>
          <w:bCs/>
          <w:sz w:val="28"/>
          <w:szCs w:val="28"/>
        </w:rPr>
        <w:t xml:space="preserve">e key issues </w:t>
      </w:r>
      <w:r w:rsidR="00F20CDB" w:rsidRPr="008063B7">
        <w:rPr>
          <w:rFonts w:asciiTheme="majorHAnsi" w:hAnsiTheme="majorHAnsi" w:cstheme="majorHAnsi"/>
          <w:b/>
          <w:bCs/>
          <w:sz w:val="28"/>
          <w:szCs w:val="28"/>
        </w:rPr>
        <w:t>of</w:t>
      </w:r>
      <w:r w:rsidR="00365842" w:rsidRPr="008063B7">
        <w:rPr>
          <w:rFonts w:asciiTheme="majorHAnsi" w:hAnsiTheme="majorHAnsi" w:cstheme="majorHAnsi"/>
          <w:b/>
          <w:bCs/>
          <w:sz w:val="28"/>
          <w:szCs w:val="28"/>
        </w:rPr>
        <w:t xml:space="preserve"> partial defences to murder</w:t>
      </w:r>
    </w:p>
    <w:p w14:paraId="44432050" w14:textId="05C9FF2B" w:rsidR="005627B2" w:rsidRDefault="00F45265" w:rsidP="00E06E42">
      <w:r w:rsidRPr="00722FF1">
        <w:t xml:space="preserve">In June 2003, </w:t>
      </w:r>
      <w:r w:rsidR="00F20CDB" w:rsidRPr="00722FF1">
        <w:t xml:space="preserve">the Home Secretary </w:t>
      </w:r>
      <w:r w:rsidR="003F7C2C" w:rsidRPr="00722FF1">
        <w:t xml:space="preserve">plead </w:t>
      </w:r>
      <w:r w:rsidR="00783C16" w:rsidRPr="00722FF1">
        <w:t xml:space="preserve">with the Law Commission to </w:t>
      </w:r>
      <w:r w:rsidR="00A81D3E" w:rsidRPr="00722FF1">
        <w:t>review the following pro</w:t>
      </w:r>
      <w:r w:rsidR="00CC696D" w:rsidRPr="00722FF1">
        <w:t xml:space="preserve">blems of the Homicide Act </w:t>
      </w:r>
      <w:r w:rsidR="00603DD6" w:rsidRPr="00722FF1">
        <w:t>1957,</w:t>
      </w:r>
      <w:r w:rsidR="00CC696D" w:rsidRPr="00722FF1">
        <w:t xml:space="preserve"> partial defences to murder</w:t>
      </w:r>
      <w:r w:rsidR="000B620D" w:rsidRPr="00722FF1">
        <w:t xml:space="preserve">, diminished </w:t>
      </w:r>
      <w:r w:rsidR="00CA559C" w:rsidRPr="00722FF1">
        <w:t>responsibility,</w:t>
      </w:r>
      <w:r w:rsidR="000B620D" w:rsidRPr="00722FF1">
        <w:t xml:space="preserve"> and provocation</w:t>
      </w:r>
      <w:r w:rsidR="001B1DEC" w:rsidRPr="00722FF1">
        <w:rPr>
          <w:i/>
          <w:iCs/>
        </w:rPr>
        <w:t xml:space="preserve"> (</w:t>
      </w:r>
      <w:r w:rsidR="00023BA1" w:rsidRPr="00722FF1">
        <w:rPr>
          <w:i/>
          <w:iCs/>
        </w:rPr>
        <w:t>lawcom.gov.uk. p1</w:t>
      </w:r>
      <w:r w:rsidR="001B1DEC" w:rsidRPr="00722FF1">
        <w:rPr>
          <w:i/>
          <w:iCs/>
        </w:rPr>
        <w:t>).</w:t>
      </w:r>
      <w:r w:rsidR="00722FF1">
        <w:t xml:space="preserve"> The current law is not just </w:t>
      </w:r>
      <w:r w:rsidR="00296ACC">
        <w:t xml:space="preserve">compatible with these arguable areas but has also been </w:t>
      </w:r>
      <w:r w:rsidR="00382B44">
        <w:t>affirmed at the highest level. The GBH rule was the topic of the House of Lords decision in the case of R</w:t>
      </w:r>
      <w:r w:rsidR="004F78EF">
        <w:t xml:space="preserve"> v Cunningham in which the rule was stated by the house of lords, as well as Lord Chance</w:t>
      </w:r>
      <w:r w:rsidR="0049196B">
        <w:t>llor</w:t>
      </w:r>
      <w:r w:rsidR="00304F2F" w:rsidRPr="00304F2F">
        <w:rPr>
          <w:i/>
          <w:iCs/>
        </w:rPr>
        <w:fldChar w:fldCharType="begin"/>
      </w:r>
      <w:r w:rsidR="00304F2F" w:rsidRPr="00304F2F">
        <w:rPr>
          <w:i/>
          <w:iCs/>
        </w:rPr>
        <w:instrText xml:space="preserve"> ADDIN EN.CITE &lt;EndNote&gt;&lt;Cite&gt;&lt;Author&gt;Homicide&lt;/Author&gt;&lt;Year&gt;2021&lt;/Year&gt;&lt;RecNum&gt;10&lt;/RecNum&gt;&lt;DisplayText&gt;(Homicide, 2021b)&lt;/DisplayText&gt;&lt;record&gt;&lt;rec-number&gt;10&lt;/rec-number&gt;&lt;foreign-keys&gt;&lt;key app="EN" db-id="zz2dfdfwnwv0x2e2dzmvddw520zaa2zvrwta" timestamp="1637284719"&gt;10&lt;/key&gt;&lt;/foreign-keys&gt;&lt;ref-type name="Web Page"&gt;12&lt;/ref-type&gt;&lt;contributors&gt;&lt;authors&gt;&lt;author&gt;Homicide&lt;/author&gt;&lt;/authors&gt;&lt;/contributors&gt;&lt;titles&gt;&lt;title&gt;murder and manslaughter&lt;/title&gt;&lt;/titles&gt;&lt;number&gt;18 november 2021&lt;/number&gt;&lt;dates&gt;&lt;year&gt;2021&lt;/year&gt;&lt;/dates&gt;&lt;urls&gt;&lt;related-urls&gt;&lt;url&gt;https://www.cps.gov.uk/legal-guidance/homicide-murder-and-manslaughter&lt;/url&gt;&lt;/related-urls&gt;&lt;/urls&gt;&lt;/record&gt;&lt;/Cite&gt;&lt;/EndNote&gt;</w:instrText>
      </w:r>
      <w:r w:rsidR="00304F2F" w:rsidRPr="00304F2F">
        <w:rPr>
          <w:i/>
          <w:iCs/>
        </w:rPr>
        <w:fldChar w:fldCharType="separate"/>
      </w:r>
      <w:r w:rsidR="00304F2F" w:rsidRPr="00304F2F">
        <w:rPr>
          <w:i/>
          <w:iCs/>
          <w:noProof/>
        </w:rPr>
        <w:t>(Homicide, 2021b)</w:t>
      </w:r>
      <w:r w:rsidR="00304F2F" w:rsidRPr="00304F2F">
        <w:rPr>
          <w:i/>
          <w:iCs/>
        </w:rPr>
        <w:fldChar w:fldCharType="end"/>
      </w:r>
      <w:r w:rsidR="0049196B">
        <w:t>.</w:t>
      </w:r>
    </w:p>
    <w:p w14:paraId="06C541AC" w14:textId="74287F46" w:rsidR="00552771" w:rsidRPr="00722FF1" w:rsidRDefault="00F45265" w:rsidP="00E06E42">
      <w:r>
        <w:t>The phrase 'serious' is a keyword in the current law on murder, The term plays an important role in acting as a deterrent of social harm in the current law</w:t>
      </w:r>
      <w:r w:rsidR="00116BFB">
        <w:fldChar w:fldCharType="begin"/>
      </w:r>
      <w:r w:rsidR="00116BFB">
        <w:instrText xml:space="preserve"> ADDIN EN.CITE &lt;EndNote&gt;&lt;Cite&gt;&lt;Author&gt;Homicide&lt;/Author&gt;&lt;Year&gt;2021&lt;/Year&gt;&lt;RecNum&gt;10&lt;/RecNum&gt;&lt;DisplayText&gt;(Homicide, 2021b)&lt;/DisplayText&gt;&lt;record&gt;&lt;rec-number&gt;10&lt;/rec-number&gt;&lt;foreign-keys&gt;&lt;key app="EN" db-id="zz2dfdfwnwv0x2e2dzmvddw520zaa2zvrwta" timestamp="1637284719"&gt;10&lt;/key&gt;&lt;/foreign-keys&gt;&lt;ref-type name="Web Page"&gt;12&lt;/ref-type&gt;&lt;contributors&gt;&lt;authors&gt;&lt;author&gt;Homicide&lt;/author&gt;&lt;/authors&gt;&lt;/contributors&gt;&lt;titles&gt;&lt;title&gt;murder and manslaughter&lt;/title&gt;&lt;/titles&gt;&lt;number&gt;18 november 2021&lt;/number&gt;&lt;dates&gt;&lt;year&gt;2021&lt;/year&gt;&lt;/dates&gt;&lt;urls&gt;&lt;related-urls&gt;&lt;url&gt;https://www.cps.gov.uk/legal-guidance/homicide-murder-and-manslaughter&lt;/url&gt;&lt;/related-urls&gt;&lt;/urls&gt;&lt;/record&gt;&lt;/Cite&gt;&lt;/EndNote&gt;</w:instrText>
      </w:r>
      <w:r w:rsidR="00116BFB">
        <w:fldChar w:fldCharType="separate"/>
      </w:r>
      <w:r w:rsidR="00116BFB">
        <w:rPr>
          <w:noProof/>
        </w:rPr>
        <w:t>(</w:t>
      </w:r>
      <w:r w:rsidR="00116BFB" w:rsidRPr="00116BFB">
        <w:rPr>
          <w:i/>
          <w:iCs/>
          <w:noProof/>
        </w:rPr>
        <w:t>Homicide, 2021b)</w:t>
      </w:r>
      <w:r w:rsidR="00116BFB">
        <w:fldChar w:fldCharType="end"/>
      </w:r>
      <w:r>
        <w:t>. Intentional serious bodily harm is an act that needs to be deterred, Methods of deterrence are carried out through specific Acts and Laws such as the 'offences against the person act 1821' and the law in homicide, which have permitted severe punishment for intentional serious bodily harm</w:t>
      </w:r>
      <w:r w:rsidR="00B82D86">
        <w:fldChar w:fldCharType="begin"/>
      </w:r>
      <w:r w:rsidR="00B82D86">
        <w:instrText xml:space="preserve"> ADDIN EN.CITE &lt;EndNote&gt;&lt;Cite&gt;&lt;Author&gt;Homicide&lt;/Author&gt;&lt;Year&gt;2021&lt;/Year&gt;&lt;RecNum&gt;10&lt;/RecNum&gt;&lt;DisplayText&gt;(Homicide, 2021b)&lt;/DisplayText&gt;&lt;record&gt;&lt;rec-number&gt;10&lt;/rec-number&gt;&lt;foreign-keys&gt;&lt;key app="EN" db-id="zz2dfdfwnwv0x2e2dzmvddw520zaa2zvrwta" timestamp="1637284719"&gt;10&lt;/key&gt;&lt;/foreign-keys&gt;&lt;ref-type name="Web Page"&gt;12&lt;/ref-type&gt;&lt;contributors&gt;&lt;authors&gt;&lt;author&gt;Homicide&lt;/author&gt;&lt;/authors&gt;&lt;/contributors&gt;&lt;titles&gt;&lt;title&gt;murder and manslaughter&lt;/title&gt;&lt;/titles&gt;&lt;number&gt;18 november 2021&lt;/number&gt;&lt;dates&gt;&lt;year&gt;2021&lt;/year&gt;&lt;/dates&gt;&lt;urls&gt;&lt;related-urls&gt;&lt;url&gt;https://www.cps.gov.uk/legal-guidance/homicide-murder-and-manslaughter&lt;/url&gt;&lt;/related-urls&gt;&lt;/urls&gt;&lt;/record&gt;&lt;/Cite&gt;&lt;/EndNote&gt;</w:instrText>
      </w:r>
      <w:r w:rsidR="00B82D86">
        <w:fldChar w:fldCharType="separate"/>
      </w:r>
      <w:r w:rsidR="00B82D86">
        <w:rPr>
          <w:noProof/>
        </w:rPr>
        <w:t>(</w:t>
      </w:r>
      <w:r w:rsidR="00B82D86" w:rsidRPr="00B82D86">
        <w:rPr>
          <w:i/>
          <w:iCs/>
          <w:noProof/>
        </w:rPr>
        <w:t>Homicide, 2021b</w:t>
      </w:r>
      <w:r w:rsidR="00B82D86">
        <w:rPr>
          <w:noProof/>
        </w:rPr>
        <w:t>)</w:t>
      </w:r>
      <w:r w:rsidR="00B82D86">
        <w:fldChar w:fldCharType="end"/>
      </w:r>
      <w:r>
        <w:t>. This element is crucial for the strength of conviction, due to the grey area surrounding 'intent to kill', There are various scenarios in which a defendant may have had the intent to kill, However, the evidential basis surrounding an individual's 'intent' can prove to be a burden as it is hard to prove their intent, This is one of the most important factors for the inclusion of the mentioned method of deterrence, Intention to cause serious bodily harm is broad and carries less of an evidential burden, which, in turn, allows for severe punishment for defendants who's intention to kill cannot be proven but the act in which they committed is 'serious' enough to gain the justified punishment</w:t>
      </w:r>
      <w:r w:rsidR="00E81136" w:rsidRPr="00E81136">
        <w:rPr>
          <w:i/>
          <w:iCs/>
        </w:rPr>
        <w:fldChar w:fldCharType="begin"/>
      </w:r>
      <w:r w:rsidR="00E81136" w:rsidRPr="00E81136">
        <w:rPr>
          <w:i/>
          <w:iCs/>
        </w:rPr>
        <w:instrText xml:space="preserve"> ADDIN EN.CITE &lt;EndNote&gt;&lt;Cite&gt;&lt;Author&gt;commission&lt;/Author&gt;&lt;Year&gt;2021&lt;/Year&gt;&lt;RecNum&gt;9&lt;/RecNum&gt;&lt;DisplayText&gt;(commission, 2021)&lt;/DisplayText&gt;&lt;record&gt;&lt;rec-number&gt;9&lt;/rec-number&gt;&lt;foreign-keys&gt;&lt;key app="EN" db-id="zz2dfdfwnwv0x2e2dzmvddw520zaa2zvrwta" timestamp="1637284201"&gt;9&lt;/key&gt;&lt;/foreign-keys&gt;&lt;ref-type name="Web Page"&gt;12&lt;/ref-type&gt;&lt;contributors&gt;&lt;authors&gt;&lt;author&gt;law commission&lt;/author&gt;&lt;/authors&gt;&lt;/contributors&gt;&lt;titles&gt;&lt;title&gt;Reform offences against a person&lt;/title&gt;&lt;/titles&gt;&lt;number&gt;18 november 2021&lt;/number&gt;&lt;dates&gt;&lt;year&gt;2021&lt;/year&gt;&lt;/dates&gt;&lt;urls&gt;&lt;related-urls&gt;&lt;url&gt;http://www.lawcom.gov.uk/app/uploads/2015/11/51950-LC-HC555_Web.pdf&lt;/url&gt;&lt;/related-urls&gt;&lt;/urls&gt;&lt;/record&gt;&lt;/Cite&gt;&lt;/EndNote&gt;</w:instrText>
      </w:r>
      <w:r w:rsidR="00E81136" w:rsidRPr="00E81136">
        <w:rPr>
          <w:i/>
          <w:iCs/>
        </w:rPr>
        <w:fldChar w:fldCharType="separate"/>
      </w:r>
      <w:r w:rsidR="00E81136" w:rsidRPr="00E81136">
        <w:rPr>
          <w:i/>
          <w:iCs/>
          <w:noProof/>
        </w:rPr>
        <w:t>(commission, 2021)</w:t>
      </w:r>
      <w:r w:rsidR="00E81136" w:rsidRPr="00E81136">
        <w:rPr>
          <w:i/>
          <w:iCs/>
        </w:rPr>
        <w:fldChar w:fldCharType="end"/>
      </w:r>
      <w:r>
        <w:t>.</w:t>
      </w:r>
    </w:p>
    <w:p w14:paraId="7AD82064" w14:textId="5D244904" w:rsidR="00A90898" w:rsidRDefault="00F45265" w:rsidP="00E06E42">
      <w:r>
        <w:t>Homicide law is crucial for the deterrent of violent crimes</w:t>
      </w:r>
      <w:r w:rsidR="00FB3562">
        <w:t xml:space="preserve"> and to </w:t>
      </w:r>
      <w:r w:rsidR="00637508">
        <w:t xml:space="preserve">make </w:t>
      </w:r>
      <w:r w:rsidR="00186774">
        <w:t xml:space="preserve">individuals responsible for their actions, there are many arguments which </w:t>
      </w:r>
      <w:r w:rsidR="005D2BFB">
        <w:t xml:space="preserve">state </w:t>
      </w:r>
      <w:r>
        <w:t>the law surrounding homicide should be left unchanged.</w:t>
      </w:r>
      <w:r w:rsidR="00EC431C">
        <w:t xml:space="preserve"> </w:t>
      </w:r>
      <w:r w:rsidR="00270237" w:rsidRPr="00722FF1">
        <w:t>However,</w:t>
      </w:r>
      <w:r w:rsidR="00CF4F32" w:rsidRPr="00722FF1">
        <w:t xml:space="preserve"> </w:t>
      </w:r>
      <w:r w:rsidR="005257C5">
        <w:t>various issues</w:t>
      </w:r>
      <w:r w:rsidR="00CF4F32" w:rsidRPr="00722FF1">
        <w:t xml:space="preserve"> are surrounding </w:t>
      </w:r>
      <w:r w:rsidR="005257C5">
        <w:t>the current law including</w:t>
      </w:r>
      <w:r w:rsidR="00CF4F32" w:rsidRPr="00722FF1">
        <w:t>, mandatory sentencing</w:t>
      </w:r>
      <w:r w:rsidR="006A3D17">
        <w:t xml:space="preserve">, </w:t>
      </w:r>
      <w:r w:rsidR="00F86868">
        <w:t>fair labellin</w:t>
      </w:r>
      <w:r w:rsidR="00CD54EC">
        <w:t>g</w:t>
      </w:r>
      <w:r w:rsidR="002F6CA1">
        <w:t xml:space="preserve">, and </w:t>
      </w:r>
      <w:r w:rsidR="00683671">
        <w:t xml:space="preserve">especially, the </w:t>
      </w:r>
      <w:r w:rsidR="00CF4F32" w:rsidRPr="00722FF1">
        <w:t xml:space="preserve">difficulty </w:t>
      </w:r>
      <w:r w:rsidR="00683671">
        <w:t>surrounding</w:t>
      </w:r>
      <w:r w:rsidR="00CF4F32" w:rsidRPr="00722FF1">
        <w:t xml:space="preserve"> interpretation and implementation</w:t>
      </w:r>
      <w:r w:rsidR="002D46D7">
        <w:t xml:space="preserve"> of law in </w:t>
      </w:r>
      <w:r w:rsidR="003F7EE1">
        <w:t>real-world scenarios</w:t>
      </w:r>
      <w:r w:rsidR="00BB6453">
        <w:fldChar w:fldCharType="begin"/>
      </w:r>
      <w:r w:rsidR="00BB6453">
        <w:instrText xml:space="preserve"> ADDIN EN.CITE &lt;EndNote&gt;&lt;Cite&gt;&lt;Author&gt;Homicide&lt;/Author&gt;&lt;Year&gt;2021&lt;/Year&gt;&lt;RecNum&gt;8&lt;/RecNum&gt;&lt;DisplayText&gt;(Homicide, 2021a)&lt;/DisplayText&gt;&lt;record&gt;&lt;rec-number&gt;8&lt;/rec-number&gt;&lt;foreign-keys&gt;&lt;key app="EN" db-id="zz2dfdfwnwv0x2e2dzmvddw520zaa2zvrwta" timestamp="1636667143"&gt;8&lt;/key&gt;&lt;/foreign-keys&gt;&lt;ref-type name="Web Page"&gt;12&lt;/ref-type&gt;&lt;contributors&gt;&lt;authors&gt;&lt;author&gt;Homicide&lt;/author&gt;&lt;/authors&gt;&lt;/contributors&gt;&lt;titles&gt;&lt;title&gt;Homicide: Murder and Manslaughter&lt;/title&gt;&lt;/titles&gt;&lt;number&gt;25th october 2021&lt;/number&gt;&lt;dates&gt;&lt;year&gt;2021&lt;/year&gt;&lt;/dates&gt;&lt;urls&gt;&lt;related-urls&gt;&lt;url&gt;https://www.cps.gov.uk/legal-guidance/homicide-murder-and-manslaughter&lt;/url&gt;&lt;/related-urls&gt;&lt;/urls&gt;&lt;/record&gt;&lt;/Cite&gt;&lt;/EndNote&gt;</w:instrText>
      </w:r>
      <w:r w:rsidR="00BB6453">
        <w:fldChar w:fldCharType="separate"/>
      </w:r>
      <w:r w:rsidR="00BB6453">
        <w:rPr>
          <w:noProof/>
        </w:rPr>
        <w:t>(</w:t>
      </w:r>
      <w:r w:rsidR="00BB6453" w:rsidRPr="00BB6453">
        <w:rPr>
          <w:i/>
          <w:iCs/>
          <w:noProof/>
        </w:rPr>
        <w:t>Homicide, 2021a</w:t>
      </w:r>
      <w:r w:rsidR="00BB6453" w:rsidRPr="00BB6453">
        <w:rPr>
          <w:noProof/>
          <w:u w:val="single"/>
        </w:rPr>
        <w:t>)</w:t>
      </w:r>
      <w:r w:rsidR="00BB6453">
        <w:fldChar w:fldCharType="end"/>
      </w:r>
      <w:r w:rsidR="002E3F9A">
        <w:t xml:space="preserve">. This is not the only factor as to why law cannot be left unchanged, </w:t>
      </w:r>
      <w:r w:rsidR="00E82C36">
        <w:t>the</w:t>
      </w:r>
      <w:r w:rsidR="002E3F9A">
        <w:t xml:space="preserve"> </w:t>
      </w:r>
      <w:r w:rsidR="00DE21FB">
        <w:t xml:space="preserve">homicide law </w:t>
      </w:r>
      <w:r w:rsidR="00E323D7">
        <w:t>encapsulates other areas of law</w:t>
      </w:r>
      <w:r w:rsidR="001C4969">
        <w:t xml:space="preserve"> which </w:t>
      </w:r>
      <w:r w:rsidR="00BD04B6">
        <w:t xml:space="preserve">ultimately </w:t>
      </w:r>
      <w:r w:rsidR="00430A28">
        <w:t xml:space="preserve">suggests that the issues surrounding homicide law </w:t>
      </w:r>
      <w:r w:rsidR="009A6BB8">
        <w:t xml:space="preserve">affect the </w:t>
      </w:r>
      <w:r w:rsidR="00116BFB">
        <w:t>law</w:t>
      </w:r>
      <w:r w:rsidR="009A6BB8">
        <w:t xml:space="preserve">. </w:t>
      </w:r>
      <w:r w:rsidR="00013399">
        <w:t xml:space="preserve">Improvements and adjustments to the </w:t>
      </w:r>
      <w:r w:rsidR="009A6BB8">
        <w:t xml:space="preserve">current </w:t>
      </w:r>
      <w:r w:rsidR="00E82C36">
        <w:t xml:space="preserve">legal </w:t>
      </w:r>
      <w:r w:rsidR="009A6BB8">
        <w:t>system</w:t>
      </w:r>
      <w:r w:rsidR="00737FC4">
        <w:t xml:space="preserve"> </w:t>
      </w:r>
      <w:r w:rsidR="00DC00A8">
        <w:t xml:space="preserve">could </w:t>
      </w:r>
      <w:r w:rsidR="002A5DC8">
        <w:t xml:space="preserve">be an important catalyst </w:t>
      </w:r>
      <w:r w:rsidR="003E7983">
        <w:t xml:space="preserve">for the development </w:t>
      </w:r>
      <w:r w:rsidR="00B83109">
        <w:t>of reform</w:t>
      </w:r>
      <w:r w:rsidR="008D09D1">
        <w:t xml:space="preserve">, </w:t>
      </w:r>
      <w:r w:rsidR="009A3179">
        <w:t xml:space="preserve">this would allow </w:t>
      </w:r>
      <w:r w:rsidR="00C37766">
        <w:t xml:space="preserve">for </w:t>
      </w:r>
      <w:r w:rsidR="00D01F02">
        <w:t xml:space="preserve">equality </w:t>
      </w:r>
      <w:r w:rsidR="00303424">
        <w:t>for all under the law</w:t>
      </w:r>
      <w:r w:rsidR="00573861">
        <w:t xml:space="preserve"> and would </w:t>
      </w:r>
      <w:r w:rsidR="00C4324B">
        <w:t xml:space="preserve">increase confidence in today's legal system and the </w:t>
      </w:r>
      <w:r w:rsidR="00EC431C">
        <w:t>matters surrounding homicide law</w:t>
      </w:r>
      <w:r w:rsidR="00310AC0">
        <w:fldChar w:fldCharType="begin"/>
      </w:r>
      <w:r w:rsidR="00310AC0">
        <w:instrText xml:space="preserve"> ADDIN EN.CITE &lt;EndNote&gt;&lt;Cite&gt;&lt;Author&gt;Homicide&lt;/Author&gt;&lt;Year&gt;2021&lt;/Year&gt;&lt;RecNum&gt;8&lt;/RecNum&gt;&lt;DisplayText&gt;(Homicide, 2021a)&lt;/DisplayText&gt;&lt;record&gt;&lt;rec-number&gt;8&lt;/rec-number&gt;&lt;foreign-keys&gt;&lt;key app="EN" db-id="zz2dfdfwnwv0x2e2dzmvddw520zaa2zvrwta" timestamp="1636667143"&gt;8&lt;/key&gt;&lt;/foreign-keys&gt;&lt;ref-type name="Web Page"&gt;12&lt;/ref-type&gt;&lt;contributors&gt;&lt;authors&gt;&lt;author&gt;Homicide&lt;/author&gt;&lt;/authors&gt;&lt;/contributors&gt;&lt;titles&gt;&lt;title&gt;Homicide: Murder and Manslaughter&lt;/title&gt;&lt;/titles&gt;&lt;number&gt;25th october 2021&lt;/number&gt;&lt;dates&gt;&lt;year&gt;2021&lt;/year&gt;&lt;/dates&gt;&lt;urls&gt;&lt;related-urls&gt;&lt;url&gt;https://www.cps.gov.uk/legal-guidance/homicide-murder-and-manslaughter&lt;/url&gt;&lt;/related-urls&gt;&lt;/urls&gt;&lt;/record&gt;&lt;/Cite&gt;&lt;/EndNote&gt;</w:instrText>
      </w:r>
      <w:r w:rsidR="00310AC0">
        <w:fldChar w:fldCharType="separate"/>
      </w:r>
      <w:r w:rsidR="00310AC0" w:rsidRPr="00310AC0">
        <w:rPr>
          <w:i/>
          <w:iCs/>
          <w:noProof/>
        </w:rPr>
        <w:t>(Homicide, 2021a</w:t>
      </w:r>
      <w:r w:rsidR="00310AC0">
        <w:rPr>
          <w:noProof/>
        </w:rPr>
        <w:t>)</w:t>
      </w:r>
      <w:r w:rsidR="00310AC0">
        <w:fldChar w:fldCharType="end"/>
      </w:r>
      <w:r w:rsidR="00EC431C">
        <w:t>.</w:t>
      </w:r>
    </w:p>
    <w:p w14:paraId="3B055CD0" w14:textId="77777777" w:rsidR="001B1DEC" w:rsidRPr="00722FF1" w:rsidRDefault="001B1DEC" w:rsidP="00E06E42"/>
    <w:p w14:paraId="7FB1E903" w14:textId="77777777" w:rsidR="00F77396" w:rsidRDefault="00F77396" w:rsidP="00E06E42"/>
    <w:p w14:paraId="5F96D471" w14:textId="77777777" w:rsidR="00F77396" w:rsidRDefault="00F77396" w:rsidP="00E06E42"/>
    <w:p w14:paraId="769821DD" w14:textId="77777777" w:rsidR="00F77396" w:rsidRDefault="00F77396" w:rsidP="00E06E42"/>
    <w:p w14:paraId="613A2F89" w14:textId="77777777" w:rsidR="00F77396" w:rsidRDefault="00F77396" w:rsidP="00E06E42"/>
    <w:p w14:paraId="4A50D0B6" w14:textId="77777777" w:rsidR="00F77396" w:rsidRPr="00722FF1" w:rsidRDefault="00F77396" w:rsidP="00E06E42"/>
    <w:p w14:paraId="1E884F8F" w14:textId="066C412C" w:rsidR="008D2060" w:rsidRDefault="00F45265">
      <w:pPr>
        <w:rPr>
          <w:rFonts w:asciiTheme="majorHAnsi" w:hAnsiTheme="majorHAnsi" w:cstheme="majorHAnsi"/>
          <w:b/>
          <w:bCs/>
          <w:sz w:val="28"/>
          <w:szCs w:val="28"/>
        </w:rPr>
      </w:pPr>
      <w:r w:rsidRPr="0003419A">
        <w:rPr>
          <w:rFonts w:asciiTheme="majorHAnsi" w:hAnsiTheme="majorHAnsi" w:cstheme="majorHAnsi"/>
          <w:b/>
          <w:bCs/>
          <w:sz w:val="28"/>
          <w:szCs w:val="28"/>
        </w:rPr>
        <w:t>Proposals for law reform</w:t>
      </w:r>
    </w:p>
    <w:p w14:paraId="35EFF1D3" w14:textId="022DBC7F" w:rsidR="00F908C3" w:rsidRDefault="00F45265" w:rsidP="00F908C3">
      <w:pPr>
        <w:rPr>
          <w:rFonts w:cstheme="minorHAnsi"/>
        </w:rPr>
      </w:pPr>
      <w:r>
        <w:rPr>
          <w:rFonts w:cstheme="minorHAnsi"/>
        </w:rPr>
        <w:t xml:space="preserve">in 2006 the </w:t>
      </w:r>
      <w:r w:rsidR="006D094E">
        <w:rPr>
          <w:rFonts w:cstheme="minorHAnsi"/>
        </w:rPr>
        <w:t>Law Commission had a proposal</w:t>
      </w:r>
      <w:r w:rsidR="001F7582">
        <w:rPr>
          <w:rFonts w:cstheme="minorHAnsi"/>
        </w:rPr>
        <w:t xml:space="preserve"> idea where Law Commission stated, there should be </w:t>
      </w:r>
      <w:r w:rsidR="00A14FC1">
        <w:rPr>
          <w:rFonts w:cstheme="minorHAnsi"/>
        </w:rPr>
        <w:t xml:space="preserve">a </w:t>
      </w:r>
      <w:r w:rsidR="004C31A5">
        <w:rPr>
          <w:rFonts w:cstheme="minorHAnsi"/>
        </w:rPr>
        <w:t>three-tier</w:t>
      </w:r>
      <w:r w:rsidR="00A14FC1">
        <w:rPr>
          <w:rFonts w:cstheme="minorHAnsi"/>
        </w:rPr>
        <w:t xml:space="preserve"> system for general homicide offences.</w:t>
      </w:r>
      <w:r w:rsidR="00C450E7">
        <w:rPr>
          <w:rFonts w:cstheme="minorHAnsi"/>
        </w:rPr>
        <w:t xml:space="preserve"> </w:t>
      </w:r>
      <w:r w:rsidR="00AC5121">
        <w:rPr>
          <w:rFonts w:cstheme="minorHAnsi"/>
        </w:rPr>
        <w:t>First-degree</w:t>
      </w:r>
      <w:r w:rsidR="00C450E7">
        <w:rPr>
          <w:rFonts w:cstheme="minorHAnsi"/>
        </w:rPr>
        <w:t xml:space="preserve"> murder </w:t>
      </w:r>
      <w:r w:rsidR="0047203A">
        <w:rPr>
          <w:rFonts w:cstheme="minorHAnsi"/>
        </w:rPr>
        <w:t>is a</w:t>
      </w:r>
      <w:r w:rsidR="00C450E7">
        <w:rPr>
          <w:rFonts w:cstheme="minorHAnsi"/>
        </w:rPr>
        <w:t xml:space="preserve"> man</w:t>
      </w:r>
      <w:r w:rsidR="00AC5121">
        <w:rPr>
          <w:rFonts w:cstheme="minorHAnsi"/>
        </w:rPr>
        <w:t xml:space="preserve">datory life </w:t>
      </w:r>
      <w:r w:rsidR="0043484D">
        <w:rPr>
          <w:rFonts w:cstheme="minorHAnsi"/>
        </w:rPr>
        <w:t xml:space="preserve">sentence </w:t>
      </w:r>
      <w:r w:rsidR="0043484D">
        <w:rPr>
          <w:rFonts w:cstheme="minorHAnsi"/>
        </w:rPr>
        <w:fldChar w:fldCharType="begin"/>
      </w:r>
      <w:r w:rsidR="0043484D">
        <w:rPr>
          <w:rFonts w:cstheme="minorHAnsi"/>
        </w:rPr>
        <w:instrText xml:space="preserve"> ADDIN EN.CITE &lt;EndNote&gt;&lt;Cite&gt;&lt;Author&gt;Reform&lt;/Author&gt;&lt;Year&gt;2021&lt;/Year&gt;&lt;RecNum&gt;2&lt;/RecNum&gt;&lt;DisplayText&gt;(Reform, 2021)&lt;/DisplayText&gt;&lt;record&gt;&lt;rec-number&gt;2&lt;/rec-number&gt;&lt;foreign-keys&gt;&lt;key app="EN" db-id="zz2dfdfwnwv0x2e2dzmvddw520zaa2zvrwta" timestamp="1635783891"&gt;2&lt;/key&gt;&lt;/foreign-keys&gt;&lt;ref-type name="Web Page"&gt;12&lt;/ref-type&gt;&lt;contributors&gt;&lt;authors&gt;&lt;author&gt;Law Reform &lt;/author&gt;&lt;/authors&gt;&lt;/contributors&gt;&lt;titles&gt;&lt;title&gt;Homicide Law Reform&lt;/title&gt;&lt;/titles&gt;&lt;dates&gt;&lt;year&gt;2021&lt;/year&gt;&lt;/dates&gt;&lt;urls&gt;&lt;related-urls&gt;&lt;url&gt;https://justice.org.uk/homicide-law-reform/&lt;/url&gt;&lt;/related-urls&gt;&lt;/urls&gt;&lt;access-date&gt;1st november 2021&lt;/access-date&gt;&lt;/record&gt;&lt;/Cite&gt;&lt;/EndNote&gt;</w:instrText>
      </w:r>
      <w:r w:rsidR="0043484D">
        <w:rPr>
          <w:rFonts w:cstheme="minorHAnsi"/>
        </w:rPr>
        <w:fldChar w:fldCharType="separate"/>
      </w:r>
      <w:r w:rsidR="0043484D" w:rsidRPr="0043484D">
        <w:rPr>
          <w:rFonts w:cstheme="minorHAnsi"/>
          <w:i/>
          <w:iCs/>
          <w:noProof/>
        </w:rPr>
        <w:t>(Reform, 2021</w:t>
      </w:r>
      <w:r w:rsidR="0043484D">
        <w:rPr>
          <w:rFonts w:cstheme="minorHAnsi"/>
          <w:noProof/>
        </w:rPr>
        <w:t>)</w:t>
      </w:r>
      <w:r w:rsidR="0043484D">
        <w:rPr>
          <w:rFonts w:cstheme="minorHAnsi"/>
        </w:rPr>
        <w:fldChar w:fldCharType="end"/>
      </w:r>
      <w:r w:rsidR="00AC5121" w:rsidRPr="00AA0398">
        <w:rPr>
          <w:rFonts w:cstheme="minorHAnsi"/>
          <w:i/>
          <w:iCs/>
        </w:rPr>
        <w:t>.</w:t>
      </w:r>
      <w:r w:rsidR="00AC5121">
        <w:rPr>
          <w:rFonts w:cstheme="minorHAnsi"/>
        </w:rPr>
        <w:t xml:space="preserve"> </w:t>
      </w:r>
      <w:r w:rsidR="0047203A">
        <w:rPr>
          <w:rFonts w:cstheme="minorHAnsi"/>
        </w:rPr>
        <w:t xml:space="preserve">This includes a whole life order </w:t>
      </w:r>
      <w:r w:rsidR="00B56356">
        <w:rPr>
          <w:rFonts w:cstheme="minorHAnsi"/>
        </w:rPr>
        <w:t xml:space="preserve">if the case is serious, therefore </w:t>
      </w:r>
      <w:r w:rsidR="00890138">
        <w:rPr>
          <w:rFonts w:cstheme="minorHAnsi"/>
        </w:rPr>
        <w:t xml:space="preserve">the offender cannot be released from prison and </w:t>
      </w:r>
      <w:r w:rsidR="008210CA">
        <w:rPr>
          <w:rFonts w:cstheme="minorHAnsi"/>
        </w:rPr>
        <w:t>can’t be considered for parole</w:t>
      </w:r>
      <w:r w:rsidR="002D2642">
        <w:rPr>
          <w:rFonts w:cstheme="minorHAnsi"/>
        </w:rPr>
        <w:t xml:space="preserve"> </w:t>
      </w:r>
      <w:r w:rsidR="002D2642" w:rsidRPr="002D2642">
        <w:rPr>
          <w:rFonts w:cstheme="minorHAnsi"/>
          <w:i/>
          <w:iCs/>
        </w:rPr>
        <w:fldChar w:fldCharType="begin"/>
      </w:r>
      <w:r w:rsidR="002D2642" w:rsidRPr="002D2642">
        <w:rPr>
          <w:rFonts w:cstheme="minorHAnsi"/>
          <w:i/>
          <w:iCs/>
        </w:rPr>
        <w:instrText xml:space="preserve"> ADDIN EN.CITE &lt;EndNote&gt;&lt;Cite&gt;&lt;Author&gt;sentce&lt;/Author&gt;&lt;Year&gt;2021&lt;/Year&gt;&lt;RecNum&gt;3&lt;/RecNum&gt;&lt;DisplayText&gt;(sentce, 2021)&lt;/DisplayText&gt;&lt;record&gt;&lt;rec-number&gt;3&lt;/rec-number&gt;&lt;foreign-keys&gt;&lt;key app="EN" db-id="zz2dfdfwnwv0x2e2dzmvddw520zaa2zvrwta" timestamp="1635784188"&gt;3&lt;/key&gt;&lt;/foreign-keys&gt;&lt;ref-type name="Web Page"&gt;12&lt;/ref-type&gt;&lt;contributors&gt;&lt;authors&gt;&lt;author&gt;sentce&lt;/author&gt;&lt;/authors&gt;&lt;/contributors&gt;&lt;titles&gt;&lt;title&gt;mandatory life sentce &lt;/title&gt;&lt;/titles&gt;&lt;number&gt;1st november 2021&lt;/number&gt;&lt;dates&gt;&lt;year&gt;2021&lt;/year&gt;&lt;/dates&gt;&lt;urls&gt;&lt;related-urls&gt;&lt;url&gt;https://fullfact.org/crime/how-long-do-murderers-serve-prison/#:~:text=People%20who%20are%20found%20guilty,a%20&amp;apos;mandatory%20life%20sentence&amp;apos;.&amp;amp;text=If%20the%20circumstances%20are%20serious,cannot%20be%20considered%20for%20parole.&lt;/url&gt;&lt;/related-urls&gt;&lt;/urls&gt;&lt;/record&gt;&lt;/Cite&gt;&lt;/EndNote&gt;</w:instrText>
      </w:r>
      <w:r w:rsidR="002D2642" w:rsidRPr="002D2642">
        <w:rPr>
          <w:rFonts w:cstheme="minorHAnsi"/>
          <w:i/>
          <w:iCs/>
        </w:rPr>
        <w:fldChar w:fldCharType="separate"/>
      </w:r>
      <w:r w:rsidR="002D2642" w:rsidRPr="002D2642">
        <w:rPr>
          <w:rFonts w:cstheme="minorHAnsi"/>
          <w:i/>
          <w:iCs/>
          <w:noProof/>
        </w:rPr>
        <w:t>(sentence, 2021)</w:t>
      </w:r>
      <w:r w:rsidR="002D2642" w:rsidRPr="002D2642">
        <w:rPr>
          <w:rFonts w:cstheme="minorHAnsi"/>
          <w:i/>
          <w:iCs/>
        </w:rPr>
        <w:fldChar w:fldCharType="end"/>
      </w:r>
      <w:r w:rsidR="002D2642">
        <w:rPr>
          <w:rFonts w:cstheme="minorHAnsi"/>
          <w:i/>
          <w:iCs/>
        </w:rPr>
        <w:t>.</w:t>
      </w:r>
      <w:r w:rsidR="00DE28EB">
        <w:rPr>
          <w:rFonts w:cstheme="minorHAnsi"/>
          <w:i/>
          <w:iCs/>
        </w:rPr>
        <w:t xml:space="preserve"> </w:t>
      </w:r>
      <w:r w:rsidR="00DE28EB">
        <w:rPr>
          <w:rFonts w:cstheme="minorHAnsi"/>
        </w:rPr>
        <w:t>Second-degree murder with a discre</w:t>
      </w:r>
      <w:r w:rsidR="004F42D1">
        <w:rPr>
          <w:rFonts w:cstheme="minorHAnsi"/>
        </w:rPr>
        <w:t>tionary life sentence, and manslaughter with discretionary life</w:t>
      </w:r>
      <w:r w:rsidR="004C60D0" w:rsidRPr="004C60D0">
        <w:rPr>
          <w:rFonts w:cstheme="minorHAnsi"/>
          <w:i/>
          <w:iCs/>
        </w:rPr>
        <w:fldChar w:fldCharType="begin"/>
      </w:r>
      <w:r w:rsidR="004C60D0" w:rsidRPr="004C60D0">
        <w:rPr>
          <w:rFonts w:cstheme="minorHAnsi"/>
          <w:i/>
          <w:iCs/>
        </w:rPr>
        <w:instrText xml:space="preserve"> ADDIN EN.CITE &lt;EndNote&gt;&lt;Cite&gt;&lt;Author&gt;Reform&lt;/Author&gt;&lt;Year&gt;2021&lt;/Year&gt;&lt;RecNum&gt;2&lt;/RecNum&gt;&lt;DisplayText&gt;(Reform, 2021)&lt;/DisplayText&gt;&lt;record&gt;&lt;rec-number&gt;2&lt;/rec-number&gt;&lt;foreign-keys&gt;&lt;key app="EN" db-id="zz2dfdfwnwv0x2e2dzmvddw520zaa2zvrwta" timestamp="1635783891"&gt;2&lt;/key&gt;&lt;/foreign-keys&gt;&lt;ref-type name="Web Page"&gt;12&lt;/ref-type&gt;&lt;contributors&gt;&lt;authors&gt;&lt;author&gt;Law Reform &lt;/author&gt;&lt;/authors&gt;&lt;/contributors&gt;&lt;titles&gt;&lt;title&gt;Homicide Law Reform&lt;/title&gt;&lt;/titles&gt;&lt;dates&gt;&lt;year&gt;2021&lt;/year&gt;&lt;/dates&gt;&lt;urls&gt;&lt;related-urls&gt;&lt;url&gt;https://justice.org.uk/homicide-law-reform/&lt;/url&gt;&lt;/related-urls&gt;&lt;/urls&gt;&lt;access-date&gt;1st november 2021&lt;/access-date&gt;&lt;/record&gt;&lt;/Cite&gt;&lt;/EndNote&gt;</w:instrText>
      </w:r>
      <w:r w:rsidR="004C60D0" w:rsidRPr="004C60D0">
        <w:rPr>
          <w:rFonts w:cstheme="minorHAnsi"/>
          <w:i/>
          <w:iCs/>
        </w:rPr>
        <w:fldChar w:fldCharType="separate"/>
      </w:r>
      <w:r w:rsidR="004C60D0" w:rsidRPr="004C60D0">
        <w:rPr>
          <w:rFonts w:cstheme="minorHAnsi"/>
          <w:i/>
          <w:iCs/>
          <w:noProof/>
        </w:rPr>
        <w:t>(Reform, 2021)</w:t>
      </w:r>
      <w:r w:rsidR="004C60D0" w:rsidRPr="004C60D0">
        <w:rPr>
          <w:rFonts w:cstheme="minorHAnsi"/>
          <w:i/>
          <w:iCs/>
        </w:rPr>
        <w:fldChar w:fldCharType="end"/>
      </w:r>
      <w:r w:rsidR="000B2863">
        <w:rPr>
          <w:rFonts w:cstheme="minorHAnsi"/>
        </w:rPr>
        <w:t>.</w:t>
      </w:r>
      <w:r w:rsidR="004F42D1">
        <w:rPr>
          <w:rFonts w:cstheme="minorHAnsi"/>
        </w:rPr>
        <w:t xml:space="preserve"> This means </w:t>
      </w:r>
      <w:r w:rsidR="00187F3E">
        <w:rPr>
          <w:rFonts w:cstheme="minorHAnsi"/>
        </w:rPr>
        <w:t xml:space="preserve">they could be given life imprisonment of custody for </w:t>
      </w:r>
      <w:r w:rsidR="00991B35">
        <w:rPr>
          <w:rFonts w:cstheme="minorHAnsi"/>
        </w:rPr>
        <w:t xml:space="preserve">life, </w:t>
      </w:r>
      <w:r w:rsidR="00836D31">
        <w:rPr>
          <w:rFonts w:cstheme="minorHAnsi"/>
        </w:rPr>
        <w:t xml:space="preserve">they must complete the length of the minimum </w:t>
      </w:r>
      <w:r w:rsidR="000B2863">
        <w:rPr>
          <w:rFonts w:cstheme="minorHAnsi"/>
        </w:rPr>
        <w:t>term before applying for parole</w:t>
      </w:r>
      <w:r w:rsidR="006656DF">
        <w:rPr>
          <w:rFonts w:cstheme="minorHAnsi"/>
        </w:rPr>
        <w:t xml:space="preserve"> </w:t>
      </w:r>
      <w:r w:rsidR="00A049BB" w:rsidRPr="00A049BB">
        <w:rPr>
          <w:rFonts w:cstheme="minorHAnsi"/>
          <w:i/>
          <w:iCs/>
        </w:rPr>
        <w:fldChar w:fldCharType="begin"/>
      </w:r>
      <w:r w:rsidR="00A049BB" w:rsidRPr="00A049BB">
        <w:rPr>
          <w:rFonts w:cstheme="minorHAnsi"/>
          <w:i/>
          <w:iCs/>
        </w:rPr>
        <w:instrText xml:space="preserve"> ADDIN EN.CITE &lt;EndNote&gt;&lt;Cite&gt;&lt;Author&gt;sentencings&lt;/Author&gt;&lt;Year&gt;2021&lt;/Year&gt;&lt;RecNum&gt;4&lt;/RecNum&gt;&lt;DisplayText&gt;(sentencings, 2021)&lt;/DisplayText&gt;&lt;record&gt;&lt;rec-number&gt;4&lt;/rec-number&gt;&lt;foreign-keys&gt;&lt;key app="EN" db-id="zz2dfdfwnwv0x2e2dzmvddw520zaa2zvrwta" timestamp="1635785732"&gt;4&lt;/key&gt;&lt;/foreign-keys&gt;&lt;ref-type name="Web Page"&gt;12&lt;/ref-type&gt;&lt;contributors&gt;&lt;authors&gt;&lt;author&gt;types of sentencings&lt;/author&gt;&lt;/authors&gt;&lt;/contributors&gt;&lt;titles&gt;&lt;title&gt;life sentencing &lt;/title&gt;&lt;/titles&gt;&lt;number&gt;1st november 2021&lt;/number&gt;&lt;dates&gt;&lt;year&gt;2021&lt;/year&gt;&lt;/dates&gt;&lt;urls&gt;&lt;related-urls&gt;&lt;url&gt;https://www.sentencingcouncil.org.uk/sentencing-and-the-council/types-of-sentence/life-sentences/&lt;/url&gt;&lt;/related-urls&gt;&lt;/urls&gt;&lt;/record&gt;&lt;/Cite&gt;&lt;/EndNote&gt;</w:instrText>
      </w:r>
      <w:r w:rsidR="00A049BB" w:rsidRPr="00A049BB">
        <w:rPr>
          <w:rFonts w:cstheme="minorHAnsi"/>
          <w:i/>
          <w:iCs/>
        </w:rPr>
        <w:fldChar w:fldCharType="separate"/>
      </w:r>
      <w:r w:rsidR="00A049BB" w:rsidRPr="00A049BB">
        <w:rPr>
          <w:rFonts w:cstheme="minorHAnsi"/>
          <w:i/>
          <w:iCs/>
          <w:noProof/>
        </w:rPr>
        <w:t>(sentencings, 2021)</w:t>
      </w:r>
      <w:r w:rsidR="00A049BB" w:rsidRPr="00A049BB">
        <w:rPr>
          <w:rFonts w:cstheme="minorHAnsi"/>
          <w:i/>
          <w:iCs/>
        </w:rPr>
        <w:fldChar w:fldCharType="end"/>
      </w:r>
      <w:r w:rsidR="00437766">
        <w:rPr>
          <w:rFonts w:cstheme="minorHAnsi"/>
        </w:rPr>
        <w:t xml:space="preserve">. </w:t>
      </w:r>
      <w:r w:rsidR="002409D0">
        <w:rPr>
          <w:rFonts w:cstheme="minorHAnsi"/>
        </w:rPr>
        <w:t xml:space="preserve">The </w:t>
      </w:r>
      <w:r w:rsidR="00EC7D2D">
        <w:rPr>
          <w:rFonts w:cstheme="minorHAnsi"/>
        </w:rPr>
        <w:t xml:space="preserve">Law Commission </w:t>
      </w:r>
      <w:r w:rsidR="006A1E12">
        <w:rPr>
          <w:rFonts w:cstheme="minorHAnsi"/>
        </w:rPr>
        <w:t xml:space="preserve">provisionally proposed </w:t>
      </w:r>
      <w:r w:rsidR="007E14CE">
        <w:rPr>
          <w:rFonts w:cstheme="minorHAnsi"/>
        </w:rPr>
        <w:t xml:space="preserve">that first-degree murder should be </w:t>
      </w:r>
      <w:r w:rsidR="002D45D3">
        <w:rPr>
          <w:rFonts w:cstheme="minorHAnsi"/>
        </w:rPr>
        <w:t>limited to intentional killing.</w:t>
      </w:r>
      <w:r w:rsidR="00C3185B">
        <w:rPr>
          <w:rFonts w:cstheme="minorHAnsi"/>
        </w:rPr>
        <w:t xml:space="preserve"> </w:t>
      </w:r>
      <w:r w:rsidR="00634F20">
        <w:rPr>
          <w:rFonts w:cstheme="minorHAnsi"/>
        </w:rPr>
        <w:t xml:space="preserve">There was further extended </w:t>
      </w:r>
      <w:r w:rsidR="0091223D">
        <w:rPr>
          <w:rFonts w:cstheme="minorHAnsi"/>
        </w:rPr>
        <w:t>in a report in 2006 to killing with intent to cause serious injur</w:t>
      </w:r>
      <w:r w:rsidR="006C1DCC">
        <w:rPr>
          <w:rFonts w:cstheme="minorHAnsi"/>
        </w:rPr>
        <w:t>y together with the consciousness of a significant risk of death.</w:t>
      </w:r>
      <w:r w:rsidR="008D1036">
        <w:rPr>
          <w:rFonts w:cstheme="minorHAnsi"/>
        </w:rPr>
        <w:t xml:space="preserve"> The </w:t>
      </w:r>
      <w:r w:rsidR="00FD0D16">
        <w:rPr>
          <w:rFonts w:cstheme="minorHAnsi"/>
        </w:rPr>
        <w:t>L</w:t>
      </w:r>
      <w:r w:rsidR="008D1036">
        <w:rPr>
          <w:rFonts w:cstheme="minorHAnsi"/>
        </w:rPr>
        <w:t xml:space="preserve">aw </w:t>
      </w:r>
      <w:r w:rsidR="00FD0D16">
        <w:rPr>
          <w:rFonts w:cstheme="minorHAnsi"/>
        </w:rPr>
        <w:t>C</w:t>
      </w:r>
      <w:r w:rsidR="008D1036">
        <w:rPr>
          <w:rFonts w:cstheme="minorHAnsi"/>
        </w:rPr>
        <w:t xml:space="preserve">ommission has given a </w:t>
      </w:r>
      <w:r w:rsidR="00FD0D16">
        <w:rPr>
          <w:rFonts w:cstheme="minorHAnsi"/>
        </w:rPr>
        <w:t>proposal to other areas of the law of homicide</w:t>
      </w:r>
      <w:r w:rsidR="00DE681A">
        <w:rPr>
          <w:rFonts w:cstheme="minorHAnsi"/>
        </w:rPr>
        <w:t>, including aspects like provocation, dimin</w:t>
      </w:r>
      <w:r w:rsidR="0044728D">
        <w:rPr>
          <w:rFonts w:cstheme="minorHAnsi"/>
        </w:rPr>
        <w:t xml:space="preserve">ished </w:t>
      </w:r>
      <w:r w:rsidR="0020194A">
        <w:rPr>
          <w:rFonts w:cstheme="minorHAnsi"/>
        </w:rPr>
        <w:t>responsibility,</w:t>
      </w:r>
      <w:r w:rsidR="0044728D">
        <w:rPr>
          <w:rFonts w:cstheme="minorHAnsi"/>
        </w:rPr>
        <w:t xml:space="preserve"> and complicity</w:t>
      </w:r>
      <w:r w:rsidR="00A83168" w:rsidRPr="00A83168">
        <w:rPr>
          <w:rFonts w:cstheme="minorHAnsi"/>
          <w:i/>
          <w:iCs/>
        </w:rPr>
        <w:fldChar w:fldCharType="begin"/>
      </w:r>
      <w:r w:rsidR="00A83168" w:rsidRPr="00A83168">
        <w:rPr>
          <w:rFonts w:cstheme="minorHAnsi"/>
          <w:i/>
          <w:iCs/>
        </w:rPr>
        <w:instrText xml:space="preserve"> ADDIN EN.CITE &lt;EndNote&gt;&lt;Cite&gt;&lt;Author&gt;Reform&lt;/Author&gt;&lt;Year&gt;2021&lt;/Year&gt;&lt;RecNum&gt;2&lt;/RecNum&gt;&lt;DisplayText&gt;(Reform, 2021)&lt;/DisplayText&gt;&lt;record&gt;&lt;rec-number&gt;2&lt;/rec-number&gt;&lt;foreign-keys&gt;&lt;key app="EN" db-id="zz2dfdfwnwv0x2e2dzmvddw520zaa2zvrwta" timestamp="1635783891"&gt;2&lt;/key&gt;&lt;/foreign-keys&gt;&lt;ref-type name="Web Page"&gt;12&lt;/ref-type&gt;&lt;contributors&gt;&lt;authors&gt;&lt;author&gt;Law Reform &lt;/author&gt;&lt;/authors&gt;&lt;/contributors&gt;&lt;titles&gt;&lt;title&gt;Homicide Law Reform&lt;/title&gt;&lt;/titles&gt;&lt;dates&gt;&lt;year&gt;2021&lt;/year&gt;&lt;/dates&gt;&lt;urls&gt;&lt;related-urls&gt;&lt;url&gt;https://justice.org.uk/homicide-law-reform/&lt;/url&gt;&lt;/related-urls&gt;&lt;/urls&gt;&lt;access-date&gt;1st november 2021&lt;/access-date&gt;&lt;/record&gt;&lt;/Cite&gt;&lt;/EndNote&gt;</w:instrText>
      </w:r>
      <w:r w:rsidR="00A83168" w:rsidRPr="00A83168">
        <w:rPr>
          <w:rFonts w:cstheme="minorHAnsi"/>
          <w:i/>
          <w:iCs/>
        </w:rPr>
        <w:fldChar w:fldCharType="separate"/>
      </w:r>
      <w:r w:rsidR="00A83168" w:rsidRPr="00A83168">
        <w:rPr>
          <w:rFonts w:cstheme="minorHAnsi"/>
          <w:i/>
          <w:iCs/>
          <w:noProof/>
        </w:rPr>
        <w:t>(Reform, 2021)</w:t>
      </w:r>
      <w:r w:rsidR="00A83168" w:rsidRPr="00A83168">
        <w:rPr>
          <w:rFonts w:cstheme="minorHAnsi"/>
          <w:i/>
          <w:iCs/>
        </w:rPr>
        <w:fldChar w:fldCharType="end"/>
      </w:r>
      <w:r w:rsidR="0044728D">
        <w:rPr>
          <w:rFonts w:cstheme="minorHAnsi"/>
        </w:rPr>
        <w:t>.</w:t>
      </w:r>
      <w:r w:rsidR="006A5CAB">
        <w:rPr>
          <w:rFonts w:cstheme="minorHAnsi"/>
        </w:rPr>
        <w:t xml:space="preserve"> The law of prov</w:t>
      </w:r>
      <w:r w:rsidR="0068493C">
        <w:rPr>
          <w:rFonts w:cstheme="minorHAnsi"/>
        </w:rPr>
        <w:t>ocation was recently looked at in the case of A</w:t>
      </w:r>
      <w:r w:rsidR="00B12D4C">
        <w:rPr>
          <w:rFonts w:cstheme="minorHAnsi"/>
        </w:rPr>
        <w:t>tt</w:t>
      </w:r>
      <w:r w:rsidR="00412DB7">
        <w:rPr>
          <w:rFonts w:cstheme="minorHAnsi"/>
        </w:rPr>
        <w:t>orney-General v Holley (2005)</w:t>
      </w:r>
      <w:r w:rsidR="00E1558A">
        <w:rPr>
          <w:rFonts w:cstheme="minorHAnsi"/>
        </w:rPr>
        <w:t xml:space="preserve"> UKPC 23, which would be changed by </w:t>
      </w:r>
      <w:r w:rsidR="005D7B82">
        <w:rPr>
          <w:rFonts w:cstheme="minorHAnsi"/>
        </w:rPr>
        <w:t xml:space="preserve">a partial defence to the murder of killing </w:t>
      </w:r>
      <w:r w:rsidR="00B52FBF">
        <w:rPr>
          <w:rFonts w:cstheme="minorHAnsi"/>
        </w:rPr>
        <w:t>in re</w:t>
      </w:r>
      <w:r w:rsidR="00857180">
        <w:rPr>
          <w:rFonts w:cstheme="minorHAnsi"/>
        </w:rPr>
        <w:t>act</w:t>
      </w:r>
      <w:r w:rsidR="00B52FBF">
        <w:rPr>
          <w:rFonts w:cstheme="minorHAnsi"/>
        </w:rPr>
        <w:t>ion to gross provocatio</w:t>
      </w:r>
      <w:r w:rsidR="000B7DE9">
        <w:rPr>
          <w:rFonts w:cstheme="minorHAnsi"/>
        </w:rPr>
        <w:t>n or a fear of violence</w:t>
      </w:r>
      <w:r w:rsidR="00857180">
        <w:rPr>
          <w:rFonts w:cstheme="minorHAnsi"/>
        </w:rPr>
        <w:t xml:space="preserve"> to the fear of serious </w:t>
      </w:r>
      <w:r w:rsidR="002F6CF6">
        <w:rPr>
          <w:rFonts w:cstheme="minorHAnsi"/>
        </w:rPr>
        <w:t>violence.</w:t>
      </w:r>
      <w:r w:rsidR="006A14F6">
        <w:rPr>
          <w:rFonts w:cstheme="minorHAnsi"/>
        </w:rPr>
        <w:t xml:space="preserve"> The ne</w:t>
      </w:r>
      <w:r w:rsidR="00DE01DF">
        <w:rPr>
          <w:rFonts w:cstheme="minorHAnsi"/>
        </w:rPr>
        <w:t xml:space="preserve">cessity of a loss of self-control would be </w:t>
      </w:r>
      <w:r w:rsidR="003B1E92">
        <w:rPr>
          <w:rFonts w:cstheme="minorHAnsi"/>
        </w:rPr>
        <w:t>withdraw</w:t>
      </w:r>
      <w:r w:rsidR="002B1DDD">
        <w:rPr>
          <w:rFonts w:cstheme="minorHAnsi"/>
        </w:rPr>
        <w:fldChar w:fldCharType="begin"/>
      </w:r>
      <w:r w:rsidR="002B1DDD">
        <w:rPr>
          <w:rFonts w:cstheme="minorHAnsi"/>
        </w:rPr>
        <w:instrText xml:space="preserve"> ADDIN EN.CITE &lt;EndNote&gt;&lt;Cite&gt;&lt;Author&gt;commission&lt;/Author&gt;&lt;Year&gt;2021&lt;/Year&gt;&lt;RecNum&gt;9&lt;/RecNum&gt;&lt;DisplayText&gt;(commission, 2021)&lt;/DisplayText&gt;&lt;record&gt;&lt;rec-number&gt;9&lt;/rec-number&gt;&lt;foreign-keys&gt;&lt;key app="EN" db-id="zz2dfdfwnwv0x2e2dzmvddw520zaa2zvrwta" timestamp="1637284201"&gt;9&lt;/key&gt;&lt;/foreign-keys&gt;&lt;ref-type name="Web Page"&gt;12&lt;/ref-type&gt;&lt;contributors&gt;&lt;authors&gt;&lt;author&gt;law commission&lt;/author&gt;&lt;/authors&gt;&lt;/contributors&gt;&lt;titles&gt;&lt;title&gt;Reform offences against a person&lt;/title&gt;&lt;/titles&gt;&lt;number&gt;18 november 2021&lt;/number&gt;&lt;dates&gt;&lt;year&gt;2021&lt;/year&gt;&lt;/dates&gt;&lt;urls&gt;&lt;related-urls&gt;&lt;url&gt;http://www.lawcom.gov.uk/app/uploads/2015/11/51950-LC-HC555_Web.pdf&lt;/url&gt;&lt;/related-urls&gt;&lt;/urls&gt;&lt;/record&gt;&lt;/Cite&gt;&lt;/EndNote&gt;</w:instrText>
      </w:r>
      <w:r w:rsidR="002B1DDD">
        <w:rPr>
          <w:rFonts w:cstheme="minorHAnsi"/>
        </w:rPr>
        <w:fldChar w:fldCharType="separate"/>
      </w:r>
      <w:r w:rsidR="002B1DDD" w:rsidRPr="002B1DDD">
        <w:rPr>
          <w:rFonts w:cstheme="minorHAnsi"/>
          <w:i/>
          <w:iCs/>
          <w:noProof/>
        </w:rPr>
        <w:t>n (commission, 2021</w:t>
      </w:r>
      <w:r w:rsidR="002B1DDD">
        <w:rPr>
          <w:rFonts w:cstheme="minorHAnsi"/>
          <w:noProof/>
        </w:rPr>
        <w:t>)</w:t>
      </w:r>
      <w:r w:rsidR="002B1DDD">
        <w:rPr>
          <w:rFonts w:cstheme="minorHAnsi"/>
        </w:rPr>
        <w:fldChar w:fldCharType="end"/>
      </w:r>
      <w:r w:rsidR="00586CFB">
        <w:rPr>
          <w:rFonts w:cstheme="minorHAnsi"/>
        </w:rPr>
        <w:t xml:space="preserve">. </w:t>
      </w:r>
      <w:r w:rsidR="00DB327F">
        <w:rPr>
          <w:rFonts w:cstheme="minorHAnsi"/>
        </w:rPr>
        <w:t xml:space="preserve">The partial defence of diminished responsibility </w:t>
      </w:r>
      <w:r w:rsidR="007D5AE3">
        <w:rPr>
          <w:rFonts w:cstheme="minorHAnsi"/>
        </w:rPr>
        <w:t>wou</w:t>
      </w:r>
      <w:r w:rsidR="00472B84">
        <w:rPr>
          <w:rFonts w:cstheme="minorHAnsi"/>
        </w:rPr>
        <w:t>ld be renewed</w:t>
      </w:r>
      <w:r w:rsidR="00FF045E">
        <w:rPr>
          <w:rFonts w:cstheme="minorHAnsi"/>
        </w:rPr>
        <w:t xml:space="preserve">, </w:t>
      </w:r>
      <w:r w:rsidR="00C01861">
        <w:rPr>
          <w:rFonts w:cstheme="minorHAnsi"/>
        </w:rPr>
        <w:t xml:space="preserve">the essential would include an abnormality of mental functioning </w:t>
      </w:r>
      <w:r w:rsidR="000E0A9B">
        <w:rPr>
          <w:rFonts w:cstheme="minorHAnsi"/>
        </w:rPr>
        <w:t>a</w:t>
      </w:r>
      <w:r w:rsidR="00DB51A5">
        <w:rPr>
          <w:rFonts w:cstheme="minorHAnsi"/>
        </w:rPr>
        <w:t>rising from a recognised medical condition</w:t>
      </w:r>
      <w:r w:rsidR="007B226E">
        <w:rPr>
          <w:rFonts w:cstheme="minorHAnsi"/>
        </w:rPr>
        <w:t xml:space="preserve"> </w:t>
      </w:r>
      <w:r w:rsidR="007B226E" w:rsidRPr="00F93F9F">
        <w:rPr>
          <w:rFonts w:asciiTheme="majorHAnsi" w:hAnsiTheme="majorHAnsi" w:cstheme="majorHAnsi"/>
        </w:rPr>
        <w:t xml:space="preserve">and </w:t>
      </w:r>
      <w:r w:rsidR="004C31A5" w:rsidRPr="00646148">
        <w:rPr>
          <w:rFonts w:cstheme="minorHAnsi"/>
        </w:rPr>
        <w:t>in the case of a defendant under the age of eighteen, developmental immaturity</w:t>
      </w:r>
      <w:r w:rsidR="0002053B">
        <w:rPr>
          <w:rFonts w:cstheme="minorHAnsi"/>
        </w:rPr>
        <w:fldChar w:fldCharType="begin"/>
      </w:r>
      <w:r w:rsidR="0002053B">
        <w:rPr>
          <w:rFonts w:cstheme="minorHAnsi"/>
        </w:rPr>
        <w:instrText xml:space="preserve"> ADDIN EN.CITE &lt;EndNote&gt;&lt;Cite&gt;&lt;Author&gt;commission&lt;/Author&gt;&lt;Year&gt;2021&lt;/Year&gt;&lt;RecNum&gt;9&lt;/RecNum&gt;&lt;DisplayText&gt;(commission, 2021)&lt;/DisplayText&gt;&lt;record&gt;&lt;rec-number&gt;9&lt;/rec-number&gt;&lt;foreign-keys&gt;&lt;key app="EN" db-id="zz2dfdfwnwv0x2e2dzmvddw520zaa2zvrwta" timestamp="1637284201"&gt;9&lt;/key&gt;&lt;/foreign-keys&gt;&lt;ref-type name="Web Page"&gt;12&lt;/ref-type&gt;&lt;contributors&gt;&lt;authors&gt;&lt;author&gt;law commission&lt;/author&gt;&lt;/authors&gt;&lt;/contributors&gt;&lt;titles&gt;&lt;title&gt;Reform offences against a person&lt;/title&gt;&lt;/titles&gt;&lt;number&gt;18 november 2021&lt;/number&gt;&lt;dates&gt;&lt;year&gt;2021&lt;/year&gt;&lt;/dates&gt;&lt;urls&gt;&lt;related-urls&gt;&lt;url&gt;http://www.lawcom.gov.uk/app/uploads/2015/11/51950-LC-HC555_Web.pdf&lt;/url&gt;&lt;/related-urls&gt;&lt;/urls&gt;&lt;/record&gt;&lt;/Cite&gt;&lt;/EndNote&gt;</w:instrText>
      </w:r>
      <w:r w:rsidR="0002053B">
        <w:rPr>
          <w:rFonts w:cstheme="minorHAnsi"/>
        </w:rPr>
        <w:fldChar w:fldCharType="separate"/>
      </w:r>
      <w:r w:rsidR="0002053B" w:rsidRPr="0002053B">
        <w:rPr>
          <w:rFonts w:cstheme="minorHAnsi"/>
          <w:i/>
          <w:iCs/>
          <w:noProof/>
        </w:rPr>
        <w:t>(commission, 2021</w:t>
      </w:r>
      <w:r w:rsidR="0002053B">
        <w:rPr>
          <w:rFonts w:cstheme="minorHAnsi"/>
          <w:noProof/>
        </w:rPr>
        <w:t>)</w:t>
      </w:r>
      <w:r w:rsidR="0002053B">
        <w:rPr>
          <w:rFonts w:cstheme="minorHAnsi"/>
        </w:rPr>
        <w:fldChar w:fldCharType="end"/>
      </w:r>
      <w:r w:rsidR="004C31A5" w:rsidRPr="00646148">
        <w:rPr>
          <w:rFonts w:cstheme="minorHAnsi"/>
        </w:rPr>
        <w:t>. Importantly,</w:t>
      </w:r>
      <w:r w:rsidR="00B72D36" w:rsidRPr="00646148">
        <w:rPr>
          <w:rFonts w:cstheme="minorHAnsi"/>
        </w:rPr>
        <w:t xml:space="preserve"> </w:t>
      </w:r>
      <w:r w:rsidR="004C31A5" w:rsidRPr="00646148">
        <w:rPr>
          <w:rFonts w:cstheme="minorHAnsi"/>
        </w:rPr>
        <w:t xml:space="preserve">partial defences would reduce first-degree murder to second-degree murder within the Law Commission's </w:t>
      </w:r>
      <w:r w:rsidR="00B72D36" w:rsidRPr="00646148">
        <w:rPr>
          <w:rFonts w:cstheme="minorHAnsi"/>
        </w:rPr>
        <w:t>layo</w:t>
      </w:r>
      <w:r w:rsidR="004111BA" w:rsidRPr="00646148">
        <w:rPr>
          <w:rFonts w:cstheme="minorHAnsi"/>
        </w:rPr>
        <w:t>ut,</w:t>
      </w:r>
      <w:r w:rsidR="004C31A5" w:rsidRPr="00646148">
        <w:rPr>
          <w:rFonts w:cstheme="minorHAnsi"/>
        </w:rPr>
        <w:t xml:space="preserve"> reducing murder to manslaughter. They would therefore apply to fewer cases in the first instance than the current partial defences</w:t>
      </w:r>
      <w:r w:rsidR="0002053B">
        <w:rPr>
          <w:rFonts w:cstheme="minorHAnsi"/>
        </w:rPr>
        <w:fldChar w:fldCharType="begin"/>
      </w:r>
      <w:r w:rsidR="0002053B">
        <w:rPr>
          <w:rFonts w:cstheme="minorHAnsi"/>
        </w:rPr>
        <w:instrText xml:space="preserve"> ADDIN EN.CITE &lt;EndNote&gt;&lt;Cite&gt;&lt;Author&gt;commission&lt;/Author&gt;&lt;Year&gt;2021&lt;/Year&gt;&lt;RecNum&gt;9&lt;/RecNum&gt;&lt;DisplayText&gt;(commission, 2021)&lt;/DisplayText&gt;&lt;record&gt;&lt;rec-number&gt;9&lt;/rec-number&gt;&lt;foreign-keys&gt;&lt;key app="EN" db-id="zz2dfdfwnwv0x2e2dzmvddw520zaa2zvrwta" timestamp="1637284201"&gt;9&lt;/key&gt;&lt;/foreign-keys&gt;&lt;ref-type name="Web Page"&gt;12&lt;/ref-type&gt;&lt;contributors&gt;&lt;authors&gt;&lt;author&gt;law commission&lt;/author&gt;&lt;/authors&gt;&lt;/contributors&gt;&lt;titles&gt;&lt;title&gt;Reform offences against a person&lt;/title&gt;&lt;/titles&gt;&lt;number&gt;18 november 2021&lt;/number&gt;&lt;dates&gt;&lt;year&gt;2021&lt;/year&gt;&lt;/dates&gt;&lt;urls&gt;&lt;related-urls&gt;&lt;url&gt;http://www.lawcom.gov.uk/app/uploads/2015/11/51950-LC-HC555_Web.pdf&lt;/url&gt;&lt;/related-urls&gt;&lt;/urls&gt;&lt;/record&gt;&lt;/Cite&gt;&lt;/EndNote&gt;</w:instrText>
      </w:r>
      <w:r w:rsidR="0002053B">
        <w:rPr>
          <w:rFonts w:cstheme="minorHAnsi"/>
        </w:rPr>
        <w:fldChar w:fldCharType="separate"/>
      </w:r>
      <w:r w:rsidR="0002053B">
        <w:rPr>
          <w:rFonts w:cstheme="minorHAnsi"/>
          <w:noProof/>
        </w:rPr>
        <w:t xml:space="preserve">(commission, </w:t>
      </w:r>
      <w:r w:rsidR="0002053B" w:rsidRPr="0002053B">
        <w:rPr>
          <w:rFonts w:cstheme="minorHAnsi"/>
          <w:i/>
          <w:iCs/>
          <w:noProof/>
        </w:rPr>
        <w:t>2021</w:t>
      </w:r>
      <w:r w:rsidR="0002053B">
        <w:rPr>
          <w:rFonts w:cstheme="minorHAnsi"/>
          <w:noProof/>
        </w:rPr>
        <w:t>)</w:t>
      </w:r>
      <w:r w:rsidR="0002053B">
        <w:rPr>
          <w:rFonts w:cstheme="minorHAnsi"/>
        </w:rPr>
        <w:fldChar w:fldCharType="end"/>
      </w:r>
      <w:r w:rsidR="004C31A5" w:rsidRPr="00646148">
        <w:rPr>
          <w:rFonts w:cstheme="minorHAnsi"/>
        </w:rPr>
        <w:t>.</w:t>
      </w:r>
      <w:r>
        <w:rPr>
          <w:rFonts w:cstheme="minorHAnsi"/>
        </w:rPr>
        <w:t xml:space="preserve"> </w:t>
      </w:r>
    </w:p>
    <w:p w14:paraId="6B014ABC" w14:textId="57A0178C" w:rsidR="002851BF" w:rsidRPr="00D91ADA" w:rsidRDefault="00F45265">
      <w:r>
        <w:rPr>
          <w:rFonts w:cstheme="minorHAnsi"/>
        </w:rPr>
        <w:t xml:space="preserve">Section 16 of the </w:t>
      </w:r>
      <w:r w:rsidR="00646148">
        <w:rPr>
          <w:rFonts w:cstheme="minorHAnsi"/>
        </w:rPr>
        <w:t xml:space="preserve">1861 Act </w:t>
      </w:r>
      <w:r w:rsidR="005F392E">
        <w:rPr>
          <w:rFonts w:cstheme="minorHAnsi"/>
        </w:rPr>
        <w:t>includes offence of threatening to kill</w:t>
      </w:r>
      <w:r w:rsidR="006D3E30">
        <w:rPr>
          <w:rFonts w:cstheme="minorHAnsi"/>
        </w:rPr>
        <w:t xml:space="preserve">, </w:t>
      </w:r>
      <w:r w:rsidR="003323BC">
        <w:rPr>
          <w:rFonts w:cstheme="minorHAnsi"/>
        </w:rPr>
        <w:t>this is the intention to</w:t>
      </w:r>
      <w:r w:rsidR="00421FE6">
        <w:rPr>
          <w:rFonts w:cstheme="minorHAnsi"/>
        </w:rPr>
        <w:t xml:space="preserve"> cause someone to </w:t>
      </w:r>
      <w:r w:rsidR="003323BC">
        <w:rPr>
          <w:rFonts w:cstheme="minorHAnsi"/>
        </w:rPr>
        <w:t>fear that the</w:t>
      </w:r>
      <w:r w:rsidR="00F274C3">
        <w:rPr>
          <w:rFonts w:cstheme="minorHAnsi"/>
        </w:rPr>
        <w:t xml:space="preserve"> </w:t>
      </w:r>
      <w:r w:rsidR="00F908C3">
        <w:rPr>
          <w:rFonts w:cstheme="minorHAnsi"/>
        </w:rPr>
        <w:t xml:space="preserve">threat made </w:t>
      </w:r>
      <w:r w:rsidR="00C73260">
        <w:rPr>
          <w:rFonts w:cstheme="minorHAnsi"/>
        </w:rPr>
        <w:t>would be carried out</w:t>
      </w:r>
      <w:r w:rsidR="00E91A1B">
        <w:rPr>
          <w:rFonts w:cstheme="minorHAnsi"/>
        </w:rPr>
        <w:fldChar w:fldCharType="begin"/>
      </w:r>
      <w:r w:rsidR="00E91A1B">
        <w:rPr>
          <w:rFonts w:cstheme="minorHAnsi"/>
        </w:rPr>
        <w:instrText xml:space="preserve"> ADDIN EN.CITE &lt;EndNote&gt;&lt;Cite&gt;&lt;Author&gt;commission&lt;/Author&gt;&lt;Year&gt;2021&lt;/Year&gt;&lt;RecNum&gt;9&lt;/RecNum&gt;&lt;DisplayText&gt;(commission, 2021)&lt;/DisplayText&gt;&lt;record&gt;&lt;rec-number&gt;9&lt;/rec-number&gt;&lt;foreign-keys&gt;&lt;key app="EN" db-id="zz2dfdfwnwv0x2e2dzmvddw520zaa2zvrwta" timestamp="1637284201"&gt;9&lt;/key&gt;&lt;/foreign-keys&gt;&lt;ref-type name="Web Page"&gt;12&lt;/ref-type&gt;&lt;contributors&gt;&lt;authors&gt;&lt;author&gt;law commission&lt;/author&gt;&lt;/authors&gt;&lt;/contributors&gt;&lt;titles&gt;&lt;title&gt;Reform offences against a person&lt;/title&gt;&lt;/titles&gt;&lt;number&gt;18 november 2021&lt;/number&gt;&lt;dates&gt;&lt;year&gt;2021&lt;/year&gt;&lt;/dates&gt;&lt;urls&gt;&lt;related-urls&gt;&lt;url&gt;http://www.lawcom.gov.uk/app/uploads/2015/11/51950-LC-HC555_Web.pdf&lt;/url&gt;&lt;/related-urls&gt;&lt;/urls&gt;&lt;/record&gt;&lt;/Cite&gt;&lt;/EndNote&gt;</w:instrText>
      </w:r>
      <w:r w:rsidR="00E91A1B">
        <w:rPr>
          <w:rFonts w:cstheme="minorHAnsi"/>
        </w:rPr>
        <w:fldChar w:fldCharType="separate"/>
      </w:r>
      <w:r w:rsidR="00E91A1B">
        <w:rPr>
          <w:rFonts w:cstheme="minorHAnsi"/>
          <w:noProof/>
        </w:rPr>
        <w:t>(</w:t>
      </w:r>
      <w:r w:rsidR="00E91A1B" w:rsidRPr="00C21B87">
        <w:rPr>
          <w:rFonts w:cstheme="minorHAnsi"/>
          <w:i/>
          <w:iCs/>
          <w:noProof/>
        </w:rPr>
        <w:t>commission, 2021)</w:t>
      </w:r>
      <w:r w:rsidR="00E91A1B">
        <w:rPr>
          <w:rFonts w:cstheme="minorHAnsi"/>
        </w:rPr>
        <w:fldChar w:fldCharType="end"/>
      </w:r>
      <w:r w:rsidR="00421FE6">
        <w:rPr>
          <w:rFonts w:cstheme="minorHAnsi"/>
        </w:rPr>
        <w:t>.</w:t>
      </w:r>
      <w:r w:rsidR="004A76B2">
        <w:rPr>
          <w:rFonts w:cstheme="minorHAnsi"/>
        </w:rPr>
        <w:t xml:space="preserve"> Clause</w:t>
      </w:r>
      <w:r w:rsidR="00530C4B">
        <w:rPr>
          <w:rFonts w:cstheme="minorHAnsi"/>
        </w:rPr>
        <w:t xml:space="preserve"> 10 from th</w:t>
      </w:r>
      <w:r w:rsidR="008322C0">
        <w:rPr>
          <w:rFonts w:cstheme="minorHAnsi"/>
        </w:rPr>
        <w:t xml:space="preserve">e draft Bill includes a similar offence, </w:t>
      </w:r>
      <w:r w:rsidR="003D3243">
        <w:rPr>
          <w:rFonts w:cstheme="minorHAnsi"/>
        </w:rPr>
        <w:t xml:space="preserve">the only area where it differs is that the threat can either </w:t>
      </w:r>
      <w:r w:rsidR="004132A9">
        <w:rPr>
          <w:rFonts w:cstheme="minorHAnsi"/>
        </w:rPr>
        <w:t>b</w:t>
      </w:r>
      <w:r w:rsidR="003D3243">
        <w:rPr>
          <w:rFonts w:cstheme="minorHAnsi"/>
        </w:rPr>
        <w:t xml:space="preserve">e death or </w:t>
      </w:r>
      <w:r w:rsidR="004132A9">
        <w:rPr>
          <w:rFonts w:cstheme="minorHAnsi"/>
        </w:rPr>
        <w:t>serious injury</w:t>
      </w:r>
      <w:r w:rsidR="00C02225">
        <w:rPr>
          <w:rFonts w:cstheme="minorHAnsi"/>
        </w:rPr>
        <w:t>, but the faulty element is t</w:t>
      </w:r>
      <w:r w:rsidR="00CF73E7">
        <w:rPr>
          <w:rFonts w:cstheme="minorHAnsi"/>
        </w:rPr>
        <w:t xml:space="preserve">o </w:t>
      </w:r>
      <w:r w:rsidR="00B83B81">
        <w:rPr>
          <w:rFonts w:cstheme="minorHAnsi"/>
        </w:rPr>
        <w:t xml:space="preserve">make others believe </w:t>
      </w:r>
      <w:r w:rsidR="00CC6C27">
        <w:rPr>
          <w:rFonts w:cstheme="minorHAnsi"/>
        </w:rPr>
        <w:t xml:space="preserve">that it will be carried out. </w:t>
      </w:r>
      <w:r w:rsidR="0095274C">
        <w:rPr>
          <w:rFonts w:cstheme="minorHAnsi"/>
        </w:rPr>
        <w:t>Both cases</w:t>
      </w:r>
      <w:r w:rsidR="007269B1">
        <w:rPr>
          <w:rFonts w:cstheme="minorHAnsi"/>
        </w:rPr>
        <w:t xml:space="preserve"> </w:t>
      </w:r>
      <w:r w:rsidR="00FE6221">
        <w:rPr>
          <w:rFonts w:cstheme="minorHAnsi"/>
        </w:rPr>
        <w:t>include</w:t>
      </w:r>
      <w:r w:rsidR="00A37AB0">
        <w:rPr>
          <w:rFonts w:cstheme="minorHAnsi"/>
        </w:rPr>
        <w:t xml:space="preserve"> a threat </w:t>
      </w:r>
      <w:r w:rsidR="001F4E29">
        <w:rPr>
          <w:rFonts w:cstheme="minorHAnsi"/>
        </w:rPr>
        <w:t>to kill</w:t>
      </w:r>
      <w:r w:rsidR="00B10049">
        <w:rPr>
          <w:rFonts w:cstheme="minorHAnsi"/>
        </w:rPr>
        <w:t xml:space="preserve"> made by a person </w:t>
      </w:r>
      <w:r w:rsidR="001F4E29">
        <w:rPr>
          <w:rFonts w:cstheme="minorHAnsi"/>
        </w:rPr>
        <w:t>to another</w:t>
      </w:r>
      <w:r w:rsidR="00C21B87">
        <w:rPr>
          <w:rFonts w:cstheme="minorHAnsi"/>
        </w:rPr>
        <w:fldChar w:fldCharType="begin"/>
      </w:r>
      <w:r w:rsidR="00C21B87">
        <w:rPr>
          <w:rFonts w:cstheme="minorHAnsi"/>
        </w:rPr>
        <w:instrText xml:space="preserve"> ADDIN EN.CITE &lt;EndNote&gt;&lt;Cite&gt;&lt;Author&gt;commission&lt;/Author&gt;&lt;Year&gt;2021&lt;/Year&gt;&lt;RecNum&gt;9&lt;/RecNum&gt;&lt;DisplayText&gt;(commission, 2021)&lt;/DisplayText&gt;&lt;record&gt;&lt;rec-number&gt;9&lt;/rec-number&gt;&lt;foreign-keys&gt;&lt;key app="EN" db-id="zz2dfdfwnwv0x2e2dzmvddw520zaa2zvrwta" timestamp="1637284201"&gt;9&lt;/key&gt;&lt;/foreign-keys&gt;&lt;ref-type name="Web Page"&gt;12&lt;/ref-type&gt;&lt;contributors&gt;&lt;authors&gt;&lt;author&gt;law commission&lt;/author&gt;&lt;/authors&gt;&lt;/contributors&gt;&lt;titles&gt;&lt;title&gt;Reform offences against a person&lt;/title&gt;&lt;/titles&gt;&lt;number&gt;18 november 2021&lt;/number&gt;&lt;dates&gt;&lt;year&gt;2021&lt;/year&gt;&lt;/dates&gt;&lt;urls&gt;&lt;related-urls&gt;&lt;url&gt;http://www.lawcom.gov.uk/app/uploads/2015/11/51950-LC-HC555_Web.pdf&lt;/url&gt;&lt;/related-urls&gt;&lt;/urls&gt;&lt;/record&gt;&lt;/Cite&gt;&lt;/EndNote&gt;</w:instrText>
      </w:r>
      <w:r w:rsidR="00C21B87">
        <w:rPr>
          <w:rFonts w:cstheme="minorHAnsi"/>
        </w:rPr>
        <w:fldChar w:fldCharType="separate"/>
      </w:r>
      <w:r w:rsidR="00C21B87" w:rsidRPr="00C21B87">
        <w:rPr>
          <w:rFonts w:cstheme="minorHAnsi"/>
          <w:i/>
          <w:iCs/>
          <w:noProof/>
        </w:rPr>
        <w:t>(commission, 2021</w:t>
      </w:r>
      <w:r w:rsidR="00C21B87">
        <w:rPr>
          <w:rFonts w:cstheme="minorHAnsi"/>
          <w:noProof/>
        </w:rPr>
        <w:t>)</w:t>
      </w:r>
      <w:r w:rsidR="00C21B87">
        <w:rPr>
          <w:rFonts w:cstheme="minorHAnsi"/>
        </w:rPr>
        <w:fldChar w:fldCharType="end"/>
      </w:r>
      <w:r w:rsidR="001F4E29">
        <w:rPr>
          <w:rFonts w:cstheme="minorHAnsi"/>
        </w:rPr>
        <w:t>.</w:t>
      </w:r>
      <w:r w:rsidR="00B827FB">
        <w:t xml:space="preserve"> </w:t>
      </w:r>
      <w:r w:rsidR="005E552C">
        <w:t xml:space="preserve">There was a proposal by the law commission </w:t>
      </w:r>
      <w:r w:rsidR="00B827FB">
        <w:t>that the clause should be amended to include such a cas</w:t>
      </w:r>
      <w:r w:rsidR="00602061">
        <w:t>e.</w:t>
      </w:r>
      <w:r w:rsidR="00D62ABE">
        <w:t xml:space="preserve"> There were 21 </w:t>
      </w:r>
      <w:r w:rsidR="000F260E">
        <w:t>respondents</w:t>
      </w:r>
      <w:r w:rsidR="00D62ABE">
        <w:t xml:space="preserve"> to this</w:t>
      </w:r>
      <w:r w:rsidR="00B25D35">
        <w:t xml:space="preserve"> consultation, sixteen agreed with the proposal, two </w:t>
      </w:r>
      <w:r w:rsidR="00DE746C">
        <w:t>believed there should be such an offence</w:t>
      </w:r>
      <w:r w:rsidR="00F42836">
        <w:t>, three believed that the offence under section 16 should not be altered</w:t>
      </w:r>
      <w:r w:rsidR="00C21B87">
        <w:fldChar w:fldCharType="begin"/>
      </w:r>
      <w:r w:rsidR="00C21B87">
        <w:instrText xml:space="preserve"> ADDIN EN.CITE &lt;EndNote&gt;&lt;Cite&gt;&lt;Author&gt;commission&lt;/Author&gt;&lt;Year&gt;2021&lt;/Year&gt;&lt;RecNum&gt;9&lt;/RecNum&gt;&lt;DisplayText&gt;(commission, 2021)&lt;/DisplayText&gt;&lt;record&gt;&lt;rec-number&gt;9&lt;/rec-number&gt;&lt;foreign-keys&gt;&lt;key app="EN" db-id="zz2dfdfwnwv0x2e2dzmvddw520zaa2zvrwta" timestamp="1637284201"&gt;9&lt;/key&gt;&lt;/foreign-keys&gt;&lt;ref-type name="Web Page"&gt;12&lt;/ref-type&gt;&lt;contributors&gt;&lt;authors&gt;&lt;author&gt;law commission&lt;/author&gt;&lt;/authors&gt;&lt;/contributors&gt;&lt;titles&gt;&lt;title&gt;Reform offences against a person&lt;/title&gt;&lt;/titles&gt;&lt;number&gt;18 november 2021&lt;/number&gt;&lt;dates&gt;&lt;year&gt;2021&lt;/year&gt;&lt;/dates&gt;&lt;urls&gt;&lt;related-urls&gt;&lt;url&gt;http://www.lawcom.gov.uk/app/uploads/2015/11/51950-LC-HC555_Web.pdf&lt;/url&gt;&lt;/related-urls&gt;&lt;/urls&gt;&lt;/record&gt;&lt;/Cite&gt;&lt;/EndNote&gt;</w:instrText>
      </w:r>
      <w:r w:rsidR="00C21B87">
        <w:fldChar w:fldCharType="separate"/>
      </w:r>
      <w:r w:rsidR="00C21B87">
        <w:rPr>
          <w:noProof/>
        </w:rPr>
        <w:t>(</w:t>
      </w:r>
      <w:r w:rsidR="00C21B87" w:rsidRPr="00C21B87">
        <w:rPr>
          <w:i/>
          <w:iCs/>
          <w:noProof/>
        </w:rPr>
        <w:t>commission, 2021)</w:t>
      </w:r>
      <w:r w:rsidR="00C21B87">
        <w:fldChar w:fldCharType="end"/>
      </w:r>
      <w:r w:rsidR="00D91ADA">
        <w:t xml:space="preserve">. </w:t>
      </w:r>
    </w:p>
    <w:p w14:paraId="40B8737A" w14:textId="77777777" w:rsidR="002851BF" w:rsidRDefault="002851BF"/>
    <w:p w14:paraId="19A3979F" w14:textId="77777777" w:rsidR="00E91A1B" w:rsidRDefault="00E91A1B"/>
    <w:p w14:paraId="78FD5A07" w14:textId="77777777" w:rsidR="00E91A1B" w:rsidRDefault="00E91A1B"/>
    <w:p w14:paraId="37242338" w14:textId="77777777" w:rsidR="00E91A1B" w:rsidRDefault="00E91A1B"/>
    <w:p w14:paraId="2D10D673" w14:textId="77777777" w:rsidR="00E91A1B" w:rsidRDefault="00E91A1B"/>
    <w:p w14:paraId="638EF52D" w14:textId="77777777" w:rsidR="00E91A1B" w:rsidRDefault="00E91A1B"/>
    <w:p w14:paraId="5B20D543" w14:textId="77777777" w:rsidR="00E91A1B" w:rsidRDefault="00E91A1B"/>
    <w:p w14:paraId="10DC9E00" w14:textId="77777777" w:rsidR="00E91A1B" w:rsidRDefault="00E91A1B"/>
    <w:p w14:paraId="4F7FD8ED" w14:textId="77777777" w:rsidR="002E5A9C" w:rsidRDefault="002E5A9C"/>
    <w:p w14:paraId="20467FE7" w14:textId="77777777" w:rsidR="002E5A9C" w:rsidRDefault="002E5A9C"/>
    <w:p w14:paraId="5BD018A6" w14:textId="77777777" w:rsidR="0002777C" w:rsidRDefault="0002777C"/>
    <w:p w14:paraId="28F72846" w14:textId="09AA21C2" w:rsidR="00B420CE" w:rsidRPr="00B420CE" w:rsidRDefault="00F45265" w:rsidP="00B420CE">
      <w:pPr>
        <w:pStyle w:val="EndNoteBibliography"/>
        <w:spacing w:after="0"/>
        <w:ind w:left="720" w:hanging="720"/>
        <w:jc w:val="center"/>
        <w:rPr>
          <w:sz w:val="32"/>
          <w:szCs w:val="32"/>
          <w:u w:val="single"/>
        </w:rPr>
      </w:pPr>
      <w:r w:rsidRPr="00B420CE">
        <w:rPr>
          <w:sz w:val="32"/>
          <w:szCs w:val="32"/>
          <w:u w:val="single"/>
        </w:rPr>
        <w:t>Reference list</w:t>
      </w:r>
    </w:p>
    <w:p w14:paraId="62E73930" w14:textId="77777777" w:rsidR="00B420CE" w:rsidRDefault="00B420CE" w:rsidP="00126BB7">
      <w:pPr>
        <w:pStyle w:val="EndNoteBibliography"/>
        <w:spacing w:after="0"/>
        <w:ind w:left="720" w:hanging="720"/>
      </w:pPr>
    </w:p>
    <w:p w14:paraId="79967752" w14:textId="34686A76" w:rsidR="00310AC0" w:rsidRPr="00310AC0" w:rsidRDefault="00F45265" w:rsidP="00310AC0">
      <w:pPr>
        <w:pStyle w:val="EndNoteBibliography"/>
        <w:spacing w:after="0"/>
        <w:ind w:left="720" w:hanging="720"/>
      </w:pPr>
      <w:r>
        <w:fldChar w:fldCharType="begin"/>
      </w:r>
      <w:r>
        <w:instrText xml:space="preserve"> ADDIN EN.REFLIST </w:instrText>
      </w:r>
      <w:r>
        <w:fldChar w:fldCharType="separate"/>
      </w:r>
      <w:r w:rsidRPr="00310AC0">
        <w:t xml:space="preserve">COMMISSION, L. 2021. </w:t>
      </w:r>
      <w:r w:rsidRPr="00310AC0">
        <w:rPr>
          <w:i/>
        </w:rPr>
        <w:t xml:space="preserve">Reform offences against a person </w:t>
      </w:r>
      <w:r w:rsidRPr="00310AC0">
        <w:t xml:space="preserve">[Online]. Available: </w:t>
      </w:r>
      <w:hyperlink r:id="rId4" w:history="1">
        <w:r w:rsidRPr="00310AC0">
          <w:rPr>
            <w:rStyle w:val="Hyperlink"/>
          </w:rPr>
          <w:t>http://www.lawcom.gov.uk/app/uploads/2015/11/51950-LC-HC555_Web.pdf</w:t>
        </w:r>
      </w:hyperlink>
      <w:r w:rsidRPr="00310AC0">
        <w:t xml:space="preserve"> [Accessed 18 November 2021].</w:t>
      </w:r>
    </w:p>
    <w:p w14:paraId="534D5341" w14:textId="58507A46" w:rsidR="00310AC0" w:rsidRPr="00310AC0" w:rsidRDefault="00F45265" w:rsidP="00310AC0">
      <w:pPr>
        <w:pStyle w:val="EndNoteBibliography"/>
        <w:spacing w:after="0"/>
        <w:ind w:left="720" w:hanging="720"/>
      </w:pPr>
      <w:r w:rsidRPr="00310AC0">
        <w:t xml:space="preserve">CPS.GOV.UK. 2021. </w:t>
      </w:r>
      <w:r w:rsidRPr="00310AC0">
        <w:rPr>
          <w:i/>
        </w:rPr>
        <w:t xml:space="preserve">Homicide: Murder and Manslaughter | The Crown Prosecution Service </w:t>
      </w:r>
      <w:r w:rsidRPr="00310AC0">
        <w:t xml:space="preserve">[Online]. Available: </w:t>
      </w:r>
      <w:hyperlink r:id="rId5" w:history="1">
        <w:r w:rsidRPr="00310AC0">
          <w:rPr>
            <w:rStyle w:val="Hyperlink"/>
          </w:rPr>
          <w:t>https://www.cps.gov.uk/legal-guidance/homicide-murder-and-manslaughter</w:t>
        </w:r>
      </w:hyperlink>
      <w:r w:rsidRPr="00310AC0">
        <w:t xml:space="preserve"> [Accessed 13th October 2021].</w:t>
      </w:r>
    </w:p>
    <w:p w14:paraId="1F588DAE" w14:textId="7D47D749" w:rsidR="00310AC0" w:rsidRPr="00310AC0" w:rsidRDefault="00F45265" w:rsidP="00310AC0">
      <w:pPr>
        <w:pStyle w:val="EndNoteBibliography"/>
        <w:spacing w:after="0"/>
        <w:ind w:left="720" w:hanging="720"/>
      </w:pPr>
      <w:r w:rsidRPr="00310AC0">
        <w:t xml:space="preserve">HOMICIDE. 2021a. </w:t>
      </w:r>
      <w:r w:rsidRPr="00310AC0">
        <w:rPr>
          <w:i/>
        </w:rPr>
        <w:t xml:space="preserve">Homicide: Murder and Manslaughter </w:t>
      </w:r>
      <w:r w:rsidRPr="00310AC0">
        <w:t xml:space="preserve">[Online]. Available: </w:t>
      </w:r>
      <w:hyperlink r:id="rId6" w:history="1">
        <w:r w:rsidRPr="00310AC0">
          <w:rPr>
            <w:rStyle w:val="Hyperlink"/>
          </w:rPr>
          <w:t>https://www.cps.gov.uk/legal-guidance/homicide-murder-and-manslaughter</w:t>
        </w:r>
      </w:hyperlink>
      <w:r w:rsidRPr="00310AC0">
        <w:t xml:space="preserve"> [Accessed 25th October 2021].</w:t>
      </w:r>
    </w:p>
    <w:p w14:paraId="6E3A3B51" w14:textId="27A34629" w:rsidR="00310AC0" w:rsidRPr="00310AC0" w:rsidRDefault="00F45265" w:rsidP="00310AC0">
      <w:pPr>
        <w:pStyle w:val="EndNoteBibliography"/>
        <w:spacing w:after="0"/>
        <w:ind w:left="720" w:hanging="720"/>
      </w:pPr>
      <w:r w:rsidRPr="00310AC0">
        <w:t xml:space="preserve">HOMICIDE. 2021b. </w:t>
      </w:r>
      <w:r w:rsidRPr="00310AC0">
        <w:rPr>
          <w:i/>
        </w:rPr>
        <w:t xml:space="preserve">murder and manslaughter </w:t>
      </w:r>
      <w:r w:rsidRPr="00310AC0">
        <w:t xml:space="preserve">[Online]. Available: </w:t>
      </w:r>
      <w:hyperlink r:id="rId7" w:history="1">
        <w:r w:rsidRPr="00310AC0">
          <w:rPr>
            <w:rStyle w:val="Hyperlink"/>
          </w:rPr>
          <w:t>https://www.cps.gov.uk/legal-guidance/homicide-murder-and-manslaughter</w:t>
        </w:r>
      </w:hyperlink>
      <w:r w:rsidRPr="00310AC0">
        <w:t xml:space="preserve"> [Accessed 18 november 2021].</w:t>
      </w:r>
    </w:p>
    <w:p w14:paraId="6DC88DD9" w14:textId="25B317B9" w:rsidR="00310AC0" w:rsidRPr="00310AC0" w:rsidRDefault="00F45265" w:rsidP="00310AC0">
      <w:pPr>
        <w:pStyle w:val="EndNoteBibliography"/>
        <w:spacing w:after="0"/>
        <w:ind w:left="720" w:hanging="720"/>
      </w:pPr>
      <w:r w:rsidRPr="00310AC0">
        <w:t xml:space="preserve">LAWCOM.GOV.UK. 2021a. </w:t>
      </w:r>
      <w:r w:rsidRPr="00310AC0">
        <w:rPr>
          <w:i/>
        </w:rPr>
        <w:t xml:space="preserve">law commission overview </w:t>
      </w:r>
      <w:r w:rsidRPr="00310AC0">
        <w:t xml:space="preserve">[Online]. Available: </w:t>
      </w:r>
      <w:hyperlink r:id="rId8" w:history="1">
        <w:r w:rsidRPr="00310AC0">
          <w:rPr>
            <w:rStyle w:val="Hyperlink"/>
          </w:rPr>
          <w:t>http://www.lawcom.gov.uk/app/uploads/2015/03/cp177_Murder_Manslaughter_and_Infanticide_consultation_overview_.pdf</w:t>
        </w:r>
      </w:hyperlink>
      <w:r w:rsidRPr="00310AC0">
        <w:t xml:space="preserve"> [Accessed 14th october 2021].</w:t>
      </w:r>
    </w:p>
    <w:p w14:paraId="302A84EF" w14:textId="77777777" w:rsidR="00310AC0" w:rsidRPr="00310AC0" w:rsidRDefault="00F45265" w:rsidP="00310AC0">
      <w:pPr>
        <w:pStyle w:val="EndNoteBibliography"/>
        <w:ind w:left="720" w:hanging="720"/>
        <w:rPr>
          <w:i/>
        </w:rPr>
      </w:pPr>
      <w:r w:rsidRPr="00310AC0">
        <w:t xml:space="preserve">LAWCOM.GOV.UK. 2021b. </w:t>
      </w:r>
      <w:r w:rsidRPr="00310AC0">
        <w:rPr>
          <w:i/>
        </w:rPr>
        <w:t>law commission overview</w:t>
      </w:r>
    </w:p>
    <w:p w14:paraId="6565D46C" w14:textId="656B8B15" w:rsidR="00310AC0" w:rsidRPr="00310AC0" w:rsidRDefault="00F45265" w:rsidP="00310AC0">
      <w:pPr>
        <w:pStyle w:val="EndNoteBibliography"/>
        <w:spacing w:after="0"/>
        <w:ind w:left="720" w:hanging="720"/>
      </w:pPr>
      <w:r w:rsidRPr="00310AC0">
        <w:rPr>
          <w:i/>
        </w:rPr>
        <w:t xml:space="preserve"> </w:t>
      </w:r>
      <w:r w:rsidRPr="00310AC0">
        <w:t xml:space="preserve">[Online]. Available: </w:t>
      </w:r>
      <w:hyperlink r:id="rId9" w:history="1">
        <w:r w:rsidRPr="00310AC0">
          <w:rPr>
            <w:rStyle w:val="Hyperlink"/>
          </w:rPr>
          <w:t>http://www.lawcom.gov.uk/app/uploads/2015/03/cp177_Murder_Manslaughter_and_Infanticide_consultation_overview_.pdf</w:t>
        </w:r>
      </w:hyperlink>
      <w:r w:rsidRPr="00310AC0">
        <w:t xml:space="preserve"> [Accessed 15].</w:t>
      </w:r>
    </w:p>
    <w:p w14:paraId="3BEA923F" w14:textId="4CE9E6B9" w:rsidR="00310AC0" w:rsidRPr="00310AC0" w:rsidRDefault="00F45265" w:rsidP="00310AC0">
      <w:pPr>
        <w:pStyle w:val="EndNoteBibliography"/>
        <w:spacing w:after="0"/>
        <w:ind w:left="720" w:hanging="720"/>
      </w:pPr>
      <w:r w:rsidRPr="00310AC0">
        <w:t xml:space="preserve">LAWCOM.GOV.UK. 2021c. </w:t>
      </w:r>
      <w:r w:rsidRPr="00310AC0">
        <w:rPr>
          <w:i/>
        </w:rPr>
        <w:t xml:space="preserve">murder law commission </w:t>
      </w:r>
      <w:r w:rsidRPr="00310AC0">
        <w:t xml:space="preserve">[Online]. Available: </w:t>
      </w:r>
      <w:hyperlink r:id="rId10" w:history="1">
        <w:r w:rsidRPr="00310AC0">
          <w:rPr>
            <w:rStyle w:val="Hyperlink"/>
          </w:rPr>
          <w:t>https://www.lawcom.gov.uk/project/murder/</w:t>
        </w:r>
      </w:hyperlink>
      <w:r w:rsidRPr="00310AC0">
        <w:t xml:space="preserve"> [Accessed 14th october 2021].</w:t>
      </w:r>
    </w:p>
    <w:p w14:paraId="1CB55BA8" w14:textId="0653CCF2" w:rsidR="00310AC0" w:rsidRPr="00310AC0" w:rsidRDefault="00F45265" w:rsidP="00310AC0">
      <w:pPr>
        <w:pStyle w:val="EndNoteBibliography"/>
        <w:spacing w:after="0"/>
        <w:ind w:left="720" w:hanging="720"/>
      </w:pPr>
      <w:r w:rsidRPr="00310AC0">
        <w:t xml:space="preserve">PARLIMENT.UK 2021. Homicide Act, 1957 (Hansard, 19 May 1960). </w:t>
      </w:r>
      <w:hyperlink r:id="rId11" w:history="1">
        <w:r w:rsidRPr="00310AC0">
          <w:rPr>
            <w:rStyle w:val="Hyperlink"/>
            <w:i/>
          </w:rPr>
          <w:t>https://api.parliament.uk/historic-hansard/commons/1960/may/19/homicide-act-1957</w:t>
        </w:r>
      </w:hyperlink>
      <w:r w:rsidRPr="00310AC0">
        <w:t>.</w:t>
      </w:r>
    </w:p>
    <w:p w14:paraId="6E8A53CC" w14:textId="5AEE542E" w:rsidR="00310AC0" w:rsidRPr="00310AC0" w:rsidRDefault="00F45265" w:rsidP="00310AC0">
      <w:pPr>
        <w:pStyle w:val="EndNoteBibliography"/>
        <w:spacing w:after="0"/>
        <w:ind w:left="720" w:hanging="720"/>
      </w:pPr>
      <w:r w:rsidRPr="00310AC0">
        <w:t xml:space="preserve">REFORM, L. 2021. </w:t>
      </w:r>
      <w:r w:rsidRPr="00310AC0">
        <w:rPr>
          <w:i/>
        </w:rPr>
        <w:t xml:space="preserve">Homicide Law Reform </w:t>
      </w:r>
      <w:r w:rsidRPr="00310AC0">
        <w:t xml:space="preserve">[Online]. Available: </w:t>
      </w:r>
      <w:hyperlink r:id="rId12" w:history="1">
        <w:r w:rsidRPr="00310AC0">
          <w:rPr>
            <w:rStyle w:val="Hyperlink"/>
          </w:rPr>
          <w:t>https://justice.org.uk/homicide-law-reform/</w:t>
        </w:r>
      </w:hyperlink>
      <w:r w:rsidRPr="00310AC0">
        <w:t xml:space="preserve"> [Accessed].</w:t>
      </w:r>
    </w:p>
    <w:p w14:paraId="3B18018C" w14:textId="14D36957" w:rsidR="00310AC0" w:rsidRPr="00310AC0" w:rsidRDefault="00F45265" w:rsidP="00310AC0">
      <w:pPr>
        <w:pStyle w:val="EndNoteBibliography"/>
        <w:spacing w:after="0"/>
        <w:ind w:left="720" w:hanging="720"/>
      </w:pPr>
      <w:r w:rsidRPr="00310AC0">
        <w:t xml:space="preserve">SENTCE. 2021. </w:t>
      </w:r>
      <w:r w:rsidRPr="00310AC0">
        <w:rPr>
          <w:i/>
        </w:rPr>
        <w:t xml:space="preserve">mandatory life sentce </w:t>
      </w:r>
      <w:r w:rsidRPr="00310AC0">
        <w:t xml:space="preserve">[Online]. Available: </w:t>
      </w:r>
      <w:hyperlink r:id="rId13" w:anchor=":~:text=People%20who%20are%20found%20guilty,a%20'mandatory%20life%20sentence'.&amp;text=If%20the%20circumstances%20are%20serious,cannot%20be%20considered%20for%20parole" w:history="1">
        <w:r w:rsidRPr="00310AC0">
          <w:rPr>
            <w:rStyle w:val="Hyperlink"/>
          </w:rPr>
          <w:t>https://fullfact.org/crime/how-long-do-murderers-serve-prison/#:~:text=People%20who%20are%20found%20guilty,a%20'mandatory%20life%20sentence'.&amp;text=If%20the%20circumstances%20are%20serious,cannot%20be%20considered%20for%20parole</w:t>
        </w:r>
      </w:hyperlink>
      <w:r w:rsidRPr="00310AC0">
        <w:t>. [Accessed 1st november 2021].</w:t>
      </w:r>
    </w:p>
    <w:p w14:paraId="5812621F" w14:textId="0E952B89" w:rsidR="00310AC0" w:rsidRPr="00310AC0" w:rsidRDefault="00F45265" w:rsidP="00310AC0">
      <w:pPr>
        <w:pStyle w:val="EndNoteBibliography"/>
        <w:ind w:left="720" w:hanging="720"/>
      </w:pPr>
      <w:r w:rsidRPr="00310AC0">
        <w:t xml:space="preserve">SENTENCINGS, T. O. 2021. </w:t>
      </w:r>
      <w:r w:rsidRPr="00310AC0">
        <w:rPr>
          <w:i/>
        </w:rPr>
        <w:t xml:space="preserve">life sentencing </w:t>
      </w:r>
      <w:r w:rsidRPr="00310AC0">
        <w:t xml:space="preserve">[Online]. Available: </w:t>
      </w:r>
      <w:hyperlink r:id="rId14" w:history="1">
        <w:r w:rsidRPr="00310AC0">
          <w:rPr>
            <w:rStyle w:val="Hyperlink"/>
          </w:rPr>
          <w:t>https://www.sentencingcouncil.org.uk/sentencing-and-the-council/types-of-sentence/life-sentences/</w:t>
        </w:r>
      </w:hyperlink>
      <w:r w:rsidRPr="00310AC0">
        <w:t xml:space="preserve"> [Accessed 1st November 2021].</w:t>
      </w:r>
    </w:p>
    <w:p w14:paraId="2AADB690" w14:textId="2300282F" w:rsidR="000A3DD9" w:rsidRDefault="00F45265">
      <w:r>
        <w:fldChar w:fldCharType="end"/>
      </w:r>
      <w:r w:rsidR="00A13EA0">
        <w:t>L</w:t>
      </w:r>
      <w:r w:rsidR="006747FD">
        <w:t>aw</w:t>
      </w:r>
      <w:r w:rsidR="00A13EA0">
        <w:t>com.gov.uk</w:t>
      </w:r>
      <w:r w:rsidR="00432EBF">
        <w:t xml:space="preserve">. partial defences to murder </w:t>
      </w:r>
      <w:hyperlink r:id="rId15" w:history="1">
        <w:r w:rsidR="00FD2719" w:rsidRPr="00327A2A">
          <w:rPr>
            <w:rStyle w:val="Hyperlink"/>
          </w:rPr>
          <w:t>http://www.lawcom.gov.uk/app/uploads/2015/03/lc290_Partial_Defences_to_Murder.pdf</w:t>
        </w:r>
      </w:hyperlink>
    </w:p>
    <w:p w14:paraId="77FC4013" w14:textId="630F5584" w:rsidR="00FD2719" w:rsidRDefault="00FD2719"/>
    <w:sectPr w:rsidR="00FD2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z2dfdfwnwv0x2e2dzmvddw520zaa2zvrwta&quot;&gt;My EndNote Library&lt;record-ids&gt;&lt;item&gt;2&lt;/item&gt;&lt;item&gt;3&lt;/item&gt;&lt;item&gt;4&lt;/item&gt;&lt;item&gt;8&lt;/item&gt;&lt;item&gt;9&lt;/item&gt;&lt;item&gt;10&lt;/item&gt;&lt;/record-ids&gt;&lt;/item&gt;&lt;/Libraries&gt;"/>
  </w:docVars>
  <w:rsids>
    <w:rsidRoot w:val="00776BC5"/>
    <w:rsid w:val="00013399"/>
    <w:rsid w:val="0002053B"/>
    <w:rsid w:val="00023BA1"/>
    <w:rsid w:val="0002777C"/>
    <w:rsid w:val="00032B54"/>
    <w:rsid w:val="0003419A"/>
    <w:rsid w:val="00045ADC"/>
    <w:rsid w:val="00046097"/>
    <w:rsid w:val="000552DA"/>
    <w:rsid w:val="00072A50"/>
    <w:rsid w:val="00080AA5"/>
    <w:rsid w:val="0008108C"/>
    <w:rsid w:val="000833AD"/>
    <w:rsid w:val="00092FA8"/>
    <w:rsid w:val="000A3DD9"/>
    <w:rsid w:val="000B16ED"/>
    <w:rsid w:val="000B2863"/>
    <w:rsid w:val="000B3D7C"/>
    <w:rsid w:val="000B4CFD"/>
    <w:rsid w:val="000B528E"/>
    <w:rsid w:val="000B620D"/>
    <w:rsid w:val="000B7DE9"/>
    <w:rsid w:val="000C7CBF"/>
    <w:rsid w:val="000D534B"/>
    <w:rsid w:val="000E0A9B"/>
    <w:rsid w:val="000E0D43"/>
    <w:rsid w:val="000E1E7B"/>
    <w:rsid w:val="000E68A8"/>
    <w:rsid w:val="000E7F14"/>
    <w:rsid w:val="000F260E"/>
    <w:rsid w:val="0010030E"/>
    <w:rsid w:val="00101DFA"/>
    <w:rsid w:val="00111010"/>
    <w:rsid w:val="00112761"/>
    <w:rsid w:val="00116BFB"/>
    <w:rsid w:val="00120BE3"/>
    <w:rsid w:val="00126BB7"/>
    <w:rsid w:val="00132A3F"/>
    <w:rsid w:val="00133DCF"/>
    <w:rsid w:val="00140C75"/>
    <w:rsid w:val="00152171"/>
    <w:rsid w:val="00161134"/>
    <w:rsid w:val="001633C4"/>
    <w:rsid w:val="00176745"/>
    <w:rsid w:val="00186774"/>
    <w:rsid w:val="00187F3E"/>
    <w:rsid w:val="001910B5"/>
    <w:rsid w:val="00196448"/>
    <w:rsid w:val="001B1DEC"/>
    <w:rsid w:val="001B6671"/>
    <w:rsid w:val="001C13F5"/>
    <w:rsid w:val="001C4664"/>
    <w:rsid w:val="001C4969"/>
    <w:rsid w:val="001E587F"/>
    <w:rsid w:val="001F4E29"/>
    <w:rsid w:val="001F4F5D"/>
    <w:rsid w:val="001F7582"/>
    <w:rsid w:val="0020194A"/>
    <w:rsid w:val="00235052"/>
    <w:rsid w:val="00236531"/>
    <w:rsid w:val="002405FE"/>
    <w:rsid w:val="002409D0"/>
    <w:rsid w:val="002454FB"/>
    <w:rsid w:val="002470BC"/>
    <w:rsid w:val="002477B2"/>
    <w:rsid w:val="00247893"/>
    <w:rsid w:val="002500E6"/>
    <w:rsid w:val="00267EE2"/>
    <w:rsid w:val="00270237"/>
    <w:rsid w:val="0027462B"/>
    <w:rsid w:val="002761F1"/>
    <w:rsid w:val="002851BF"/>
    <w:rsid w:val="0029083A"/>
    <w:rsid w:val="00291BD3"/>
    <w:rsid w:val="00296ACC"/>
    <w:rsid w:val="002A5DC8"/>
    <w:rsid w:val="002B1DDD"/>
    <w:rsid w:val="002C2E80"/>
    <w:rsid w:val="002D04A8"/>
    <w:rsid w:val="002D0A06"/>
    <w:rsid w:val="002D2642"/>
    <w:rsid w:val="002D45D3"/>
    <w:rsid w:val="002D46D7"/>
    <w:rsid w:val="002E311C"/>
    <w:rsid w:val="002E3F9A"/>
    <w:rsid w:val="002E5A9C"/>
    <w:rsid w:val="002F427F"/>
    <w:rsid w:val="002F6CA1"/>
    <w:rsid w:val="002F6CF6"/>
    <w:rsid w:val="00303424"/>
    <w:rsid w:val="00304F2F"/>
    <w:rsid w:val="00310AC0"/>
    <w:rsid w:val="00314EA5"/>
    <w:rsid w:val="00321367"/>
    <w:rsid w:val="003266CC"/>
    <w:rsid w:val="00327A2A"/>
    <w:rsid w:val="003311AE"/>
    <w:rsid w:val="003323BC"/>
    <w:rsid w:val="00341291"/>
    <w:rsid w:val="0035766F"/>
    <w:rsid w:val="0036257F"/>
    <w:rsid w:val="00365842"/>
    <w:rsid w:val="003671D1"/>
    <w:rsid w:val="003677B3"/>
    <w:rsid w:val="003716A3"/>
    <w:rsid w:val="00373960"/>
    <w:rsid w:val="003824BC"/>
    <w:rsid w:val="00382B44"/>
    <w:rsid w:val="00393CD0"/>
    <w:rsid w:val="00394A69"/>
    <w:rsid w:val="00395E83"/>
    <w:rsid w:val="003A5849"/>
    <w:rsid w:val="003A7624"/>
    <w:rsid w:val="003B1826"/>
    <w:rsid w:val="003B1E92"/>
    <w:rsid w:val="003D3243"/>
    <w:rsid w:val="003E7983"/>
    <w:rsid w:val="003F1E56"/>
    <w:rsid w:val="003F7C2C"/>
    <w:rsid w:val="003F7EE1"/>
    <w:rsid w:val="00400EDE"/>
    <w:rsid w:val="00402DF4"/>
    <w:rsid w:val="004033CF"/>
    <w:rsid w:val="004111BA"/>
    <w:rsid w:val="00412902"/>
    <w:rsid w:val="00412DB7"/>
    <w:rsid w:val="004132A9"/>
    <w:rsid w:val="00421FE6"/>
    <w:rsid w:val="00423250"/>
    <w:rsid w:val="00424064"/>
    <w:rsid w:val="0042532B"/>
    <w:rsid w:val="00430A28"/>
    <w:rsid w:val="004312AA"/>
    <w:rsid w:val="00431814"/>
    <w:rsid w:val="00431F78"/>
    <w:rsid w:val="00432EBF"/>
    <w:rsid w:val="0043478E"/>
    <w:rsid w:val="0043484D"/>
    <w:rsid w:val="004353E8"/>
    <w:rsid w:val="004368A5"/>
    <w:rsid w:val="00437766"/>
    <w:rsid w:val="0044728D"/>
    <w:rsid w:val="004601CB"/>
    <w:rsid w:val="00463A50"/>
    <w:rsid w:val="0047203A"/>
    <w:rsid w:val="00472B84"/>
    <w:rsid w:val="0049196B"/>
    <w:rsid w:val="00491C84"/>
    <w:rsid w:val="00495672"/>
    <w:rsid w:val="004A4917"/>
    <w:rsid w:val="004A76B2"/>
    <w:rsid w:val="004B0D36"/>
    <w:rsid w:val="004B5944"/>
    <w:rsid w:val="004C31A5"/>
    <w:rsid w:val="004C44B9"/>
    <w:rsid w:val="004C5489"/>
    <w:rsid w:val="004C60D0"/>
    <w:rsid w:val="004F3B7D"/>
    <w:rsid w:val="004F42D1"/>
    <w:rsid w:val="004F78EF"/>
    <w:rsid w:val="0051518F"/>
    <w:rsid w:val="005257C5"/>
    <w:rsid w:val="00525BAB"/>
    <w:rsid w:val="00530C4B"/>
    <w:rsid w:val="005451A0"/>
    <w:rsid w:val="00547655"/>
    <w:rsid w:val="00552771"/>
    <w:rsid w:val="00553320"/>
    <w:rsid w:val="0056009F"/>
    <w:rsid w:val="005627B2"/>
    <w:rsid w:val="00571346"/>
    <w:rsid w:val="00572A2B"/>
    <w:rsid w:val="00573861"/>
    <w:rsid w:val="00574EEC"/>
    <w:rsid w:val="005804A8"/>
    <w:rsid w:val="00586CFB"/>
    <w:rsid w:val="00594E3D"/>
    <w:rsid w:val="00596C50"/>
    <w:rsid w:val="005A34E2"/>
    <w:rsid w:val="005B04E5"/>
    <w:rsid w:val="005B1B70"/>
    <w:rsid w:val="005B64C8"/>
    <w:rsid w:val="005C19D7"/>
    <w:rsid w:val="005D2BFB"/>
    <w:rsid w:val="005D7B82"/>
    <w:rsid w:val="005E552C"/>
    <w:rsid w:val="005F392E"/>
    <w:rsid w:val="005F3B7D"/>
    <w:rsid w:val="00601B7C"/>
    <w:rsid w:val="00602061"/>
    <w:rsid w:val="00603DD6"/>
    <w:rsid w:val="006143D6"/>
    <w:rsid w:val="00634F20"/>
    <w:rsid w:val="00637508"/>
    <w:rsid w:val="0064240A"/>
    <w:rsid w:val="00643DAA"/>
    <w:rsid w:val="00646148"/>
    <w:rsid w:val="00647ED6"/>
    <w:rsid w:val="00651F3D"/>
    <w:rsid w:val="00654ED0"/>
    <w:rsid w:val="006625B7"/>
    <w:rsid w:val="00664590"/>
    <w:rsid w:val="006656DF"/>
    <w:rsid w:val="00672F53"/>
    <w:rsid w:val="006747FD"/>
    <w:rsid w:val="00674F82"/>
    <w:rsid w:val="00677F98"/>
    <w:rsid w:val="00683671"/>
    <w:rsid w:val="00683EBD"/>
    <w:rsid w:val="0068493C"/>
    <w:rsid w:val="0068686D"/>
    <w:rsid w:val="006949FF"/>
    <w:rsid w:val="006A14F6"/>
    <w:rsid w:val="006A1E12"/>
    <w:rsid w:val="006A3D17"/>
    <w:rsid w:val="006A5CAB"/>
    <w:rsid w:val="006B2403"/>
    <w:rsid w:val="006C1DCC"/>
    <w:rsid w:val="006C7927"/>
    <w:rsid w:val="006D094E"/>
    <w:rsid w:val="006D2B7F"/>
    <w:rsid w:val="006D3E30"/>
    <w:rsid w:val="006F233E"/>
    <w:rsid w:val="006F67D0"/>
    <w:rsid w:val="006F760E"/>
    <w:rsid w:val="00700B63"/>
    <w:rsid w:val="00706245"/>
    <w:rsid w:val="007071CD"/>
    <w:rsid w:val="007145F6"/>
    <w:rsid w:val="00717008"/>
    <w:rsid w:val="00717E35"/>
    <w:rsid w:val="00721734"/>
    <w:rsid w:val="00722FF1"/>
    <w:rsid w:val="00724ECA"/>
    <w:rsid w:val="007269B1"/>
    <w:rsid w:val="007319DE"/>
    <w:rsid w:val="00736727"/>
    <w:rsid w:val="0073744F"/>
    <w:rsid w:val="00737FC4"/>
    <w:rsid w:val="0074182E"/>
    <w:rsid w:val="0074198D"/>
    <w:rsid w:val="00741A0B"/>
    <w:rsid w:val="00746CB7"/>
    <w:rsid w:val="0074793E"/>
    <w:rsid w:val="00761548"/>
    <w:rsid w:val="00764225"/>
    <w:rsid w:val="0076462C"/>
    <w:rsid w:val="007705A6"/>
    <w:rsid w:val="00776BC5"/>
    <w:rsid w:val="00783C16"/>
    <w:rsid w:val="00792D13"/>
    <w:rsid w:val="007B226E"/>
    <w:rsid w:val="007B2A75"/>
    <w:rsid w:val="007B2E4E"/>
    <w:rsid w:val="007C798B"/>
    <w:rsid w:val="007C7F3A"/>
    <w:rsid w:val="007D5AE3"/>
    <w:rsid w:val="007E0C40"/>
    <w:rsid w:val="007E14CE"/>
    <w:rsid w:val="007F1769"/>
    <w:rsid w:val="00806329"/>
    <w:rsid w:val="008063B7"/>
    <w:rsid w:val="008210CA"/>
    <w:rsid w:val="008322C0"/>
    <w:rsid w:val="00836D31"/>
    <w:rsid w:val="00836FF2"/>
    <w:rsid w:val="0083788E"/>
    <w:rsid w:val="00857180"/>
    <w:rsid w:val="00861380"/>
    <w:rsid w:val="008615DA"/>
    <w:rsid w:val="00882D46"/>
    <w:rsid w:val="008846DC"/>
    <w:rsid w:val="00885A3D"/>
    <w:rsid w:val="00887128"/>
    <w:rsid w:val="00890138"/>
    <w:rsid w:val="008A3758"/>
    <w:rsid w:val="008A3764"/>
    <w:rsid w:val="008A65A7"/>
    <w:rsid w:val="008A68F3"/>
    <w:rsid w:val="008A6981"/>
    <w:rsid w:val="008B2C84"/>
    <w:rsid w:val="008B6A68"/>
    <w:rsid w:val="008B7514"/>
    <w:rsid w:val="008D05AB"/>
    <w:rsid w:val="008D09D1"/>
    <w:rsid w:val="008D1036"/>
    <w:rsid w:val="008D1FCC"/>
    <w:rsid w:val="008D2060"/>
    <w:rsid w:val="008F6F9A"/>
    <w:rsid w:val="00901F44"/>
    <w:rsid w:val="00903DB1"/>
    <w:rsid w:val="0091223D"/>
    <w:rsid w:val="009124A1"/>
    <w:rsid w:val="0091367B"/>
    <w:rsid w:val="009266FC"/>
    <w:rsid w:val="009279E6"/>
    <w:rsid w:val="00930259"/>
    <w:rsid w:val="009408F6"/>
    <w:rsid w:val="0094495C"/>
    <w:rsid w:val="00947DF7"/>
    <w:rsid w:val="009519FD"/>
    <w:rsid w:val="0095274C"/>
    <w:rsid w:val="009656E0"/>
    <w:rsid w:val="00975C53"/>
    <w:rsid w:val="00982E4E"/>
    <w:rsid w:val="009845E5"/>
    <w:rsid w:val="009854BF"/>
    <w:rsid w:val="00991B35"/>
    <w:rsid w:val="00995060"/>
    <w:rsid w:val="009A3179"/>
    <w:rsid w:val="009A4135"/>
    <w:rsid w:val="009A6BB8"/>
    <w:rsid w:val="009B5137"/>
    <w:rsid w:val="009C46B2"/>
    <w:rsid w:val="009E09AE"/>
    <w:rsid w:val="00A0146E"/>
    <w:rsid w:val="00A049BB"/>
    <w:rsid w:val="00A13EA0"/>
    <w:rsid w:val="00A14FC1"/>
    <w:rsid w:val="00A26463"/>
    <w:rsid w:val="00A30EB9"/>
    <w:rsid w:val="00A37AB0"/>
    <w:rsid w:val="00A402B1"/>
    <w:rsid w:val="00A44950"/>
    <w:rsid w:val="00A47074"/>
    <w:rsid w:val="00A55AED"/>
    <w:rsid w:val="00A56796"/>
    <w:rsid w:val="00A70F18"/>
    <w:rsid w:val="00A76C0B"/>
    <w:rsid w:val="00A80E2A"/>
    <w:rsid w:val="00A81D3E"/>
    <w:rsid w:val="00A83168"/>
    <w:rsid w:val="00A90898"/>
    <w:rsid w:val="00AA0398"/>
    <w:rsid w:val="00AC3AE7"/>
    <w:rsid w:val="00AC5121"/>
    <w:rsid w:val="00AC6A1C"/>
    <w:rsid w:val="00AC76E7"/>
    <w:rsid w:val="00AE232F"/>
    <w:rsid w:val="00AE7F96"/>
    <w:rsid w:val="00AF61DE"/>
    <w:rsid w:val="00B00FEE"/>
    <w:rsid w:val="00B04DF2"/>
    <w:rsid w:val="00B10049"/>
    <w:rsid w:val="00B10F71"/>
    <w:rsid w:val="00B12D4C"/>
    <w:rsid w:val="00B25D35"/>
    <w:rsid w:val="00B25D81"/>
    <w:rsid w:val="00B263EC"/>
    <w:rsid w:val="00B37262"/>
    <w:rsid w:val="00B41DE8"/>
    <w:rsid w:val="00B420CE"/>
    <w:rsid w:val="00B52FBF"/>
    <w:rsid w:val="00B56356"/>
    <w:rsid w:val="00B72D36"/>
    <w:rsid w:val="00B73BF4"/>
    <w:rsid w:val="00B767BA"/>
    <w:rsid w:val="00B77063"/>
    <w:rsid w:val="00B81C9D"/>
    <w:rsid w:val="00B827FB"/>
    <w:rsid w:val="00B82D86"/>
    <w:rsid w:val="00B83109"/>
    <w:rsid w:val="00B83B81"/>
    <w:rsid w:val="00B9700F"/>
    <w:rsid w:val="00BB6453"/>
    <w:rsid w:val="00BD04B6"/>
    <w:rsid w:val="00BD4E64"/>
    <w:rsid w:val="00BE2306"/>
    <w:rsid w:val="00BE4A64"/>
    <w:rsid w:val="00BE7B01"/>
    <w:rsid w:val="00BF3FF8"/>
    <w:rsid w:val="00C01861"/>
    <w:rsid w:val="00C02225"/>
    <w:rsid w:val="00C06B0B"/>
    <w:rsid w:val="00C205A8"/>
    <w:rsid w:val="00C21B87"/>
    <w:rsid w:val="00C274CD"/>
    <w:rsid w:val="00C3185B"/>
    <w:rsid w:val="00C32693"/>
    <w:rsid w:val="00C32FB9"/>
    <w:rsid w:val="00C373D2"/>
    <w:rsid w:val="00C37766"/>
    <w:rsid w:val="00C4279A"/>
    <w:rsid w:val="00C4324B"/>
    <w:rsid w:val="00C450E7"/>
    <w:rsid w:val="00C4748E"/>
    <w:rsid w:val="00C475E8"/>
    <w:rsid w:val="00C60ED6"/>
    <w:rsid w:val="00C65D42"/>
    <w:rsid w:val="00C668E9"/>
    <w:rsid w:val="00C73260"/>
    <w:rsid w:val="00C833E6"/>
    <w:rsid w:val="00C83BFB"/>
    <w:rsid w:val="00C845C0"/>
    <w:rsid w:val="00C9452A"/>
    <w:rsid w:val="00C949BB"/>
    <w:rsid w:val="00CA559C"/>
    <w:rsid w:val="00CA5AC6"/>
    <w:rsid w:val="00CC414F"/>
    <w:rsid w:val="00CC696D"/>
    <w:rsid w:val="00CC6C27"/>
    <w:rsid w:val="00CD2323"/>
    <w:rsid w:val="00CD54EC"/>
    <w:rsid w:val="00CD67BE"/>
    <w:rsid w:val="00CE3710"/>
    <w:rsid w:val="00CF4F32"/>
    <w:rsid w:val="00CF59CA"/>
    <w:rsid w:val="00CF73E7"/>
    <w:rsid w:val="00D01EA2"/>
    <w:rsid w:val="00D01F02"/>
    <w:rsid w:val="00D10289"/>
    <w:rsid w:val="00D20B6A"/>
    <w:rsid w:val="00D21E33"/>
    <w:rsid w:val="00D30566"/>
    <w:rsid w:val="00D36CDF"/>
    <w:rsid w:val="00D36F4D"/>
    <w:rsid w:val="00D3782C"/>
    <w:rsid w:val="00D60BF7"/>
    <w:rsid w:val="00D62ABE"/>
    <w:rsid w:val="00D6780B"/>
    <w:rsid w:val="00D67F0B"/>
    <w:rsid w:val="00D7140E"/>
    <w:rsid w:val="00D8382A"/>
    <w:rsid w:val="00D91ADA"/>
    <w:rsid w:val="00DB327F"/>
    <w:rsid w:val="00DB4BCE"/>
    <w:rsid w:val="00DB51A5"/>
    <w:rsid w:val="00DC00A8"/>
    <w:rsid w:val="00DC0A00"/>
    <w:rsid w:val="00DC41F7"/>
    <w:rsid w:val="00DD3249"/>
    <w:rsid w:val="00DD3D86"/>
    <w:rsid w:val="00DD65AA"/>
    <w:rsid w:val="00DD7BCB"/>
    <w:rsid w:val="00DE01DF"/>
    <w:rsid w:val="00DE111C"/>
    <w:rsid w:val="00DE21FB"/>
    <w:rsid w:val="00DE28EB"/>
    <w:rsid w:val="00DE466E"/>
    <w:rsid w:val="00DE681A"/>
    <w:rsid w:val="00DE6FA3"/>
    <w:rsid w:val="00DE746C"/>
    <w:rsid w:val="00DF133C"/>
    <w:rsid w:val="00DF236F"/>
    <w:rsid w:val="00DF6A59"/>
    <w:rsid w:val="00E008D9"/>
    <w:rsid w:val="00E03D85"/>
    <w:rsid w:val="00E06E42"/>
    <w:rsid w:val="00E136D1"/>
    <w:rsid w:val="00E1558A"/>
    <w:rsid w:val="00E16278"/>
    <w:rsid w:val="00E24D2A"/>
    <w:rsid w:val="00E323D7"/>
    <w:rsid w:val="00E40A33"/>
    <w:rsid w:val="00E40F5A"/>
    <w:rsid w:val="00E55819"/>
    <w:rsid w:val="00E6211E"/>
    <w:rsid w:val="00E643C5"/>
    <w:rsid w:val="00E81136"/>
    <w:rsid w:val="00E82C36"/>
    <w:rsid w:val="00E84B8D"/>
    <w:rsid w:val="00E91A1B"/>
    <w:rsid w:val="00E97300"/>
    <w:rsid w:val="00EA6382"/>
    <w:rsid w:val="00EC431C"/>
    <w:rsid w:val="00EC47B8"/>
    <w:rsid w:val="00EC4D6F"/>
    <w:rsid w:val="00EC7D2D"/>
    <w:rsid w:val="00ED11D1"/>
    <w:rsid w:val="00ED50CA"/>
    <w:rsid w:val="00ED60AD"/>
    <w:rsid w:val="00EE2AB5"/>
    <w:rsid w:val="00EE39A0"/>
    <w:rsid w:val="00EF17AC"/>
    <w:rsid w:val="00EF1CFE"/>
    <w:rsid w:val="00EF6206"/>
    <w:rsid w:val="00EF763F"/>
    <w:rsid w:val="00F14605"/>
    <w:rsid w:val="00F14827"/>
    <w:rsid w:val="00F20CDB"/>
    <w:rsid w:val="00F21B03"/>
    <w:rsid w:val="00F27141"/>
    <w:rsid w:val="00F274C3"/>
    <w:rsid w:val="00F42097"/>
    <w:rsid w:val="00F42836"/>
    <w:rsid w:val="00F45265"/>
    <w:rsid w:val="00F54634"/>
    <w:rsid w:val="00F56B77"/>
    <w:rsid w:val="00F657EA"/>
    <w:rsid w:val="00F77396"/>
    <w:rsid w:val="00F86868"/>
    <w:rsid w:val="00F908C3"/>
    <w:rsid w:val="00F93F9F"/>
    <w:rsid w:val="00F97058"/>
    <w:rsid w:val="00F973C5"/>
    <w:rsid w:val="00F97502"/>
    <w:rsid w:val="00FA736B"/>
    <w:rsid w:val="00FB3562"/>
    <w:rsid w:val="00FC033A"/>
    <w:rsid w:val="00FC2A94"/>
    <w:rsid w:val="00FC588A"/>
    <w:rsid w:val="00FD0D16"/>
    <w:rsid w:val="00FD2719"/>
    <w:rsid w:val="00FE6221"/>
    <w:rsid w:val="00FF045E"/>
    <w:rsid w:val="00FF0F3D"/>
    <w:rsid w:val="00FF0FE6"/>
    <w:rsid w:val="00FF3484"/>
    <w:rsid w:val="00FF4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E433C"/>
  <w15:chartTrackingRefBased/>
  <w15:docId w15:val="{0B24FA47-A592-49E0-90C2-53EE77856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6796"/>
    <w:rPr>
      <w:color w:val="0563C1" w:themeColor="hyperlink"/>
      <w:u w:val="single"/>
    </w:rPr>
  </w:style>
  <w:style w:type="character" w:customStyle="1" w:styleId="UnresolvedMention1">
    <w:name w:val="Unresolved Mention1"/>
    <w:basedOn w:val="DefaultParagraphFont"/>
    <w:uiPriority w:val="99"/>
    <w:semiHidden/>
    <w:unhideWhenUsed/>
    <w:rsid w:val="00A56796"/>
    <w:rPr>
      <w:color w:val="605E5C"/>
      <w:shd w:val="clear" w:color="auto" w:fill="E1DFDD"/>
    </w:rPr>
  </w:style>
  <w:style w:type="paragraph" w:customStyle="1" w:styleId="EndNoteBibliographyTitle">
    <w:name w:val="EndNote Bibliography Title"/>
    <w:basedOn w:val="Normal"/>
    <w:link w:val="EndNoteBibliographyTitleChar"/>
    <w:rsid w:val="00101DFA"/>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101DFA"/>
    <w:rPr>
      <w:rFonts w:ascii="Calibri" w:hAnsi="Calibri" w:cs="Calibri"/>
      <w:noProof/>
      <w:lang w:val="en-US"/>
    </w:rPr>
  </w:style>
  <w:style w:type="paragraph" w:customStyle="1" w:styleId="EndNoteBibliography">
    <w:name w:val="EndNote Bibliography"/>
    <w:basedOn w:val="Normal"/>
    <w:link w:val="EndNoteBibliographyChar"/>
    <w:rsid w:val="00101DFA"/>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101DFA"/>
    <w:rPr>
      <w:rFonts w:ascii="Calibri" w:hAnsi="Calibri" w:cs="Calibri"/>
      <w:noProof/>
      <w:lang w:val="en-US"/>
    </w:rPr>
  </w:style>
  <w:style w:type="character" w:styleId="Emphasis">
    <w:name w:val="Emphasis"/>
    <w:basedOn w:val="DefaultParagraphFont"/>
    <w:uiPriority w:val="20"/>
    <w:qFormat/>
    <w:rsid w:val="00683EBD"/>
    <w:rPr>
      <w:i/>
      <w:iCs/>
    </w:rPr>
  </w:style>
  <w:style w:type="paragraph" w:styleId="Header">
    <w:name w:val="header"/>
    <w:basedOn w:val="Normal"/>
    <w:link w:val="HeaderChar"/>
    <w:uiPriority w:val="99"/>
    <w:unhideWhenUsed/>
    <w:rsid w:val="00027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77C"/>
  </w:style>
  <w:style w:type="paragraph" w:styleId="Footer">
    <w:name w:val="footer"/>
    <w:basedOn w:val="Normal"/>
    <w:link w:val="FooterChar"/>
    <w:uiPriority w:val="99"/>
    <w:unhideWhenUsed/>
    <w:rsid w:val="00027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com.gov.uk/app/uploads/2015/03/cp177_Murder_Manslaughter_and_Infanticide_consultation_overview_.pdf" TargetMode="External"/><Relationship Id="rId13" Type="http://schemas.openxmlformats.org/officeDocument/2006/relationships/hyperlink" Target="https://fullfact.org/crime/how-long-do-murderers-serve-prison/" TargetMode="External"/><Relationship Id="rId3" Type="http://schemas.openxmlformats.org/officeDocument/2006/relationships/webSettings" Target="webSettings.xml"/><Relationship Id="rId7" Type="http://schemas.openxmlformats.org/officeDocument/2006/relationships/hyperlink" Target="https://www.cps.gov.uk/legal-guidance/homicide-murder-and-manslaughter" TargetMode="External"/><Relationship Id="rId12" Type="http://schemas.openxmlformats.org/officeDocument/2006/relationships/hyperlink" Target="https://justice.org.uk/homicide-law-refor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ps.gov.uk/legal-guidance/homicide-murder-and-manslaughter" TargetMode="External"/><Relationship Id="rId11" Type="http://schemas.openxmlformats.org/officeDocument/2006/relationships/hyperlink" Target="https://api.parliament.uk/historic-hansard/commons/1960/may/19/homicide-act-1957" TargetMode="External"/><Relationship Id="rId5" Type="http://schemas.openxmlformats.org/officeDocument/2006/relationships/hyperlink" Target="https://www.cps.gov.uk/legal-guidance/homicide-murder-and-manslaughter" TargetMode="External"/><Relationship Id="rId15" Type="http://schemas.openxmlformats.org/officeDocument/2006/relationships/hyperlink" Target="http://www.lawcom.gov.uk/app/uploads/2015/03/lc290_Partial_Defences_to_Murder.pdf" TargetMode="External"/><Relationship Id="rId10" Type="http://schemas.openxmlformats.org/officeDocument/2006/relationships/hyperlink" Target="https://www.lawcom.gov.uk/project/murder/" TargetMode="External"/><Relationship Id="rId4" Type="http://schemas.openxmlformats.org/officeDocument/2006/relationships/hyperlink" Target="http://www.lawcom.gov.uk/app/uploads/2015/11/51950-LC-HC555_Web.pdf" TargetMode="External"/><Relationship Id="rId9" Type="http://schemas.openxmlformats.org/officeDocument/2006/relationships/hyperlink" Target="http://www.lawcom.gov.uk/app/uploads/2015/03/cp177_Murder_Manslaughter_and_Infanticide_consultation_overview_.pdf" TargetMode="External"/><Relationship Id="rId14" Type="http://schemas.openxmlformats.org/officeDocument/2006/relationships/hyperlink" Target="https://www.sentencingcouncil.org.uk/sentencing-and-the-council/types-of-sentence/life-sent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4509</Words>
  <Characters>25706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nilufa</dc:creator>
  <cp:lastModifiedBy>nilufa begum</cp:lastModifiedBy>
  <cp:revision>3</cp:revision>
  <dcterms:created xsi:type="dcterms:W3CDTF">2021-11-19T01:38:00Z</dcterms:created>
  <dcterms:modified xsi:type="dcterms:W3CDTF">2021-11-19T01:41:00Z</dcterms:modified>
</cp:coreProperties>
</file>