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22B0" w:rsidRPr="00A5236D" w:rsidRDefault="00380FFE">
      <w:pPr>
        <w:rPr>
          <w:b/>
          <w:i/>
          <w:sz w:val="24"/>
          <w:szCs w:val="24"/>
        </w:rPr>
      </w:pPr>
      <w:r w:rsidRPr="00A5236D">
        <w:rPr>
          <w:b/>
          <w:i/>
          <w:sz w:val="24"/>
          <w:szCs w:val="24"/>
        </w:rPr>
        <w:t>Critical Reflective Evaluation of PTE</w:t>
      </w:r>
    </w:p>
    <w:p w:rsidR="001D129E" w:rsidRPr="00A5236D" w:rsidRDefault="00846D9C" w:rsidP="001D129E">
      <w:pPr>
        <w:pStyle w:val="NormalWeb"/>
        <w:spacing w:before="0" w:beforeAutospacing="0" w:after="160" w:afterAutospacing="0"/>
        <w:rPr>
          <w:rFonts w:asciiTheme="minorHAnsi" w:hAnsiTheme="minorHAnsi"/>
        </w:rPr>
      </w:pPr>
      <w:r w:rsidRPr="00A5236D">
        <w:rPr>
          <w:rFonts w:asciiTheme="minorHAnsi" w:hAnsiTheme="minorHAnsi"/>
        </w:rPr>
        <w:t xml:space="preserve">The placement </w:t>
      </w:r>
      <w:r w:rsidR="00784FA8" w:rsidRPr="00A5236D">
        <w:rPr>
          <w:rFonts w:asciiTheme="minorHAnsi" w:hAnsiTheme="minorHAnsi"/>
        </w:rPr>
        <w:t>school</w:t>
      </w:r>
      <w:r w:rsidR="001D129E" w:rsidRPr="00A5236D">
        <w:rPr>
          <w:rFonts w:asciiTheme="minorHAnsi" w:hAnsiTheme="minorHAnsi"/>
        </w:rPr>
        <w:t xml:space="preserve"> </w:t>
      </w:r>
      <w:proofErr w:type="gramStart"/>
      <w:r w:rsidR="001D129E" w:rsidRPr="00A5236D">
        <w:rPr>
          <w:rFonts w:asciiTheme="minorHAnsi" w:hAnsiTheme="minorHAnsi"/>
        </w:rPr>
        <w:t>is located in</w:t>
      </w:r>
      <w:proofErr w:type="gramEnd"/>
      <w:r w:rsidR="001D129E" w:rsidRPr="00A5236D">
        <w:rPr>
          <w:rFonts w:asciiTheme="minorHAnsi" w:hAnsiTheme="minorHAnsi"/>
        </w:rPr>
        <w:t xml:space="preserve"> a deprived area of Swansea and as such caters to a</w:t>
      </w:r>
      <w:r w:rsidRPr="00A5236D">
        <w:rPr>
          <w:rFonts w:asciiTheme="minorHAnsi" w:hAnsiTheme="minorHAnsi"/>
        </w:rPr>
        <w:t xml:space="preserve">ll types of students aged 11-18, with free transport to the school, </w:t>
      </w:r>
      <w:r w:rsidR="001D129E" w:rsidRPr="00A5236D">
        <w:rPr>
          <w:rFonts w:asciiTheme="minorHAnsi" w:hAnsiTheme="minorHAnsi"/>
        </w:rPr>
        <w:t xml:space="preserve">with the Catholic faith being at its heart. </w:t>
      </w:r>
      <w:r w:rsidR="001D129E" w:rsidRPr="00A5236D">
        <w:rPr>
          <w:rFonts w:asciiTheme="minorHAnsi" w:hAnsiTheme="minorHAnsi"/>
        </w:rPr>
        <w:t xml:space="preserve">The school </w:t>
      </w:r>
      <w:r w:rsidR="001D129E" w:rsidRPr="00A5236D">
        <w:rPr>
          <w:rFonts w:asciiTheme="minorHAnsi" w:hAnsiTheme="minorHAnsi"/>
        </w:rPr>
        <w:t xml:space="preserve">First opened in 1967, It was developed to educate local Catholics but have now diversified with all faiths represented in both the student and teacher populations. </w:t>
      </w:r>
      <w:r w:rsidRPr="00A5236D">
        <w:rPr>
          <w:rFonts w:asciiTheme="minorHAnsi" w:hAnsiTheme="minorHAnsi"/>
        </w:rPr>
        <w:t>The school day starts at 8</w:t>
      </w:r>
      <w:r w:rsidR="001D129E" w:rsidRPr="00A5236D">
        <w:rPr>
          <w:rFonts w:asciiTheme="minorHAnsi" w:hAnsiTheme="minorHAnsi"/>
        </w:rPr>
        <w:t xml:space="preserve">:50am and is divided into 5 lessons, with one 20-minute break and a 50-minute lunch break to finish at 3:25pm. The Sixth Form is made up of two different year groups, Year 12 and Year 13. Year 12 are currently studying for AS Levels and Year 13 study for the full A Level in a variety of subjects. The school has not yet embraced technology and will not implement this within the classroom or at any other time. Mobile phones are banned during school hours even for the Sixth Form, students and teachers do not communicate outside of school hours for homework support, flip learning or general queries. This leads to bottlenecks in the lessons as the students have only that time to address the teachers and ask any questions they may have. The school has not implemented any emergent technologies and seem unwilling to try anything new in that department. There are school laptops which can be used by students in lessons, but due to budget there are 25 laptops for over 12 classrooms and as such need to be booked out in advanced and are not always available. The Sixth Form to have access to a specialist computer suite during free lessons, break and lunchtimes but can become full as there are only 25 computers for the whole of the sixth form and as the students do not have access to Wi-Fi, which is not available on school grounds, the computers are imperative for the students to study and complete tasks set by the teachers in lessons. </w:t>
      </w:r>
    </w:p>
    <w:p w:rsidR="001D129E" w:rsidRPr="00A5236D" w:rsidRDefault="00810AD8" w:rsidP="00B11EEB">
      <w:pPr>
        <w:pStyle w:val="NormalWeb"/>
        <w:spacing w:before="0" w:beforeAutospacing="0" w:after="160" w:afterAutospacing="0"/>
        <w:rPr>
          <w:rFonts w:asciiTheme="minorHAnsi" w:hAnsiTheme="minorHAnsi"/>
        </w:rPr>
      </w:pPr>
      <w:r w:rsidRPr="00A5236D">
        <w:rPr>
          <w:rFonts w:asciiTheme="minorHAnsi" w:hAnsiTheme="minorHAnsi"/>
        </w:rPr>
        <w:t xml:space="preserve">The placement itself was not well organised and as such the time there seemed to be muddled and hectic leading to differences of opinion and being left with no clear guidance for weeks on end. The reflective practice was not as effective due to this at there was no critique or observations from other members of staff or the mentor. While there was no clear guidance, there was also no independence within the school as the access to the computers, registers, printers and scanners were not available </w:t>
      </w:r>
      <w:proofErr w:type="gramStart"/>
      <w:r w:rsidRPr="00A5236D">
        <w:rPr>
          <w:rFonts w:asciiTheme="minorHAnsi" w:hAnsiTheme="minorHAnsi"/>
        </w:rPr>
        <w:t>due to the fact that</w:t>
      </w:r>
      <w:proofErr w:type="gramEnd"/>
      <w:r w:rsidRPr="00A5236D">
        <w:rPr>
          <w:rFonts w:asciiTheme="minorHAnsi" w:hAnsiTheme="minorHAnsi"/>
        </w:rPr>
        <w:t xml:space="preserve"> access was only granted once on the payroll. This led to work being done outside of school hours and without any guidance from the mentor or experience</w:t>
      </w:r>
      <w:r w:rsidR="00E46BAA" w:rsidRPr="00A5236D">
        <w:rPr>
          <w:rFonts w:asciiTheme="minorHAnsi" w:hAnsiTheme="minorHAnsi"/>
        </w:rPr>
        <w:t xml:space="preserve">d </w:t>
      </w:r>
      <w:r w:rsidRPr="00A5236D">
        <w:rPr>
          <w:rFonts w:asciiTheme="minorHAnsi" w:hAnsiTheme="minorHAnsi"/>
        </w:rPr>
        <w:t xml:space="preserve">teachers </w:t>
      </w:r>
      <w:r w:rsidR="00E46BAA" w:rsidRPr="00A5236D">
        <w:rPr>
          <w:rFonts w:asciiTheme="minorHAnsi" w:hAnsiTheme="minorHAnsi"/>
        </w:rPr>
        <w:t xml:space="preserve">so was essentially designing materials blind and delivering these to the class without it being vetted by anyone else. This created a culture of mismanagement and blame within the department and the mentor leading to removal of one class due to parent complaints for which the school, as to avoid any scandal, granted with little defiance. </w:t>
      </w:r>
    </w:p>
    <w:p w:rsidR="00B11EEB" w:rsidRPr="00A5236D" w:rsidRDefault="008B21E3">
      <w:pPr>
        <w:rPr>
          <w:color w:val="000000" w:themeColor="text1"/>
          <w:sz w:val="24"/>
          <w:szCs w:val="24"/>
        </w:rPr>
      </w:pPr>
      <w:r w:rsidRPr="00A5236D">
        <w:rPr>
          <w:color w:val="000000" w:themeColor="text1"/>
          <w:sz w:val="24"/>
          <w:szCs w:val="24"/>
        </w:rPr>
        <w:t xml:space="preserve">Safeguarding or leaner welfare duties were not shared and as such was then unaware of who to contact when such an event presented itself or how to spot the signs of anything the school should have been made aware of based on the safeguarding guidelines. </w:t>
      </w:r>
      <w:r w:rsidR="000D4411" w:rsidRPr="00A5236D">
        <w:rPr>
          <w:color w:val="000000" w:themeColor="text1"/>
          <w:sz w:val="24"/>
          <w:szCs w:val="24"/>
        </w:rPr>
        <w:t xml:space="preserve">The child protection officer or the educational psychologist were not introduced and in such a large school it was impossible to enquire during a lesson when it would be most needed. </w:t>
      </w:r>
    </w:p>
    <w:p w:rsidR="00E12D4A" w:rsidRPr="00A5236D" w:rsidRDefault="002878A0">
      <w:pPr>
        <w:rPr>
          <w:color w:val="000000" w:themeColor="text1"/>
          <w:sz w:val="24"/>
          <w:szCs w:val="24"/>
        </w:rPr>
      </w:pPr>
      <w:r w:rsidRPr="00A5236D">
        <w:rPr>
          <w:color w:val="000000" w:themeColor="text1"/>
          <w:sz w:val="24"/>
          <w:szCs w:val="24"/>
        </w:rPr>
        <w:t xml:space="preserve">The safeguarding procedures outline the need for all staff to be trained </w:t>
      </w:r>
      <w:r w:rsidR="00E12D4A" w:rsidRPr="00A5236D">
        <w:rPr>
          <w:color w:val="000000" w:themeColor="text1"/>
          <w:sz w:val="24"/>
          <w:szCs w:val="24"/>
        </w:rPr>
        <w:t xml:space="preserve">(Ofsted, 2011) </w:t>
      </w:r>
      <w:r w:rsidRPr="00A5236D">
        <w:rPr>
          <w:color w:val="000000" w:themeColor="text1"/>
          <w:sz w:val="24"/>
          <w:szCs w:val="24"/>
        </w:rPr>
        <w:t xml:space="preserve">and aware of the staff member responsible for maintaining these guidelines. For those in post-16 education it is imperative that mental and physical health is maintained and those who need to see </w:t>
      </w:r>
      <w:r w:rsidR="00E12D4A" w:rsidRPr="00A5236D">
        <w:rPr>
          <w:color w:val="000000" w:themeColor="text1"/>
          <w:sz w:val="24"/>
          <w:szCs w:val="24"/>
        </w:rPr>
        <w:t xml:space="preserve">the educational psychologist </w:t>
      </w:r>
      <w:proofErr w:type="gramStart"/>
      <w:r w:rsidR="00E12D4A" w:rsidRPr="00A5236D">
        <w:rPr>
          <w:color w:val="000000" w:themeColor="text1"/>
          <w:sz w:val="24"/>
          <w:szCs w:val="24"/>
        </w:rPr>
        <w:t>are able to</w:t>
      </w:r>
      <w:proofErr w:type="gramEnd"/>
      <w:r w:rsidR="00E12D4A" w:rsidRPr="00A5236D">
        <w:rPr>
          <w:color w:val="000000" w:themeColor="text1"/>
          <w:sz w:val="24"/>
          <w:szCs w:val="24"/>
        </w:rPr>
        <w:t xml:space="preserve"> do so, and for those who speak in confidence with teachers can be referred to the appropriate member or staff. </w:t>
      </w:r>
    </w:p>
    <w:p w:rsidR="008B21E3" w:rsidRPr="00A5236D" w:rsidRDefault="00E12D4A">
      <w:pPr>
        <w:rPr>
          <w:color w:val="000000" w:themeColor="text1"/>
          <w:sz w:val="24"/>
          <w:szCs w:val="24"/>
        </w:rPr>
      </w:pPr>
      <w:r w:rsidRPr="00A5236D">
        <w:rPr>
          <w:color w:val="000000" w:themeColor="text1"/>
          <w:sz w:val="24"/>
          <w:szCs w:val="24"/>
        </w:rPr>
        <w:lastRenderedPageBreak/>
        <w:t xml:space="preserve">Although time was taken to understand the needs of the pupils in an academic capacity, there was little information available towards their mental and emotional states </w:t>
      </w:r>
      <w:r w:rsidR="00043E8C" w:rsidRPr="00A5236D">
        <w:rPr>
          <w:color w:val="000000" w:themeColor="text1"/>
          <w:sz w:val="24"/>
          <w:szCs w:val="24"/>
        </w:rPr>
        <w:t xml:space="preserve">apart from if any spilled over into the classroom and by that point there was no guidelines or members of staff to fall back on. </w:t>
      </w:r>
    </w:p>
    <w:p w:rsidR="009D75C9" w:rsidRPr="00A5236D" w:rsidRDefault="009D75C9">
      <w:pPr>
        <w:rPr>
          <w:color w:val="000000" w:themeColor="text1"/>
          <w:sz w:val="24"/>
          <w:szCs w:val="24"/>
        </w:rPr>
      </w:pPr>
      <w:r w:rsidRPr="00A5236D">
        <w:rPr>
          <w:color w:val="000000" w:themeColor="text1"/>
          <w:sz w:val="24"/>
          <w:szCs w:val="24"/>
        </w:rPr>
        <w:t xml:space="preserve">Assessment was used continuously with the students in both formative and summative elements to best represent the student ability and knowledge on a </w:t>
      </w:r>
      <w:proofErr w:type="gramStart"/>
      <w:r w:rsidRPr="00A5236D">
        <w:rPr>
          <w:color w:val="000000" w:themeColor="text1"/>
          <w:sz w:val="24"/>
          <w:szCs w:val="24"/>
        </w:rPr>
        <w:t>particular subject</w:t>
      </w:r>
      <w:proofErr w:type="gramEnd"/>
      <w:r w:rsidRPr="00A5236D">
        <w:rPr>
          <w:color w:val="000000" w:themeColor="text1"/>
          <w:sz w:val="24"/>
          <w:szCs w:val="24"/>
        </w:rPr>
        <w:t xml:space="preserve"> or module relevant </w:t>
      </w:r>
      <w:r w:rsidR="00435F85" w:rsidRPr="00A5236D">
        <w:rPr>
          <w:color w:val="000000" w:themeColor="text1"/>
          <w:sz w:val="24"/>
          <w:szCs w:val="24"/>
        </w:rPr>
        <w:t xml:space="preserve">to the curriculum. </w:t>
      </w:r>
      <w:r w:rsidRPr="00A5236D">
        <w:rPr>
          <w:color w:val="000000" w:themeColor="text1"/>
          <w:sz w:val="24"/>
          <w:szCs w:val="24"/>
        </w:rPr>
        <w:t>This assessment is vital for education progression</w:t>
      </w:r>
      <w:r w:rsidR="00435F85" w:rsidRPr="00A5236D">
        <w:rPr>
          <w:color w:val="000000" w:themeColor="text1"/>
          <w:sz w:val="24"/>
          <w:szCs w:val="24"/>
        </w:rPr>
        <w:t xml:space="preserve"> and for teachers to be aware of where the students are currently. </w:t>
      </w:r>
    </w:p>
    <w:p w:rsidR="00435F85" w:rsidRPr="00A5236D" w:rsidRDefault="00435F85">
      <w:pPr>
        <w:rPr>
          <w:color w:val="000000" w:themeColor="text1"/>
          <w:sz w:val="24"/>
          <w:szCs w:val="24"/>
        </w:rPr>
      </w:pPr>
      <w:r w:rsidRPr="00A5236D">
        <w:rPr>
          <w:color w:val="000000" w:themeColor="text1"/>
          <w:sz w:val="24"/>
          <w:szCs w:val="24"/>
        </w:rPr>
        <w:t xml:space="preserve">The most visible assessment strategy in schools would be summative, which are designed to determine the level of knowledge at the end of a module or unit (CERI, 2008) this can be used to promote students to a higher level, to ensure standards are met or a qualification granted that would determine progression onto a higher course or into university. Summative assessments are also used for accountability by departments of education so that funds could be released to the school or withdrawn if these assessments are not up to the highest standards (CERI, 2008) which can lead to greater emphasis on this type of assessment. </w:t>
      </w:r>
    </w:p>
    <w:p w:rsidR="00435F85" w:rsidRPr="00A5236D" w:rsidRDefault="00435F85">
      <w:pPr>
        <w:rPr>
          <w:color w:val="000000" w:themeColor="text1"/>
          <w:sz w:val="24"/>
          <w:szCs w:val="24"/>
        </w:rPr>
      </w:pPr>
      <w:r w:rsidRPr="00A5236D">
        <w:rPr>
          <w:color w:val="000000" w:themeColor="text1"/>
          <w:sz w:val="24"/>
          <w:szCs w:val="24"/>
        </w:rPr>
        <w:t>International standards of assessment and accountability have increasingly become more important, such as OECD’s Programme for International Student Assessment (PISA), for comparing education systems</w:t>
      </w:r>
      <w:r w:rsidR="00232A75" w:rsidRPr="00A5236D">
        <w:rPr>
          <w:color w:val="000000" w:themeColor="text1"/>
          <w:sz w:val="24"/>
          <w:szCs w:val="24"/>
        </w:rPr>
        <w:t xml:space="preserve"> but this too is flawed. The PISA system, as it runs a three-year cycle, does not represent the current educational systems of the world (Paul et al, 2014). This cycle also shifts focus to short term fixes, as a way of climbing the up the rankings, from the deep-rooted failings of the education system which are neglected by governments and educators. </w:t>
      </w:r>
      <w:r w:rsidR="00301300" w:rsidRPr="00A5236D">
        <w:rPr>
          <w:color w:val="000000" w:themeColor="text1"/>
          <w:sz w:val="24"/>
          <w:szCs w:val="24"/>
        </w:rPr>
        <w:t>PISA rankings will only take a small aspect of education into account with no focus on immeasurable attributes of the students such as emotional or mental health, moral and artistic development or life skills thereby narrowing the communal vision of what education should be about. However, c</w:t>
      </w:r>
      <w:r w:rsidR="00232A75" w:rsidRPr="00A5236D">
        <w:rPr>
          <w:color w:val="000000" w:themeColor="text1"/>
          <w:sz w:val="24"/>
          <w:szCs w:val="24"/>
        </w:rPr>
        <w:t xml:space="preserve">hanges to the education systems can takes as much as decades to come to fruition (Paul et al, 2014) and as such creating a focus on </w:t>
      </w:r>
      <w:r w:rsidR="00301300" w:rsidRPr="00A5236D">
        <w:rPr>
          <w:color w:val="000000" w:themeColor="text1"/>
          <w:sz w:val="24"/>
          <w:szCs w:val="24"/>
        </w:rPr>
        <w:t>summative assessments could become detrimental for both the school/provision and the students.</w:t>
      </w:r>
    </w:p>
    <w:p w:rsidR="00301300" w:rsidRPr="00A5236D" w:rsidRDefault="00301300">
      <w:pPr>
        <w:rPr>
          <w:color w:val="000000" w:themeColor="text1"/>
          <w:sz w:val="24"/>
          <w:szCs w:val="24"/>
        </w:rPr>
      </w:pPr>
      <w:r w:rsidRPr="00A5236D">
        <w:rPr>
          <w:color w:val="000000" w:themeColor="text1"/>
          <w:sz w:val="24"/>
          <w:szCs w:val="24"/>
        </w:rPr>
        <w:t xml:space="preserve">An alternative for this blinkered approach would be the implementation of formative assessments. These assessments occur frequently (CERI, 2008) in interactive capacities to keep an up to date </w:t>
      </w:r>
      <w:r w:rsidR="004B55AB" w:rsidRPr="00A5236D">
        <w:rPr>
          <w:color w:val="000000" w:themeColor="text1"/>
          <w:sz w:val="24"/>
          <w:szCs w:val="24"/>
        </w:rPr>
        <w:t xml:space="preserve">with the students’ knowledge and learning with time to change any aspect of the teaching style or materials to best suit the learner. Teachers using this approach and technique would be better prepared to meet all the students needs despite diverse learning needs or </w:t>
      </w:r>
      <w:r w:rsidR="002F3E42" w:rsidRPr="00A5236D">
        <w:rPr>
          <w:color w:val="000000" w:themeColor="text1"/>
          <w:sz w:val="24"/>
          <w:szCs w:val="24"/>
        </w:rPr>
        <w:t xml:space="preserve">differing </w:t>
      </w:r>
      <w:r w:rsidR="004B55AB" w:rsidRPr="00A5236D">
        <w:rPr>
          <w:color w:val="000000" w:themeColor="text1"/>
          <w:sz w:val="24"/>
          <w:szCs w:val="24"/>
        </w:rPr>
        <w:t xml:space="preserve">academic potential (CERI, 2008) through adaptation and variation of teaching. </w:t>
      </w:r>
    </w:p>
    <w:p w:rsidR="00CE21BD" w:rsidRPr="00A5236D" w:rsidRDefault="00CE21BD">
      <w:pPr>
        <w:rPr>
          <w:color w:val="000000" w:themeColor="text1"/>
          <w:sz w:val="24"/>
          <w:szCs w:val="24"/>
        </w:rPr>
      </w:pPr>
      <w:r w:rsidRPr="00A5236D">
        <w:rPr>
          <w:color w:val="000000" w:themeColor="text1"/>
          <w:sz w:val="24"/>
          <w:szCs w:val="24"/>
        </w:rPr>
        <w:t>When formative assessment is used effectively it can lead to more defined learning goal that better reflect the true potential of the students involved and can highlight the learning outcomes to these students (</w:t>
      </w:r>
      <w:proofErr w:type="spellStart"/>
      <w:r w:rsidRPr="00A5236D">
        <w:rPr>
          <w:color w:val="000000" w:themeColor="text1"/>
          <w:sz w:val="24"/>
          <w:szCs w:val="24"/>
        </w:rPr>
        <w:t>Greensetin</w:t>
      </w:r>
      <w:proofErr w:type="spellEnd"/>
      <w:r w:rsidRPr="00A5236D">
        <w:rPr>
          <w:color w:val="000000" w:themeColor="text1"/>
          <w:sz w:val="24"/>
          <w:szCs w:val="24"/>
        </w:rPr>
        <w:t>, 2010) and once this formative assessment data has been collected indications about student needs and from this a personal learning plan could be devised to increase the likelihood of success in summative assessment. Students will respond better to regular feedback to aid in increases of academic achievement</w:t>
      </w:r>
      <w:r w:rsidR="008D27EC" w:rsidRPr="00A5236D">
        <w:rPr>
          <w:color w:val="000000" w:themeColor="text1"/>
          <w:sz w:val="24"/>
          <w:szCs w:val="24"/>
        </w:rPr>
        <w:t xml:space="preserve"> </w:t>
      </w:r>
      <w:r w:rsidR="008D27EC" w:rsidRPr="00A5236D">
        <w:rPr>
          <w:color w:val="000000" w:themeColor="text1"/>
          <w:sz w:val="24"/>
          <w:szCs w:val="24"/>
        </w:rPr>
        <w:lastRenderedPageBreak/>
        <w:t>(</w:t>
      </w:r>
      <w:proofErr w:type="spellStart"/>
      <w:r w:rsidR="008D27EC" w:rsidRPr="00A5236D">
        <w:rPr>
          <w:color w:val="000000" w:themeColor="text1"/>
          <w:sz w:val="24"/>
          <w:szCs w:val="24"/>
        </w:rPr>
        <w:t>Greensetin</w:t>
      </w:r>
      <w:proofErr w:type="spellEnd"/>
      <w:r w:rsidR="008D27EC" w:rsidRPr="00A5236D">
        <w:rPr>
          <w:color w:val="000000" w:themeColor="text1"/>
          <w:sz w:val="24"/>
          <w:szCs w:val="24"/>
        </w:rPr>
        <w:t>, 2010) as well as increase motivation for students who have a clear record of improvement</w:t>
      </w:r>
    </w:p>
    <w:p w:rsidR="008D27EC" w:rsidRPr="00A5236D" w:rsidRDefault="008D27EC">
      <w:pPr>
        <w:rPr>
          <w:color w:val="000000" w:themeColor="text1"/>
          <w:sz w:val="24"/>
          <w:szCs w:val="24"/>
        </w:rPr>
      </w:pPr>
      <w:r w:rsidRPr="00A5236D">
        <w:rPr>
          <w:color w:val="000000" w:themeColor="text1"/>
          <w:sz w:val="24"/>
          <w:szCs w:val="24"/>
        </w:rPr>
        <w:t xml:space="preserve">There are tensions between formative and summative assessments </w:t>
      </w:r>
      <w:r w:rsidR="00B27328" w:rsidRPr="00A5236D">
        <w:rPr>
          <w:color w:val="000000" w:themeColor="text1"/>
          <w:sz w:val="24"/>
          <w:szCs w:val="24"/>
        </w:rPr>
        <w:t xml:space="preserve">to be found in the wider education community (Black and William, 1998) as the highly visible summative assessments tend to hold the educational establishment to account for student achievement which can be used by parents and students to determine which establishment to be a part of or which one could be seen at a lower standard (Black and William, 1998) however the principles of formative assessment could be applied to the educational establishment and at policy level. </w:t>
      </w:r>
    </w:p>
    <w:p w:rsidR="009D75C9" w:rsidRPr="00A5236D" w:rsidRDefault="00B27328">
      <w:pPr>
        <w:rPr>
          <w:color w:val="000000" w:themeColor="text1"/>
          <w:sz w:val="24"/>
          <w:szCs w:val="24"/>
        </w:rPr>
      </w:pPr>
      <w:r w:rsidRPr="00A5236D">
        <w:rPr>
          <w:color w:val="000000" w:themeColor="text1"/>
          <w:sz w:val="24"/>
          <w:szCs w:val="24"/>
        </w:rPr>
        <w:t xml:space="preserve">These principles could help identify and implement areas for improvement for effective and constructive cultures of evaluation throughout the educational establishment </w:t>
      </w:r>
      <w:r w:rsidR="00DB143F" w:rsidRPr="00A5236D">
        <w:rPr>
          <w:color w:val="000000" w:themeColor="text1"/>
          <w:sz w:val="24"/>
          <w:szCs w:val="24"/>
        </w:rPr>
        <w:t>(</w:t>
      </w:r>
      <w:proofErr w:type="spellStart"/>
      <w:r w:rsidR="00DB143F" w:rsidRPr="00A5236D">
        <w:rPr>
          <w:color w:val="000000" w:themeColor="text1"/>
          <w:sz w:val="24"/>
          <w:szCs w:val="24"/>
        </w:rPr>
        <w:t>Filsecker</w:t>
      </w:r>
      <w:proofErr w:type="spellEnd"/>
      <w:r w:rsidR="00DB143F" w:rsidRPr="00A5236D">
        <w:rPr>
          <w:color w:val="000000" w:themeColor="text1"/>
          <w:sz w:val="24"/>
          <w:szCs w:val="24"/>
        </w:rPr>
        <w:t xml:space="preserve"> &amp; </w:t>
      </w:r>
      <w:proofErr w:type="spellStart"/>
      <w:r w:rsidR="00DB143F" w:rsidRPr="00A5236D">
        <w:rPr>
          <w:color w:val="000000" w:themeColor="text1"/>
          <w:sz w:val="24"/>
          <w:szCs w:val="24"/>
        </w:rPr>
        <w:t>Kerres</w:t>
      </w:r>
      <w:proofErr w:type="spellEnd"/>
      <w:r w:rsidR="00DB143F" w:rsidRPr="00A5236D">
        <w:rPr>
          <w:color w:val="000000" w:themeColor="text1"/>
          <w:sz w:val="24"/>
          <w:szCs w:val="24"/>
        </w:rPr>
        <w:t xml:space="preserve">, 2012) which could help the shareholders address the barriers and shortfalls in that </w:t>
      </w:r>
      <w:proofErr w:type="gramStart"/>
      <w:r w:rsidR="00DB143F" w:rsidRPr="00A5236D">
        <w:rPr>
          <w:color w:val="000000" w:themeColor="text1"/>
          <w:sz w:val="24"/>
          <w:szCs w:val="24"/>
        </w:rPr>
        <w:t>particular establishment</w:t>
      </w:r>
      <w:proofErr w:type="gramEnd"/>
      <w:r w:rsidR="00DB143F" w:rsidRPr="00A5236D">
        <w:rPr>
          <w:color w:val="000000" w:themeColor="text1"/>
          <w:sz w:val="24"/>
          <w:szCs w:val="24"/>
        </w:rPr>
        <w:t xml:space="preserve">. </w:t>
      </w:r>
    </w:p>
    <w:p w:rsidR="00DB143F" w:rsidRPr="00A5236D" w:rsidRDefault="00DB143F">
      <w:pPr>
        <w:rPr>
          <w:color w:val="000000" w:themeColor="text1"/>
          <w:sz w:val="24"/>
          <w:szCs w:val="24"/>
        </w:rPr>
      </w:pPr>
      <w:r w:rsidRPr="00A5236D">
        <w:rPr>
          <w:color w:val="000000" w:themeColor="text1"/>
          <w:sz w:val="24"/>
          <w:szCs w:val="24"/>
        </w:rPr>
        <w:t xml:space="preserve">Based on the concepts above, the establishment itself focused entirely on summative assessments going so far as to create new mock exam conditions where those who did not achieve a certain target, one set for the whole school, then they were not entered for the main exam and would have to pay if they would like to be entered. This created a culture of working to the exam content with little focus on the wider content involved in the topics. The students became increasingly stressed </w:t>
      </w:r>
      <w:r w:rsidR="00484733" w:rsidRPr="00A5236D">
        <w:rPr>
          <w:color w:val="000000" w:themeColor="text1"/>
          <w:sz w:val="24"/>
          <w:szCs w:val="24"/>
        </w:rPr>
        <w:t xml:space="preserve">about the mock exams, leading to a few missing quite a bit of school due to illness leading up to the exam.  The school believed it would be beneficial for the students and for the school as it would save exam entry fees for those students who were not, by the school’s standard, going to pass the full exam. There were some teachers who protested this plan, but were not heard by those in charge, who wanted more formative assessments during class hours such as debates, essay writing or coursework. However, the curriculum would not allow for this style of assessment and the students were taken out of classes to complete these exams under full conditions. This time out put the curriculum behind </w:t>
      </w:r>
      <w:r w:rsidR="00903B75" w:rsidRPr="00A5236D">
        <w:rPr>
          <w:color w:val="000000" w:themeColor="text1"/>
          <w:sz w:val="24"/>
          <w:szCs w:val="24"/>
        </w:rPr>
        <w:t xml:space="preserve">creating catch up for the teachers once the students returned to lessons the following week. </w:t>
      </w:r>
    </w:p>
    <w:p w:rsidR="003963F4" w:rsidRPr="00A5236D" w:rsidRDefault="003963F4">
      <w:pPr>
        <w:rPr>
          <w:color w:val="000000" w:themeColor="text1"/>
          <w:sz w:val="24"/>
          <w:szCs w:val="24"/>
        </w:rPr>
      </w:pPr>
      <w:r w:rsidRPr="00A5236D">
        <w:rPr>
          <w:color w:val="000000" w:themeColor="text1"/>
          <w:sz w:val="24"/>
          <w:szCs w:val="24"/>
        </w:rPr>
        <w:t>The placement</w:t>
      </w:r>
      <w:r w:rsidR="00846D9C" w:rsidRPr="00A5236D">
        <w:rPr>
          <w:color w:val="000000" w:themeColor="text1"/>
          <w:sz w:val="24"/>
          <w:szCs w:val="24"/>
        </w:rPr>
        <w:t xml:space="preserve"> mentor was not reliable or easy</w:t>
      </w:r>
      <w:r w:rsidRPr="00A5236D">
        <w:rPr>
          <w:color w:val="000000" w:themeColor="text1"/>
          <w:sz w:val="24"/>
          <w:szCs w:val="24"/>
        </w:rPr>
        <w:t xml:space="preserve"> to contact which led to inaccurate reflections and unknown ways to improve. The role of the mentor should be that of support for the student teacher </w:t>
      </w:r>
      <w:r w:rsidR="00954703" w:rsidRPr="00A5236D">
        <w:rPr>
          <w:color w:val="000000" w:themeColor="text1"/>
          <w:sz w:val="24"/>
          <w:szCs w:val="24"/>
        </w:rPr>
        <w:t xml:space="preserve">to negotiate the personal identities within the classroom using a goal and reflective framework (Mayer &amp; Austin 1999) therefore it is imperative that the mentor is attentive, positive and has a professional relationship with the student teacher using open and direct communication. The role of the student teacher, and learning to teach, depends on social interactions with the mentor, more experienced teachers and the student population itself so for this reason the mentor should be constantly supervising and supporting the student teacher in the acquisition of professional and practical skills with clear links being drawn between attentive mentors and the attainment of the student teachers (Beck and </w:t>
      </w:r>
      <w:proofErr w:type="spellStart"/>
      <w:r w:rsidR="00954703" w:rsidRPr="00A5236D">
        <w:rPr>
          <w:color w:val="000000" w:themeColor="text1"/>
          <w:sz w:val="24"/>
          <w:szCs w:val="24"/>
        </w:rPr>
        <w:t>Kosnik</w:t>
      </w:r>
      <w:proofErr w:type="spellEnd"/>
      <w:r w:rsidR="00954703" w:rsidRPr="00A5236D">
        <w:rPr>
          <w:color w:val="000000" w:themeColor="text1"/>
          <w:sz w:val="24"/>
          <w:szCs w:val="24"/>
        </w:rPr>
        <w:t xml:space="preserve">, 2002) with the most important factor being that of the mentor identifying the factors that would make the greatest impact on the student teachers. Once an effective relationship is formed, by developing common goals and principles, the student teacher is able to then form a teaching style and philosophy </w:t>
      </w:r>
      <w:r w:rsidR="00CB15ED" w:rsidRPr="00A5236D">
        <w:rPr>
          <w:color w:val="000000" w:themeColor="text1"/>
          <w:sz w:val="24"/>
          <w:szCs w:val="24"/>
        </w:rPr>
        <w:t xml:space="preserve">(Turnbull, 2002), These </w:t>
      </w:r>
      <w:r w:rsidR="00CB15ED" w:rsidRPr="00A5236D">
        <w:rPr>
          <w:color w:val="000000" w:themeColor="text1"/>
          <w:sz w:val="24"/>
          <w:szCs w:val="24"/>
        </w:rPr>
        <w:lastRenderedPageBreak/>
        <w:t xml:space="preserve">principles can be ethical guidelines or values that will underpin the teaching style this means that the student teacher will be given the tools on how to interact with the other teachers, as adults, to ask for advice or guidance as needed as well as building up a rapport with both colleagues and students. </w:t>
      </w:r>
    </w:p>
    <w:p w:rsidR="00CB15ED" w:rsidRPr="00A5236D" w:rsidRDefault="00CB15ED">
      <w:pPr>
        <w:rPr>
          <w:color w:val="000000" w:themeColor="text1"/>
          <w:sz w:val="24"/>
          <w:szCs w:val="24"/>
        </w:rPr>
      </w:pPr>
      <w:r w:rsidRPr="00A5236D">
        <w:rPr>
          <w:color w:val="000000" w:themeColor="text1"/>
          <w:sz w:val="24"/>
          <w:szCs w:val="24"/>
        </w:rPr>
        <w:t>There are seven areas that would need to be considered by t</w:t>
      </w:r>
      <w:r w:rsidR="004672BE" w:rsidRPr="00A5236D">
        <w:rPr>
          <w:color w:val="000000" w:themeColor="text1"/>
          <w:sz w:val="24"/>
          <w:szCs w:val="24"/>
        </w:rPr>
        <w:t xml:space="preserve">he mentor to guarantee that the student teacher is prepared for the role which they have been given, these include emotional support, shared authority, collaborative planning, feedback and flexibility, organising workloads, and modelling of effective practice (Beck and </w:t>
      </w:r>
      <w:proofErr w:type="spellStart"/>
      <w:r w:rsidR="004672BE" w:rsidRPr="00A5236D">
        <w:rPr>
          <w:color w:val="000000" w:themeColor="text1"/>
          <w:sz w:val="24"/>
          <w:szCs w:val="24"/>
        </w:rPr>
        <w:t>Kosnik</w:t>
      </w:r>
      <w:proofErr w:type="spellEnd"/>
      <w:r w:rsidR="004672BE" w:rsidRPr="00A5236D">
        <w:rPr>
          <w:color w:val="000000" w:themeColor="text1"/>
          <w:sz w:val="24"/>
          <w:szCs w:val="24"/>
        </w:rPr>
        <w:t>, 2002) but equally the student teacher would need to be open to new experiences, criticism and participate in discussion and development meetings with both the mentor and experienced teachers (Ball, 2000) for student teachers are still learners themselves and as such would need a knowledgeable teacher as a mentor in order to grow  and progress from experiences. as such these experiences would need to be of quality teaching that encourages learning. Most mentors must bring their own teaching into reflective practice so that the tools they are passing on meet the needs and expectations of the student teacher (Blunden, 2000) therefore the relationship between the mentor and the student teacher must be interactive, challenging and responsive</w:t>
      </w:r>
      <w:r w:rsidR="00846D9C" w:rsidRPr="00A5236D">
        <w:rPr>
          <w:color w:val="000000" w:themeColor="text1"/>
          <w:sz w:val="24"/>
          <w:szCs w:val="24"/>
        </w:rPr>
        <w:t xml:space="preserve">. </w:t>
      </w:r>
    </w:p>
    <w:p w:rsidR="00954703" w:rsidRPr="00A5236D" w:rsidRDefault="00846D9C" w:rsidP="00954703">
      <w:pPr>
        <w:rPr>
          <w:color w:val="000000" w:themeColor="text1"/>
          <w:sz w:val="24"/>
          <w:szCs w:val="24"/>
        </w:rPr>
      </w:pPr>
      <w:r w:rsidRPr="00A5236D">
        <w:rPr>
          <w:color w:val="000000" w:themeColor="text1"/>
          <w:sz w:val="24"/>
          <w:szCs w:val="24"/>
        </w:rPr>
        <w:t xml:space="preserve">The placement was unorganised with the mentor being oblivious to the current needs or wants of the student teachers with little input or supervision involved leading to a chaotic placement. </w:t>
      </w:r>
    </w:p>
    <w:p w:rsidR="00380FFE" w:rsidRDefault="00380FFE"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Default="00A5236D" w:rsidP="004672BE">
      <w:pPr>
        <w:rPr>
          <w:rFonts w:eastAsia="Times New Roman" w:cs="Times New Roman"/>
          <w:sz w:val="24"/>
          <w:szCs w:val="24"/>
          <w:lang w:val="en-NZ"/>
        </w:rPr>
      </w:pPr>
    </w:p>
    <w:p w:rsidR="00A5236D" w:rsidRPr="00A5236D" w:rsidRDefault="00A5236D" w:rsidP="004672BE">
      <w:pPr>
        <w:rPr>
          <w:rFonts w:eastAsia="Times New Roman" w:cs="Times New Roman"/>
          <w:sz w:val="24"/>
          <w:szCs w:val="24"/>
          <w:lang w:val="en-NZ"/>
        </w:rPr>
      </w:pPr>
    </w:p>
    <w:sdt>
      <w:sdtPr>
        <w:rPr>
          <w:rFonts w:asciiTheme="minorHAnsi" w:hAnsiTheme="minorHAnsi"/>
          <w:sz w:val="24"/>
          <w:szCs w:val="24"/>
        </w:rPr>
        <w:id w:val="-1194302840"/>
        <w:docPartObj>
          <w:docPartGallery w:val="Bibliographies"/>
          <w:docPartUnique/>
        </w:docPartObj>
      </w:sdtPr>
      <w:sdtEndPr>
        <w:rPr>
          <w:rFonts w:eastAsiaTheme="minorHAnsi" w:cstheme="minorBidi"/>
          <w:color w:val="auto"/>
          <w:lang w:val="en-GB"/>
        </w:rPr>
      </w:sdtEndPr>
      <w:sdtContent>
        <w:p w:rsidR="0051399A" w:rsidRPr="00A5236D" w:rsidRDefault="0051399A">
          <w:pPr>
            <w:pStyle w:val="Heading1"/>
            <w:rPr>
              <w:rFonts w:asciiTheme="minorHAnsi" w:hAnsiTheme="minorHAnsi"/>
              <w:sz w:val="24"/>
              <w:szCs w:val="24"/>
            </w:rPr>
          </w:pPr>
          <w:r w:rsidRPr="00A5236D">
            <w:rPr>
              <w:rFonts w:asciiTheme="minorHAnsi" w:hAnsiTheme="minorHAnsi"/>
              <w:sz w:val="24"/>
              <w:szCs w:val="24"/>
            </w:rPr>
            <w:t>References</w:t>
          </w:r>
        </w:p>
        <w:sdt>
          <w:sdtPr>
            <w:rPr>
              <w:sz w:val="24"/>
              <w:szCs w:val="24"/>
            </w:rPr>
            <w:id w:val="-573587230"/>
            <w:bibliography/>
          </w:sdtPr>
          <w:sdtContent>
            <w:p w:rsidR="000E64DF" w:rsidRPr="00A5236D" w:rsidRDefault="000E64DF" w:rsidP="000E64DF">
              <w:pPr>
                <w:rPr>
                  <w:sz w:val="24"/>
                  <w:szCs w:val="24"/>
                </w:rPr>
              </w:pPr>
              <w:r w:rsidRPr="00A5236D">
                <w:rPr>
                  <w:sz w:val="24"/>
                  <w:szCs w:val="24"/>
                </w:rPr>
                <w:t>Andrews, P. (2014). OECD and Pisa tests are damaging education worldwide - academics. </w:t>
              </w:r>
              <w:r w:rsidRPr="00A5236D">
                <w:rPr>
                  <w:i/>
                  <w:iCs/>
                  <w:sz w:val="24"/>
                  <w:szCs w:val="24"/>
                </w:rPr>
                <w:t>The Guardian</w:t>
              </w:r>
              <w:r w:rsidRPr="00A5236D">
                <w:rPr>
                  <w:sz w:val="24"/>
                  <w:szCs w:val="24"/>
                </w:rPr>
                <w:t>. [online] Available at: https://www.theguardian.com/education/2014/may/06/oecd-pisa-tests-damaging-education-academics [Accessed 31 May 2018].</w:t>
              </w:r>
            </w:p>
            <w:p w:rsidR="000E64DF" w:rsidRPr="00A5236D" w:rsidRDefault="000E64DF" w:rsidP="000E64DF">
              <w:pPr>
                <w:rPr>
                  <w:sz w:val="24"/>
                  <w:szCs w:val="24"/>
                </w:rPr>
              </w:pPr>
              <w:r w:rsidRPr="00A5236D">
                <w:rPr>
                  <w:sz w:val="24"/>
                  <w:szCs w:val="24"/>
                </w:rPr>
                <w:t xml:space="preserve">Beck, C., &amp; </w:t>
              </w:r>
              <w:proofErr w:type="spellStart"/>
              <w:r w:rsidRPr="00A5236D">
                <w:rPr>
                  <w:sz w:val="24"/>
                  <w:szCs w:val="24"/>
                </w:rPr>
                <w:t>Kosnik</w:t>
              </w:r>
              <w:proofErr w:type="spellEnd"/>
              <w:r w:rsidRPr="00A5236D">
                <w:rPr>
                  <w:sz w:val="24"/>
                  <w:szCs w:val="24"/>
                </w:rPr>
                <w:t xml:space="preserve">, C. (2002). Components of a Good Practicum Placement: Pre-Service Teacher Perceptions. Teacher </w:t>
              </w:r>
              <w:r w:rsidRPr="00A5236D">
                <w:rPr>
                  <w:sz w:val="24"/>
                  <w:szCs w:val="24"/>
                </w:rPr>
                <w:t xml:space="preserve">Education Quarterly, 29, 81-98.  </w:t>
              </w:r>
              <w:r w:rsidRPr="00A5236D">
                <w:rPr>
                  <w:sz w:val="24"/>
                  <w:szCs w:val="24"/>
                </w:rPr>
                <w:t>http://www.teqjournal.org/backvols/2002/29_2/sp02beck_kosnick.pdf</w:t>
              </w:r>
            </w:p>
            <w:p w:rsidR="000E64DF" w:rsidRPr="00A5236D" w:rsidRDefault="000E64DF" w:rsidP="000E64DF">
              <w:pPr>
                <w:rPr>
                  <w:sz w:val="24"/>
                  <w:szCs w:val="24"/>
                </w:rPr>
              </w:pPr>
              <w:r w:rsidRPr="00A5236D">
                <w:rPr>
                  <w:sz w:val="24"/>
                  <w:szCs w:val="24"/>
                </w:rPr>
                <w:t xml:space="preserve">Black, P. and </w:t>
              </w:r>
              <w:proofErr w:type="spellStart"/>
              <w:r w:rsidRPr="00A5236D">
                <w:rPr>
                  <w:sz w:val="24"/>
                  <w:szCs w:val="24"/>
                </w:rPr>
                <w:t>Wiliam</w:t>
              </w:r>
              <w:proofErr w:type="spellEnd"/>
              <w:r w:rsidRPr="00A5236D">
                <w:rPr>
                  <w:sz w:val="24"/>
                  <w:szCs w:val="24"/>
                </w:rPr>
                <w:t>, D. (2010). Inside the Black Box: Raising Standards through Classroom Assessment. </w:t>
              </w:r>
              <w:r w:rsidRPr="00A5236D">
                <w:rPr>
                  <w:i/>
                  <w:iCs/>
                  <w:sz w:val="24"/>
                  <w:szCs w:val="24"/>
                </w:rPr>
                <w:t xml:space="preserve">Phi Delta </w:t>
              </w:r>
              <w:proofErr w:type="spellStart"/>
              <w:r w:rsidRPr="00A5236D">
                <w:rPr>
                  <w:i/>
                  <w:iCs/>
                  <w:sz w:val="24"/>
                  <w:szCs w:val="24"/>
                </w:rPr>
                <w:t>Kappan</w:t>
              </w:r>
              <w:proofErr w:type="spellEnd"/>
              <w:r w:rsidRPr="00A5236D">
                <w:rPr>
                  <w:sz w:val="24"/>
                  <w:szCs w:val="24"/>
                </w:rPr>
                <w:t>, 92(1), pp.81-90.</w:t>
              </w:r>
            </w:p>
            <w:p w:rsidR="000E64DF" w:rsidRPr="00A5236D" w:rsidRDefault="000E64DF" w:rsidP="000E64DF">
              <w:pPr>
                <w:rPr>
                  <w:sz w:val="24"/>
                  <w:szCs w:val="24"/>
                </w:rPr>
              </w:pPr>
              <w:r w:rsidRPr="00A5236D">
                <w:rPr>
                  <w:sz w:val="24"/>
                  <w:szCs w:val="24"/>
                </w:rPr>
                <w:t>Blunden, R. (2000). Rethinking the place of the practicum in teacher education. </w:t>
              </w:r>
              <w:r w:rsidRPr="00A5236D">
                <w:rPr>
                  <w:i/>
                  <w:iCs/>
                  <w:sz w:val="24"/>
                  <w:szCs w:val="24"/>
                </w:rPr>
                <w:t>Australian Journal of Teacher Education</w:t>
              </w:r>
              <w:r w:rsidRPr="00A5236D">
                <w:rPr>
                  <w:sz w:val="24"/>
                  <w:szCs w:val="24"/>
                </w:rPr>
                <w:t>, 25(1).</w:t>
              </w:r>
            </w:p>
            <w:p w:rsidR="000E64DF" w:rsidRPr="00A5236D" w:rsidRDefault="000E64DF" w:rsidP="000E64DF">
              <w:pPr>
                <w:rPr>
                  <w:sz w:val="24"/>
                  <w:szCs w:val="24"/>
                </w:rPr>
              </w:pPr>
              <w:proofErr w:type="spellStart"/>
              <w:r w:rsidRPr="00A5236D">
                <w:rPr>
                  <w:sz w:val="24"/>
                  <w:szCs w:val="24"/>
                </w:rPr>
                <w:t>Center</w:t>
              </w:r>
              <w:proofErr w:type="spellEnd"/>
              <w:r w:rsidRPr="00A5236D">
                <w:rPr>
                  <w:sz w:val="24"/>
                  <w:szCs w:val="24"/>
                </w:rPr>
                <w:t xml:space="preserve"> for Educational Research and Innovation (CERI) (2008). </w:t>
              </w:r>
              <w:r w:rsidRPr="00A5236D">
                <w:rPr>
                  <w:i/>
                  <w:iCs/>
                  <w:sz w:val="24"/>
                  <w:szCs w:val="24"/>
                </w:rPr>
                <w:t>Assessment for Learning Formative Assessment</w:t>
              </w:r>
              <w:r w:rsidRPr="00A5236D">
                <w:rPr>
                  <w:sz w:val="24"/>
                  <w:szCs w:val="24"/>
                </w:rPr>
                <w:t>. [online] pp.1-24. Available at: https://www.oecd.org/site/educeri21st/40600533.pdf [Accessed 31 May 2018].</w:t>
              </w:r>
            </w:p>
            <w:p w:rsidR="000E64DF" w:rsidRPr="00A5236D" w:rsidRDefault="000E64DF" w:rsidP="000E64DF">
              <w:pPr>
                <w:rPr>
                  <w:sz w:val="24"/>
                  <w:szCs w:val="24"/>
                </w:rPr>
              </w:pPr>
              <w:proofErr w:type="spellStart"/>
              <w:r w:rsidRPr="00A5236D">
                <w:rPr>
                  <w:sz w:val="24"/>
                  <w:szCs w:val="24"/>
                </w:rPr>
                <w:t>Filsecker</w:t>
              </w:r>
              <w:proofErr w:type="spellEnd"/>
              <w:r w:rsidRPr="00A5236D">
                <w:rPr>
                  <w:sz w:val="24"/>
                  <w:szCs w:val="24"/>
                </w:rPr>
                <w:t xml:space="preserve">, M. and </w:t>
              </w:r>
              <w:proofErr w:type="spellStart"/>
              <w:r w:rsidRPr="00A5236D">
                <w:rPr>
                  <w:sz w:val="24"/>
                  <w:szCs w:val="24"/>
                </w:rPr>
                <w:t>Kerres</w:t>
              </w:r>
              <w:proofErr w:type="spellEnd"/>
              <w:r w:rsidRPr="00A5236D">
                <w:rPr>
                  <w:sz w:val="24"/>
                  <w:szCs w:val="24"/>
                </w:rPr>
                <w:t xml:space="preserve">, M. (2018). Repositioning Formative Assessment from an Educational Assessment Perspective: A Response to Dunn &amp; </w:t>
              </w:r>
              <w:proofErr w:type="spellStart"/>
              <w:r w:rsidRPr="00A5236D">
                <w:rPr>
                  <w:sz w:val="24"/>
                  <w:szCs w:val="24"/>
                </w:rPr>
                <w:t>Mulvenon</w:t>
              </w:r>
              <w:proofErr w:type="spellEnd"/>
              <w:r w:rsidRPr="00A5236D">
                <w:rPr>
                  <w:sz w:val="24"/>
                  <w:szCs w:val="24"/>
                </w:rPr>
                <w:t xml:space="preserve"> (2009). </w:t>
              </w:r>
              <w:r w:rsidRPr="00A5236D">
                <w:rPr>
                  <w:i/>
                  <w:iCs/>
                  <w:sz w:val="24"/>
                  <w:szCs w:val="24"/>
                </w:rPr>
                <w:t>Practical Assessment, Research &amp; Evaluation.</w:t>
              </w:r>
              <w:r w:rsidRPr="00A5236D">
                <w:rPr>
                  <w:sz w:val="24"/>
                  <w:szCs w:val="24"/>
                </w:rPr>
                <w:t>, [online] 17(16). Available at: http://pareonline.net/getvn.asp?v=17%26n=16 [Accessed 31 May 2018].</w:t>
              </w:r>
            </w:p>
            <w:p w:rsidR="000E64DF" w:rsidRPr="00A5236D" w:rsidRDefault="000E64DF" w:rsidP="000E64DF">
              <w:pPr>
                <w:rPr>
                  <w:sz w:val="24"/>
                  <w:szCs w:val="24"/>
                </w:rPr>
              </w:pPr>
              <w:r w:rsidRPr="00A5236D">
                <w:rPr>
                  <w:sz w:val="24"/>
                  <w:szCs w:val="24"/>
                </w:rPr>
                <w:t>Greenstein, L. (2010). </w:t>
              </w:r>
              <w:r w:rsidRPr="00A5236D">
                <w:rPr>
                  <w:i/>
                  <w:iCs/>
                  <w:sz w:val="24"/>
                  <w:szCs w:val="24"/>
                </w:rPr>
                <w:t>What teachers really need to know about formative assessment</w:t>
              </w:r>
              <w:r w:rsidRPr="00A5236D">
                <w:rPr>
                  <w:sz w:val="24"/>
                  <w:szCs w:val="24"/>
                </w:rPr>
                <w:t>. Alexandria, VA: ASCD.</w:t>
              </w:r>
            </w:p>
            <w:p w:rsidR="000E64DF" w:rsidRPr="00A5236D" w:rsidRDefault="000E64DF" w:rsidP="000E64DF">
              <w:pPr>
                <w:rPr>
                  <w:sz w:val="24"/>
                  <w:szCs w:val="24"/>
                </w:rPr>
              </w:pPr>
              <w:r w:rsidRPr="00A5236D">
                <w:rPr>
                  <w:sz w:val="24"/>
                  <w:szCs w:val="24"/>
                </w:rPr>
                <w:t>Keeley, P. (2013). Formative Assessment Probes: Is It Melting? Formative Assessment for Teacher Learning. </w:t>
              </w:r>
              <w:r w:rsidRPr="00A5236D">
                <w:rPr>
                  <w:i/>
                  <w:iCs/>
                  <w:sz w:val="24"/>
                  <w:szCs w:val="24"/>
                </w:rPr>
                <w:t>Science and Children</w:t>
              </w:r>
              <w:r w:rsidRPr="00A5236D">
                <w:rPr>
                  <w:sz w:val="24"/>
                  <w:szCs w:val="24"/>
                </w:rPr>
                <w:t>, 051(03).</w:t>
              </w:r>
            </w:p>
            <w:p w:rsidR="000E64DF" w:rsidRPr="00A5236D" w:rsidRDefault="000E64DF" w:rsidP="000E64DF">
              <w:pPr>
                <w:rPr>
                  <w:sz w:val="24"/>
                  <w:szCs w:val="24"/>
                </w:rPr>
              </w:pPr>
              <w:r w:rsidRPr="00A5236D">
                <w:rPr>
                  <w:sz w:val="24"/>
                  <w:szCs w:val="24"/>
                </w:rPr>
                <w:t>Ofsted (2011). </w:t>
              </w:r>
              <w:r w:rsidRPr="00A5236D">
                <w:rPr>
                  <w:i/>
                  <w:iCs/>
                  <w:sz w:val="24"/>
                  <w:szCs w:val="24"/>
                </w:rPr>
                <w:t>Best practice in safeguarding in colleges</w:t>
              </w:r>
              <w:r w:rsidRPr="00A5236D">
                <w:rPr>
                  <w:sz w:val="24"/>
                  <w:szCs w:val="24"/>
                </w:rPr>
                <w:t>. Manchester: Crown, pp.4-11.</w:t>
              </w:r>
            </w:p>
            <w:p w:rsidR="0051399A" w:rsidRPr="00A5236D" w:rsidRDefault="0051399A" w:rsidP="0051399A">
              <w:pPr>
                <w:rPr>
                  <w:sz w:val="24"/>
                  <w:szCs w:val="24"/>
                </w:rPr>
              </w:pPr>
            </w:p>
          </w:sdtContent>
        </w:sdt>
      </w:sdtContent>
    </w:sdt>
    <w:p w:rsidR="00846D9C" w:rsidRPr="00A5236D" w:rsidRDefault="00846D9C" w:rsidP="004672BE">
      <w:pPr>
        <w:rPr>
          <w:sz w:val="24"/>
          <w:szCs w:val="24"/>
        </w:rPr>
      </w:pPr>
    </w:p>
    <w:p w:rsidR="000E64DF" w:rsidRPr="00A5236D" w:rsidRDefault="000E64DF" w:rsidP="004672BE">
      <w:pPr>
        <w:rPr>
          <w:sz w:val="24"/>
          <w:szCs w:val="24"/>
        </w:rPr>
      </w:pPr>
    </w:p>
    <w:p w:rsidR="000E64DF" w:rsidRPr="00A5236D" w:rsidRDefault="000E64DF" w:rsidP="000E64DF">
      <w:pPr>
        <w:rPr>
          <w:sz w:val="24"/>
          <w:szCs w:val="24"/>
        </w:rPr>
      </w:pPr>
    </w:p>
    <w:p w:rsidR="000E64DF" w:rsidRPr="00A5236D" w:rsidRDefault="000E64DF" w:rsidP="000E64DF">
      <w:pPr>
        <w:rPr>
          <w:sz w:val="24"/>
          <w:szCs w:val="24"/>
        </w:rPr>
      </w:pPr>
    </w:p>
    <w:p w:rsidR="000E64DF" w:rsidRPr="00A5236D" w:rsidRDefault="000E64DF" w:rsidP="000E64DF">
      <w:pPr>
        <w:rPr>
          <w:sz w:val="24"/>
          <w:szCs w:val="24"/>
        </w:rPr>
      </w:pPr>
    </w:p>
    <w:p w:rsidR="000E64DF" w:rsidRPr="00A5236D" w:rsidRDefault="000E64DF" w:rsidP="000E64DF">
      <w:pPr>
        <w:rPr>
          <w:sz w:val="24"/>
          <w:szCs w:val="24"/>
        </w:rPr>
      </w:pPr>
    </w:p>
    <w:p w:rsidR="000E64DF" w:rsidRPr="00A5236D" w:rsidRDefault="000E64DF" w:rsidP="000E64DF">
      <w:pPr>
        <w:rPr>
          <w:sz w:val="24"/>
          <w:szCs w:val="24"/>
        </w:rPr>
      </w:pPr>
    </w:p>
    <w:p w:rsidR="00A5236D" w:rsidRDefault="00A5236D" w:rsidP="000E64DF">
      <w:pPr>
        <w:rPr>
          <w:sz w:val="24"/>
          <w:szCs w:val="24"/>
        </w:rPr>
      </w:pPr>
    </w:p>
    <w:p w:rsidR="00A5236D" w:rsidRDefault="00A5236D" w:rsidP="000E64DF">
      <w:pPr>
        <w:rPr>
          <w:b/>
          <w:i/>
          <w:sz w:val="24"/>
          <w:szCs w:val="24"/>
        </w:rPr>
      </w:pPr>
    </w:p>
    <w:p w:rsidR="000E64DF" w:rsidRPr="00A5236D" w:rsidRDefault="000E64DF" w:rsidP="000E64DF">
      <w:pPr>
        <w:rPr>
          <w:b/>
          <w:i/>
          <w:sz w:val="24"/>
          <w:szCs w:val="24"/>
        </w:rPr>
      </w:pPr>
      <w:r w:rsidRPr="00A5236D">
        <w:rPr>
          <w:b/>
          <w:i/>
          <w:sz w:val="24"/>
          <w:szCs w:val="24"/>
        </w:rPr>
        <w:lastRenderedPageBreak/>
        <w:t xml:space="preserve">An academic critique of current thinking </w:t>
      </w:r>
      <w:bookmarkStart w:id="0" w:name="_GoBack"/>
      <w:bookmarkEnd w:id="0"/>
    </w:p>
    <w:p w:rsidR="000E64DF" w:rsidRPr="00A5236D" w:rsidRDefault="000E64DF" w:rsidP="000E64DF">
      <w:pPr>
        <w:rPr>
          <w:sz w:val="24"/>
          <w:szCs w:val="24"/>
        </w:rPr>
      </w:pPr>
      <w:r w:rsidRPr="00A5236D">
        <w:rPr>
          <w:sz w:val="24"/>
          <w:szCs w:val="24"/>
        </w:rPr>
        <w:t xml:space="preserve">Reflective practises are utilized by teachers to improve and develop within the sector. This practise can take many forms such as written reflections after lessons, at the end of terms or at the end of the year as well as online forms, Likert scales and tick boxes. If used correctly this tool can create continuous professional development and influence the teaching styles and content so that it can be in line with the current thinking and research. This reflective practise needs to be methodical and carefully considered so that no hasty conclusions could be drawn (Richard 1990) about why the lesson did or did not go the way it was planned or developed. Reflections need to move from the ‘how’ to the more abstract concepts of ‘why’ and ‘what’ (Bartlett, 1990) that question the fundamentals of teaching practise. These questions can lead to accountability for the teacher and full responsibility if something was not to go right in the teaching practise (Bartlett, 1990) and with this control comes also the justifications which leaves teachers nowhere to hide. </w:t>
      </w:r>
    </w:p>
    <w:p w:rsidR="000E64DF" w:rsidRPr="00A5236D" w:rsidRDefault="000E64DF" w:rsidP="000E64DF">
      <w:pPr>
        <w:rPr>
          <w:sz w:val="24"/>
          <w:szCs w:val="24"/>
        </w:rPr>
      </w:pPr>
      <w:r w:rsidRPr="00A5236D">
        <w:rPr>
          <w:sz w:val="24"/>
          <w:szCs w:val="24"/>
        </w:rPr>
        <w:t xml:space="preserve">Some examples of reflective practices include peer observations, written accounts such as journal writing and self-reports and recording lessons both visually and audibly. Peer observations can take many forms and can include being observed or the observer in the classroom to improve standards and demonstrate teaching styles and practices with justification and critique from more experienced teachers or peers also starting out in the sector. The observer will understand the lesson from the students’ perspective for formative and summative aspects of learning. Written accounts could also be effective as the teacher would have time after the lesson to make notes about the lesson developed, the student response and the leaning objectives all of which could inform new lessons or teaching styles. The most valuable tool would be the video the lesson, with permission from the school or setting, so that the teacher could watch back the lesson and make notes while it is playing back as memory is not always reliable. </w:t>
      </w:r>
    </w:p>
    <w:p w:rsidR="000E64DF" w:rsidRPr="00A5236D" w:rsidRDefault="000E64DF" w:rsidP="000E64DF">
      <w:pPr>
        <w:rPr>
          <w:sz w:val="24"/>
          <w:szCs w:val="24"/>
        </w:rPr>
      </w:pPr>
      <w:r w:rsidRPr="00A5236D">
        <w:rPr>
          <w:sz w:val="24"/>
          <w:szCs w:val="24"/>
        </w:rPr>
        <w:t xml:space="preserve">Reynolds (1956) developed a model, originally for the development of social works, that could be used in reflective practice in the education sector. This model outlines the process needed to develop with practise and mastery involved. For example, when learning to drive it is the clutch control that seems the hardest part to master but with practise and sometimes failing, it becomes second nature. Reynolds argues that it is the same with teaching practice, following four steps from beginner to experienced. </w:t>
      </w:r>
    </w:p>
    <w:p w:rsidR="000E64DF" w:rsidRPr="00A5236D" w:rsidRDefault="000E64DF" w:rsidP="000E64DF">
      <w:pPr>
        <w:rPr>
          <w:sz w:val="24"/>
          <w:szCs w:val="24"/>
        </w:rPr>
      </w:pPr>
      <w:r w:rsidRPr="00A5236D">
        <w:rPr>
          <w:sz w:val="24"/>
          <w:szCs w:val="24"/>
        </w:rPr>
        <w:t xml:space="preserve">The first step is ‘unconscious incompetence’ (Reynolds, 1956) which is described as not knowing where our gaps in knowledge are or being unaware of what we cannot do. At this stage it is imperative that reflective practices are used in conjunction with other experienced teachers allowing for feedback and critique where the teacher is made aware of knowledge shortfalls and inabilities of practice and teaching styles. Once this stage has been mastered, the teacher moves into ‘conscious incompetence’ where the teacher is aware of how to improve and put these procedures in place to achieve this and develop both as an educator and as a reflective practitioner.  </w:t>
      </w:r>
    </w:p>
    <w:p w:rsidR="000E64DF" w:rsidRPr="00A5236D" w:rsidRDefault="000E64DF" w:rsidP="000E64DF">
      <w:pPr>
        <w:rPr>
          <w:sz w:val="24"/>
          <w:szCs w:val="24"/>
        </w:rPr>
      </w:pPr>
      <w:r w:rsidRPr="00A5236D">
        <w:rPr>
          <w:sz w:val="24"/>
          <w:szCs w:val="24"/>
        </w:rPr>
        <w:t xml:space="preserve">Step three, ‘conscious competence’, is used when skills and attributes are being used continuously as well as developing new reflective practices to keep the level of competence </w:t>
      </w:r>
      <w:r w:rsidRPr="00A5236D">
        <w:rPr>
          <w:sz w:val="24"/>
          <w:szCs w:val="24"/>
        </w:rPr>
        <w:lastRenderedPageBreak/>
        <w:t xml:space="preserve">to finally reach stage 4, unconscious competence, where these skills become second nature to the educator and are used to the fullest potential to best serve the students without this second nature turning into complacency. The reflective practices must be maintained throughout the sector and at all levels or standards will drop. </w:t>
      </w:r>
    </w:p>
    <w:p w:rsidR="000E64DF" w:rsidRPr="00A5236D" w:rsidRDefault="000E64DF" w:rsidP="000E64DF">
      <w:pPr>
        <w:rPr>
          <w:sz w:val="24"/>
          <w:szCs w:val="24"/>
        </w:rPr>
      </w:pPr>
      <w:r w:rsidRPr="00A5236D">
        <w:rPr>
          <w:sz w:val="24"/>
          <w:szCs w:val="24"/>
        </w:rPr>
        <w:t xml:space="preserve">Reflection takes time to implement and develop but grants a sense of control (Dewey, 1933) that otherwise would not have been developed to that level. This reflective process emancipates teachers from a merely routine activity, one that is blind and impulsive into one that is intelligent (Dewey, 1933) as it is not enough to just create experiences within the classroom it is reflection that will direct these experiences to deeper insights. </w:t>
      </w:r>
    </w:p>
    <w:p w:rsidR="000E64DF" w:rsidRPr="00A5236D" w:rsidRDefault="000E64DF" w:rsidP="000E64DF">
      <w:pPr>
        <w:rPr>
          <w:sz w:val="24"/>
          <w:szCs w:val="24"/>
        </w:rPr>
      </w:pPr>
      <w:r w:rsidRPr="00A5236D">
        <w:rPr>
          <w:sz w:val="24"/>
          <w:szCs w:val="24"/>
        </w:rPr>
        <w:t>These reflective practices can engage in many different phrases including, perplexity whereby teachers and reflectors respond to suggestions and new ideas (Dewey, 1933) as well as elaboration where past experiences play a part in development of teaching styles and practices by learning from these and creating new experiences creating a cycle of experience and development.</w:t>
      </w:r>
    </w:p>
    <w:p w:rsidR="000E64DF" w:rsidRPr="00A5236D" w:rsidRDefault="000E64DF" w:rsidP="000E64DF">
      <w:pPr>
        <w:rPr>
          <w:sz w:val="24"/>
          <w:szCs w:val="24"/>
        </w:rPr>
      </w:pPr>
      <w:r w:rsidRPr="00A5236D">
        <w:rPr>
          <w:sz w:val="24"/>
          <w:szCs w:val="24"/>
        </w:rPr>
        <w:t xml:space="preserve">There must be development of attitudes that foster the habit of thinking in a reflective way (Dewey, 1933) such as absorbed interest and the responsibility over any consequences that may arise. </w:t>
      </w:r>
    </w:p>
    <w:p w:rsidR="000E64DF" w:rsidRPr="00A5236D" w:rsidRDefault="000E64DF" w:rsidP="000E64DF">
      <w:pPr>
        <w:rPr>
          <w:sz w:val="24"/>
          <w:szCs w:val="24"/>
        </w:rPr>
      </w:pPr>
      <w:r w:rsidRPr="00A5236D">
        <w:rPr>
          <w:sz w:val="24"/>
          <w:szCs w:val="24"/>
        </w:rPr>
        <w:t xml:space="preserve">From the work of Dewey (1933) many theorists have explored the concept of reflective practice. Shon (1983) took the idea of reflective practice influencing further work but whereas Dewey spoke out reflection after the event, Shon wanted to influence the event as it was happening and could be influenced with the educator using previous knowledge and experience to reflect and improve in the situation. </w:t>
      </w:r>
    </w:p>
    <w:p w:rsidR="000E64DF" w:rsidRPr="00A5236D" w:rsidRDefault="000E64DF" w:rsidP="000E64DF">
      <w:pPr>
        <w:rPr>
          <w:sz w:val="24"/>
          <w:szCs w:val="24"/>
        </w:rPr>
      </w:pPr>
      <w:r w:rsidRPr="00A5236D">
        <w:rPr>
          <w:sz w:val="24"/>
          <w:szCs w:val="24"/>
        </w:rPr>
        <w:t xml:space="preserve">These reflective practices are not always appropriate or helpful, especially for newly qualified teachers who may not have an attentive mentor or experienced teacher to call upon. There are contentious debates that have arisen based on this reflective practice which generally focus on to the extent that teachers should reflect on their own practice or on the larger social context (Finlay, 2008) as well as when this reflection should take place.  Working educations would not necessarily have the time to do in-depth reflections after every lesson or every engagement with students (Finlay, 2008) and when there is time the reflections can easily become bland, mechanical and generic which is unhelpful. </w:t>
      </w:r>
    </w:p>
    <w:p w:rsidR="000E64DF" w:rsidRPr="00A5236D" w:rsidRDefault="000E64DF" w:rsidP="000E64DF">
      <w:pPr>
        <w:rPr>
          <w:sz w:val="24"/>
          <w:szCs w:val="24"/>
        </w:rPr>
      </w:pPr>
      <w:r w:rsidRPr="00A5236D">
        <w:rPr>
          <w:sz w:val="24"/>
          <w:szCs w:val="24"/>
        </w:rPr>
        <w:t xml:space="preserve">Some practitioners may not want to revisit painful or testing experiences and then become critical and analytical as it would only compound the feeling of inadequacy or failings. There can be tangles of misunderstandings and difficulties with regards to how to apply these reflections effectively and then the reflections would be useless. </w:t>
      </w:r>
    </w:p>
    <w:p w:rsidR="000E64DF" w:rsidRPr="00A5236D" w:rsidRDefault="000E64DF" w:rsidP="000E64DF">
      <w:pPr>
        <w:rPr>
          <w:sz w:val="24"/>
          <w:szCs w:val="24"/>
        </w:rPr>
      </w:pPr>
      <w:r w:rsidRPr="00A5236D">
        <w:rPr>
          <w:sz w:val="24"/>
          <w:szCs w:val="24"/>
        </w:rPr>
        <w:t xml:space="preserve">There are known barriers to teachers being able to reflect effectively such as time, as there is not always the opportunity to write a long reflective piece. Motivation may also be a factor in why reflections are not always completed, or a lack of which can stem from the teacher themselves, colleagues or the organisation (Stefani et al, 2007) as well as culture within the organisation of not promoting or allowing for reflective practice. Some </w:t>
      </w:r>
      <w:r w:rsidRPr="00A5236D">
        <w:rPr>
          <w:sz w:val="24"/>
          <w:szCs w:val="24"/>
        </w:rPr>
        <w:lastRenderedPageBreak/>
        <w:t>organisations may not see the benefit of this practice or they may have the misconception that reflective practices are too difficult or need to be taught.</w:t>
      </w:r>
    </w:p>
    <w:p w:rsidR="000E64DF" w:rsidRPr="00A5236D" w:rsidRDefault="000E64DF" w:rsidP="000E64DF">
      <w:pPr>
        <w:rPr>
          <w:sz w:val="24"/>
          <w:szCs w:val="24"/>
        </w:rPr>
      </w:pPr>
      <w:r w:rsidRPr="00A5236D">
        <w:rPr>
          <w:sz w:val="24"/>
          <w:szCs w:val="24"/>
        </w:rPr>
        <w:t xml:space="preserve">There may also be a lack of education on how to undertake these reflections or how to reflect effectively, or detailing emotion and experiences in details, to inform and improve teaching practice. These issues would need to be looked at in each organisation with the reflective practices implemented to determine the level to which each teacher would feel comfortable exploring and in which context these would be appropriate. </w:t>
      </w:r>
    </w:p>
    <w:p w:rsidR="000E64DF" w:rsidRPr="00A5236D" w:rsidRDefault="000E64DF" w:rsidP="000E64DF">
      <w:pPr>
        <w:rPr>
          <w:sz w:val="24"/>
          <w:szCs w:val="24"/>
        </w:rPr>
      </w:pPr>
      <w:r w:rsidRPr="00A5236D">
        <w:rPr>
          <w:sz w:val="24"/>
          <w:szCs w:val="24"/>
        </w:rPr>
        <w:t xml:space="preserve">There are a few cultural and personal risks involved in reflective practice, with not everyone feeling as empowered (Brookfield 1994; 1995) to continue the practice. With newly qualified teachers choosing not to reflect constructively (Ash 2002) but to fall back on pre-set checklists on what they perceive behaviours and understandings of how teachers and students should act in the classroom (Hobbs, 2007). </w:t>
      </w:r>
    </w:p>
    <w:p w:rsidR="000E64DF" w:rsidRPr="00A5236D" w:rsidRDefault="000E64DF" w:rsidP="000E64DF">
      <w:pPr>
        <w:rPr>
          <w:sz w:val="24"/>
          <w:szCs w:val="24"/>
        </w:rPr>
      </w:pPr>
      <w:r w:rsidRPr="00A5236D">
        <w:rPr>
          <w:sz w:val="24"/>
          <w:szCs w:val="24"/>
        </w:rPr>
        <w:t xml:space="preserve">This reflective practice could generate ethical concerns relating to confidentiality, privacy, informed consent and professional relationships which could lead to conflicts of interest (Ash, 2002) </w:t>
      </w:r>
    </w:p>
    <w:p w:rsidR="000E64DF" w:rsidRPr="00A5236D" w:rsidRDefault="000E64DF" w:rsidP="000E64DF">
      <w:pPr>
        <w:rPr>
          <w:sz w:val="24"/>
          <w:szCs w:val="24"/>
        </w:rPr>
      </w:pPr>
      <w:r w:rsidRPr="00A5236D">
        <w:rPr>
          <w:sz w:val="24"/>
          <w:szCs w:val="24"/>
        </w:rPr>
        <w:t xml:space="preserve">This reflective process is often underpinned by the constant need to improve (Quinn, 2000) which can lead to feelings of self-rejection, low self-esteem and negativities. Those in charge would need to be mindful of these feeling and thoughts (Morley, 2007) while working in established boundaries for teachers to address these difficult work or personal issues (Hunt, 2001) </w:t>
      </w:r>
    </w:p>
    <w:p w:rsidR="000E64DF" w:rsidRPr="00A5236D" w:rsidRDefault="000E64DF" w:rsidP="000E64DF">
      <w:pPr>
        <w:rPr>
          <w:sz w:val="24"/>
          <w:szCs w:val="24"/>
        </w:rPr>
      </w:pPr>
      <w:r w:rsidRPr="00A5236D">
        <w:rPr>
          <w:sz w:val="24"/>
          <w:szCs w:val="24"/>
        </w:rPr>
        <w:t xml:space="preserve">Although these reflections can lead to some psychological issues, which would need to be addressed by mentors or more experienced teachers, reflective practices can be extremely important for continual professional development. One way to achieve this would be for newly qualified teachers to hear about the experiences of other teachers and for them to understand how refection can be effectively implemented (Finlay 2008) with the teacher learning that the reflections are rarely clear-cut or simple, but with the positive aspects vastly outweighing the negative it can deepen thinking and develop an effective teacher. </w:t>
      </w:r>
    </w:p>
    <w:p w:rsidR="000E64DF" w:rsidRDefault="000E64DF" w:rsidP="000E64DF">
      <w:pPr>
        <w:rPr>
          <w:sz w:val="24"/>
          <w:szCs w:val="24"/>
        </w:rPr>
      </w:pPr>
      <w:r w:rsidRPr="00A5236D">
        <w:rPr>
          <w:sz w:val="24"/>
          <w:szCs w:val="24"/>
        </w:rPr>
        <w:t>Whether these reflections are done in private, especially for reflections that are less positive or emotional (Rees 2007) with these opportunities being particularly meaningful and enduring for those who really engage with the process. As McKay (2008) argues, working alone may not nurture this critical reflection and would need others to clarify and challenge assumptions for which the teacher may not be aware and as such lead to collaboration and idea sharing that could be beneficial for all involved. There will always be reasons why this group work will be beneficial for all involved to develop better teachers.</w:t>
      </w: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Default="00A5236D" w:rsidP="000E64DF">
      <w:pPr>
        <w:rPr>
          <w:sz w:val="24"/>
          <w:szCs w:val="24"/>
        </w:rPr>
      </w:pPr>
    </w:p>
    <w:p w:rsidR="00A5236D" w:rsidRPr="00A5236D" w:rsidRDefault="00A5236D" w:rsidP="000E64DF">
      <w:pPr>
        <w:rPr>
          <w:sz w:val="24"/>
          <w:szCs w:val="24"/>
        </w:rPr>
      </w:pPr>
    </w:p>
    <w:sdt>
      <w:sdtPr>
        <w:rPr>
          <w:rFonts w:asciiTheme="minorHAnsi" w:hAnsiTheme="minorHAnsi"/>
          <w:sz w:val="24"/>
          <w:szCs w:val="24"/>
        </w:rPr>
        <w:id w:val="-1216814433"/>
        <w:docPartObj>
          <w:docPartGallery w:val="Bibliographies"/>
          <w:docPartUnique/>
        </w:docPartObj>
      </w:sdtPr>
      <w:sdtEndPr>
        <w:rPr>
          <w:rFonts w:eastAsiaTheme="minorHAnsi" w:cstheme="minorBidi"/>
          <w:color w:val="auto"/>
          <w:lang w:val="en-GB"/>
        </w:rPr>
      </w:sdtEndPr>
      <w:sdtContent>
        <w:p w:rsidR="006D5344" w:rsidRPr="00A5236D" w:rsidRDefault="006D5344">
          <w:pPr>
            <w:pStyle w:val="Heading1"/>
            <w:rPr>
              <w:rFonts w:asciiTheme="minorHAnsi" w:hAnsiTheme="minorHAnsi"/>
              <w:sz w:val="24"/>
              <w:szCs w:val="24"/>
            </w:rPr>
          </w:pPr>
          <w:r w:rsidRPr="00A5236D">
            <w:rPr>
              <w:rFonts w:asciiTheme="minorHAnsi" w:hAnsiTheme="minorHAnsi"/>
              <w:sz w:val="24"/>
              <w:szCs w:val="24"/>
            </w:rPr>
            <w:t>References</w:t>
          </w:r>
        </w:p>
        <w:sdt>
          <w:sdtPr>
            <w:rPr>
              <w:sz w:val="24"/>
              <w:szCs w:val="24"/>
            </w:rPr>
            <w:id w:val="1568531733"/>
            <w:bibliography/>
          </w:sdtPr>
          <w:sdtContent>
            <w:p w:rsidR="00A377FE" w:rsidRPr="00A5236D" w:rsidRDefault="00A377FE" w:rsidP="00A377FE">
              <w:pPr>
                <w:rPr>
                  <w:sz w:val="24"/>
                  <w:szCs w:val="24"/>
                </w:rPr>
              </w:pPr>
              <w:r w:rsidRPr="00A5236D">
                <w:rPr>
                  <w:sz w:val="24"/>
                  <w:szCs w:val="24"/>
                </w:rPr>
                <w:t>Akbari, R. (2007). Reflections on reflection: A critical appraisal of reflective practices in L2 teacher education. </w:t>
              </w:r>
              <w:r w:rsidRPr="00A5236D">
                <w:rPr>
                  <w:i/>
                  <w:iCs/>
                  <w:sz w:val="24"/>
                  <w:szCs w:val="24"/>
                </w:rPr>
                <w:t>System</w:t>
              </w:r>
              <w:r w:rsidRPr="00A5236D">
                <w:rPr>
                  <w:sz w:val="24"/>
                  <w:szCs w:val="24"/>
                </w:rPr>
                <w:t>, 35(2), pp.192-207.</w:t>
              </w:r>
            </w:p>
            <w:p w:rsidR="00A377FE" w:rsidRPr="00A5236D" w:rsidRDefault="00A377FE" w:rsidP="00A377FE">
              <w:pPr>
                <w:rPr>
                  <w:sz w:val="24"/>
                  <w:szCs w:val="24"/>
                </w:rPr>
              </w:pPr>
              <w:r w:rsidRPr="00A5236D">
                <w:rPr>
                  <w:sz w:val="24"/>
                  <w:szCs w:val="24"/>
                </w:rPr>
                <w:t>Boyle, B. and Charles, M. (n.d.). </w:t>
              </w:r>
              <w:r w:rsidRPr="00A5236D">
                <w:rPr>
                  <w:i/>
                  <w:iCs/>
                  <w:sz w:val="24"/>
                  <w:szCs w:val="24"/>
                </w:rPr>
                <w:t>Formative assessment for teaching &amp; learning</w:t>
              </w:r>
              <w:r w:rsidRPr="00A5236D">
                <w:rPr>
                  <w:sz w:val="24"/>
                  <w:szCs w:val="24"/>
                </w:rPr>
                <w:t>.</w:t>
              </w:r>
            </w:p>
            <w:p w:rsidR="00A377FE" w:rsidRPr="00A5236D" w:rsidRDefault="00A377FE" w:rsidP="00A377FE">
              <w:pPr>
                <w:rPr>
                  <w:sz w:val="24"/>
                  <w:szCs w:val="24"/>
                </w:rPr>
              </w:pPr>
              <w:r w:rsidRPr="00A5236D">
                <w:rPr>
                  <w:sz w:val="24"/>
                  <w:szCs w:val="24"/>
                </w:rPr>
                <w:t>Brookfield, S. (1994). Tales from the dark side: a phenomenography of adult critical reflection. </w:t>
              </w:r>
              <w:r w:rsidRPr="00A5236D">
                <w:rPr>
                  <w:i/>
                  <w:iCs/>
                  <w:sz w:val="24"/>
                  <w:szCs w:val="24"/>
                </w:rPr>
                <w:t>International Journal of Lifelong Education</w:t>
              </w:r>
              <w:r w:rsidRPr="00A5236D">
                <w:rPr>
                  <w:sz w:val="24"/>
                  <w:szCs w:val="24"/>
                </w:rPr>
                <w:t>, 13(3), pp.203-216.</w:t>
              </w:r>
            </w:p>
            <w:p w:rsidR="00A377FE" w:rsidRPr="00A5236D" w:rsidRDefault="00A377FE" w:rsidP="00A377FE">
              <w:pPr>
                <w:rPr>
                  <w:sz w:val="24"/>
                  <w:szCs w:val="24"/>
                </w:rPr>
              </w:pPr>
              <w:r w:rsidRPr="00A5236D">
                <w:rPr>
                  <w:sz w:val="24"/>
                  <w:szCs w:val="24"/>
                </w:rPr>
                <w:t>Bugg, E. and Dewey, J. (1934). How We Think: A Restatement of the Relation of Reflective Thinking to the Educative Process. </w:t>
              </w:r>
              <w:r w:rsidRPr="00A5236D">
                <w:rPr>
                  <w:i/>
                  <w:iCs/>
                  <w:sz w:val="24"/>
                  <w:szCs w:val="24"/>
                </w:rPr>
                <w:t>The American Journal of Psychology</w:t>
              </w:r>
              <w:r w:rsidRPr="00A5236D">
                <w:rPr>
                  <w:sz w:val="24"/>
                  <w:szCs w:val="24"/>
                </w:rPr>
                <w:t>, 46(3), p.528.</w:t>
              </w:r>
            </w:p>
            <w:p w:rsidR="00A377FE" w:rsidRPr="00A5236D" w:rsidRDefault="00A377FE" w:rsidP="00A377FE">
              <w:pPr>
                <w:rPr>
                  <w:sz w:val="24"/>
                  <w:szCs w:val="24"/>
                </w:rPr>
              </w:pPr>
              <w:r w:rsidRPr="00A5236D">
                <w:rPr>
                  <w:sz w:val="24"/>
                  <w:szCs w:val="24"/>
                </w:rPr>
                <w:t>Calderhead, J. (1989). Reflective teaching and teacher education. </w:t>
              </w:r>
              <w:r w:rsidRPr="00A5236D">
                <w:rPr>
                  <w:i/>
                  <w:iCs/>
                  <w:sz w:val="24"/>
                  <w:szCs w:val="24"/>
                </w:rPr>
                <w:t>Teaching and Teacher Education</w:t>
              </w:r>
              <w:r w:rsidRPr="00A5236D">
                <w:rPr>
                  <w:sz w:val="24"/>
                  <w:szCs w:val="24"/>
                </w:rPr>
                <w:t>, 5(1), pp.43-51.</w:t>
              </w:r>
            </w:p>
            <w:p w:rsidR="00A377FE" w:rsidRPr="00A5236D" w:rsidRDefault="00A377FE" w:rsidP="00A377FE">
              <w:pPr>
                <w:rPr>
                  <w:sz w:val="24"/>
                  <w:szCs w:val="24"/>
                </w:rPr>
              </w:pPr>
              <w:r w:rsidRPr="00A5236D">
                <w:rPr>
                  <w:sz w:val="24"/>
                  <w:szCs w:val="24"/>
                </w:rPr>
                <w:t>Finlay, L. (2008). Reflecting on ‘Reflective practice’. </w:t>
              </w:r>
              <w:r w:rsidRPr="00A5236D">
                <w:rPr>
                  <w:i/>
                  <w:iCs/>
                  <w:sz w:val="24"/>
                  <w:szCs w:val="24"/>
                </w:rPr>
                <w:t>The Open University Press</w:t>
              </w:r>
              <w:r w:rsidRPr="00A5236D">
                <w:rPr>
                  <w:sz w:val="24"/>
                  <w:szCs w:val="24"/>
                </w:rPr>
                <w:t>. [online] Available at: http://www.open.ac.uk/opencetl/sites/www.open.ac.uk.opencetl/files/files/ecms/web-content/Finlay-%282008%29-Reflecting-on-reflective-practice-PBPL-paper-52.pdf [Accessed 31 May 2018].</w:t>
              </w:r>
            </w:p>
            <w:p w:rsidR="00A377FE" w:rsidRPr="00A5236D" w:rsidRDefault="00A377FE" w:rsidP="00A377FE">
              <w:pPr>
                <w:rPr>
                  <w:sz w:val="24"/>
                  <w:szCs w:val="24"/>
                </w:rPr>
              </w:pPr>
              <w:r w:rsidRPr="00A5236D">
                <w:rPr>
                  <w:sz w:val="24"/>
                  <w:szCs w:val="24"/>
                </w:rPr>
                <w:t xml:space="preserve">Gadsby, H. and Cronin, S. (2012). To what extent can reflective journaling help beginning teachers develop Masters level writing </w:t>
              </w:r>
              <w:proofErr w:type="gramStart"/>
              <w:r w:rsidRPr="00A5236D">
                <w:rPr>
                  <w:sz w:val="24"/>
                  <w:szCs w:val="24"/>
                </w:rPr>
                <w:t>skills?.</w:t>
              </w:r>
              <w:proofErr w:type="gramEnd"/>
              <w:r w:rsidRPr="00A5236D">
                <w:rPr>
                  <w:sz w:val="24"/>
                  <w:szCs w:val="24"/>
                </w:rPr>
                <w:t> </w:t>
              </w:r>
              <w:r w:rsidRPr="00A5236D">
                <w:rPr>
                  <w:i/>
                  <w:iCs/>
                  <w:sz w:val="24"/>
                  <w:szCs w:val="24"/>
                </w:rPr>
                <w:t>Reflective Practice</w:t>
              </w:r>
              <w:r w:rsidRPr="00A5236D">
                <w:rPr>
                  <w:sz w:val="24"/>
                  <w:szCs w:val="24"/>
                </w:rPr>
                <w:t>, 13(1), pp.1-12.</w:t>
              </w:r>
            </w:p>
            <w:p w:rsidR="00A377FE" w:rsidRPr="00A5236D" w:rsidRDefault="00A377FE" w:rsidP="00A377FE">
              <w:pPr>
                <w:rPr>
                  <w:sz w:val="24"/>
                  <w:szCs w:val="24"/>
                </w:rPr>
              </w:pPr>
              <w:r w:rsidRPr="00A5236D">
                <w:rPr>
                  <w:sz w:val="24"/>
                  <w:szCs w:val="24"/>
                </w:rPr>
                <w:t xml:space="preserve">Hobbs, V. (2007). Faking it or hating it: can reflective practice be </w:t>
              </w:r>
              <w:proofErr w:type="gramStart"/>
              <w:r w:rsidRPr="00A5236D">
                <w:rPr>
                  <w:sz w:val="24"/>
                  <w:szCs w:val="24"/>
                </w:rPr>
                <w:t>forced?.</w:t>
              </w:r>
              <w:proofErr w:type="gramEnd"/>
              <w:r w:rsidRPr="00A5236D">
                <w:rPr>
                  <w:sz w:val="24"/>
                  <w:szCs w:val="24"/>
                </w:rPr>
                <w:t> </w:t>
              </w:r>
              <w:r w:rsidRPr="00A5236D">
                <w:rPr>
                  <w:i/>
                  <w:iCs/>
                  <w:sz w:val="24"/>
                  <w:szCs w:val="24"/>
                </w:rPr>
                <w:t>Reflective Practice</w:t>
              </w:r>
              <w:r w:rsidRPr="00A5236D">
                <w:rPr>
                  <w:sz w:val="24"/>
                  <w:szCs w:val="24"/>
                </w:rPr>
                <w:t>, 8(3), pp.405-417.</w:t>
              </w:r>
            </w:p>
            <w:p w:rsidR="00A377FE" w:rsidRPr="00A5236D" w:rsidRDefault="00A377FE" w:rsidP="00A377FE">
              <w:pPr>
                <w:rPr>
                  <w:sz w:val="24"/>
                  <w:szCs w:val="24"/>
                </w:rPr>
              </w:pPr>
              <w:r w:rsidRPr="00A5236D">
                <w:rPr>
                  <w:sz w:val="24"/>
                  <w:szCs w:val="24"/>
                </w:rPr>
                <w:t>Jasper, M. (2013). </w:t>
              </w:r>
              <w:r w:rsidRPr="00A5236D">
                <w:rPr>
                  <w:i/>
                  <w:iCs/>
                  <w:sz w:val="24"/>
                  <w:szCs w:val="24"/>
                </w:rPr>
                <w:t>Beginning reflective practice</w:t>
              </w:r>
              <w:r w:rsidRPr="00A5236D">
                <w:rPr>
                  <w:sz w:val="24"/>
                  <w:szCs w:val="24"/>
                </w:rPr>
                <w:t>. Andover: Cengage Learning.</w:t>
              </w:r>
            </w:p>
            <w:p w:rsidR="00A5236D" w:rsidRPr="00A5236D" w:rsidRDefault="00A5236D" w:rsidP="00A377FE">
              <w:pPr>
                <w:rPr>
                  <w:sz w:val="24"/>
                  <w:szCs w:val="24"/>
                </w:rPr>
              </w:pPr>
              <w:hyperlink r:id="rId6" w:history="1">
                <w:r w:rsidRPr="00A5236D">
                  <w:rPr>
                    <w:rStyle w:val="Hyperlink"/>
                    <w:color w:val="000000" w:themeColor="text1"/>
                    <w:sz w:val="24"/>
                    <w:szCs w:val="24"/>
                    <w:u w:val="none"/>
                  </w:rPr>
                  <w:t>McKay, E</w:t>
                </w:r>
                <w:r w:rsidRPr="00A5236D">
                  <w:rPr>
                    <w:rStyle w:val="Hyperlink"/>
                    <w:sz w:val="24"/>
                    <w:szCs w:val="24"/>
                  </w:rPr>
                  <w:t>.</w:t>
                </w:r>
              </w:hyperlink>
              <w:r w:rsidRPr="00A5236D">
                <w:rPr>
                  <w:sz w:val="24"/>
                  <w:szCs w:val="24"/>
                </w:rPr>
                <w:t> (2008) "Reflective Practice: Doing, being and becoming a reflective practitioner". In 'Skills for Practice in Occupational Therapy'</w:t>
              </w:r>
            </w:p>
            <w:p w:rsidR="00A377FE" w:rsidRPr="00A5236D" w:rsidRDefault="00A377FE" w:rsidP="00A377FE">
              <w:pPr>
                <w:rPr>
                  <w:sz w:val="24"/>
                  <w:szCs w:val="24"/>
                </w:rPr>
              </w:pPr>
              <w:r w:rsidRPr="00A5236D">
                <w:rPr>
                  <w:sz w:val="24"/>
                  <w:szCs w:val="24"/>
                </w:rPr>
                <w:t>Ross, J. (2011). Traces of self: online reflective practices and performances in higher education. </w:t>
              </w:r>
              <w:r w:rsidRPr="00A5236D">
                <w:rPr>
                  <w:i/>
                  <w:iCs/>
                  <w:sz w:val="24"/>
                  <w:szCs w:val="24"/>
                </w:rPr>
                <w:t>Teaching in Higher Education</w:t>
              </w:r>
              <w:r w:rsidRPr="00A5236D">
                <w:rPr>
                  <w:sz w:val="24"/>
                  <w:szCs w:val="24"/>
                </w:rPr>
                <w:t>, 16(1), pp.113-126.</w:t>
              </w:r>
            </w:p>
            <w:p w:rsidR="00A377FE" w:rsidRPr="00A5236D" w:rsidRDefault="00A377FE" w:rsidP="00A377FE">
              <w:pPr>
                <w:rPr>
                  <w:sz w:val="24"/>
                  <w:szCs w:val="24"/>
                </w:rPr>
              </w:pPr>
              <w:proofErr w:type="spellStart"/>
              <w:r w:rsidRPr="00A5236D">
                <w:rPr>
                  <w:sz w:val="24"/>
                  <w:szCs w:val="24"/>
                </w:rPr>
                <w:lastRenderedPageBreak/>
                <w:t>Schön</w:t>
              </w:r>
              <w:proofErr w:type="spellEnd"/>
              <w:r w:rsidRPr="00A5236D">
                <w:rPr>
                  <w:sz w:val="24"/>
                  <w:szCs w:val="24"/>
                </w:rPr>
                <w:t>, D. (n.d.). </w:t>
              </w:r>
              <w:r w:rsidRPr="00A5236D">
                <w:rPr>
                  <w:i/>
                  <w:iCs/>
                  <w:sz w:val="24"/>
                  <w:szCs w:val="24"/>
                </w:rPr>
                <w:t>The reflective practitioner</w:t>
              </w:r>
              <w:r w:rsidRPr="00A5236D">
                <w:rPr>
                  <w:sz w:val="24"/>
                  <w:szCs w:val="24"/>
                </w:rPr>
                <w:t>.</w:t>
              </w:r>
            </w:p>
            <w:p w:rsidR="00A377FE" w:rsidRPr="00A5236D" w:rsidRDefault="00A377FE" w:rsidP="00A377FE">
              <w:pPr>
                <w:rPr>
                  <w:sz w:val="24"/>
                  <w:szCs w:val="24"/>
                </w:rPr>
              </w:pPr>
              <w:r w:rsidRPr="00A5236D">
                <w:rPr>
                  <w:sz w:val="24"/>
                  <w:szCs w:val="24"/>
                </w:rPr>
                <w:t>Slattery, P. (1998). Postmodern Education. </w:t>
              </w:r>
              <w:r w:rsidRPr="00A5236D">
                <w:rPr>
                  <w:i/>
                  <w:iCs/>
                  <w:sz w:val="24"/>
                  <w:szCs w:val="24"/>
                </w:rPr>
                <w:t>Teaching Education</w:t>
              </w:r>
              <w:r w:rsidRPr="00A5236D">
                <w:rPr>
                  <w:sz w:val="24"/>
                  <w:szCs w:val="24"/>
                </w:rPr>
                <w:t>, 10(1), pp.21-21.</w:t>
              </w:r>
            </w:p>
            <w:p w:rsidR="00A377FE" w:rsidRPr="00A5236D" w:rsidRDefault="00A377FE" w:rsidP="00A377FE">
              <w:pPr>
                <w:rPr>
                  <w:sz w:val="24"/>
                  <w:szCs w:val="24"/>
                </w:rPr>
              </w:pPr>
            </w:p>
            <w:p w:rsidR="00A377FE" w:rsidRPr="00A5236D" w:rsidRDefault="00A377FE" w:rsidP="00A377FE">
              <w:pPr>
                <w:rPr>
                  <w:sz w:val="24"/>
                  <w:szCs w:val="24"/>
                </w:rPr>
              </w:pPr>
            </w:p>
            <w:p w:rsidR="006D5344" w:rsidRPr="00A5236D" w:rsidRDefault="006D5344">
              <w:pPr>
                <w:rPr>
                  <w:sz w:val="24"/>
                  <w:szCs w:val="24"/>
                </w:rPr>
              </w:pPr>
            </w:p>
          </w:sdtContent>
        </w:sdt>
      </w:sdtContent>
    </w:sdt>
    <w:p w:rsidR="006D5344" w:rsidRPr="00A5236D" w:rsidRDefault="006D5344" w:rsidP="00A377FE">
      <w:pPr>
        <w:rPr>
          <w:sz w:val="24"/>
          <w:szCs w:val="24"/>
        </w:rPr>
      </w:pPr>
      <w:r w:rsidRPr="00A5236D">
        <w:rPr>
          <w:sz w:val="24"/>
          <w:szCs w:val="24"/>
        </w:rPr>
        <w:t xml:space="preserve"> </w:t>
      </w:r>
    </w:p>
    <w:p w:rsidR="000E64DF" w:rsidRPr="00A5236D" w:rsidRDefault="000E64DF" w:rsidP="000E64DF">
      <w:pPr>
        <w:rPr>
          <w:sz w:val="24"/>
          <w:szCs w:val="24"/>
        </w:rPr>
      </w:pPr>
    </w:p>
    <w:sectPr w:rsidR="000E64DF" w:rsidRPr="00A52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74C91"/>
    <w:multiLevelType w:val="multilevel"/>
    <w:tmpl w:val="45D21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FFE"/>
    <w:rsid w:val="00043E8C"/>
    <w:rsid w:val="000D4411"/>
    <w:rsid w:val="000E64DF"/>
    <w:rsid w:val="001D129E"/>
    <w:rsid w:val="001D313B"/>
    <w:rsid w:val="001F1D8F"/>
    <w:rsid w:val="00205967"/>
    <w:rsid w:val="00232A75"/>
    <w:rsid w:val="002878A0"/>
    <w:rsid w:val="002F3E42"/>
    <w:rsid w:val="00301300"/>
    <w:rsid w:val="00380FFE"/>
    <w:rsid w:val="003963F4"/>
    <w:rsid w:val="003C19EB"/>
    <w:rsid w:val="00425131"/>
    <w:rsid w:val="00435F85"/>
    <w:rsid w:val="004672BE"/>
    <w:rsid w:val="00484733"/>
    <w:rsid w:val="004B55AB"/>
    <w:rsid w:val="004D3474"/>
    <w:rsid w:val="0051399A"/>
    <w:rsid w:val="006D5344"/>
    <w:rsid w:val="00784FA8"/>
    <w:rsid w:val="00810AD8"/>
    <w:rsid w:val="00846D9C"/>
    <w:rsid w:val="008B21E3"/>
    <w:rsid w:val="008D27EC"/>
    <w:rsid w:val="008E5C9F"/>
    <w:rsid w:val="00903B75"/>
    <w:rsid w:val="00954703"/>
    <w:rsid w:val="009D75C9"/>
    <w:rsid w:val="00A377FE"/>
    <w:rsid w:val="00A5236D"/>
    <w:rsid w:val="00B11EEB"/>
    <w:rsid w:val="00B27328"/>
    <w:rsid w:val="00B341EE"/>
    <w:rsid w:val="00BA0DD6"/>
    <w:rsid w:val="00C2038B"/>
    <w:rsid w:val="00C41A81"/>
    <w:rsid w:val="00CB15ED"/>
    <w:rsid w:val="00CE21BD"/>
    <w:rsid w:val="00D50D87"/>
    <w:rsid w:val="00DB143F"/>
    <w:rsid w:val="00E12D4A"/>
    <w:rsid w:val="00E3331B"/>
    <w:rsid w:val="00E46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01D61"/>
  <w15:chartTrackingRefBased/>
  <w15:docId w15:val="{3510B395-A2BE-4BC8-80EA-AE04D6762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99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0E64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12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3">
    <w:name w:val="Body Text 3"/>
    <w:basedOn w:val="Normal"/>
    <w:link w:val="BodyText3Char"/>
    <w:rsid w:val="003963F4"/>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3963F4"/>
    <w:rPr>
      <w:rFonts w:ascii="Times New Roman" w:eastAsia="Times New Roman" w:hAnsi="Times New Roman" w:cs="Times New Roman"/>
      <w:sz w:val="16"/>
      <w:szCs w:val="16"/>
      <w:lang w:val="en-US"/>
    </w:rPr>
  </w:style>
  <w:style w:type="character" w:customStyle="1" w:styleId="Heading1Char">
    <w:name w:val="Heading 1 Char"/>
    <w:basedOn w:val="DefaultParagraphFont"/>
    <w:link w:val="Heading1"/>
    <w:uiPriority w:val="9"/>
    <w:rsid w:val="0051399A"/>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0E64DF"/>
    <w:rPr>
      <w:color w:val="0563C1" w:themeColor="hyperlink"/>
      <w:u w:val="single"/>
    </w:rPr>
  </w:style>
  <w:style w:type="character" w:styleId="UnresolvedMention">
    <w:name w:val="Unresolved Mention"/>
    <w:basedOn w:val="DefaultParagraphFont"/>
    <w:uiPriority w:val="99"/>
    <w:semiHidden/>
    <w:unhideWhenUsed/>
    <w:rsid w:val="000E64DF"/>
    <w:rPr>
      <w:color w:val="808080"/>
      <w:shd w:val="clear" w:color="auto" w:fill="E6E6E6"/>
    </w:rPr>
  </w:style>
  <w:style w:type="character" w:customStyle="1" w:styleId="Heading2Char">
    <w:name w:val="Heading 2 Char"/>
    <w:basedOn w:val="DefaultParagraphFont"/>
    <w:link w:val="Heading2"/>
    <w:uiPriority w:val="9"/>
    <w:semiHidden/>
    <w:rsid w:val="000E64D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952189">
      <w:bodyDiv w:val="1"/>
      <w:marLeft w:val="0"/>
      <w:marRight w:val="0"/>
      <w:marTop w:val="0"/>
      <w:marBottom w:val="0"/>
      <w:divBdr>
        <w:top w:val="none" w:sz="0" w:space="0" w:color="auto"/>
        <w:left w:val="none" w:sz="0" w:space="0" w:color="auto"/>
        <w:bottom w:val="none" w:sz="0" w:space="0" w:color="auto"/>
        <w:right w:val="none" w:sz="0" w:space="0" w:color="auto"/>
      </w:divBdr>
    </w:div>
    <w:div w:id="1056853388">
      <w:bodyDiv w:val="1"/>
      <w:marLeft w:val="0"/>
      <w:marRight w:val="0"/>
      <w:marTop w:val="0"/>
      <w:marBottom w:val="0"/>
      <w:divBdr>
        <w:top w:val="none" w:sz="0" w:space="0" w:color="auto"/>
        <w:left w:val="none" w:sz="0" w:space="0" w:color="auto"/>
        <w:bottom w:val="none" w:sz="0" w:space="0" w:color="auto"/>
        <w:right w:val="none" w:sz="0" w:space="0" w:color="auto"/>
      </w:divBdr>
    </w:div>
    <w:div w:id="1154564591">
      <w:bodyDiv w:val="1"/>
      <w:marLeft w:val="0"/>
      <w:marRight w:val="0"/>
      <w:marTop w:val="0"/>
      <w:marBottom w:val="0"/>
      <w:divBdr>
        <w:top w:val="none" w:sz="0" w:space="0" w:color="auto"/>
        <w:left w:val="none" w:sz="0" w:space="0" w:color="auto"/>
        <w:bottom w:val="none" w:sz="0" w:space="0" w:color="auto"/>
        <w:right w:val="none" w:sz="0" w:space="0" w:color="auto"/>
      </w:divBdr>
    </w:div>
    <w:div w:id="1240018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issplatform.ie/authors/researchers/111/"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0C87E2-010B-47AB-9048-237845347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3767</Words>
  <Characters>21473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Connelly (P148223)</dc:creator>
  <cp:keywords/>
  <dc:description/>
  <cp:lastModifiedBy>Bethan Connelly (P148223)</cp:lastModifiedBy>
  <cp:revision>2</cp:revision>
  <dcterms:created xsi:type="dcterms:W3CDTF">2018-05-31T15:21:00Z</dcterms:created>
  <dcterms:modified xsi:type="dcterms:W3CDTF">2018-05-31T15:21:00Z</dcterms:modified>
</cp:coreProperties>
</file>