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5CFDB37" w14:textId="77777777" w:rsidR="00967BB9" w:rsidRDefault="00967BB9" w:rsidP="00967BB9">
      <w:pPr>
        <w:jc w:val="center"/>
        <w:rPr>
          <w:b/>
          <w:sz w:val="32"/>
          <w:szCs w:val="32"/>
        </w:rPr>
      </w:pPr>
    </w:p>
    <w:p w14:paraId="621986AC" w14:textId="77777777" w:rsidR="00967BB9" w:rsidRDefault="00967BB9" w:rsidP="00967BB9">
      <w:pPr>
        <w:jc w:val="center"/>
        <w:rPr>
          <w:b/>
          <w:sz w:val="32"/>
          <w:szCs w:val="32"/>
        </w:rPr>
      </w:pPr>
    </w:p>
    <w:p w14:paraId="08506F72" w14:textId="77777777" w:rsidR="00967BB9" w:rsidRDefault="00967BB9" w:rsidP="00967BB9">
      <w:pPr>
        <w:jc w:val="center"/>
        <w:rPr>
          <w:b/>
          <w:sz w:val="32"/>
          <w:szCs w:val="32"/>
        </w:rPr>
      </w:pPr>
    </w:p>
    <w:p w14:paraId="10D01EAA" w14:textId="77777777" w:rsidR="00967BB9" w:rsidRDefault="00967BB9" w:rsidP="00967BB9">
      <w:pPr>
        <w:jc w:val="center"/>
        <w:rPr>
          <w:b/>
          <w:sz w:val="32"/>
          <w:szCs w:val="32"/>
        </w:rPr>
      </w:pPr>
    </w:p>
    <w:p w14:paraId="1B3526B8" w14:textId="77777777" w:rsidR="00967BB9" w:rsidRDefault="00967BB9" w:rsidP="00967BB9">
      <w:pPr>
        <w:jc w:val="center"/>
        <w:rPr>
          <w:b/>
          <w:sz w:val="32"/>
          <w:szCs w:val="32"/>
        </w:rPr>
      </w:pPr>
    </w:p>
    <w:p w14:paraId="611B14D8" w14:textId="507C63F7" w:rsidR="00967BB9" w:rsidRDefault="00967BB9" w:rsidP="00967BB9">
      <w:pPr>
        <w:jc w:val="center"/>
        <w:rPr>
          <w:b/>
          <w:sz w:val="32"/>
          <w:szCs w:val="32"/>
        </w:rPr>
      </w:pPr>
    </w:p>
    <w:p w14:paraId="4F13DF82" w14:textId="487263D4" w:rsidR="00317D00" w:rsidRDefault="00317D00" w:rsidP="00967BB9">
      <w:pPr>
        <w:jc w:val="center"/>
        <w:rPr>
          <w:b/>
          <w:sz w:val="32"/>
          <w:szCs w:val="32"/>
        </w:rPr>
      </w:pPr>
    </w:p>
    <w:p w14:paraId="676CA18B" w14:textId="4D7E300E" w:rsidR="00317D00" w:rsidRDefault="00317D00" w:rsidP="00967BB9">
      <w:pPr>
        <w:jc w:val="center"/>
        <w:rPr>
          <w:b/>
          <w:sz w:val="32"/>
          <w:szCs w:val="32"/>
        </w:rPr>
      </w:pPr>
    </w:p>
    <w:p w14:paraId="7D066BC3" w14:textId="7A612081" w:rsidR="00317D00" w:rsidRDefault="00317D00" w:rsidP="00967BB9">
      <w:pPr>
        <w:jc w:val="center"/>
        <w:rPr>
          <w:b/>
          <w:sz w:val="32"/>
          <w:szCs w:val="32"/>
        </w:rPr>
      </w:pPr>
    </w:p>
    <w:p w14:paraId="7B29010D" w14:textId="6F1A4A3A" w:rsidR="00317D00" w:rsidRDefault="00317D00" w:rsidP="00967BB9">
      <w:pPr>
        <w:jc w:val="center"/>
        <w:rPr>
          <w:b/>
          <w:sz w:val="32"/>
          <w:szCs w:val="32"/>
        </w:rPr>
      </w:pPr>
    </w:p>
    <w:p w14:paraId="2A919C95" w14:textId="77777777" w:rsidR="00317D00" w:rsidRDefault="00317D00" w:rsidP="00317D00">
      <w:pPr>
        <w:pStyle w:val="Normal1"/>
        <w:jc w:val="center"/>
        <w:rPr>
          <w:b/>
          <w:sz w:val="28"/>
          <w:szCs w:val="28"/>
          <w:lang w:val="en-GB"/>
        </w:rPr>
      </w:pPr>
      <w:r>
        <w:rPr>
          <w:b/>
          <w:sz w:val="28"/>
          <w:szCs w:val="28"/>
          <w:lang w:val="en-GB"/>
        </w:rPr>
        <w:t>Student Name: Robert Ionut Antofie</w:t>
      </w:r>
    </w:p>
    <w:p w14:paraId="2F30D061" w14:textId="77777777" w:rsidR="00317D00" w:rsidRDefault="00317D00" w:rsidP="00317D00">
      <w:pPr>
        <w:pStyle w:val="Normal1"/>
        <w:jc w:val="center"/>
        <w:rPr>
          <w:b/>
          <w:sz w:val="28"/>
          <w:szCs w:val="28"/>
          <w:lang w:val="en-GB"/>
        </w:rPr>
      </w:pPr>
      <w:r>
        <w:rPr>
          <w:b/>
          <w:sz w:val="28"/>
          <w:szCs w:val="28"/>
          <w:lang w:val="en-GB"/>
        </w:rPr>
        <w:t>Student ID: 2011970</w:t>
      </w:r>
    </w:p>
    <w:p w14:paraId="7EB6E151" w14:textId="777ECC84" w:rsidR="00317D00" w:rsidRDefault="00317D00" w:rsidP="00317D00">
      <w:pPr>
        <w:pStyle w:val="Normal1"/>
        <w:jc w:val="center"/>
        <w:rPr>
          <w:b/>
          <w:sz w:val="28"/>
          <w:szCs w:val="28"/>
          <w:lang w:val="en-GB"/>
        </w:rPr>
      </w:pPr>
      <w:r>
        <w:rPr>
          <w:b/>
          <w:sz w:val="28"/>
          <w:szCs w:val="28"/>
          <w:lang w:val="en-GB"/>
        </w:rPr>
        <w:t xml:space="preserve">Module Name: </w:t>
      </w:r>
      <w:r>
        <w:rPr>
          <w:b/>
          <w:sz w:val="28"/>
          <w:szCs w:val="28"/>
          <w:lang w:val="en-GB"/>
        </w:rPr>
        <w:t>International Financial Management</w:t>
      </w:r>
    </w:p>
    <w:p w14:paraId="48EED696" w14:textId="22103CBE" w:rsidR="00317D00" w:rsidRDefault="00317D00" w:rsidP="00317D00">
      <w:pPr>
        <w:pStyle w:val="Normal1"/>
        <w:jc w:val="center"/>
        <w:rPr>
          <w:b/>
          <w:sz w:val="28"/>
          <w:szCs w:val="28"/>
          <w:lang w:val="en-GB"/>
        </w:rPr>
      </w:pPr>
      <w:r>
        <w:rPr>
          <w:b/>
          <w:sz w:val="28"/>
          <w:szCs w:val="28"/>
          <w:lang w:val="en-GB"/>
        </w:rPr>
        <w:t>Module code: LCBB600</w:t>
      </w:r>
      <w:r>
        <w:rPr>
          <w:b/>
          <w:sz w:val="28"/>
          <w:szCs w:val="28"/>
          <w:lang w:val="en-GB"/>
        </w:rPr>
        <w:t>2</w:t>
      </w:r>
    </w:p>
    <w:p w14:paraId="0DAB2391" w14:textId="5678E55A" w:rsidR="00317D00" w:rsidRDefault="00317D00" w:rsidP="00317D00">
      <w:pPr>
        <w:pStyle w:val="Normal1"/>
        <w:jc w:val="center"/>
        <w:rPr>
          <w:b/>
          <w:sz w:val="28"/>
          <w:szCs w:val="28"/>
          <w:lang w:val="en-GB"/>
        </w:rPr>
      </w:pPr>
      <w:r>
        <w:rPr>
          <w:b/>
          <w:sz w:val="28"/>
          <w:szCs w:val="28"/>
          <w:lang w:val="en-GB"/>
        </w:rPr>
        <w:t>Assessment 1</w:t>
      </w:r>
    </w:p>
    <w:p w14:paraId="7703A235" w14:textId="5C99E9C4" w:rsidR="00317D00" w:rsidRDefault="00317D00" w:rsidP="00317D00">
      <w:pPr>
        <w:pStyle w:val="Normal1"/>
        <w:jc w:val="center"/>
        <w:rPr>
          <w:b/>
          <w:sz w:val="28"/>
          <w:szCs w:val="28"/>
          <w:lang w:val="en-GB"/>
        </w:rPr>
      </w:pPr>
      <w:r>
        <w:rPr>
          <w:b/>
          <w:sz w:val="28"/>
          <w:szCs w:val="28"/>
          <w:lang w:val="en-GB"/>
        </w:rPr>
        <w:t>Lecturer name: Tayo Osadiya</w:t>
      </w:r>
    </w:p>
    <w:p w14:paraId="5E9E92AC" w14:textId="046DB737" w:rsidR="00317D00" w:rsidRDefault="00317D00" w:rsidP="00967BB9">
      <w:pPr>
        <w:jc w:val="center"/>
        <w:rPr>
          <w:b/>
          <w:sz w:val="32"/>
          <w:szCs w:val="32"/>
        </w:rPr>
      </w:pPr>
    </w:p>
    <w:p w14:paraId="001A6D96" w14:textId="10EAB43D" w:rsidR="00317D00" w:rsidRDefault="00317D00" w:rsidP="00967BB9">
      <w:pPr>
        <w:jc w:val="center"/>
        <w:rPr>
          <w:b/>
          <w:sz w:val="32"/>
          <w:szCs w:val="32"/>
        </w:rPr>
      </w:pPr>
    </w:p>
    <w:p w14:paraId="17114A1A" w14:textId="0D54834C" w:rsidR="00317D00" w:rsidRDefault="00317D00" w:rsidP="00967BB9">
      <w:pPr>
        <w:jc w:val="center"/>
        <w:rPr>
          <w:b/>
          <w:sz w:val="32"/>
          <w:szCs w:val="32"/>
        </w:rPr>
      </w:pPr>
    </w:p>
    <w:p w14:paraId="7E3DBAF3" w14:textId="213A0574" w:rsidR="00317D00" w:rsidRDefault="00317D00" w:rsidP="00967BB9">
      <w:pPr>
        <w:jc w:val="center"/>
        <w:rPr>
          <w:b/>
          <w:sz w:val="32"/>
          <w:szCs w:val="32"/>
        </w:rPr>
      </w:pPr>
    </w:p>
    <w:p w14:paraId="49F004E3" w14:textId="17F858D3" w:rsidR="00317D00" w:rsidRDefault="00317D00" w:rsidP="00967BB9">
      <w:pPr>
        <w:jc w:val="center"/>
        <w:rPr>
          <w:b/>
          <w:sz w:val="32"/>
          <w:szCs w:val="32"/>
        </w:rPr>
      </w:pPr>
    </w:p>
    <w:p w14:paraId="2D7460C2" w14:textId="64B0BE9A" w:rsidR="00317D00" w:rsidRDefault="00317D00" w:rsidP="00967BB9">
      <w:pPr>
        <w:jc w:val="center"/>
        <w:rPr>
          <w:b/>
          <w:sz w:val="32"/>
          <w:szCs w:val="32"/>
        </w:rPr>
      </w:pPr>
    </w:p>
    <w:p w14:paraId="6B8D08C3" w14:textId="1C96137C" w:rsidR="00317D00" w:rsidRDefault="00317D00" w:rsidP="00967BB9">
      <w:pPr>
        <w:jc w:val="center"/>
        <w:rPr>
          <w:b/>
          <w:sz w:val="32"/>
          <w:szCs w:val="32"/>
        </w:rPr>
      </w:pPr>
    </w:p>
    <w:p w14:paraId="44762C3A" w14:textId="048B7F0C" w:rsidR="00317D00" w:rsidRDefault="00317D00" w:rsidP="00967BB9">
      <w:pPr>
        <w:jc w:val="center"/>
        <w:rPr>
          <w:b/>
          <w:sz w:val="32"/>
          <w:szCs w:val="32"/>
        </w:rPr>
      </w:pPr>
    </w:p>
    <w:p w14:paraId="769597E5" w14:textId="63F1104B" w:rsidR="00317D00" w:rsidRDefault="00317D00" w:rsidP="00967BB9">
      <w:pPr>
        <w:jc w:val="center"/>
        <w:rPr>
          <w:b/>
          <w:sz w:val="32"/>
          <w:szCs w:val="32"/>
        </w:rPr>
      </w:pPr>
    </w:p>
    <w:p w14:paraId="320B00DD" w14:textId="6B2CDC2C" w:rsidR="00317D00" w:rsidRDefault="00317D00" w:rsidP="00967BB9">
      <w:pPr>
        <w:jc w:val="center"/>
        <w:rPr>
          <w:b/>
          <w:sz w:val="32"/>
          <w:szCs w:val="32"/>
        </w:rPr>
      </w:pPr>
    </w:p>
    <w:p w14:paraId="33078589" w14:textId="77777777" w:rsidR="00317D00" w:rsidRDefault="00317D00" w:rsidP="00967BB9">
      <w:pPr>
        <w:jc w:val="center"/>
        <w:rPr>
          <w:b/>
          <w:sz w:val="32"/>
          <w:szCs w:val="32"/>
        </w:rPr>
      </w:pPr>
    </w:p>
    <w:p w14:paraId="66FB7E8E" w14:textId="77777777" w:rsidR="00967BB9" w:rsidRDefault="00967BB9" w:rsidP="00967BB9">
      <w:pPr>
        <w:jc w:val="center"/>
        <w:rPr>
          <w:b/>
          <w:sz w:val="32"/>
          <w:szCs w:val="32"/>
        </w:rPr>
      </w:pPr>
    </w:p>
    <w:p w14:paraId="5932F07D" w14:textId="77777777" w:rsidR="00967BB9" w:rsidRDefault="00967BB9" w:rsidP="00967BB9">
      <w:pPr>
        <w:jc w:val="center"/>
        <w:rPr>
          <w:b/>
          <w:sz w:val="32"/>
          <w:szCs w:val="32"/>
        </w:rPr>
      </w:pPr>
    </w:p>
    <w:p w14:paraId="1240E2A0" w14:textId="77777777" w:rsidR="00967BB9" w:rsidRDefault="00967BB9" w:rsidP="00967BB9">
      <w:pPr>
        <w:jc w:val="center"/>
        <w:rPr>
          <w:b/>
          <w:sz w:val="32"/>
          <w:szCs w:val="32"/>
        </w:rPr>
      </w:pPr>
    </w:p>
    <w:sdt>
      <w:sdtPr>
        <w:rPr>
          <w:rFonts w:ascii="Times New Roman" w:eastAsia="Times New Roman" w:hAnsi="Times New Roman" w:cs="Times New Roman"/>
          <w:b w:val="0"/>
          <w:bCs w:val="0"/>
          <w:color w:val="auto"/>
          <w:sz w:val="24"/>
          <w:szCs w:val="24"/>
          <w:lang w:val="en-GB" w:eastAsia="en-IN"/>
        </w:rPr>
        <w:id w:val="-992785497"/>
        <w:docPartObj>
          <w:docPartGallery w:val="Table of Contents"/>
          <w:docPartUnique/>
        </w:docPartObj>
      </w:sdtPr>
      <w:sdtEndPr>
        <w:rPr>
          <w:noProof/>
        </w:rPr>
      </w:sdtEndPr>
      <w:sdtContent>
        <w:p w14:paraId="3E9917A2" w14:textId="20362CB4" w:rsidR="00967BB9" w:rsidRPr="00967BB9" w:rsidRDefault="00967BB9" w:rsidP="00967BB9">
          <w:pPr>
            <w:pStyle w:val="TOCHeading"/>
            <w:jc w:val="center"/>
            <w:rPr>
              <w:rFonts w:ascii="Times New Roman" w:hAnsi="Times New Roman" w:cs="Times New Roman"/>
              <w:color w:val="000000" w:themeColor="text1"/>
            </w:rPr>
          </w:pPr>
          <w:r w:rsidRPr="00967BB9">
            <w:rPr>
              <w:rFonts w:ascii="Times New Roman" w:hAnsi="Times New Roman" w:cs="Times New Roman"/>
              <w:color w:val="000000" w:themeColor="text1"/>
            </w:rPr>
            <w:t>Table of Contents</w:t>
          </w:r>
        </w:p>
        <w:p w14:paraId="4E2E849D" w14:textId="77777777" w:rsidR="00967BB9" w:rsidRDefault="00967BB9">
          <w:pPr>
            <w:pStyle w:val="TOC1"/>
            <w:tabs>
              <w:tab w:val="right" w:leader="dot" w:pos="9016"/>
            </w:tabs>
            <w:rPr>
              <w:noProof/>
            </w:rPr>
          </w:pPr>
          <w:r>
            <w:fldChar w:fldCharType="begin"/>
          </w:r>
          <w:r>
            <w:instrText xml:space="preserve"> TOC \o "1-3" \h \z \u </w:instrText>
          </w:r>
          <w:r>
            <w:fldChar w:fldCharType="separate"/>
          </w:r>
          <w:hyperlink w:anchor="_Toc123102778" w:history="1">
            <w:r w:rsidRPr="00B55BEC">
              <w:rPr>
                <w:rStyle w:val="Hyperlink"/>
                <w:noProof/>
              </w:rPr>
              <w:t>Introduction</w:t>
            </w:r>
            <w:r>
              <w:rPr>
                <w:noProof/>
                <w:webHidden/>
              </w:rPr>
              <w:tab/>
            </w:r>
            <w:r>
              <w:rPr>
                <w:noProof/>
                <w:webHidden/>
              </w:rPr>
              <w:fldChar w:fldCharType="begin"/>
            </w:r>
            <w:r>
              <w:rPr>
                <w:noProof/>
                <w:webHidden/>
              </w:rPr>
              <w:instrText xml:space="preserve"> PAGEREF _Toc123102778 \h </w:instrText>
            </w:r>
            <w:r>
              <w:rPr>
                <w:noProof/>
                <w:webHidden/>
              </w:rPr>
            </w:r>
            <w:r>
              <w:rPr>
                <w:noProof/>
                <w:webHidden/>
              </w:rPr>
              <w:fldChar w:fldCharType="separate"/>
            </w:r>
            <w:r>
              <w:rPr>
                <w:noProof/>
                <w:webHidden/>
              </w:rPr>
              <w:t>3</w:t>
            </w:r>
            <w:r>
              <w:rPr>
                <w:noProof/>
                <w:webHidden/>
              </w:rPr>
              <w:fldChar w:fldCharType="end"/>
            </w:r>
          </w:hyperlink>
        </w:p>
        <w:p w14:paraId="69A249EC" w14:textId="77777777" w:rsidR="00967BB9" w:rsidRDefault="00000000">
          <w:pPr>
            <w:pStyle w:val="TOC1"/>
            <w:tabs>
              <w:tab w:val="right" w:leader="dot" w:pos="9016"/>
            </w:tabs>
            <w:rPr>
              <w:noProof/>
            </w:rPr>
          </w:pPr>
          <w:hyperlink w:anchor="_Toc123102779" w:history="1">
            <w:r w:rsidR="00967BB9" w:rsidRPr="00B55BEC">
              <w:rPr>
                <w:rStyle w:val="Hyperlink"/>
                <w:noProof/>
              </w:rPr>
              <w:t>Discussions</w:t>
            </w:r>
            <w:r w:rsidR="00967BB9">
              <w:rPr>
                <w:noProof/>
                <w:webHidden/>
              </w:rPr>
              <w:tab/>
            </w:r>
            <w:r w:rsidR="00967BB9">
              <w:rPr>
                <w:noProof/>
                <w:webHidden/>
              </w:rPr>
              <w:fldChar w:fldCharType="begin"/>
            </w:r>
            <w:r w:rsidR="00967BB9">
              <w:rPr>
                <w:noProof/>
                <w:webHidden/>
              </w:rPr>
              <w:instrText xml:space="preserve"> PAGEREF _Toc123102779 \h </w:instrText>
            </w:r>
            <w:r w:rsidR="00967BB9">
              <w:rPr>
                <w:noProof/>
                <w:webHidden/>
              </w:rPr>
            </w:r>
            <w:r w:rsidR="00967BB9">
              <w:rPr>
                <w:noProof/>
                <w:webHidden/>
              </w:rPr>
              <w:fldChar w:fldCharType="separate"/>
            </w:r>
            <w:r w:rsidR="00967BB9">
              <w:rPr>
                <w:noProof/>
                <w:webHidden/>
              </w:rPr>
              <w:t>3</w:t>
            </w:r>
            <w:r w:rsidR="00967BB9">
              <w:rPr>
                <w:noProof/>
                <w:webHidden/>
              </w:rPr>
              <w:fldChar w:fldCharType="end"/>
            </w:r>
          </w:hyperlink>
        </w:p>
        <w:p w14:paraId="11FADDEB" w14:textId="77777777" w:rsidR="00967BB9" w:rsidRDefault="00000000">
          <w:pPr>
            <w:pStyle w:val="TOC1"/>
            <w:tabs>
              <w:tab w:val="right" w:leader="dot" w:pos="9016"/>
            </w:tabs>
            <w:rPr>
              <w:noProof/>
            </w:rPr>
          </w:pPr>
          <w:hyperlink w:anchor="_Toc123102780" w:history="1">
            <w:r w:rsidR="00967BB9" w:rsidRPr="00B55BEC">
              <w:rPr>
                <w:rStyle w:val="Hyperlink"/>
                <w:noProof/>
              </w:rPr>
              <w:t>Conclusions</w:t>
            </w:r>
            <w:r w:rsidR="00967BB9">
              <w:rPr>
                <w:noProof/>
                <w:webHidden/>
              </w:rPr>
              <w:tab/>
            </w:r>
            <w:r w:rsidR="00967BB9">
              <w:rPr>
                <w:noProof/>
                <w:webHidden/>
              </w:rPr>
              <w:fldChar w:fldCharType="begin"/>
            </w:r>
            <w:r w:rsidR="00967BB9">
              <w:rPr>
                <w:noProof/>
                <w:webHidden/>
              </w:rPr>
              <w:instrText xml:space="preserve"> PAGEREF _Toc123102780 \h </w:instrText>
            </w:r>
            <w:r w:rsidR="00967BB9">
              <w:rPr>
                <w:noProof/>
                <w:webHidden/>
              </w:rPr>
            </w:r>
            <w:r w:rsidR="00967BB9">
              <w:rPr>
                <w:noProof/>
                <w:webHidden/>
              </w:rPr>
              <w:fldChar w:fldCharType="separate"/>
            </w:r>
            <w:r w:rsidR="00967BB9">
              <w:rPr>
                <w:noProof/>
                <w:webHidden/>
              </w:rPr>
              <w:t>6</w:t>
            </w:r>
            <w:r w:rsidR="00967BB9">
              <w:rPr>
                <w:noProof/>
                <w:webHidden/>
              </w:rPr>
              <w:fldChar w:fldCharType="end"/>
            </w:r>
          </w:hyperlink>
        </w:p>
        <w:p w14:paraId="60204B86" w14:textId="77777777" w:rsidR="00967BB9" w:rsidRDefault="00000000">
          <w:pPr>
            <w:pStyle w:val="TOC1"/>
            <w:tabs>
              <w:tab w:val="right" w:leader="dot" w:pos="9016"/>
            </w:tabs>
            <w:rPr>
              <w:noProof/>
            </w:rPr>
          </w:pPr>
          <w:hyperlink w:anchor="_Toc123102781" w:history="1">
            <w:r w:rsidR="00967BB9" w:rsidRPr="00B55BEC">
              <w:rPr>
                <w:rStyle w:val="Hyperlink"/>
                <w:noProof/>
              </w:rPr>
              <w:t>References</w:t>
            </w:r>
            <w:r w:rsidR="00967BB9">
              <w:rPr>
                <w:noProof/>
                <w:webHidden/>
              </w:rPr>
              <w:tab/>
            </w:r>
            <w:r w:rsidR="00967BB9">
              <w:rPr>
                <w:noProof/>
                <w:webHidden/>
              </w:rPr>
              <w:fldChar w:fldCharType="begin"/>
            </w:r>
            <w:r w:rsidR="00967BB9">
              <w:rPr>
                <w:noProof/>
                <w:webHidden/>
              </w:rPr>
              <w:instrText xml:space="preserve"> PAGEREF _Toc123102781 \h </w:instrText>
            </w:r>
            <w:r w:rsidR="00967BB9">
              <w:rPr>
                <w:noProof/>
                <w:webHidden/>
              </w:rPr>
            </w:r>
            <w:r w:rsidR="00967BB9">
              <w:rPr>
                <w:noProof/>
                <w:webHidden/>
              </w:rPr>
              <w:fldChar w:fldCharType="separate"/>
            </w:r>
            <w:r w:rsidR="00967BB9">
              <w:rPr>
                <w:noProof/>
                <w:webHidden/>
              </w:rPr>
              <w:t>7</w:t>
            </w:r>
            <w:r w:rsidR="00967BB9">
              <w:rPr>
                <w:noProof/>
                <w:webHidden/>
              </w:rPr>
              <w:fldChar w:fldCharType="end"/>
            </w:r>
          </w:hyperlink>
        </w:p>
        <w:p w14:paraId="122C81C3" w14:textId="51FE34A3" w:rsidR="00967BB9" w:rsidRDefault="00967BB9">
          <w:r>
            <w:rPr>
              <w:b/>
              <w:bCs/>
              <w:noProof/>
            </w:rPr>
            <w:fldChar w:fldCharType="end"/>
          </w:r>
        </w:p>
      </w:sdtContent>
    </w:sdt>
    <w:p w14:paraId="443259C0" w14:textId="77777777" w:rsidR="00967BB9" w:rsidRDefault="00967BB9">
      <w:pPr>
        <w:rPr>
          <w:b/>
        </w:rPr>
      </w:pPr>
      <w:r>
        <w:rPr>
          <w:b/>
        </w:rPr>
        <w:br w:type="page"/>
      </w:r>
    </w:p>
    <w:p w14:paraId="00000001" w14:textId="182E52FC" w:rsidR="0090414E" w:rsidRDefault="00487EFC" w:rsidP="00967BB9">
      <w:pPr>
        <w:pStyle w:val="Heading1"/>
      </w:pPr>
      <w:bookmarkStart w:id="0" w:name="_Toc123102778"/>
      <w:r w:rsidRPr="00967BB9">
        <w:lastRenderedPageBreak/>
        <w:t>Introduction</w:t>
      </w:r>
      <w:bookmarkEnd w:id="0"/>
      <w:r>
        <w:t xml:space="preserve"> </w:t>
      </w:r>
    </w:p>
    <w:p w14:paraId="00000002" w14:textId="5BE20A73" w:rsidR="0090414E" w:rsidRDefault="00487EFC">
      <w:r>
        <w:t>Importance and identification of “Financial Management” over individual businesses provide some specific financial formulating support that brings a general understanding regarding business accountability. Apply the processing of proper financial theories initiated under this approach that provides a positive formulation including accountability support associated with business performances in a proper manner (</w:t>
      </w:r>
      <w:r>
        <w:rPr>
          <w:color w:val="222222"/>
          <w:highlight w:val="white"/>
        </w:rPr>
        <w:t>Shim, 2022)</w:t>
      </w:r>
      <w:r>
        <w:t xml:space="preserve">. This essay mainly highlights a general evaluation of the corporation’s dividend distribution policy, efficient market hypothesis theory, and also appraising theory of projects mainly associated with the business of Shell plc related to present financial terms. </w:t>
      </w:r>
      <w:r w:rsidR="00967BB9">
        <w:t xml:space="preserve">Additionally, it also identifies the present market capitalisation, project formulation and also the share processing approach for the business of Shell plc in the present accounting period. </w:t>
      </w:r>
    </w:p>
    <w:p w14:paraId="00000003" w14:textId="77777777" w:rsidR="0090414E" w:rsidRDefault="00487EFC" w:rsidP="00967BB9">
      <w:pPr>
        <w:pStyle w:val="Heading1"/>
      </w:pPr>
      <w:bookmarkStart w:id="1" w:name="_Toc123102779"/>
      <w:r>
        <w:t>Discussions</w:t>
      </w:r>
      <w:bookmarkEnd w:id="1"/>
      <w:r>
        <w:t xml:space="preserve"> </w:t>
      </w:r>
    </w:p>
    <w:p w14:paraId="00000004" w14:textId="77777777" w:rsidR="0090414E" w:rsidRDefault="00487EFC">
      <w:r>
        <w:t xml:space="preserve">The organisation </w:t>
      </w:r>
      <w:r>
        <w:rPr>
          <w:b/>
        </w:rPr>
        <w:t>Shell Plc</w:t>
      </w:r>
      <w:r>
        <w:t xml:space="preserve"> is basically recognised as a British multinational oil and gas company that was founded during the period1907 with the formulation of amalgamation between “Royal Dutch Petroleum Company of the Netherlands and the Shell Transport and Trading Company of the United Kingdom”. In the present period, the organisation gained a supportive volume of revenue that amounted to $261,504 million and net earnings of $20,101 million respectively. The current market capitalization value of the business is around $202,699 billion, with a beta of 0.68 and a PE ratio is 5.06 respectively (Finance.yahoo.com, 2022). With the primary approach of business development and expansions, in the present period of 2022 the organisation acquire a 100% shareholding of “Nature Energy Biogas A/S (Nature Energy) through contributing around USD $2 billion (€ 1.9 billion)” that generally formulates the present level of capital range processing of this business in a supportive basis. Additionally, for the purpose of environmental support, this project is mainly initiated so that a strong chain of energy processing can be initiated (Shell.com, 2022).  </w:t>
      </w:r>
    </w:p>
    <w:p w14:paraId="00000005" w14:textId="69F65DA6" w:rsidR="0090414E" w:rsidRDefault="00487EFC">
      <w:r>
        <w:t xml:space="preserve">According to </w:t>
      </w:r>
      <w:r>
        <w:rPr>
          <w:color w:val="222222"/>
          <w:highlight w:val="white"/>
        </w:rPr>
        <w:t xml:space="preserve">Alkaabi and Nobanee (2019), conceptual presence of </w:t>
      </w:r>
      <w:r>
        <w:rPr>
          <w:b/>
          <w:color w:val="222222"/>
          <w:highlight w:val="white"/>
        </w:rPr>
        <w:t xml:space="preserve">dividends </w:t>
      </w:r>
      <w:r>
        <w:rPr>
          <w:color w:val="222222"/>
          <w:highlight w:val="white"/>
        </w:rPr>
        <w:t xml:space="preserve">is recognised as a prime way of distributing business profit among the shareholders with the initiation of motivating investment development including accumulating retained earning level positively. On the other hand, Brigham and Houston (2021), both opined the presence of </w:t>
      </w:r>
      <w:r>
        <w:rPr>
          <w:b/>
          <w:color w:val="222222"/>
          <w:highlight w:val="white"/>
        </w:rPr>
        <w:t xml:space="preserve">dividend policies </w:t>
      </w:r>
      <w:r>
        <w:rPr>
          <w:color w:val="222222"/>
          <w:highlight w:val="white"/>
        </w:rPr>
        <w:t xml:space="preserve">is the involvement of some specific policy structure associated with the business’ financial processing that is generally initiated for managing </w:t>
      </w:r>
      <w:r w:rsidR="00967BB9">
        <w:rPr>
          <w:color w:val="222222"/>
          <w:highlight w:val="white"/>
        </w:rPr>
        <w:t>pay-out</w:t>
      </w:r>
      <w:r>
        <w:rPr>
          <w:color w:val="222222"/>
          <w:highlight w:val="white"/>
        </w:rPr>
        <w:t xml:space="preserve"> approach to shareholders in a supportive and formulated basis. Establishing dividend policies are necessary for individual business for initiating communication support regarding the financial health of business including values, and goodwill and also managing the formulation of stock demand </w:t>
      </w:r>
      <w:r>
        <w:rPr>
          <w:color w:val="222222"/>
          <w:highlight w:val="white"/>
        </w:rPr>
        <w:lastRenderedPageBreak/>
        <w:t xml:space="preserve">in the market on a systematic basis. </w:t>
      </w:r>
      <w:r>
        <w:t xml:space="preserve">Generally, the approach of </w:t>
      </w:r>
      <w:r>
        <w:rPr>
          <w:b/>
        </w:rPr>
        <w:t>going concern accounting</w:t>
      </w:r>
      <w:r>
        <w:t xml:space="preserve"> concept is initiated regarding the presence of dividend processing in Shell plc that indicates the continuous accounting formulation support of this business in an effective order. </w:t>
      </w:r>
      <w:r>
        <w:rPr>
          <w:color w:val="222222"/>
          <w:highlight w:val="white"/>
        </w:rPr>
        <w:t xml:space="preserve">Considering the basic operating and financial support, the organisation mainly used to follow the approach of a </w:t>
      </w:r>
      <w:r>
        <w:rPr>
          <w:b/>
        </w:rPr>
        <w:t xml:space="preserve">Regular Dividend Policy, </w:t>
      </w:r>
      <w:r>
        <w:t>where a continuous paying out of dividend processing is initiated including the involvement of retained earnings level in order to formulate the financial development including cash flow positioning engagement in a supportive basis. In the present position, the management of Shell plc has initiated the processing of a dividend payment of $0.24 per share basis with initiating the share buyback support of $3.5 billion on an effective basis (Shell plc, 2021). Additionally, with the involvement of organisational progressive dividend policy support, the management of the business is expanding the level of dividend growth to around 4% on an annual basis so that proper financial standardised formulation support can be initiated on a sustainable basis. Including the basic dividend processi</w:t>
      </w:r>
      <w:r w:rsidR="00967BB9">
        <w:t xml:space="preserve">ng presence, the management of </w:t>
      </w:r>
      <w:r>
        <w:t xml:space="preserve">Shell also initiates the formulation of </w:t>
      </w:r>
      <w:r w:rsidR="00967BB9">
        <w:t>“</w:t>
      </w:r>
      <w:r>
        <w:t xml:space="preserve">return cash to shareholders through a combination of dividends and share buybacks” mainly so that proper growth and accumulation processing can be initiated. </w:t>
      </w:r>
    </w:p>
    <w:p w14:paraId="00000006" w14:textId="77777777" w:rsidR="0090414E" w:rsidRDefault="00487EFC">
      <w:r>
        <w:t xml:space="preserve">Importance to the processing of the basic </w:t>
      </w:r>
      <w:r>
        <w:rPr>
          <w:b/>
        </w:rPr>
        <w:t xml:space="preserve">“efficient market hypothesis theory” </w:t>
      </w:r>
      <w:r>
        <w:t xml:space="preserve">concept is initiated for identifying the general theoretical involvement related to share pricing of business that generally represents the detailed presentation of necessary operating and financial processing of business in accordance with the market optimisation. In order words, the presence of this theory indicates the presence of share price growth including fluctuation mainly initiating the involvement of the market positioning approach of business including operating growth or declining level with an initiative of which business shareholders’ can initiate supportive investment decisions. According to </w:t>
      </w:r>
      <w:r>
        <w:rPr>
          <w:color w:val="222222"/>
          <w:highlight w:val="white"/>
        </w:rPr>
        <w:t xml:space="preserve">Shapiro and Hanouna (2019), the involvement of such hypothesis engagement brings proper recognition support about the market processing including organisational growth initiatives value mainly that is supportive for initiating competitive market gain and effective investment returning support on a supportive basis. On other hand, Brigham and Daves (2018), opined that the presence of such theoretical involvement is not relevant in a practical approach while the market position is continuously fluctuating. It is also unable to initiate steady processing including a proper investment formulating approach also which is required for developing the business share formulating support on a proper basis. </w:t>
      </w:r>
      <w:r>
        <w:t xml:space="preserve">The current market capitalization value of the business is around $202,699 billion, with a beta of 0.68, a PE ratio is 5.06 and present share price is around 57.87 (+0.16%) that indicates the progressive and expansions support of the business </w:t>
      </w:r>
      <w:r>
        <w:lastRenderedPageBreak/>
        <w:t xml:space="preserve">operating approach in the present situation mainly. The present level of share price level of Shell plc was GBX 2,366.50 ($28.75) generally indicating the moving average price level of GBX 2,354.95 in 50 days and GBX 2,254.24 in 200 days support. The level of the present “current ratio of 1.38, quick ratio of 0.87 and a debt-to-equity ratio of 43.10” identifies progressive formulation including return on investment capability and business cash flow processing approach as well (MarketBeat.com, 2022). From the application of this type of identification, it is usually considered that at the present situation the share pricing value including the associated market information basically indicates a progressive formulation and capitalisation approach of this business mainly. It also indicates the present cash flow formulations and retained earnings support of the business as well, which is comprehensive in order to formulate the investment approach as well as some of the project formulation processing in a more systematic and compatible basis. </w:t>
      </w:r>
    </w:p>
    <w:p w14:paraId="00000007" w14:textId="77777777" w:rsidR="0090414E" w:rsidRDefault="00487EFC">
      <w:r>
        <w:t xml:space="preserve">Under the presence of the “Financial Management” concept, identified presence of </w:t>
      </w:r>
      <w:r>
        <w:rPr>
          <w:b/>
        </w:rPr>
        <w:t>“investment appraisal”</w:t>
      </w:r>
      <w:r>
        <w:t xml:space="preserve"> processing is initiated for presenting a general recognition approach about the project significance associated with an individual business that is mainly initiated for recognising the compatibility of individual business investment projects associated with time value of money support mainly. Applied involvement in this type of engagement is also initiated in order to formulate a proper stable growth as well that is comprehensive for business future expansion (</w:t>
      </w:r>
      <w:r>
        <w:rPr>
          <w:color w:val="222222"/>
          <w:highlight w:val="white"/>
        </w:rPr>
        <w:t>Madura, 2020)</w:t>
      </w:r>
      <w:r>
        <w:t xml:space="preserve">. In 2019, the organisation “Shell plc commenced a new project initiative named </w:t>
      </w:r>
      <w:r>
        <w:rPr>
          <w:b/>
        </w:rPr>
        <w:t>Appomattox</w:t>
      </w:r>
      <w:r>
        <w:t>. It is basically considered deep-water oil and gas development that is Shell’s largest floating platform in the Gulf of Mexico” (Shell.com, 2019). For the reason of initiating this particular project formulation, the managerial department mainly used to follow the concept of net present value structure that is initiated to recognise the time value of money supports related to the project involvement mainly so that a proper volume of business returning engagement can be initiated. Identify the basic approach of business investment support this type of analysis is initiated to recognise the business reinvestment processing as well as some of the profitability structure as well with the initiative of which the general progress including the stability function of business investment compatibility also managed (</w:t>
      </w:r>
      <w:r>
        <w:rPr>
          <w:color w:val="222222"/>
          <w:highlight w:val="white"/>
        </w:rPr>
        <w:t xml:space="preserve">Block </w:t>
      </w:r>
      <w:r>
        <w:rPr>
          <w:i/>
          <w:color w:val="222222"/>
          <w:highlight w:val="white"/>
        </w:rPr>
        <w:t>et al.,</w:t>
      </w:r>
      <w:r>
        <w:rPr>
          <w:color w:val="222222"/>
          <w:highlight w:val="white"/>
        </w:rPr>
        <w:t xml:space="preserve"> 2018)</w:t>
      </w:r>
      <w:r>
        <w:t xml:space="preserve">. It is also used to provide some of the stability functions as well as free cash flow generating approaches well with the initiative of which the identified progress including some of the positivity level related to the business compound interest concept can also be balanced. </w:t>
      </w:r>
    </w:p>
    <w:p w14:paraId="00000008" w14:textId="77777777" w:rsidR="0090414E" w:rsidRDefault="00487EFC">
      <w:r>
        <w:t xml:space="preserve">The involvement of this particular project is also used to provide the identified engagement support about business opportunity cost formulations as well as reinvestment support </w:t>
      </w:r>
      <w:r>
        <w:lastRenderedPageBreak/>
        <w:t xml:space="preserve">regarding business project competency which is progressive in order to identify some of the stability and compatibility benefits mainly. Identification of this particular project also initiates the formulation support of internal rate of return engagement as well with the initiative of which a proper returning capability from the project can be identified and depending on such the optimised growth including some of the stability approach of business financial functions are also managed. The same involvement is also initiated related to the </w:t>
      </w:r>
      <w:r w:rsidRPr="00967BB9">
        <w:rPr>
          <w:b/>
        </w:rPr>
        <w:t>Prelude Flng</w:t>
      </w:r>
      <w:r>
        <w:t xml:space="preserve"> project of business as well with the formulation of which a proper stability and accountability initiative is initiated related to project identification on an effective basis. </w:t>
      </w:r>
    </w:p>
    <w:p w14:paraId="00000009" w14:textId="77777777" w:rsidR="0090414E" w:rsidRDefault="00487EFC" w:rsidP="00967BB9">
      <w:pPr>
        <w:pStyle w:val="Heading1"/>
      </w:pPr>
      <w:bookmarkStart w:id="2" w:name="_Toc123102780"/>
      <w:r>
        <w:t>Conclusions</w:t>
      </w:r>
      <w:bookmarkEnd w:id="2"/>
      <w:r>
        <w:t xml:space="preserve"> </w:t>
      </w:r>
    </w:p>
    <w:p w14:paraId="0000000C" w14:textId="2B7392E1" w:rsidR="0090414E" w:rsidRDefault="00487EFC">
      <w:r>
        <w:t xml:space="preserve">A supportive identification of dividend policy engagement brings stability including market formulating engagement that manages the capital investment processing on a proper basis. Additionally, structural development of market share formulation for businesses like Shell plc provides sustainable growth including optimised value processing that is comprehensive for stability and structural progress. A positive determination of the business investment appraisal process for the project of Shell plc provides an opportunity that is optimum for stability and associated marketing standardised support on a formulated basis. Applied processing of basic financial management concepts formulates stability to support that brings international trade development in a progressive order as well. </w:t>
      </w:r>
    </w:p>
    <w:p w14:paraId="0BD698F5" w14:textId="77777777" w:rsidR="00967BB9" w:rsidRDefault="00967BB9"/>
    <w:p w14:paraId="42B6B2F7" w14:textId="75FC7DE7" w:rsidR="00967BB9" w:rsidRDefault="00967BB9">
      <w:r>
        <w:br w:type="page"/>
      </w:r>
    </w:p>
    <w:p w14:paraId="7276EE64" w14:textId="10877E0F" w:rsidR="00967BB9" w:rsidRPr="00967BB9" w:rsidRDefault="00967BB9" w:rsidP="00967BB9">
      <w:pPr>
        <w:pStyle w:val="Heading1"/>
      </w:pPr>
      <w:bookmarkStart w:id="3" w:name="_Toc123102781"/>
      <w:r w:rsidRPr="00967BB9">
        <w:lastRenderedPageBreak/>
        <w:t>References</w:t>
      </w:r>
      <w:bookmarkEnd w:id="3"/>
    </w:p>
    <w:p w14:paraId="6692F6EB" w14:textId="77777777" w:rsidR="00967BB9" w:rsidRPr="00661A68" w:rsidRDefault="00967BB9" w:rsidP="00967BB9">
      <w:pPr>
        <w:rPr>
          <w:color w:val="222222"/>
          <w:shd w:val="clear" w:color="auto" w:fill="FFFFFF"/>
        </w:rPr>
      </w:pPr>
      <w:r w:rsidRPr="00661A68">
        <w:rPr>
          <w:color w:val="222222"/>
          <w:shd w:val="clear" w:color="auto" w:fill="FFFFFF"/>
        </w:rPr>
        <w:t>Alkaabi, H. and Nobanee, H., 2019. A study on financial management in promoting sustainable business practices &amp; development. </w:t>
      </w:r>
      <w:r w:rsidRPr="00661A68">
        <w:rPr>
          <w:i/>
          <w:iCs/>
          <w:color w:val="222222"/>
          <w:shd w:val="clear" w:color="auto" w:fill="FFFFFF"/>
        </w:rPr>
        <w:t>Available at SSRN 3472415</w:t>
      </w:r>
      <w:r w:rsidRPr="00661A68">
        <w:rPr>
          <w:color w:val="222222"/>
          <w:shd w:val="clear" w:color="auto" w:fill="FFFFFF"/>
        </w:rPr>
        <w:t>.</w:t>
      </w:r>
    </w:p>
    <w:p w14:paraId="2F1794AD" w14:textId="77777777" w:rsidR="00967BB9" w:rsidRPr="00661A68" w:rsidRDefault="00967BB9" w:rsidP="00967BB9">
      <w:pPr>
        <w:rPr>
          <w:color w:val="222222"/>
          <w:shd w:val="clear" w:color="auto" w:fill="FFFFFF"/>
        </w:rPr>
      </w:pPr>
      <w:r w:rsidRPr="00661A68">
        <w:rPr>
          <w:color w:val="222222"/>
          <w:shd w:val="clear" w:color="auto" w:fill="FFFFFF"/>
        </w:rPr>
        <w:t>Block, S.B., Hirt, G.A. and Danielsen, B.R., 2018. </w:t>
      </w:r>
      <w:r w:rsidRPr="00661A68">
        <w:rPr>
          <w:i/>
          <w:iCs/>
          <w:color w:val="222222"/>
          <w:shd w:val="clear" w:color="auto" w:fill="FFFFFF"/>
        </w:rPr>
        <w:t>Foundations of financial management</w:t>
      </w:r>
      <w:r w:rsidRPr="00661A68">
        <w:rPr>
          <w:color w:val="222222"/>
          <w:shd w:val="clear" w:color="auto" w:fill="FFFFFF"/>
        </w:rPr>
        <w:t>. McGraw-Hill Education..</w:t>
      </w:r>
    </w:p>
    <w:p w14:paraId="36AF7BA1" w14:textId="77777777" w:rsidR="00967BB9" w:rsidRPr="00661A68" w:rsidRDefault="00967BB9" w:rsidP="00967BB9">
      <w:pPr>
        <w:rPr>
          <w:color w:val="222222"/>
          <w:shd w:val="clear" w:color="auto" w:fill="FFFFFF"/>
        </w:rPr>
      </w:pPr>
      <w:r w:rsidRPr="00661A68">
        <w:rPr>
          <w:color w:val="222222"/>
          <w:shd w:val="clear" w:color="auto" w:fill="FFFFFF"/>
        </w:rPr>
        <w:t>Brigham, E.F. and Daves, P.R., 2018. </w:t>
      </w:r>
      <w:r w:rsidRPr="00661A68">
        <w:rPr>
          <w:i/>
          <w:iCs/>
          <w:color w:val="222222"/>
          <w:shd w:val="clear" w:color="auto" w:fill="FFFFFF"/>
        </w:rPr>
        <w:t>Intermediate financial management</w:t>
      </w:r>
      <w:r w:rsidRPr="00661A68">
        <w:rPr>
          <w:color w:val="222222"/>
          <w:shd w:val="clear" w:color="auto" w:fill="FFFFFF"/>
        </w:rPr>
        <w:t xml:space="preserve">. Cengage Learning. </w:t>
      </w:r>
    </w:p>
    <w:p w14:paraId="05268D9C" w14:textId="77777777" w:rsidR="00967BB9" w:rsidRPr="00661A68" w:rsidRDefault="00967BB9" w:rsidP="00967BB9">
      <w:pPr>
        <w:rPr>
          <w:color w:val="222222"/>
          <w:shd w:val="clear" w:color="auto" w:fill="FFFFFF"/>
        </w:rPr>
      </w:pPr>
      <w:r w:rsidRPr="00661A68">
        <w:rPr>
          <w:color w:val="222222"/>
          <w:shd w:val="clear" w:color="auto" w:fill="FFFFFF"/>
        </w:rPr>
        <w:t>Brigham, E.F. and Houston, J.F., 2021. </w:t>
      </w:r>
      <w:r w:rsidRPr="00661A68">
        <w:rPr>
          <w:i/>
          <w:iCs/>
          <w:color w:val="222222"/>
          <w:shd w:val="clear" w:color="auto" w:fill="FFFFFF"/>
        </w:rPr>
        <w:t>Fundamentals of financial management</w:t>
      </w:r>
      <w:r w:rsidRPr="00661A68">
        <w:rPr>
          <w:color w:val="222222"/>
          <w:shd w:val="clear" w:color="auto" w:fill="FFFFFF"/>
        </w:rPr>
        <w:t>. Cengage Learning.</w:t>
      </w:r>
    </w:p>
    <w:p w14:paraId="33133D0A" w14:textId="77777777" w:rsidR="00967BB9" w:rsidRDefault="00967BB9" w:rsidP="00967BB9">
      <w:pPr>
        <w:pStyle w:val="NormalWeb"/>
        <w:spacing w:before="0" w:beforeAutospacing="0" w:after="0" w:afterAutospacing="0" w:line="360" w:lineRule="auto"/>
        <w:jc w:val="both"/>
        <w:rPr>
          <w:color w:val="000000"/>
        </w:rPr>
      </w:pPr>
      <w:r>
        <w:rPr>
          <w:color w:val="000000"/>
        </w:rPr>
        <w:t>Finance.yahoo.com. (2022</w:t>
      </w:r>
      <w:r w:rsidRPr="00FF0954">
        <w:rPr>
          <w:color w:val="000000"/>
        </w:rPr>
        <w:t>). </w:t>
      </w:r>
      <w:r w:rsidRPr="00FF0954">
        <w:rPr>
          <w:i/>
          <w:iCs/>
          <w:color w:val="000000"/>
        </w:rPr>
        <w:t>Shell plc (SHEL) Stock Price, News, Quote &amp; History - Yahoo Finance</w:t>
      </w:r>
      <w:r w:rsidRPr="00FF0954">
        <w:rPr>
          <w:color w:val="000000"/>
        </w:rPr>
        <w:t>. [online] Available at: https://finance.yahoo.com/quote/SHEL/ [Accessed 28 Dec. 2022].</w:t>
      </w:r>
    </w:p>
    <w:p w14:paraId="04197849" w14:textId="77777777" w:rsidR="00967BB9" w:rsidRDefault="00967BB9" w:rsidP="00967BB9">
      <w:pPr>
        <w:rPr>
          <w:color w:val="222222"/>
          <w:shd w:val="clear" w:color="auto" w:fill="FFFFFF"/>
        </w:rPr>
      </w:pPr>
      <w:r w:rsidRPr="00661A68">
        <w:rPr>
          <w:color w:val="222222"/>
          <w:shd w:val="clear" w:color="auto" w:fill="FFFFFF"/>
        </w:rPr>
        <w:t>Madura, J., 2020. </w:t>
      </w:r>
      <w:r w:rsidRPr="00661A68">
        <w:rPr>
          <w:i/>
          <w:iCs/>
          <w:color w:val="222222"/>
          <w:shd w:val="clear" w:color="auto" w:fill="FFFFFF"/>
        </w:rPr>
        <w:t>International financial management</w:t>
      </w:r>
      <w:r w:rsidRPr="00661A68">
        <w:rPr>
          <w:color w:val="222222"/>
          <w:shd w:val="clear" w:color="auto" w:fill="FFFFFF"/>
        </w:rPr>
        <w:t>. Cengage Learning.</w:t>
      </w:r>
    </w:p>
    <w:p w14:paraId="60283F37" w14:textId="77777777" w:rsidR="00967BB9" w:rsidRDefault="00967BB9" w:rsidP="00967BB9">
      <w:pPr>
        <w:pStyle w:val="NormalWeb"/>
        <w:spacing w:before="0" w:beforeAutospacing="0" w:after="0" w:afterAutospacing="0" w:line="360" w:lineRule="auto"/>
        <w:jc w:val="both"/>
        <w:rPr>
          <w:color w:val="000000"/>
        </w:rPr>
      </w:pPr>
      <w:r>
        <w:rPr>
          <w:color w:val="000000"/>
        </w:rPr>
        <w:t>MarketBeat.com. (2022</w:t>
      </w:r>
      <w:r w:rsidRPr="00FF0954">
        <w:rPr>
          <w:color w:val="000000"/>
        </w:rPr>
        <w:t>). </w:t>
      </w:r>
      <w:r w:rsidRPr="00FF0954">
        <w:rPr>
          <w:i/>
          <w:iCs/>
          <w:color w:val="000000"/>
        </w:rPr>
        <w:t>Shell plc (LON:SHEL) Given Average Rating of ‘Moderate Buy’ by Brokerages</w:t>
      </w:r>
      <w:r w:rsidRPr="00FF0954">
        <w:rPr>
          <w:color w:val="000000"/>
        </w:rPr>
        <w:t>. [online] Available at: https://www.marketbeat.com/instant-alerts/lon-shel-consensus-analyst-rating-2022-12-2-3/ [Accessed 28 Dec. 2022].</w:t>
      </w:r>
    </w:p>
    <w:p w14:paraId="030E11C0" w14:textId="77777777" w:rsidR="00967BB9" w:rsidRPr="00661A68" w:rsidRDefault="00967BB9" w:rsidP="00967BB9">
      <w:pPr>
        <w:rPr>
          <w:color w:val="222222"/>
          <w:shd w:val="clear" w:color="auto" w:fill="FFFFFF"/>
        </w:rPr>
      </w:pPr>
      <w:r w:rsidRPr="00661A68">
        <w:rPr>
          <w:color w:val="222222"/>
          <w:shd w:val="clear" w:color="auto" w:fill="FFFFFF"/>
        </w:rPr>
        <w:t>Shapiro, A.C. and Hanouna, P., 2019. </w:t>
      </w:r>
      <w:r w:rsidRPr="00661A68">
        <w:rPr>
          <w:i/>
          <w:iCs/>
          <w:color w:val="222222"/>
          <w:shd w:val="clear" w:color="auto" w:fill="FFFFFF"/>
        </w:rPr>
        <w:t>Multinational financial management</w:t>
      </w:r>
      <w:r w:rsidRPr="00661A68">
        <w:rPr>
          <w:color w:val="222222"/>
          <w:shd w:val="clear" w:color="auto" w:fill="FFFFFF"/>
        </w:rPr>
        <w:t>. John Wiley &amp; Sons.</w:t>
      </w:r>
    </w:p>
    <w:p w14:paraId="4DCBB463" w14:textId="77777777" w:rsidR="00967BB9" w:rsidRDefault="00967BB9" w:rsidP="00967BB9">
      <w:pPr>
        <w:pStyle w:val="NormalWeb"/>
        <w:spacing w:before="0" w:beforeAutospacing="0" w:after="0" w:afterAutospacing="0" w:line="360" w:lineRule="auto"/>
        <w:jc w:val="both"/>
        <w:rPr>
          <w:color w:val="000000"/>
        </w:rPr>
      </w:pPr>
      <w:r w:rsidRPr="00FF0954">
        <w:rPr>
          <w:color w:val="000000"/>
        </w:rPr>
        <w:t xml:space="preserve">Shell </w:t>
      </w:r>
      <w:r>
        <w:rPr>
          <w:color w:val="000000"/>
        </w:rPr>
        <w:t>plc. (2021</w:t>
      </w:r>
      <w:r w:rsidRPr="00FF0954">
        <w:rPr>
          <w:color w:val="000000"/>
        </w:rPr>
        <w:t>). </w:t>
      </w:r>
      <w:r w:rsidRPr="00FF0954">
        <w:rPr>
          <w:i/>
          <w:iCs/>
          <w:color w:val="000000"/>
        </w:rPr>
        <w:t>Downloads</w:t>
      </w:r>
      <w:r w:rsidRPr="00FF0954">
        <w:rPr>
          <w:color w:val="000000"/>
        </w:rPr>
        <w:t xml:space="preserve">. [online] Available at: </w:t>
      </w:r>
      <w:hyperlink r:id="rId7" w:history="1">
        <w:r w:rsidRPr="00B24034">
          <w:rPr>
            <w:rStyle w:val="Hyperlink"/>
          </w:rPr>
          <w:t>https://reports.shell.com/annual-report/2021/services/downloads.html</w:t>
        </w:r>
      </w:hyperlink>
      <w:r w:rsidRPr="00FF0954">
        <w:rPr>
          <w:color w:val="000000"/>
        </w:rPr>
        <w:t>.</w:t>
      </w:r>
    </w:p>
    <w:p w14:paraId="1AD4184E" w14:textId="77777777" w:rsidR="00967BB9" w:rsidRDefault="00967BB9" w:rsidP="00967BB9">
      <w:pPr>
        <w:pStyle w:val="NormalWeb"/>
        <w:spacing w:before="0" w:beforeAutospacing="0" w:after="0" w:afterAutospacing="0" w:line="360" w:lineRule="auto"/>
        <w:jc w:val="both"/>
        <w:rPr>
          <w:color w:val="000000"/>
        </w:rPr>
      </w:pPr>
      <w:r w:rsidRPr="00FF0954">
        <w:rPr>
          <w:color w:val="000000"/>
        </w:rPr>
        <w:t>Shell.com. (2019). </w:t>
      </w:r>
      <w:r w:rsidRPr="00FF0954">
        <w:rPr>
          <w:i/>
          <w:iCs/>
          <w:color w:val="000000"/>
        </w:rPr>
        <w:t>Appomattox</w:t>
      </w:r>
      <w:r w:rsidRPr="00FF0954">
        <w:rPr>
          <w:color w:val="000000"/>
        </w:rPr>
        <w:t xml:space="preserve">. [online] Available at: </w:t>
      </w:r>
      <w:hyperlink r:id="rId8" w:history="1">
        <w:r w:rsidRPr="00B24034">
          <w:rPr>
            <w:rStyle w:val="Hyperlink"/>
          </w:rPr>
          <w:t>https://www.shell.com/about-us/major-projects/appomattox.html</w:t>
        </w:r>
      </w:hyperlink>
      <w:r w:rsidRPr="00FF0954">
        <w:rPr>
          <w:color w:val="000000"/>
        </w:rPr>
        <w:t>.</w:t>
      </w:r>
    </w:p>
    <w:p w14:paraId="55B526C0" w14:textId="77777777" w:rsidR="00967BB9" w:rsidRDefault="00967BB9" w:rsidP="00967BB9">
      <w:pPr>
        <w:pStyle w:val="NormalWeb"/>
        <w:spacing w:before="0" w:beforeAutospacing="0" w:after="0" w:afterAutospacing="0" w:line="360" w:lineRule="auto"/>
        <w:jc w:val="both"/>
        <w:rPr>
          <w:color w:val="000000"/>
        </w:rPr>
      </w:pPr>
      <w:r>
        <w:rPr>
          <w:color w:val="000000"/>
        </w:rPr>
        <w:t>Shell.com. (2022</w:t>
      </w:r>
      <w:r w:rsidRPr="00FF0954">
        <w:rPr>
          <w:color w:val="000000"/>
        </w:rPr>
        <w:t>). </w:t>
      </w:r>
      <w:r w:rsidRPr="00FF0954">
        <w:rPr>
          <w:i/>
          <w:iCs/>
          <w:color w:val="000000"/>
        </w:rPr>
        <w:t>Shell to acquire renewable natural gas producer Nature Energy | Shell Global</w:t>
      </w:r>
      <w:r w:rsidRPr="00FF0954">
        <w:rPr>
          <w:color w:val="000000"/>
        </w:rPr>
        <w:t xml:space="preserve">. [online] Available at: </w:t>
      </w:r>
      <w:hyperlink r:id="rId9" w:history="1">
        <w:r w:rsidRPr="00B24034">
          <w:rPr>
            <w:rStyle w:val="Hyperlink"/>
          </w:rPr>
          <w:t>https://www.shell.com/media/news-and-media-releases/2022/shell-to-acquire-renewable-natural-gas-producer-nature-energy.html</w:t>
        </w:r>
      </w:hyperlink>
      <w:r w:rsidRPr="00FF0954">
        <w:rPr>
          <w:color w:val="000000"/>
        </w:rPr>
        <w:t>.</w:t>
      </w:r>
    </w:p>
    <w:p w14:paraId="219C795B" w14:textId="77777777" w:rsidR="00967BB9" w:rsidRPr="00661A68" w:rsidRDefault="00967BB9" w:rsidP="00967BB9">
      <w:pPr>
        <w:rPr>
          <w:color w:val="222222"/>
          <w:shd w:val="clear" w:color="auto" w:fill="FFFFFF"/>
        </w:rPr>
      </w:pPr>
      <w:r w:rsidRPr="00661A68">
        <w:rPr>
          <w:color w:val="222222"/>
          <w:shd w:val="clear" w:color="auto" w:fill="FFFFFF"/>
        </w:rPr>
        <w:t>Shim, J.K., 2022. </w:t>
      </w:r>
      <w:r w:rsidRPr="00661A68">
        <w:rPr>
          <w:i/>
          <w:iCs/>
          <w:color w:val="222222"/>
          <w:shd w:val="clear" w:color="auto" w:fill="FFFFFF"/>
        </w:rPr>
        <w:t>Financial management</w:t>
      </w:r>
      <w:r w:rsidRPr="00661A68">
        <w:rPr>
          <w:color w:val="222222"/>
          <w:shd w:val="clear" w:color="auto" w:fill="FFFFFF"/>
        </w:rPr>
        <w:t>. Professor of Finance and Accounting Queens College City University of New York.</w:t>
      </w:r>
    </w:p>
    <w:p w14:paraId="773C45F2" w14:textId="77777777" w:rsidR="00967BB9" w:rsidRPr="00FF0954" w:rsidRDefault="00967BB9" w:rsidP="00967BB9">
      <w:pPr>
        <w:pStyle w:val="NormalWeb"/>
        <w:spacing w:before="0" w:beforeAutospacing="0" w:after="0" w:afterAutospacing="0" w:line="360" w:lineRule="auto"/>
        <w:jc w:val="both"/>
        <w:rPr>
          <w:color w:val="000000"/>
        </w:rPr>
      </w:pPr>
    </w:p>
    <w:p w14:paraId="0831B5C8" w14:textId="77777777" w:rsidR="00967BB9" w:rsidRPr="00FF0954" w:rsidRDefault="00967BB9" w:rsidP="00967BB9">
      <w:pPr>
        <w:pStyle w:val="NormalWeb"/>
        <w:spacing w:line="360" w:lineRule="auto"/>
        <w:jc w:val="both"/>
        <w:rPr>
          <w:color w:val="000000"/>
        </w:rPr>
      </w:pPr>
      <w:r w:rsidRPr="00FF0954">
        <w:rPr>
          <w:color w:val="000000"/>
        </w:rPr>
        <w:t>‌</w:t>
      </w:r>
    </w:p>
    <w:p w14:paraId="76177BAB" w14:textId="77777777" w:rsidR="00967BB9" w:rsidRPr="00FF0954" w:rsidRDefault="00967BB9" w:rsidP="00967BB9">
      <w:pPr>
        <w:pStyle w:val="NormalWeb"/>
        <w:spacing w:before="0" w:beforeAutospacing="0" w:after="0" w:afterAutospacing="0" w:line="360" w:lineRule="auto"/>
        <w:jc w:val="both"/>
        <w:rPr>
          <w:color w:val="000000"/>
        </w:rPr>
      </w:pPr>
    </w:p>
    <w:p w14:paraId="0000000F" w14:textId="4E4F65E6" w:rsidR="0090414E" w:rsidRDefault="00967BB9" w:rsidP="00967BB9">
      <w:pPr>
        <w:pStyle w:val="NormalWeb"/>
      </w:pPr>
      <w:r>
        <w:rPr>
          <w:rFonts w:ascii="Calibri" w:hAnsi="Calibri" w:cs="Calibri"/>
          <w:color w:val="000000"/>
          <w:sz w:val="27"/>
          <w:szCs w:val="27"/>
        </w:rPr>
        <w:t>‌</w:t>
      </w:r>
    </w:p>
    <w:sectPr w:rsidR="0090414E">
      <w:footerReference w:type="default" r:id="rId1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6552D" w14:textId="77777777" w:rsidR="005F5CD2" w:rsidRDefault="005F5CD2" w:rsidP="00967BB9">
      <w:pPr>
        <w:spacing w:line="240" w:lineRule="auto"/>
      </w:pPr>
      <w:r>
        <w:separator/>
      </w:r>
    </w:p>
  </w:endnote>
  <w:endnote w:type="continuationSeparator" w:id="0">
    <w:p w14:paraId="36ED3D7C" w14:textId="77777777" w:rsidR="005F5CD2" w:rsidRDefault="005F5CD2" w:rsidP="00967B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812119"/>
      <w:docPartObj>
        <w:docPartGallery w:val="Page Numbers (Bottom of Page)"/>
        <w:docPartUnique/>
      </w:docPartObj>
    </w:sdtPr>
    <w:sdtEndPr>
      <w:rPr>
        <w:noProof/>
      </w:rPr>
    </w:sdtEndPr>
    <w:sdtContent>
      <w:p w14:paraId="708F6202" w14:textId="42B98484" w:rsidR="00967BB9" w:rsidRDefault="00967BB9">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BAE35B4" w14:textId="77777777" w:rsidR="00967BB9" w:rsidRDefault="00967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92ADC" w14:textId="77777777" w:rsidR="005F5CD2" w:rsidRDefault="005F5CD2" w:rsidP="00967BB9">
      <w:pPr>
        <w:spacing w:line="240" w:lineRule="auto"/>
      </w:pPr>
      <w:r>
        <w:separator/>
      </w:r>
    </w:p>
  </w:footnote>
  <w:footnote w:type="continuationSeparator" w:id="0">
    <w:p w14:paraId="69949C81" w14:textId="77777777" w:rsidR="005F5CD2" w:rsidRDefault="005F5CD2" w:rsidP="00967B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0414E"/>
    <w:rsid w:val="00317D00"/>
    <w:rsid w:val="00487EFC"/>
    <w:rsid w:val="005F5CD2"/>
    <w:rsid w:val="0090414E"/>
    <w:rsid w:val="00967B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4A5C"/>
  <w15:docId w15:val="{E30D3EA2-78B0-4E60-9AD5-95B613645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967BB9"/>
    <w:pPr>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rmalWeb">
    <w:name w:val="Normal (Web)"/>
    <w:basedOn w:val="Normal"/>
    <w:uiPriority w:val="99"/>
    <w:unhideWhenUsed/>
    <w:rsid w:val="00967BB9"/>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967BB9"/>
    <w:rPr>
      <w:color w:val="0000FF" w:themeColor="hyperlink"/>
      <w:u w:val="single"/>
    </w:rPr>
  </w:style>
  <w:style w:type="paragraph" w:styleId="TOCHeading">
    <w:name w:val="TOC Heading"/>
    <w:basedOn w:val="Heading1"/>
    <w:next w:val="Normal"/>
    <w:uiPriority w:val="39"/>
    <w:semiHidden/>
    <w:unhideWhenUsed/>
    <w:qFormat/>
    <w:rsid w:val="00967BB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67BB9"/>
    <w:pPr>
      <w:spacing w:after="100"/>
    </w:pPr>
  </w:style>
  <w:style w:type="paragraph" w:styleId="BalloonText">
    <w:name w:val="Balloon Text"/>
    <w:basedOn w:val="Normal"/>
    <w:link w:val="BalloonTextChar"/>
    <w:uiPriority w:val="99"/>
    <w:semiHidden/>
    <w:unhideWhenUsed/>
    <w:rsid w:val="00967B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BB9"/>
    <w:rPr>
      <w:rFonts w:ascii="Tahoma" w:hAnsi="Tahoma" w:cs="Tahoma"/>
      <w:sz w:val="16"/>
      <w:szCs w:val="16"/>
      <w:lang w:val="en-GB"/>
    </w:rPr>
  </w:style>
  <w:style w:type="paragraph" w:styleId="Header">
    <w:name w:val="header"/>
    <w:basedOn w:val="Normal"/>
    <w:link w:val="HeaderChar"/>
    <w:uiPriority w:val="99"/>
    <w:unhideWhenUsed/>
    <w:rsid w:val="00967BB9"/>
    <w:pPr>
      <w:tabs>
        <w:tab w:val="center" w:pos="4513"/>
        <w:tab w:val="right" w:pos="9026"/>
      </w:tabs>
      <w:spacing w:line="240" w:lineRule="auto"/>
    </w:pPr>
  </w:style>
  <w:style w:type="character" w:customStyle="1" w:styleId="HeaderChar">
    <w:name w:val="Header Char"/>
    <w:basedOn w:val="DefaultParagraphFont"/>
    <w:link w:val="Header"/>
    <w:uiPriority w:val="99"/>
    <w:rsid w:val="00967BB9"/>
    <w:rPr>
      <w:lang w:val="en-GB"/>
    </w:rPr>
  </w:style>
  <w:style w:type="paragraph" w:styleId="Footer">
    <w:name w:val="footer"/>
    <w:basedOn w:val="Normal"/>
    <w:link w:val="FooterChar"/>
    <w:uiPriority w:val="99"/>
    <w:unhideWhenUsed/>
    <w:rsid w:val="00967BB9"/>
    <w:pPr>
      <w:tabs>
        <w:tab w:val="center" w:pos="4513"/>
        <w:tab w:val="right" w:pos="9026"/>
      </w:tabs>
      <w:spacing w:line="240" w:lineRule="auto"/>
    </w:pPr>
  </w:style>
  <w:style w:type="character" w:customStyle="1" w:styleId="FooterChar">
    <w:name w:val="Footer Char"/>
    <w:basedOn w:val="DefaultParagraphFont"/>
    <w:link w:val="Footer"/>
    <w:uiPriority w:val="99"/>
    <w:rsid w:val="00967BB9"/>
    <w:rPr>
      <w:lang w:val="en-GB"/>
    </w:rPr>
  </w:style>
  <w:style w:type="paragraph" w:customStyle="1" w:styleId="Normal1">
    <w:name w:val="Normal1"/>
    <w:rsid w:val="00317D00"/>
    <w:pPr>
      <w:spacing w:before="200" w:after="200"/>
    </w:pPr>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95967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ll.com/about-us/major-projects/appomattox.html" TargetMode="External"/><Relationship Id="rId3" Type="http://schemas.openxmlformats.org/officeDocument/2006/relationships/settings" Target="settings.xml"/><Relationship Id="rId7" Type="http://schemas.openxmlformats.org/officeDocument/2006/relationships/hyperlink" Target="https://reports.shell.com/annual-report/2021/services/downloads.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hell.com/media/news-and-media-releases/2022/shell-to-acquire-renewable-natural-gas-producer-nature-ener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F925F-A242-44E5-B82E-80757A68C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1942</Words>
  <Characters>11070</Characters>
  <Application>Microsoft Office Word</Application>
  <DocSecurity>0</DocSecurity>
  <Lines>92</Lines>
  <Paragraphs>25</Paragraphs>
  <ScaleCrop>false</ScaleCrop>
  <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Antofie (2011970)</cp:lastModifiedBy>
  <cp:revision>4</cp:revision>
  <dcterms:created xsi:type="dcterms:W3CDTF">2022-12-28T01:18:00Z</dcterms:created>
  <dcterms:modified xsi:type="dcterms:W3CDTF">2023-01-06T22:17:00Z</dcterms:modified>
</cp:coreProperties>
</file>