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349CEB" w14:textId="77777777" w:rsidR="00D34C1A" w:rsidRDefault="00D34C1A"/>
    <w:tbl>
      <w:tblPr>
        <w:tblStyle w:val="TableGrid"/>
        <w:tblpPr w:leftFromText="180" w:rightFromText="180" w:vertAnchor="page" w:horzAnchor="margin" w:tblpY="3601"/>
        <w:tblW w:w="0" w:type="auto"/>
        <w:tblLook w:val="04A0" w:firstRow="1" w:lastRow="0" w:firstColumn="1" w:lastColumn="0" w:noHBand="0" w:noVBand="1"/>
      </w:tblPr>
      <w:tblGrid>
        <w:gridCol w:w="4622"/>
        <w:gridCol w:w="4623"/>
      </w:tblGrid>
      <w:tr w:rsidR="00D34C1A" w14:paraId="72998C40" w14:textId="77777777" w:rsidTr="00D34C1A">
        <w:trPr>
          <w:trHeight w:val="1070"/>
        </w:trPr>
        <w:tc>
          <w:tcPr>
            <w:tcW w:w="4622" w:type="dxa"/>
          </w:tcPr>
          <w:p w14:paraId="4E711902" w14:textId="77777777" w:rsidR="00D34C1A" w:rsidRPr="00FD769F" w:rsidRDefault="00D34C1A" w:rsidP="00D34C1A">
            <w:pPr>
              <w:pStyle w:val="Normal1"/>
              <w:jc w:val="center"/>
              <w:rPr>
                <w:b/>
                <w:sz w:val="32"/>
              </w:rPr>
            </w:pPr>
          </w:p>
          <w:p w14:paraId="241CE3B5" w14:textId="7EB030C7" w:rsidR="00D34C1A" w:rsidRPr="00FD769F" w:rsidRDefault="00D34C1A" w:rsidP="00D34C1A">
            <w:pPr>
              <w:pStyle w:val="Normal1"/>
              <w:jc w:val="center"/>
              <w:rPr>
                <w:b/>
                <w:sz w:val="32"/>
              </w:rPr>
            </w:pPr>
            <w:r w:rsidRPr="00FD769F">
              <w:rPr>
                <w:b/>
                <w:sz w:val="32"/>
              </w:rPr>
              <w:t>NAME</w:t>
            </w:r>
          </w:p>
        </w:tc>
        <w:tc>
          <w:tcPr>
            <w:tcW w:w="4623" w:type="dxa"/>
          </w:tcPr>
          <w:p w14:paraId="7B2B47B4" w14:textId="77777777" w:rsidR="00FD769F" w:rsidRPr="00FD769F" w:rsidRDefault="00FD769F" w:rsidP="00FD769F">
            <w:pPr>
              <w:pStyle w:val="Normal1"/>
              <w:jc w:val="center"/>
              <w:rPr>
                <w:i/>
                <w:sz w:val="32"/>
              </w:rPr>
            </w:pPr>
          </w:p>
          <w:p w14:paraId="03586EA6" w14:textId="63D940F5" w:rsidR="00D34C1A" w:rsidRPr="00FD769F" w:rsidRDefault="00D34C1A" w:rsidP="00FD769F">
            <w:pPr>
              <w:pStyle w:val="Normal1"/>
              <w:jc w:val="center"/>
              <w:rPr>
                <w:i/>
                <w:sz w:val="32"/>
              </w:rPr>
            </w:pPr>
            <w:r w:rsidRPr="00FD769F">
              <w:rPr>
                <w:i/>
                <w:sz w:val="32"/>
              </w:rPr>
              <w:t>SHABAAZ ALI SYED</w:t>
            </w:r>
          </w:p>
        </w:tc>
      </w:tr>
      <w:tr w:rsidR="00D34C1A" w14:paraId="63826311" w14:textId="77777777" w:rsidTr="00D34C1A">
        <w:trPr>
          <w:trHeight w:val="1160"/>
        </w:trPr>
        <w:tc>
          <w:tcPr>
            <w:tcW w:w="4622" w:type="dxa"/>
          </w:tcPr>
          <w:p w14:paraId="0BEAEC1F" w14:textId="77777777" w:rsidR="00D34C1A" w:rsidRPr="00FD769F" w:rsidRDefault="00D34C1A" w:rsidP="00D34C1A">
            <w:pPr>
              <w:pStyle w:val="Normal1"/>
              <w:jc w:val="center"/>
              <w:rPr>
                <w:b/>
                <w:sz w:val="32"/>
              </w:rPr>
            </w:pPr>
          </w:p>
          <w:p w14:paraId="07A66B10" w14:textId="484C39E1" w:rsidR="00D34C1A" w:rsidRPr="00FD769F" w:rsidRDefault="00D34C1A" w:rsidP="00D34C1A">
            <w:pPr>
              <w:pStyle w:val="Normal1"/>
              <w:jc w:val="center"/>
              <w:rPr>
                <w:b/>
                <w:sz w:val="32"/>
              </w:rPr>
            </w:pPr>
            <w:r w:rsidRPr="00FD769F">
              <w:rPr>
                <w:b/>
                <w:sz w:val="32"/>
              </w:rPr>
              <w:t>STUDENT NUMBER</w:t>
            </w:r>
          </w:p>
        </w:tc>
        <w:tc>
          <w:tcPr>
            <w:tcW w:w="4623" w:type="dxa"/>
          </w:tcPr>
          <w:p w14:paraId="466AB861" w14:textId="77777777" w:rsidR="00FD769F" w:rsidRPr="00FD769F" w:rsidRDefault="00FD769F" w:rsidP="00FD769F">
            <w:pPr>
              <w:pStyle w:val="Normal1"/>
              <w:jc w:val="center"/>
              <w:rPr>
                <w:i/>
                <w:sz w:val="32"/>
              </w:rPr>
            </w:pPr>
          </w:p>
          <w:p w14:paraId="16660960" w14:textId="209DF20A" w:rsidR="00D34C1A" w:rsidRPr="00FD769F" w:rsidRDefault="00D34C1A" w:rsidP="00FD769F">
            <w:pPr>
              <w:pStyle w:val="Normal1"/>
              <w:jc w:val="center"/>
              <w:rPr>
                <w:i/>
                <w:sz w:val="32"/>
              </w:rPr>
            </w:pPr>
            <w:r w:rsidRPr="00FD769F">
              <w:rPr>
                <w:i/>
                <w:sz w:val="32"/>
              </w:rPr>
              <w:t>2128679</w:t>
            </w:r>
          </w:p>
        </w:tc>
      </w:tr>
      <w:tr w:rsidR="00D34C1A" w14:paraId="75F9993D" w14:textId="77777777" w:rsidTr="00D34C1A">
        <w:trPr>
          <w:trHeight w:val="1070"/>
        </w:trPr>
        <w:tc>
          <w:tcPr>
            <w:tcW w:w="4622" w:type="dxa"/>
          </w:tcPr>
          <w:p w14:paraId="0A74E261" w14:textId="77777777" w:rsidR="00D34C1A" w:rsidRPr="00FD769F" w:rsidRDefault="00D34C1A" w:rsidP="00D34C1A">
            <w:pPr>
              <w:pStyle w:val="Normal1"/>
              <w:jc w:val="center"/>
              <w:rPr>
                <w:b/>
                <w:sz w:val="32"/>
              </w:rPr>
            </w:pPr>
          </w:p>
          <w:p w14:paraId="1C1F700D" w14:textId="2F5542AF" w:rsidR="00D34C1A" w:rsidRPr="00FD769F" w:rsidRDefault="00D34C1A" w:rsidP="00D34C1A">
            <w:pPr>
              <w:pStyle w:val="Normal1"/>
              <w:jc w:val="center"/>
              <w:rPr>
                <w:b/>
                <w:sz w:val="32"/>
              </w:rPr>
            </w:pPr>
            <w:r w:rsidRPr="00FD769F">
              <w:rPr>
                <w:b/>
                <w:sz w:val="32"/>
              </w:rPr>
              <w:t>MODULE</w:t>
            </w:r>
          </w:p>
        </w:tc>
        <w:tc>
          <w:tcPr>
            <w:tcW w:w="4623" w:type="dxa"/>
          </w:tcPr>
          <w:p w14:paraId="073041F9" w14:textId="77777777" w:rsidR="00FD769F" w:rsidRPr="00FD769F" w:rsidRDefault="00FD769F" w:rsidP="00FD769F">
            <w:pPr>
              <w:pStyle w:val="Normal1"/>
              <w:jc w:val="center"/>
              <w:rPr>
                <w:i/>
                <w:sz w:val="32"/>
              </w:rPr>
            </w:pPr>
          </w:p>
          <w:p w14:paraId="7D1A5346" w14:textId="665B26D9" w:rsidR="00D34C1A" w:rsidRPr="00FD769F" w:rsidRDefault="00D34C1A" w:rsidP="00FD769F">
            <w:pPr>
              <w:pStyle w:val="Normal1"/>
              <w:jc w:val="center"/>
              <w:rPr>
                <w:i/>
                <w:sz w:val="32"/>
              </w:rPr>
            </w:pPr>
            <w:r w:rsidRPr="00FD769F">
              <w:rPr>
                <w:i/>
                <w:sz w:val="32"/>
              </w:rPr>
              <w:t>LCMB7000</w:t>
            </w:r>
          </w:p>
        </w:tc>
      </w:tr>
      <w:tr w:rsidR="00D34C1A" w14:paraId="6F2BADB4" w14:textId="77777777" w:rsidTr="00D34C1A">
        <w:trPr>
          <w:trHeight w:val="1079"/>
        </w:trPr>
        <w:tc>
          <w:tcPr>
            <w:tcW w:w="4622" w:type="dxa"/>
          </w:tcPr>
          <w:p w14:paraId="411D5238" w14:textId="77777777" w:rsidR="00D34C1A" w:rsidRPr="00FD769F" w:rsidRDefault="00D34C1A" w:rsidP="00D34C1A">
            <w:pPr>
              <w:pStyle w:val="Normal1"/>
              <w:jc w:val="center"/>
              <w:rPr>
                <w:b/>
                <w:sz w:val="32"/>
              </w:rPr>
            </w:pPr>
          </w:p>
          <w:p w14:paraId="0378C043" w14:textId="18087322" w:rsidR="00D34C1A" w:rsidRPr="00FD769F" w:rsidRDefault="00D34C1A" w:rsidP="00D34C1A">
            <w:pPr>
              <w:pStyle w:val="Normal1"/>
              <w:jc w:val="center"/>
              <w:rPr>
                <w:b/>
                <w:sz w:val="32"/>
              </w:rPr>
            </w:pPr>
            <w:r w:rsidRPr="00FD769F">
              <w:rPr>
                <w:b/>
                <w:sz w:val="32"/>
              </w:rPr>
              <w:t>LECTURER</w:t>
            </w:r>
          </w:p>
        </w:tc>
        <w:tc>
          <w:tcPr>
            <w:tcW w:w="4623" w:type="dxa"/>
          </w:tcPr>
          <w:p w14:paraId="615FB40A" w14:textId="77777777" w:rsidR="00FD769F" w:rsidRPr="00FD769F" w:rsidRDefault="00FD769F" w:rsidP="00FD769F">
            <w:pPr>
              <w:pStyle w:val="Normal1"/>
              <w:jc w:val="center"/>
              <w:rPr>
                <w:i/>
                <w:sz w:val="32"/>
              </w:rPr>
            </w:pPr>
          </w:p>
          <w:p w14:paraId="4A746AA2" w14:textId="51EE3C08" w:rsidR="00D34C1A" w:rsidRPr="00FD769F" w:rsidRDefault="00D34C1A" w:rsidP="00FD769F">
            <w:pPr>
              <w:pStyle w:val="Normal1"/>
              <w:jc w:val="center"/>
              <w:rPr>
                <w:i/>
                <w:sz w:val="32"/>
              </w:rPr>
            </w:pPr>
            <w:r w:rsidRPr="00FD769F">
              <w:rPr>
                <w:i/>
                <w:sz w:val="32"/>
              </w:rPr>
              <w:t>MUSHFIQUR RAHMAN</w:t>
            </w:r>
          </w:p>
        </w:tc>
      </w:tr>
      <w:tr w:rsidR="00D34C1A" w14:paraId="61D99ECF" w14:textId="77777777" w:rsidTr="00D34C1A">
        <w:trPr>
          <w:trHeight w:val="1241"/>
        </w:trPr>
        <w:tc>
          <w:tcPr>
            <w:tcW w:w="4622" w:type="dxa"/>
          </w:tcPr>
          <w:p w14:paraId="1CE803EA" w14:textId="77777777" w:rsidR="00D34C1A" w:rsidRPr="00FD769F" w:rsidRDefault="00D34C1A" w:rsidP="00D34C1A">
            <w:pPr>
              <w:pStyle w:val="Normal1"/>
              <w:jc w:val="center"/>
              <w:rPr>
                <w:b/>
                <w:sz w:val="32"/>
              </w:rPr>
            </w:pPr>
          </w:p>
          <w:p w14:paraId="79B3BEF5" w14:textId="74EBF429" w:rsidR="00D34C1A" w:rsidRPr="00FD769F" w:rsidRDefault="00D34C1A" w:rsidP="00D34C1A">
            <w:pPr>
              <w:pStyle w:val="Normal1"/>
              <w:jc w:val="center"/>
              <w:rPr>
                <w:b/>
                <w:sz w:val="32"/>
              </w:rPr>
            </w:pPr>
            <w:r w:rsidRPr="00FD769F">
              <w:rPr>
                <w:b/>
                <w:sz w:val="32"/>
              </w:rPr>
              <w:t>SUBMISSION DATE</w:t>
            </w:r>
          </w:p>
        </w:tc>
        <w:tc>
          <w:tcPr>
            <w:tcW w:w="4623" w:type="dxa"/>
          </w:tcPr>
          <w:p w14:paraId="2F8AC185" w14:textId="77777777" w:rsidR="00FD769F" w:rsidRPr="00FD769F" w:rsidRDefault="00FD769F" w:rsidP="00FD769F">
            <w:pPr>
              <w:pStyle w:val="Normal1"/>
              <w:jc w:val="center"/>
              <w:rPr>
                <w:i/>
                <w:sz w:val="32"/>
              </w:rPr>
            </w:pPr>
          </w:p>
          <w:p w14:paraId="7FB1C4D8" w14:textId="613CF90D" w:rsidR="00D34C1A" w:rsidRPr="00FD769F" w:rsidRDefault="00FD769F" w:rsidP="00FD769F">
            <w:pPr>
              <w:pStyle w:val="Normal1"/>
              <w:jc w:val="center"/>
              <w:rPr>
                <w:i/>
                <w:sz w:val="32"/>
              </w:rPr>
            </w:pPr>
            <w:r w:rsidRPr="00FD769F">
              <w:rPr>
                <w:i/>
                <w:sz w:val="32"/>
              </w:rPr>
              <w:t>04/01/2023</w:t>
            </w:r>
          </w:p>
        </w:tc>
      </w:tr>
    </w:tbl>
    <w:p w14:paraId="0D8A8C3C" w14:textId="084C3D59" w:rsidR="00D866B8" w:rsidRPr="00D34C1A" w:rsidRDefault="00D34C1A" w:rsidP="00D34C1A">
      <w:pPr>
        <w:pStyle w:val="Normal1"/>
        <w:rPr>
          <w:b/>
          <w:color w:val="244061" w:themeColor="accent1" w:themeShade="80"/>
        </w:rPr>
      </w:pPr>
      <w:r w:rsidRPr="00D34C1A">
        <w:rPr>
          <w:b/>
          <w:color w:val="244061" w:themeColor="accent1" w:themeShade="80"/>
          <w:sz w:val="36"/>
        </w:rPr>
        <w:t>UNIVERSITY OF WALES TRINITY SAINT DAVID</w:t>
      </w:r>
    </w:p>
    <w:p w14:paraId="5B9A1DD2" w14:textId="77777777" w:rsidR="00D34C1A" w:rsidRDefault="00D34C1A">
      <w:pPr>
        <w:pStyle w:val="Normal1"/>
        <w:jc w:val="center"/>
      </w:pPr>
    </w:p>
    <w:p w14:paraId="4276E192" w14:textId="77777777" w:rsidR="00D34C1A" w:rsidRDefault="00D34C1A">
      <w:pPr>
        <w:pStyle w:val="Normal1"/>
        <w:jc w:val="center"/>
      </w:pPr>
    </w:p>
    <w:p w14:paraId="65B88789" w14:textId="77777777" w:rsidR="00D34C1A" w:rsidRDefault="00D34C1A">
      <w:pPr>
        <w:pStyle w:val="Normal1"/>
        <w:jc w:val="center"/>
      </w:pPr>
    </w:p>
    <w:p w14:paraId="73348961" w14:textId="77777777" w:rsidR="00D34C1A" w:rsidRDefault="00D34C1A">
      <w:pPr>
        <w:pStyle w:val="Normal1"/>
        <w:jc w:val="center"/>
      </w:pPr>
    </w:p>
    <w:p w14:paraId="41873CAF" w14:textId="77777777" w:rsidR="00D34C1A" w:rsidRDefault="00D34C1A">
      <w:pPr>
        <w:pStyle w:val="Normal1"/>
        <w:jc w:val="center"/>
      </w:pPr>
    </w:p>
    <w:p w14:paraId="7C2FD585" w14:textId="77777777" w:rsidR="00D34C1A" w:rsidRDefault="00D34C1A">
      <w:pPr>
        <w:pStyle w:val="Normal1"/>
        <w:jc w:val="center"/>
      </w:pPr>
    </w:p>
    <w:p w14:paraId="521F4840" w14:textId="77777777" w:rsidR="00D34C1A" w:rsidRDefault="00D34C1A">
      <w:pPr>
        <w:pStyle w:val="Normal1"/>
        <w:jc w:val="center"/>
      </w:pPr>
    </w:p>
    <w:p w14:paraId="15239FB0" w14:textId="77777777" w:rsidR="00D34C1A" w:rsidRDefault="00D34C1A">
      <w:pPr>
        <w:pStyle w:val="Normal1"/>
        <w:jc w:val="center"/>
      </w:pPr>
    </w:p>
    <w:p w14:paraId="12B1CDA6" w14:textId="77777777" w:rsidR="00D34C1A" w:rsidRDefault="00D34C1A">
      <w:pPr>
        <w:pStyle w:val="Normal1"/>
        <w:jc w:val="center"/>
      </w:pPr>
    </w:p>
    <w:p w14:paraId="4A2B214F" w14:textId="77777777" w:rsidR="00D34C1A" w:rsidRDefault="00D34C1A">
      <w:pPr>
        <w:pStyle w:val="Normal1"/>
        <w:jc w:val="center"/>
      </w:pPr>
    </w:p>
    <w:p w14:paraId="73A9C2E4" w14:textId="77777777" w:rsidR="00D34C1A" w:rsidRDefault="00D34C1A">
      <w:pPr>
        <w:pStyle w:val="Normal1"/>
        <w:jc w:val="center"/>
      </w:pPr>
    </w:p>
    <w:p w14:paraId="52A693F2" w14:textId="77777777" w:rsidR="00D34C1A" w:rsidRDefault="00D34C1A">
      <w:pPr>
        <w:pStyle w:val="Normal1"/>
        <w:jc w:val="center"/>
      </w:pPr>
    </w:p>
    <w:p w14:paraId="5B869323" w14:textId="77777777" w:rsidR="00D34C1A" w:rsidRDefault="00D34C1A">
      <w:pPr>
        <w:pStyle w:val="Normal1"/>
        <w:jc w:val="center"/>
      </w:pPr>
    </w:p>
    <w:p w14:paraId="54C798F4" w14:textId="77777777" w:rsidR="00D34C1A" w:rsidRDefault="00D34C1A">
      <w:pPr>
        <w:pStyle w:val="Normal1"/>
        <w:jc w:val="center"/>
      </w:pPr>
    </w:p>
    <w:p w14:paraId="0843B06C" w14:textId="77777777" w:rsidR="00D34C1A" w:rsidRDefault="00D34C1A">
      <w:pPr>
        <w:pStyle w:val="Normal1"/>
        <w:jc w:val="center"/>
      </w:pPr>
    </w:p>
    <w:p w14:paraId="27D3C24D" w14:textId="77777777" w:rsidR="00D34C1A" w:rsidRDefault="00D34C1A">
      <w:pPr>
        <w:pStyle w:val="Normal1"/>
        <w:jc w:val="center"/>
      </w:pPr>
    </w:p>
    <w:p w14:paraId="01D1DE1E" w14:textId="77777777" w:rsidR="00D34C1A" w:rsidRDefault="00D34C1A">
      <w:pPr>
        <w:pStyle w:val="Normal1"/>
        <w:jc w:val="center"/>
      </w:pPr>
    </w:p>
    <w:p w14:paraId="6B42C5B7" w14:textId="77777777" w:rsidR="00D34C1A" w:rsidRDefault="00D34C1A">
      <w:pPr>
        <w:pStyle w:val="Normal1"/>
        <w:jc w:val="center"/>
      </w:pPr>
    </w:p>
    <w:p w14:paraId="7BA7ECBF" w14:textId="77777777" w:rsidR="00D34C1A" w:rsidRDefault="00D34C1A">
      <w:pPr>
        <w:pStyle w:val="Normal1"/>
        <w:jc w:val="center"/>
      </w:pPr>
    </w:p>
    <w:p w14:paraId="17328149" w14:textId="77777777" w:rsidR="00D866B8" w:rsidRDefault="00D866B8">
      <w:pPr>
        <w:pStyle w:val="Normal1"/>
        <w:jc w:val="center"/>
      </w:pPr>
    </w:p>
    <w:p w14:paraId="07969CCC" w14:textId="77777777" w:rsidR="00D866B8" w:rsidRDefault="00D866B8">
      <w:pPr>
        <w:pStyle w:val="Normal1"/>
        <w:jc w:val="center"/>
      </w:pPr>
    </w:p>
    <w:p w14:paraId="029255DC" w14:textId="13420F2E" w:rsidR="00D866B8" w:rsidRDefault="00304AE1" w:rsidP="00892BD4">
      <w:pPr>
        <w:pStyle w:val="Normal1"/>
        <w:jc w:val="center"/>
        <w:rPr>
          <w:b/>
          <w:sz w:val="28"/>
          <w:szCs w:val="28"/>
        </w:rPr>
      </w:pPr>
      <w:r>
        <w:rPr>
          <w:b/>
        </w:rPr>
        <w:t>Human Resource Management</w:t>
      </w:r>
    </w:p>
    <w:p w14:paraId="42F47B3D" w14:textId="77777777" w:rsidR="00D866B8" w:rsidRDefault="00304AE1">
      <w:pPr>
        <w:pStyle w:val="Normal1"/>
        <w:jc w:val="center"/>
      </w:pPr>
      <w:r>
        <w:t>LCMB7000</w:t>
      </w:r>
    </w:p>
    <w:p w14:paraId="3828B458" w14:textId="77777777" w:rsidR="00D866B8" w:rsidRDefault="00304AE1">
      <w:pPr>
        <w:pStyle w:val="Normal1"/>
        <w:jc w:val="center"/>
      </w:pPr>
      <w:r>
        <w:t xml:space="preserve"> Assessment 1</w:t>
      </w:r>
    </w:p>
    <w:p w14:paraId="0C9B7501" w14:textId="77777777" w:rsidR="00D866B8" w:rsidRDefault="00304AE1">
      <w:pPr>
        <w:pStyle w:val="Normal1"/>
        <w:jc w:val="center"/>
        <w:rPr>
          <w:sz w:val="28"/>
          <w:szCs w:val="28"/>
        </w:rPr>
      </w:pPr>
      <w:r>
        <w:br w:type="page"/>
      </w:r>
    </w:p>
    <w:p w14:paraId="684D02C1" w14:textId="77777777" w:rsidR="00892BD4" w:rsidRDefault="00892BD4">
      <w:pPr>
        <w:pStyle w:val="Normal1"/>
        <w:jc w:val="center"/>
        <w:rPr>
          <w:b/>
        </w:rPr>
      </w:pPr>
    </w:p>
    <w:p w14:paraId="6D6FA0A8" w14:textId="77777777" w:rsidR="00892BD4" w:rsidRDefault="00892BD4">
      <w:pPr>
        <w:pStyle w:val="Normal1"/>
        <w:jc w:val="center"/>
        <w:rPr>
          <w:b/>
        </w:rPr>
      </w:pPr>
    </w:p>
    <w:p w14:paraId="6E733CD2" w14:textId="77777777" w:rsidR="00892BD4" w:rsidRDefault="00892BD4">
      <w:pPr>
        <w:pStyle w:val="Normal1"/>
        <w:jc w:val="center"/>
        <w:rPr>
          <w:b/>
        </w:rPr>
      </w:pPr>
    </w:p>
    <w:p w14:paraId="55F144CA" w14:textId="77777777" w:rsidR="00892BD4" w:rsidRDefault="00892BD4">
      <w:pPr>
        <w:pStyle w:val="Normal1"/>
        <w:jc w:val="center"/>
        <w:rPr>
          <w:b/>
        </w:rPr>
      </w:pPr>
    </w:p>
    <w:p w14:paraId="23E8E701" w14:textId="77777777" w:rsidR="00892BD4" w:rsidRDefault="00892BD4">
      <w:pPr>
        <w:pStyle w:val="Normal1"/>
        <w:jc w:val="center"/>
        <w:rPr>
          <w:b/>
        </w:rPr>
      </w:pPr>
    </w:p>
    <w:p w14:paraId="38F2E13D" w14:textId="77777777" w:rsidR="00892BD4" w:rsidRDefault="00892BD4">
      <w:pPr>
        <w:pStyle w:val="Normal1"/>
        <w:jc w:val="center"/>
        <w:rPr>
          <w:b/>
        </w:rPr>
      </w:pPr>
    </w:p>
    <w:p w14:paraId="42E46375" w14:textId="77777777" w:rsidR="00D866B8" w:rsidRDefault="00304AE1">
      <w:pPr>
        <w:pStyle w:val="Normal1"/>
        <w:jc w:val="center"/>
        <w:rPr>
          <w:b/>
        </w:rPr>
      </w:pPr>
      <w:r>
        <w:rPr>
          <w:b/>
        </w:rPr>
        <w:t>Executive summary</w:t>
      </w:r>
    </w:p>
    <w:p w14:paraId="4EC84CE7" w14:textId="77777777" w:rsidR="00D866B8" w:rsidRDefault="00304AE1">
      <w:pPr>
        <w:pStyle w:val="Normal1"/>
        <w:jc w:val="center"/>
      </w:pPr>
      <w:r>
        <w:t xml:space="preserve">This report is based on the change in the labour market in the UK over the years. It also dwells into the workings and the changes in the Human Resource Strategies in a </w:t>
      </w:r>
      <w:r>
        <w:t>post-Covid era, along with the impact faced by the country’s workplace after the Brexit situation, and how they are dealing with the situation. The report is based on the market’s past performances, its present circumstance, and its future objectives.</w:t>
      </w:r>
      <w:bookmarkStart w:id="0" w:name="_GoBack"/>
      <w:bookmarkEnd w:id="0"/>
    </w:p>
    <w:p w14:paraId="753B2C1B" w14:textId="77777777" w:rsidR="00D866B8" w:rsidRDefault="00304AE1">
      <w:pPr>
        <w:pStyle w:val="Normal1"/>
        <w:jc w:val="center"/>
        <w:rPr>
          <w:sz w:val="28"/>
          <w:szCs w:val="28"/>
        </w:rPr>
      </w:pPr>
      <w:r>
        <w:br w:type="page"/>
      </w:r>
    </w:p>
    <w:sdt>
      <w:sdtPr>
        <w:rPr>
          <w:rFonts w:ascii="Times New Roman" w:eastAsia="Times New Roman" w:hAnsi="Times New Roman" w:cs="Times New Roman"/>
          <w:color w:val="auto"/>
          <w:sz w:val="24"/>
          <w:szCs w:val="24"/>
          <w:lang w:val=""/>
        </w:rPr>
        <w:id w:val="-1479685443"/>
        <w:docPartObj>
          <w:docPartGallery w:val="Table of Contents"/>
          <w:docPartUnique/>
        </w:docPartObj>
      </w:sdtPr>
      <w:sdtEndPr>
        <w:rPr>
          <w:b/>
          <w:bCs/>
          <w:noProof/>
        </w:rPr>
      </w:sdtEndPr>
      <w:sdtContent>
        <w:p w14:paraId="2F408A09" w14:textId="6DEDB935" w:rsidR="00995226" w:rsidRPr="00995226" w:rsidRDefault="00995226" w:rsidP="00995226">
          <w:pPr>
            <w:pStyle w:val="TOCHeading"/>
            <w:spacing w:line="360" w:lineRule="auto"/>
            <w:jc w:val="center"/>
            <w:rPr>
              <w:rFonts w:ascii="Times New Roman" w:hAnsi="Times New Roman" w:cs="Times New Roman"/>
              <w:b/>
              <w:bCs/>
              <w:color w:val="auto"/>
            </w:rPr>
          </w:pPr>
          <w:r w:rsidRPr="00995226">
            <w:rPr>
              <w:rFonts w:ascii="Times New Roman" w:hAnsi="Times New Roman" w:cs="Times New Roman"/>
              <w:b/>
              <w:bCs/>
              <w:color w:val="auto"/>
            </w:rPr>
            <w:t>Table of Contents</w:t>
          </w:r>
        </w:p>
        <w:p w14:paraId="5EACC058" w14:textId="56F19F2A" w:rsidR="00995226" w:rsidRPr="00995226" w:rsidRDefault="00995226" w:rsidP="00995226">
          <w:pPr>
            <w:pStyle w:val="TOC1"/>
            <w:tabs>
              <w:tab w:val="right" w:leader="dot" w:pos="9019"/>
            </w:tabs>
            <w:jc w:val="center"/>
            <w:rPr>
              <w:noProof/>
            </w:rPr>
          </w:pPr>
          <w:r w:rsidRPr="00995226">
            <w:fldChar w:fldCharType="begin"/>
          </w:r>
          <w:r w:rsidRPr="00995226">
            <w:instrText xml:space="preserve"> TOC \o "1-3" \h \z \u </w:instrText>
          </w:r>
          <w:r w:rsidRPr="00995226">
            <w:fldChar w:fldCharType="separate"/>
          </w:r>
          <w:hyperlink w:anchor="_Toc123293458" w:history="1">
            <w:r w:rsidRPr="00995226">
              <w:rPr>
                <w:rStyle w:val="Hyperlink"/>
                <w:noProof/>
                <w:color w:val="auto"/>
              </w:rPr>
              <w:t>1. Introduction</w:t>
            </w:r>
            <w:r w:rsidRPr="00995226">
              <w:rPr>
                <w:noProof/>
                <w:webHidden/>
              </w:rPr>
              <w:tab/>
            </w:r>
            <w:r w:rsidRPr="00995226">
              <w:rPr>
                <w:noProof/>
                <w:webHidden/>
              </w:rPr>
              <w:fldChar w:fldCharType="begin"/>
            </w:r>
            <w:r w:rsidRPr="00995226">
              <w:rPr>
                <w:noProof/>
                <w:webHidden/>
              </w:rPr>
              <w:instrText xml:space="preserve"> PAGEREF _Toc123293458 \h </w:instrText>
            </w:r>
            <w:r w:rsidRPr="00995226">
              <w:rPr>
                <w:noProof/>
                <w:webHidden/>
              </w:rPr>
            </w:r>
            <w:r w:rsidRPr="00995226">
              <w:rPr>
                <w:noProof/>
                <w:webHidden/>
              </w:rPr>
              <w:fldChar w:fldCharType="separate"/>
            </w:r>
            <w:r w:rsidRPr="00995226">
              <w:rPr>
                <w:noProof/>
                <w:webHidden/>
              </w:rPr>
              <w:t>4</w:t>
            </w:r>
            <w:r w:rsidRPr="00995226">
              <w:rPr>
                <w:noProof/>
                <w:webHidden/>
              </w:rPr>
              <w:fldChar w:fldCharType="end"/>
            </w:r>
          </w:hyperlink>
        </w:p>
        <w:p w14:paraId="245BCE61" w14:textId="74DC276B" w:rsidR="00995226" w:rsidRPr="00995226" w:rsidRDefault="00304AE1" w:rsidP="00995226">
          <w:pPr>
            <w:pStyle w:val="TOC1"/>
            <w:tabs>
              <w:tab w:val="right" w:leader="dot" w:pos="9019"/>
            </w:tabs>
            <w:jc w:val="center"/>
            <w:rPr>
              <w:noProof/>
            </w:rPr>
          </w:pPr>
          <w:hyperlink w:anchor="_Toc123293459" w:history="1">
            <w:r w:rsidR="00995226" w:rsidRPr="00995226">
              <w:rPr>
                <w:rStyle w:val="Hyperlink"/>
                <w:noProof/>
                <w:color w:val="auto"/>
              </w:rPr>
              <w:t>2. The current state of the labour market in the UK</w:t>
            </w:r>
            <w:r w:rsidR="00995226" w:rsidRPr="00995226">
              <w:rPr>
                <w:noProof/>
                <w:webHidden/>
              </w:rPr>
              <w:tab/>
            </w:r>
            <w:r w:rsidR="00995226" w:rsidRPr="00995226">
              <w:rPr>
                <w:noProof/>
                <w:webHidden/>
              </w:rPr>
              <w:fldChar w:fldCharType="begin"/>
            </w:r>
            <w:r w:rsidR="00995226" w:rsidRPr="00995226">
              <w:rPr>
                <w:noProof/>
                <w:webHidden/>
              </w:rPr>
              <w:instrText xml:space="preserve"> PAGEREF _Toc123293459 \h </w:instrText>
            </w:r>
            <w:r w:rsidR="00995226" w:rsidRPr="00995226">
              <w:rPr>
                <w:noProof/>
                <w:webHidden/>
              </w:rPr>
            </w:r>
            <w:r w:rsidR="00995226" w:rsidRPr="00995226">
              <w:rPr>
                <w:noProof/>
                <w:webHidden/>
              </w:rPr>
              <w:fldChar w:fldCharType="separate"/>
            </w:r>
            <w:r w:rsidR="00995226" w:rsidRPr="00995226">
              <w:rPr>
                <w:noProof/>
                <w:webHidden/>
              </w:rPr>
              <w:t>4</w:t>
            </w:r>
            <w:r w:rsidR="00995226" w:rsidRPr="00995226">
              <w:rPr>
                <w:noProof/>
                <w:webHidden/>
              </w:rPr>
              <w:fldChar w:fldCharType="end"/>
            </w:r>
          </w:hyperlink>
        </w:p>
        <w:p w14:paraId="710933FB" w14:textId="23929338" w:rsidR="00995226" w:rsidRPr="00995226" w:rsidRDefault="00304AE1" w:rsidP="00995226">
          <w:pPr>
            <w:pStyle w:val="TOC1"/>
            <w:tabs>
              <w:tab w:val="right" w:leader="dot" w:pos="9019"/>
            </w:tabs>
            <w:jc w:val="center"/>
            <w:rPr>
              <w:noProof/>
            </w:rPr>
          </w:pPr>
          <w:hyperlink w:anchor="_Toc123293460" w:history="1">
            <w:r w:rsidR="00995226" w:rsidRPr="00995226">
              <w:rPr>
                <w:rStyle w:val="Hyperlink"/>
                <w:noProof/>
                <w:color w:val="auto"/>
              </w:rPr>
              <w:t>3. The emerging changes in Human Resourcing Strategies in the post-Covid.</w:t>
            </w:r>
            <w:r w:rsidR="00995226" w:rsidRPr="00995226">
              <w:rPr>
                <w:noProof/>
                <w:webHidden/>
              </w:rPr>
              <w:tab/>
            </w:r>
            <w:r w:rsidR="00995226" w:rsidRPr="00995226">
              <w:rPr>
                <w:noProof/>
                <w:webHidden/>
              </w:rPr>
              <w:fldChar w:fldCharType="begin"/>
            </w:r>
            <w:r w:rsidR="00995226" w:rsidRPr="00995226">
              <w:rPr>
                <w:noProof/>
                <w:webHidden/>
              </w:rPr>
              <w:instrText xml:space="preserve"> PAGEREF _Toc123293460 \h </w:instrText>
            </w:r>
            <w:r w:rsidR="00995226" w:rsidRPr="00995226">
              <w:rPr>
                <w:noProof/>
                <w:webHidden/>
              </w:rPr>
            </w:r>
            <w:r w:rsidR="00995226" w:rsidRPr="00995226">
              <w:rPr>
                <w:noProof/>
                <w:webHidden/>
              </w:rPr>
              <w:fldChar w:fldCharType="separate"/>
            </w:r>
            <w:r w:rsidR="00995226" w:rsidRPr="00995226">
              <w:rPr>
                <w:noProof/>
                <w:webHidden/>
              </w:rPr>
              <w:t>9</w:t>
            </w:r>
            <w:r w:rsidR="00995226" w:rsidRPr="00995226">
              <w:rPr>
                <w:noProof/>
                <w:webHidden/>
              </w:rPr>
              <w:fldChar w:fldCharType="end"/>
            </w:r>
          </w:hyperlink>
        </w:p>
        <w:p w14:paraId="091C0EBC" w14:textId="2F88D38E" w:rsidR="00995226" w:rsidRPr="00995226" w:rsidRDefault="00304AE1" w:rsidP="00995226">
          <w:pPr>
            <w:pStyle w:val="TOC1"/>
            <w:tabs>
              <w:tab w:val="right" w:leader="dot" w:pos="9019"/>
            </w:tabs>
            <w:jc w:val="center"/>
            <w:rPr>
              <w:noProof/>
            </w:rPr>
          </w:pPr>
          <w:hyperlink w:anchor="_Toc123293461" w:history="1">
            <w:r w:rsidR="00995226" w:rsidRPr="00995226">
              <w:rPr>
                <w:rStyle w:val="Hyperlink"/>
                <w:noProof/>
                <w:color w:val="auto"/>
              </w:rPr>
              <w:t>4. The emerging changes in Human Resourcing Strategies in the post-Brexit situation</w:t>
            </w:r>
            <w:r w:rsidR="00995226" w:rsidRPr="00995226">
              <w:rPr>
                <w:noProof/>
                <w:webHidden/>
              </w:rPr>
              <w:tab/>
            </w:r>
            <w:r w:rsidR="00995226" w:rsidRPr="00995226">
              <w:rPr>
                <w:noProof/>
                <w:webHidden/>
              </w:rPr>
              <w:fldChar w:fldCharType="begin"/>
            </w:r>
            <w:r w:rsidR="00995226" w:rsidRPr="00995226">
              <w:rPr>
                <w:noProof/>
                <w:webHidden/>
              </w:rPr>
              <w:instrText xml:space="preserve"> PAGEREF _Toc123293461 \h </w:instrText>
            </w:r>
            <w:r w:rsidR="00995226" w:rsidRPr="00995226">
              <w:rPr>
                <w:noProof/>
                <w:webHidden/>
              </w:rPr>
            </w:r>
            <w:r w:rsidR="00995226" w:rsidRPr="00995226">
              <w:rPr>
                <w:noProof/>
                <w:webHidden/>
              </w:rPr>
              <w:fldChar w:fldCharType="separate"/>
            </w:r>
            <w:r w:rsidR="00995226" w:rsidRPr="00995226">
              <w:rPr>
                <w:noProof/>
                <w:webHidden/>
              </w:rPr>
              <w:t>11</w:t>
            </w:r>
            <w:r w:rsidR="00995226" w:rsidRPr="00995226">
              <w:rPr>
                <w:noProof/>
                <w:webHidden/>
              </w:rPr>
              <w:fldChar w:fldCharType="end"/>
            </w:r>
          </w:hyperlink>
        </w:p>
        <w:p w14:paraId="146E012A" w14:textId="0A0E774F" w:rsidR="00995226" w:rsidRPr="00995226" w:rsidRDefault="00304AE1" w:rsidP="00995226">
          <w:pPr>
            <w:pStyle w:val="TOC1"/>
            <w:tabs>
              <w:tab w:val="right" w:leader="dot" w:pos="9019"/>
            </w:tabs>
            <w:jc w:val="center"/>
            <w:rPr>
              <w:noProof/>
            </w:rPr>
          </w:pPr>
          <w:hyperlink w:anchor="_Toc123293462" w:history="1">
            <w:r w:rsidR="00995226" w:rsidRPr="00995226">
              <w:rPr>
                <w:rStyle w:val="Hyperlink"/>
                <w:noProof/>
                <w:color w:val="auto"/>
              </w:rPr>
              <w:t>5. Conclusion</w:t>
            </w:r>
            <w:r w:rsidR="00995226" w:rsidRPr="00995226">
              <w:rPr>
                <w:noProof/>
                <w:webHidden/>
              </w:rPr>
              <w:tab/>
            </w:r>
            <w:r w:rsidR="00995226" w:rsidRPr="00995226">
              <w:rPr>
                <w:noProof/>
                <w:webHidden/>
              </w:rPr>
              <w:fldChar w:fldCharType="begin"/>
            </w:r>
            <w:r w:rsidR="00995226" w:rsidRPr="00995226">
              <w:rPr>
                <w:noProof/>
                <w:webHidden/>
              </w:rPr>
              <w:instrText xml:space="preserve"> PAGEREF _Toc123293462 \h </w:instrText>
            </w:r>
            <w:r w:rsidR="00995226" w:rsidRPr="00995226">
              <w:rPr>
                <w:noProof/>
                <w:webHidden/>
              </w:rPr>
            </w:r>
            <w:r w:rsidR="00995226" w:rsidRPr="00995226">
              <w:rPr>
                <w:noProof/>
                <w:webHidden/>
              </w:rPr>
              <w:fldChar w:fldCharType="separate"/>
            </w:r>
            <w:r w:rsidR="00995226" w:rsidRPr="00995226">
              <w:rPr>
                <w:noProof/>
                <w:webHidden/>
              </w:rPr>
              <w:t>12</w:t>
            </w:r>
            <w:r w:rsidR="00995226" w:rsidRPr="00995226">
              <w:rPr>
                <w:noProof/>
                <w:webHidden/>
              </w:rPr>
              <w:fldChar w:fldCharType="end"/>
            </w:r>
          </w:hyperlink>
        </w:p>
        <w:p w14:paraId="5B2F6AF1" w14:textId="2B563475" w:rsidR="00995226" w:rsidRPr="00995226" w:rsidRDefault="00304AE1" w:rsidP="00995226">
          <w:pPr>
            <w:pStyle w:val="TOC1"/>
            <w:tabs>
              <w:tab w:val="right" w:leader="dot" w:pos="9019"/>
            </w:tabs>
            <w:jc w:val="center"/>
            <w:rPr>
              <w:noProof/>
            </w:rPr>
          </w:pPr>
          <w:hyperlink w:anchor="_Toc123293463" w:history="1">
            <w:r w:rsidR="00995226" w:rsidRPr="00995226">
              <w:rPr>
                <w:rStyle w:val="Hyperlink"/>
                <w:noProof/>
                <w:color w:val="auto"/>
              </w:rPr>
              <w:t>References</w:t>
            </w:r>
            <w:r w:rsidR="00995226" w:rsidRPr="00995226">
              <w:rPr>
                <w:noProof/>
                <w:webHidden/>
              </w:rPr>
              <w:tab/>
            </w:r>
            <w:r w:rsidR="00995226" w:rsidRPr="00995226">
              <w:rPr>
                <w:noProof/>
                <w:webHidden/>
              </w:rPr>
              <w:fldChar w:fldCharType="begin"/>
            </w:r>
            <w:r w:rsidR="00995226" w:rsidRPr="00995226">
              <w:rPr>
                <w:noProof/>
                <w:webHidden/>
              </w:rPr>
              <w:instrText xml:space="preserve"> PAGEREF _Toc123293463 \h </w:instrText>
            </w:r>
            <w:r w:rsidR="00995226" w:rsidRPr="00995226">
              <w:rPr>
                <w:noProof/>
                <w:webHidden/>
              </w:rPr>
            </w:r>
            <w:r w:rsidR="00995226" w:rsidRPr="00995226">
              <w:rPr>
                <w:noProof/>
                <w:webHidden/>
              </w:rPr>
              <w:fldChar w:fldCharType="separate"/>
            </w:r>
            <w:r w:rsidR="00995226" w:rsidRPr="00995226">
              <w:rPr>
                <w:noProof/>
                <w:webHidden/>
              </w:rPr>
              <w:t>14</w:t>
            </w:r>
            <w:r w:rsidR="00995226" w:rsidRPr="00995226">
              <w:rPr>
                <w:noProof/>
                <w:webHidden/>
              </w:rPr>
              <w:fldChar w:fldCharType="end"/>
            </w:r>
          </w:hyperlink>
        </w:p>
        <w:p w14:paraId="59FC5123" w14:textId="252740CD" w:rsidR="00995226" w:rsidRDefault="00995226" w:rsidP="00995226">
          <w:pPr>
            <w:jc w:val="center"/>
          </w:pPr>
          <w:r w:rsidRPr="00995226">
            <w:rPr>
              <w:b/>
              <w:bCs/>
              <w:noProof/>
            </w:rPr>
            <w:fldChar w:fldCharType="end"/>
          </w:r>
        </w:p>
      </w:sdtContent>
    </w:sdt>
    <w:p w14:paraId="05EFB8BD" w14:textId="77777777" w:rsidR="00D866B8" w:rsidRDefault="00304AE1">
      <w:pPr>
        <w:pStyle w:val="Normal1"/>
        <w:jc w:val="center"/>
        <w:rPr>
          <w:sz w:val="28"/>
          <w:szCs w:val="28"/>
        </w:rPr>
      </w:pPr>
      <w:r>
        <w:br w:type="page"/>
      </w:r>
    </w:p>
    <w:p w14:paraId="588EE03C" w14:textId="77777777" w:rsidR="00D866B8" w:rsidRDefault="00304AE1">
      <w:pPr>
        <w:pStyle w:val="Heading1"/>
      </w:pPr>
      <w:bookmarkStart w:id="1" w:name="_luhxijdkast1" w:colFirst="0" w:colLast="0"/>
      <w:bookmarkStart w:id="2" w:name="_Toc123293458"/>
      <w:bookmarkEnd w:id="1"/>
      <w:r>
        <w:lastRenderedPageBreak/>
        <w:t>1. Introduction</w:t>
      </w:r>
      <w:bookmarkEnd w:id="2"/>
      <w:r>
        <w:t xml:space="preserve"> </w:t>
      </w:r>
    </w:p>
    <w:p w14:paraId="7C3D32C3" w14:textId="77777777" w:rsidR="00D866B8" w:rsidRDefault="00304AE1">
      <w:pPr>
        <w:pStyle w:val="Normal1"/>
      </w:pPr>
      <w:r>
        <w:t xml:space="preserve">Sir James Steuwart was the first person who coined the term “Labour market” while discussing the concept of Labour economics in his book, </w:t>
      </w:r>
      <w:r>
        <w:rPr>
          <w:i/>
          <w:color w:val="252423"/>
          <w:highlight w:val="white"/>
        </w:rPr>
        <w:t xml:space="preserve">An Inquiry into the Nature and Causes of the Wealth of Nations. </w:t>
      </w:r>
      <w:r>
        <w:rPr>
          <w:color w:val="252423"/>
          <w:highlight w:val="white"/>
        </w:rPr>
        <w:t>Ever since its introduction, research has been going on for the development of labour in the market, and their well-being. Human resources are the study of utilising labour to its fullest pote</w:t>
      </w:r>
      <w:r>
        <w:rPr>
          <w:color w:val="252423"/>
          <w:highlight w:val="white"/>
        </w:rPr>
        <w:t xml:space="preserve">ntial, taking into consideration their mental as well as physical health, their economic fulfilment, and workplace satisfaction. This report is a research on the current state of the labour market in the UK, while also discussing the changes that happened </w:t>
      </w:r>
      <w:r>
        <w:rPr>
          <w:color w:val="252423"/>
          <w:highlight w:val="white"/>
        </w:rPr>
        <w:t>post-pandemic, and post-Brexit, the social as well as economical differences that arise and how to resolve the issues.</w:t>
      </w:r>
    </w:p>
    <w:p w14:paraId="52D1624B" w14:textId="77777777" w:rsidR="00D866B8" w:rsidRDefault="00304AE1">
      <w:pPr>
        <w:pStyle w:val="Heading1"/>
        <w:rPr>
          <w:sz w:val="30"/>
          <w:szCs w:val="30"/>
        </w:rPr>
      </w:pPr>
      <w:bookmarkStart w:id="3" w:name="_bbaf0iwbux6h" w:colFirst="0" w:colLast="0"/>
      <w:bookmarkStart w:id="4" w:name="_Toc123293459"/>
      <w:bookmarkEnd w:id="3"/>
      <w:r>
        <w:t xml:space="preserve">2. </w:t>
      </w:r>
      <w:r>
        <w:rPr>
          <w:sz w:val="30"/>
          <w:szCs w:val="30"/>
        </w:rPr>
        <w:t>The current state of the labour market in the UK</w:t>
      </w:r>
      <w:bookmarkEnd w:id="4"/>
    </w:p>
    <w:p w14:paraId="45B4B009" w14:textId="77777777" w:rsidR="00D866B8" w:rsidRDefault="00304AE1">
      <w:pPr>
        <w:pStyle w:val="Normal1"/>
      </w:pPr>
      <w:r>
        <w:t>The labour market in the United Kingdom refers to the supply and demand for labour in the country, including the various industries and occupations that make up the workforce. The labour market plays a significant role in the economy of the UK, as it deter</w:t>
      </w:r>
      <w:r>
        <w:t xml:space="preserve">mines the availability and compensation of labour, as well as the level of unemployment in the country. In the UK the labour market is characterised by a high degree of flexibility with relatively low barriers to entry and exit for workers and businesses. </w:t>
      </w:r>
      <w:r>
        <w:t xml:space="preserve">It means that workers can move easily between different industries and occupations and businesses can hire and lay off workers as needed. The UK has a diverse labour market with a range of industries including manufacturing, financial services, healthcare </w:t>
      </w:r>
      <w:r>
        <w:t>and retail. The service sector is the largest employer in the UK, accounting for around 80% of all jobs. The UK labour market is also influenced by various factors including economic conditions, technological change and government policies. The country's m</w:t>
      </w:r>
      <w:r>
        <w:t>embership in the European Union had an impact on the labour market as it has allowed for the free movement of workers within the EU. Overall the labour market in the UK plays a key role in the country's economic performance and the well-being of its citize</w:t>
      </w:r>
      <w:r>
        <w:t xml:space="preserve">ns. Some changes have occurred in the UK labour market in recent years (Blundell </w:t>
      </w:r>
      <w:r>
        <w:rPr>
          <w:i/>
        </w:rPr>
        <w:t>et al.</w:t>
      </w:r>
      <w:r>
        <w:t>, 2018).</w:t>
      </w:r>
    </w:p>
    <w:p w14:paraId="3FD22C7A" w14:textId="77777777" w:rsidR="00D866B8" w:rsidRDefault="00304AE1">
      <w:pPr>
        <w:pStyle w:val="Normal1"/>
      </w:pPr>
      <w:r>
        <w:rPr>
          <w:b/>
        </w:rPr>
        <w:t xml:space="preserve">Increased employment:  </w:t>
      </w:r>
      <w:r>
        <w:t>The UK has experienced relatively high levels of employment in post covid scenarios, but it is difficult to predict with certainty what t</w:t>
      </w:r>
      <w:r>
        <w:t xml:space="preserve">he employment situation will be in the UK post- covid as it will depend on a variety of factors such as the success of </w:t>
      </w:r>
      <w:r>
        <w:lastRenderedPageBreak/>
        <w:t xml:space="preserve">vaccination efforts, the evolution of the virus and government policies. However, the employment situation in the UK will likely improve </w:t>
      </w:r>
      <w:r>
        <w:t xml:space="preserve">as the country recovers from the economic impacts of the covid 19 pandemic (Watermeyer </w:t>
      </w:r>
      <w:r>
        <w:rPr>
          <w:i/>
        </w:rPr>
        <w:t>et al.</w:t>
      </w:r>
      <w:r>
        <w:t>, 2021). In the short term, the UK government has implemented several measures to support businesses and workers, including furlough schemes and grants to help com</w:t>
      </w:r>
      <w:r>
        <w:t>panies retain employees and avoid layoffs. In the longer term, it is possible that the UK economy will recover and that employment levels will return to pre-pandemic levels or even improve. This will depend on a range of factors such as consumer confidence</w:t>
      </w:r>
      <w:r>
        <w:t>, demand for goods and services and the ability of businesses to adapt to the changing economic environment (Brell</w:t>
      </w:r>
      <w:r>
        <w:rPr>
          <w:i/>
        </w:rPr>
        <w:t xml:space="preserve"> et al</w:t>
      </w:r>
      <w:r>
        <w:t>., 2020). The given figures clearly show the employment rate of the UK in different sectors from 2012 to 2019.</w:t>
      </w:r>
    </w:p>
    <w:p w14:paraId="7D010AAD" w14:textId="77777777" w:rsidR="00D866B8" w:rsidRDefault="00304AE1">
      <w:pPr>
        <w:pStyle w:val="Normal1"/>
        <w:jc w:val="center"/>
      </w:pPr>
      <w:r>
        <w:rPr>
          <w:noProof/>
          <w:lang w:val="en-US"/>
        </w:rPr>
        <w:drawing>
          <wp:inline distT="114300" distB="114300" distL="114300" distR="114300" wp14:anchorId="0BD658F8" wp14:editId="391FD1D3">
            <wp:extent cx="5731200" cy="30226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8"/>
                    <a:stretch>
                      <a:fillRect/>
                    </a:stretch>
                  </pic:blipFill>
                  <pic:spPr>
                    <a:xfrm>
                      <a:off x="0" y="0"/>
                      <a:ext cx="5731200" cy="3022600"/>
                    </a:xfrm>
                    <a:prstGeom prst="rect">
                      <a:avLst/>
                    </a:prstGeom>
                  </pic:spPr>
                </pic:pic>
              </a:graphicData>
            </a:graphic>
          </wp:inline>
        </w:drawing>
      </w:r>
    </w:p>
    <w:p w14:paraId="2C037E31" w14:textId="77777777" w:rsidR="00D866B8" w:rsidRDefault="00304AE1">
      <w:pPr>
        <w:pStyle w:val="Normal1"/>
        <w:jc w:val="center"/>
        <w:rPr>
          <w:b/>
        </w:rPr>
      </w:pPr>
      <w:r>
        <w:rPr>
          <w:b/>
        </w:rPr>
        <w:t>Figure 1: Employment ra</w:t>
      </w:r>
      <w:r>
        <w:rPr>
          <w:b/>
        </w:rPr>
        <w:t xml:space="preserve">te in industries of the UK </w:t>
      </w:r>
    </w:p>
    <w:p w14:paraId="1D0CF4A5" w14:textId="77777777" w:rsidR="00D866B8" w:rsidRDefault="00304AE1">
      <w:pPr>
        <w:pStyle w:val="Normal1"/>
        <w:jc w:val="center"/>
      </w:pPr>
      <w:r>
        <w:t>(Source: Statista, 2021 )</w:t>
      </w:r>
    </w:p>
    <w:p w14:paraId="1512256D" w14:textId="77777777" w:rsidR="00D866B8" w:rsidRDefault="00304AE1">
      <w:pPr>
        <w:pStyle w:val="Normal1"/>
        <w:jc w:val="center"/>
      </w:pPr>
      <w:r>
        <w:rPr>
          <w:noProof/>
          <w:lang w:val="en-US"/>
        </w:rPr>
        <w:lastRenderedPageBreak/>
        <w:drawing>
          <wp:inline distT="114300" distB="114300" distL="114300" distR="114300" wp14:anchorId="14C15A2E" wp14:editId="58AD57F9">
            <wp:extent cx="5041900" cy="268845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9"/>
                    <a:stretch>
                      <a:fillRect/>
                    </a:stretch>
                  </pic:blipFill>
                  <pic:spPr>
                    <a:xfrm>
                      <a:off x="0" y="0"/>
                      <a:ext cx="5041900" cy="2688455"/>
                    </a:xfrm>
                    <a:prstGeom prst="rect">
                      <a:avLst/>
                    </a:prstGeom>
                  </pic:spPr>
                </pic:pic>
              </a:graphicData>
            </a:graphic>
          </wp:inline>
        </w:drawing>
      </w:r>
    </w:p>
    <w:p w14:paraId="74328503" w14:textId="77777777" w:rsidR="00D866B8" w:rsidRDefault="00304AE1">
      <w:pPr>
        <w:pStyle w:val="Normal1"/>
        <w:jc w:val="center"/>
        <w:rPr>
          <w:b/>
        </w:rPr>
      </w:pPr>
      <w:r>
        <w:rPr>
          <w:b/>
        </w:rPr>
        <w:t xml:space="preserve">Figure 2:  Employment rate in service sectors of the UK </w:t>
      </w:r>
    </w:p>
    <w:p w14:paraId="5125A9B1" w14:textId="77777777" w:rsidR="00D866B8" w:rsidRDefault="00304AE1">
      <w:pPr>
        <w:pStyle w:val="Normal1"/>
        <w:jc w:val="center"/>
      </w:pPr>
      <w:r>
        <w:t>(Source: Statista, 2021)</w:t>
      </w:r>
    </w:p>
    <w:p w14:paraId="2CEBD0D5" w14:textId="77777777" w:rsidR="00D866B8" w:rsidRDefault="00D866B8">
      <w:pPr>
        <w:pStyle w:val="Normal1"/>
        <w:jc w:val="center"/>
      </w:pPr>
    </w:p>
    <w:p w14:paraId="6DB73393" w14:textId="77777777" w:rsidR="00D866B8" w:rsidRDefault="00304AE1">
      <w:pPr>
        <w:pStyle w:val="Normal1"/>
        <w:jc w:val="center"/>
      </w:pPr>
      <w:r>
        <w:rPr>
          <w:noProof/>
          <w:lang w:val="en-US"/>
        </w:rPr>
        <w:drawing>
          <wp:inline distT="114300" distB="114300" distL="114300" distR="114300" wp14:anchorId="0D14CD51" wp14:editId="72155871">
            <wp:extent cx="5731200" cy="3048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731200" cy="3048000"/>
                    </a:xfrm>
                    <a:prstGeom prst="rect">
                      <a:avLst/>
                    </a:prstGeom>
                  </pic:spPr>
                </pic:pic>
              </a:graphicData>
            </a:graphic>
          </wp:inline>
        </w:drawing>
      </w:r>
      <w:r>
        <w:t xml:space="preserve"> </w:t>
      </w:r>
    </w:p>
    <w:p w14:paraId="28427116" w14:textId="77777777" w:rsidR="00D866B8" w:rsidRDefault="00304AE1">
      <w:pPr>
        <w:pStyle w:val="Normal1"/>
        <w:jc w:val="center"/>
        <w:rPr>
          <w:b/>
        </w:rPr>
      </w:pPr>
      <w:r>
        <w:rPr>
          <w:b/>
        </w:rPr>
        <w:t xml:space="preserve">Figure 3: Employment rate in the agricultural field of the UK </w:t>
      </w:r>
    </w:p>
    <w:p w14:paraId="17F91503" w14:textId="77777777" w:rsidR="00D866B8" w:rsidRDefault="00304AE1">
      <w:pPr>
        <w:pStyle w:val="Normal1"/>
        <w:jc w:val="center"/>
      </w:pPr>
      <w:r>
        <w:t>(Source: Statista, 2021)</w:t>
      </w:r>
    </w:p>
    <w:p w14:paraId="49A7DA86" w14:textId="77777777" w:rsidR="00D866B8" w:rsidRDefault="00304AE1">
      <w:pPr>
        <w:pStyle w:val="Normal1"/>
      </w:pPr>
      <w:r>
        <w:rPr>
          <w:b/>
        </w:rPr>
        <w:lastRenderedPageBreak/>
        <w:t xml:space="preserve">Increased part-time work: </w:t>
      </w:r>
      <w:r>
        <w:t xml:space="preserve"> There has been a trend towards an increase in part-time and temporary work in the UK labour market. This is due in part to the rise of the gig economy, as well as changes in work and the demands of employers </w:t>
      </w:r>
      <w:r>
        <w:rPr>
          <w:color w:val="222222"/>
          <w:highlight w:val="white"/>
        </w:rPr>
        <w:t>(Arthur, 2021).</w:t>
      </w:r>
    </w:p>
    <w:p w14:paraId="477716A1" w14:textId="77777777" w:rsidR="00D866B8" w:rsidRDefault="00304AE1">
      <w:pPr>
        <w:pStyle w:val="Normal1"/>
      </w:pPr>
      <w:r>
        <w:rPr>
          <w:b/>
        </w:rPr>
        <w:t xml:space="preserve">Increased self-employment: </w:t>
      </w:r>
      <w:r>
        <w:t xml:space="preserve">The </w:t>
      </w:r>
      <w:r>
        <w:t>number of self-employed workers in the UK has increased in recent years, driven in part by the rise of the gig economy and the increasing availability of flexible work arrangements.</w:t>
      </w:r>
    </w:p>
    <w:p w14:paraId="3EABF10F" w14:textId="77777777" w:rsidR="00D866B8" w:rsidRDefault="00304AE1">
      <w:pPr>
        <w:pStyle w:val="Normal1"/>
      </w:pPr>
      <w:r>
        <w:rPr>
          <w:b/>
        </w:rPr>
        <w:t xml:space="preserve">Increased wage inequality: </w:t>
      </w:r>
      <w:r>
        <w:t xml:space="preserve">There has been a trend towards increasing wage </w:t>
      </w:r>
      <w:r>
        <w:t xml:space="preserve">inequality in the UK, with higher-paid workers experiencing faster wage growth than lower-paid workers. This has been attributed to a variety of factors, including changes in the economy, technological change and globalisation </w:t>
      </w:r>
      <w:r>
        <w:rPr>
          <w:color w:val="222222"/>
          <w:highlight w:val="white"/>
        </w:rPr>
        <w:t xml:space="preserve">(Palomino </w:t>
      </w:r>
      <w:r>
        <w:rPr>
          <w:i/>
          <w:color w:val="222222"/>
          <w:highlight w:val="white"/>
        </w:rPr>
        <w:t xml:space="preserve">et al., </w:t>
      </w:r>
      <w:r>
        <w:rPr>
          <w:color w:val="222222"/>
          <w:highlight w:val="white"/>
        </w:rPr>
        <w:t>2020).</w:t>
      </w:r>
    </w:p>
    <w:p w14:paraId="654BACBB" w14:textId="77777777" w:rsidR="00D866B8" w:rsidRDefault="00304AE1">
      <w:pPr>
        <w:pStyle w:val="Normal1"/>
      </w:pPr>
      <w:r>
        <w:rPr>
          <w:b/>
        </w:rPr>
        <w:t>Incr</w:t>
      </w:r>
      <w:r>
        <w:rPr>
          <w:b/>
        </w:rPr>
        <w:t xml:space="preserve">eased Automation: </w:t>
      </w:r>
      <w:r>
        <w:t>There has been a trend towards increased automation in the UK labour market, as employers seek to reduce costs and increase efficiency. This has led to the displacement of some jobs, but also the creation of new ones in areas such as tech</w:t>
      </w:r>
      <w:r>
        <w:t xml:space="preserve">nology and data analysis (Su </w:t>
      </w:r>
      <w:r>
        <w:rPr>
          <w:i/>
        </w:rPr>
        <w:t>et al.</w:t>
      </w:r>
      <w:r>
        <w:t>, 2022).</w:t>
      </w:r>
    </w:p>
    <w:p w14:paraId="232E6B6F" w14:textId="77777777" w:rsidR="00D866B8" w:rsidRDefault="00304AE1">
      <w:pPr>
        <w:pStyle w:val="Normal1"/>
      </w:pPr>
      <w:r>
        <w:rPr>
          <w:b/>
        </w:rPr>
        <w:t xml:space="preserve">Changes in the composition of employment: </w:t>
      </w:r>
      <w:r>
        <w:t>The UK labour market has changed the types of jobs that are most in demand. For example, there has been growth in industries such as healthcare, education and technology,</w:t>
      </w:r>
      <w:r>
        <w:t xml:space="preserve"> while some traditional manufacturing and service sector jobs have declined (Kassi </w:t>
      </w:r>
      <w:r>
        <w:rPr>
          <w:i/>
        </w:rPr>
        <w:t>et al.,</w:t>
      </w:r>
      <w:r>
        <w:t xml:space="preserve"> 2018). The labourers from these sectors are facing problems of stability and insecurity.</w:t>
      </w:r>
    </w:p>
    <w:p w14:paraId="46DC5193" w14:textId="77777777" w:rsidR="00D866B8" w:rsidRDefault="00304AE1">
      <w:pPr>
        <w:pStyle w:val="Normal1"/>
      </w:pPr>
      <w:r>
        <w:rPr>
          <w:b/>
        </w:rPr>
        <w:t xml:space="preserve">Falling unemployment: </w:t>
      </w:r>
      <w:r>
        <w:t>The unemployment rate in the UK has increased signific</w:t>
      </w:r>
      <w:r>
        <w:t>antly as a result of the pandemic. The covid 19 pandemic has had a severe impact on the global economy and the UK has been no exception (</w:t>
      </w:r>
      <w:r>
        <w:rPr>
          <w:color w:val="222222"/>
          <w:highlight w:val="white"/>
        </w:rPr>
        <w:t xml:space="preserve">Bell </w:t>
      </w:r>
      <w:r>
        <w:rPr>
          <w:i/>
          <w:color w:val="222222"/>
          <w:highlight w:val="white"/>
        </w:rPr>
        <w:t>et al.</w:t>
      </w:r>
      <w:r>
        <w:rPr>
          <w:color w:val="222222"/>
          <w:highlight w:val="white"/>
        </w:rPr>
        <w:t>, 2020)</w:t>
      </w:r>
      <w:r>
        <w:t>. Many businesses have had to close or significantly reduce their operations due to lockdown measures</w:t>
      </w:r>
      <w:r>
        <w:t xml:space="preserve"> and other restrictions leading to significant job losses. According to Statista, the unemployment rate in the UK raised from 3.74% in 2019 to 4.47% in 2021 which is shown in figure 4. It is worth noting that the unemployment rate has since decreased, but </w:t>
      </w:r>
      <w:r>
        <w:t>this is largely due to the government's furlough scheme, which has helped to protect jobs during the pandemic (Fana</w:t>
      </w:r>
      <w:r>
        <w:rPr>
          <w:i/>
        </w:rPr>
        <w:t xml:space="preserve"> et al.,</w:t>
      </w:r>
      <w:r>
        <w:t xml:space="preserve"> 2020).</w:t>
      </w:r>
    </w:p>
    <w:p w14:paraId="0D323C7D" w14:textId="77777777" w:rsidR="00D866B8" w:rsidRDefault="00D866B8">
      <w:pPr>
        <w:pStyle w:val="Normal1"/>
      </w:pPr>
    </w:p>
    <w:p w14:paraId="5B4730D8" w14:textId="77777777" w:rsidR="00D866B8" w:rsidRDefault="00D866B8">
      <w:pPr>
        <w:pStyle w:val="Normal1"/>
      </w:pPr>
    </w:p>
    <w:p w14:paraId="5529B977" w14:textId="77777777" w:rsidR="00D866B8" w:rsidRDefault="00304AE1">
      <w:pPr>
        <w:pStyle w:val="Normal1"/>
        <w:jc w:val="center"/>
        <w:rPr>
          <w:b/>
        </w:rPr>
      </w:pPr>
      <w:r>
        <w:rPr>
          <w:noProof/>
          <w:lang w:val="en-US"/>
        </w:rPr>
        <w:lastRenderedPageBreak/>
        <w:drawing>
          <wp:inline distT="114300" distB="114300" distL="114300" distR="114300" wp14:anchorId="37EED3D9" wp14:editId="6041FBC7">
            <wp:extent cx="5731200" cy="3784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731200" cy="3784600"/>
                    </a:xfrm>
                    <a:prstGeom prst="rect">
                      <a:avLst/>
                    </a:prstGeom>
                  </pic:spPr>
                </pic:pic>
              </a:graphicData>
            </a:graphic>
          </wp:inline>
        </w:drawing>
      </w:r>
      <w:r>
        <w:rPr>
          <w:b/>
        </w:rPr>
        <w:t>Figure 4: UK unemployment rate from 1999 to 2021</w:t>
      </w:r>
    </w:p>
    <w:p w14:paraId="3CBCF2C2" w14:textId="77777777" w:rsidR="00D866B8" w:rsidRDefault="00304AE1">
      <w:pPr>
        <w:pStyle w:val="Normal1"/>
        <w:jc w:val="center"/>
      </w:pPr>
      <w:r>
        <w:t>(Source: Statista, 2022)</w:t>
      </w:r>
    </w:p>
    <w:p w14:paraId="37B9BEDD" w14:textId="77777777" w:rsidR="00D866B8" w:rsidRDefault="00304AE1">
      <w:pPr>
        <w:pStyle w:val="Normal1"/>
      </w:pPr>
      <w:r>
        <w:rPr>
          <w:b/>
        </w:rPr>
        <w:t xml:space="preserve">Employment rights: </w:t>
      </w:r>
      <w:r>
        <w:t>The UK has a range of employm</w:t>
      </w:r>
      <w:r>
        <w:t>ent rights and protections, including the right to fair pay, safe working conditions and protection against discrimination and harassment. Employment rights in the United Kingdom are a set of legal protections that ensure that workers are treated fairly an</w:t>
      </w:r>
      <w:r>
        <w:t>d receive certain benefits in the workplace. Workers in the UK are entitled to receive a minimum wage which is set by the government and is reviewed annually. As of 2021, the national minimum wage for workers aged 25 and over is  8.91 dollars per hour. Wor</w:t>
      </w:r>
      <w:r>
        <w:t>kers in the UK are entitled to at least 28 days of paid annual leave per year which includes bank holidays. Workers in the UK are entitled to take breaks during their working day. For example, workers are entitled to a 20-minute rest break if they work for</w:t>
      </w:r>
      <w:r>
        <w:t xml:space="preserve"> more than six hours (Graham</w:t>
      </w:r>
      <w:r>
        <w:rPr>
          <w:i/>
        </w:rPr>
        <w:t xml:space="preserve"> et al.</w:t>
      </w:r>
      <w:r>
        <w:t>, 2019). Figure 5 represents the labour force of UK industries by age. It shows that most people between 25 to 54 years work in the UK.</w:t>
      </w:r>
    </w:p>
    <w:p w14:paraId="6BDBFB93" w14:textId="77777777" w:rsidR="00D866B8" w:rsidRDefault="00304AE1">
      <w:pPr>
        <w:pStyle w:val="Normal1"/>
        <w:jc w:val="center"/>
      </w:pPr>
      <w:r>
        <w:rPr>
          <w:noProof/>
          <w:lang w:val="en-US"/>
        </w:rPr>
        <w:lastRenderedPageBreak/>
        <w:drawing>
          <wp:inline distT="114300" distB="114300" distL="114300" distR="114300" wp14:anchorId="5E64FA3A" wp14:editId="62E0635A">
            <wp:extent cx="4641850" cy="2436586"/>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4641850" cy="2436586"/>
                    </a:xfrm>
                    <a:prstGeom prst="rect">
                      <a:avLst/>
                    </a:prstGeom>
                  </pic:spPr>
                </pic:pic>
              </a:graphicData>
            </a:graphic>
          </wp:inline>
        </w:drawing>
      </w:r>
    </w:p>
    <w:p w14:paraId="714F27B1" w14:textId="77777777" w:rsidR="00D866B8" w:rsidRDefault="00304AE1">
      <w:pPr>
        <w:pStyle w:val="Normal1"/>
        <w:jc w:val="center"/>
        <w:rPr>
          <w:b/>
        </w:rPr>
      </w:pPr>
      <w:r>
        <w:rPr>
          <w:b/>
        </w:rPr>
        <w:t>Figure 5: Labour force of the UK by age from 2012 to 2019.</w:t>
      </w:r>
    </w:p>
    <w:p w14:paraId="04B2A3B8" w14:textId="77777777" w:rsidR="00D866B8" w:rsidRDefault="00304AE1">
      <w:pPr>
        <w:pStyle w:val="Normal1"/>
        <w:jc w:val="center"/>
      </w:pPr>
      <w:r>
        <w:t>(Source: Statista, 2021)</w:t>
      </w:r>
    </w:p>
    <w:p w14:paraId="543F8B68" w14:textId="77777777" w:rsidR="00D866B8" w:rsidRDefault="00304AE1">
      <w:pPr>
        <w:pStyle w:val="Normal1"/>
      </w:pPr>
      <w:r>
        <w:rPr>
          <w:b/>
        </w:rPr>
        <w:t xml:space="preserve">Unionisation: </w:t>
      </w:r>
      <w:r>
        <w:t>The UK has a long history of trade unionism, and many workers are members of unions which represent their interests and negotiate with employers on the behalf of the union. Unions negotiate with employers on behalf of the members, advocate f</w:t>
      </w:r>
      <w:r>
        <w:t xml:space="preserve">or better working conditions and pay and provide support to workers who are facing problems at work </w:t>
      </w:r>
      <w:r>
        <w:rPr>
          <w:color w:val="222222"/>
          <w:highlight w:val="white"/>
        </w:rPr>
        <w:t xml:space="preserve">(Undy </w:t>
      </w:r>
      <w:r>
        <w:rPr>
          <w:i/>
          <w:color w:val="222222"/>
          <w:highlight w:val="white"/>
        </w:rPr>
        <w:t xml:space="preserve">et al., </w:t>
      </w:r>
      <w:r>
        <w:rPr>
          <w:color w:val="222222"/>
          <w:highlight w:val="white"/>
        </w:rPr>
        <w:t>2022).</w:t>
      </w:r>
    </w:p>
    <w:p w14:paraId="24D3EC26" w14:textId="77777777" w:rsidR="00D866B8" w:rsidRDefault="00304AE1">
      <w:pPr>
        <w:pStyle w:val="Normal1"/>
      </w:pPr>
      <w:r>
        <w:rPr>
          <w:b/>
        </w:rPr>
        <w:t xml:space="preserve">Technology and automation: </w:t>
      </w:r>
      <w:r>
        <w:t xml:space="preserve">The adoption of new technologies and automation has had an impact on the UK labour market, with some jobs </w:t>
      </w:r>
      <w:r>
        <w:t>being replaced by machines and others being created as a result of technological advances. One of the major impacts of technology and automation on the UK labour market has been the increasing use of automation and technology in manufacturing and other ind</w:t>
      </w:r>
      <w:r>
        <w:t>ustries (</w:t>
      </w:r>
      <w:r>
        <w:rPr>
          <w:highlight w:val="white"/>
        </w:rPr>
        <w:t>Nedelkoska and Qintini, 2018</w:t>
      </w:r>
      <w:r>
        <w:t>) Technology and automation have also led to the growth of the gig economy, in which individuals work on a project by project basis rather than in traditional full-time employment.</w:t>
      </w:r>
    </w:p>
    <w:p w14:paraId="71173FB3" w14:textId="77777777" w:rsidR="00D866B8" w:rsidRDefault="00304AE1">
      <w:pPr>
        <w:pStyle w:val="Heading1"/>
      </w:pPr>
      <w:bookmarkStart w:id="5" w:name="_twzq9etb3iqg" w:colFirst="0" w:colLast="0"/>
      <w:bookmarkStart w:id="6" w:name="_Toc123293460"/>
      <w:bookmarkEnd w:id="5"/>
      <w:r>
        <w:t>3. The emerging changes in Human Resou</w:t>
      </w:r>
      <w:r>
        <w:t>rcing Strategies in the post-Covid.</w:t>
      </w:r>
      <w:bookmarkEnd w:id="6"/>
    </w:p>
    <w:p w14:paraId="23F3A453" w14:textId="77777777" w:rsidR="00D866B8" w:rsidRDefault="00304AE1">
      <w:pPr>
        <w:pStyle w:val="Normal1"/>
      </w:pPr>
      <w:r>
        <w:t>The covid-19 pandemic incurred a job loss of over 114 million employees worldwide (</w:t>
      </w:r>
      <w:r>
        <w:rPr>
          <w:highlight w:val="white"/>
        </w:rPr>
        <w:t xml:space="preserve">Pisu </w:t>
      </w:r>
      <w:r>
        <w:rPr>
          <w:i/>
          <w:highlight w:val="white"/>
        </w:rPr>
        <w:t xml:space="preserve">et al., </w:t>
      </w:r>
      <w:r>
        <w:rPr>
          <w:highlight w:val="white"/>
        </w:rPr>
        <w:t xml:space="preserve">2021.) </w:t>
      </w:r>
      <w:r>
        <w:t>This meant that it had single-handedly created huge unemployment throughout the workforce. Sectors such as tourism an</w:t>
      </w:r>
      <w:r>
        <w:t xml:space="preserve">d retailing faced the highest shock, with companies such as Marks and Spencer being forced to shut down over 100 store units in 2021. Tesco, </w:t>
      </w:r>
      <w:r>
        <w:lastRenderedPageBreak/>
        <w:t>the biggest retail brand in the country, shut down 43 stores. Global tourism lost around $175 billion in revenue du</w:t>
      </w:r>
      <w:r>
        <w:t xml:space="preserve">e to the global shutdown all over the world which led to a job loss of 3.8 crore people </w:t>
      </w:r>
      <w:r>
        <w:rPr>
          <w:color w:val="222222"/>
          <w:highlight w:val="white"/>
        </w:rPr>
        <w:t>(Al-Fadly, 2020)</w:t>
      </w:r>
      <w:r>
        <w:rPr>
          <w:sz w:val="28"/>
          <w:szCs w:val="28"/>
        </w:rPr>
        <w:t xml:space="preserve">. </w:t>
      </w:r>
      <w:r>
        <w:t>Due to this, the whole labour market and human resources strategies have changed post-covid.</w:t>
      </w:r>
    </w:p>
    <w:p w14:paraId="54F3C603" w14:textId="77777777" w:rsidR="00D866B8" w:rsidRDefault="00304AE1">
      <w:pPr>
        <w:pStyle w:val="Normal1"/>
      </w:pPr>
      <w:r>
        <w:rPr>
          <w:b/>
        </w:rPr>
        <w:t xml:space="preserve">Starting from scratch: </w:t>
      </w:r>
      <w:r>
        <w:t>In a pre-pandemic world, the terms</w:t>
      </w:r>
      <w:r>
        <w:t xml:space="preserve"> were different from the world after Covid-19. For instance, the habit of online shopping increased substantially in the post-pandemic world, and that trend is expected to turn into a consumer habit. Between 2020 and February 2022, online shopping went fro</w:t>
      </w:r>
      <w:r>
        <w:t xml:space="preserve">m 19.7% to 26.6% of the total retail sales in the UK. This increase in market change shows that there has been a change in habit, and data shows that this is only going to increase in the future </w:t>
      </w:r>
      <w:r>
        <w:rPr>
          <w:highlight w:val="white"/>
        </w:rPr>
        <w:t xml:space="preserve">(Findlay </w:t>
      </w:r>
      <w:r>
        <w:rPr>
          <w:i/>
          <w:highlight w:val="white"/>
        </w:rPr>
        <w:t xml:space="preserve">et al., </w:t>
      </w:r>
      <w:r>
        <w:rPr>
          <w:highlight w:val="white"/>
        </w:rPr>
        <w:t>2021).</w:t>
      </w:r>
      <w:r>
        <w:t xml:space="preserve"> Thus, businesses should now focus mor</w:t>
      </w:r>
      <w:r>
        <w:t>e on their distribution sectors, giving heed to policies of online delivery, and starting new ventures altogether.</w:t>
      </w:r>
    </w:p>
    <w:p w14:paraId="27005455" w14:textId="77777777" w:rsidR="00D866B8" w:rsidRDefault="00304AE1">
      <w:pPr>
        <w:pStyle w:val="Normal1"/>
        <w:jc w:val="center"/>
      </w:pPr>
      <w:r>
        <w:rPr>
          <w:noProof/>
          <w:lang w:val="en-US"/>
        </w:rPr>
        <w:drawing>
          <wp:inline distT="114300" distB="114300" distL="114300" distR="114300" wp14:anchorId="55505D32" wp14:editId="0714176B">
            <wp:extent cx="5337039" cy="2668519"/>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3"/>
                    <a:stretch>
                      <a:fillRect/>
                    </a:stretch>
                  </pic:blipFill>
                  <pic:spPr>
                    <a:xfrm>
                      <a:off x="0" y="0"/>
                      <a:ext cx="5337039" cy="2668519"/>
                    </a:xfrm>
                    <a:prstGeom prst="rect">
                      <a:avLst/>
                    </a:prstGeom>
                  </pic:spPr>
                </pic:pic>
              </a:graphicData>
            </a:graphic>
          </wp:inline>
        </w:drawing>
      </w:r>
    </w:p>
    <w:p w14:paraId="52B0024A" w14:textId="77777777" w:rsidR="00D866B8" w:rsidRDefault="00304AE1">
      <w:pPr>
        <w:pStyle w:val="Normal1"/>
        <w:jc w:val="center"/>
        <w:rPr>
          <w:b/>
        </w:rPr>
      </w:pPr>
      <w:r>
        <w:rPr>
          <w:b/>
        </w:rPr>
        <w:t>Figure 6: Graphical representation of the change in the rate of WFH between 1981 to 2020.</w:t>
      </w:r>
    </w:p>
    <w:p w14:paraId="4554C0AD" w14:textId="77777777" w:rsidR="00D866B8" w:rsidRDefault="00304AE1">
      <w:pPr>
        <w:pStyle w:val="Normal1"/>
        <w:jc w:val="center"/>
      </w:pPr>
      <w:r>
        <w:t xml:space="preserve">(Source: TheHomeOfficeLife, 2022) </w:t>
      </w:r>
    </w:p>
    <w:p w14:paraId="5F7086FC" w14:textId="77777777" w:rsidR="00D866B8" w:rsidRDefault="00304AE1">
      <w:pPr>
        <w:pStyle w:val="Normal1"/>
      </w:pPr>
      <w:r>
        <w:rPr>
          <w:b/>
        </w:rPr>
        <w:t xml:space="preserve">Digitalisation: </w:t>
      </w:r>
      <w:r>
        <w:t xml:space="preserve">Another essential tool that can help revive the workforce is the use of digitalisation. Human Resources managers should now be coming up with strategies that focus more and more on digitalisation needs. The HR managers are thus calculating </w:t>
      </w:r>
      <w:r>
        <w:t xml:space="preserve">the estimates of the difference in expenditure between offline working and WFH (work from home), and are focused on the difference in productivity thus induced. As also is evident </w:t>
      </w:r>
      <w:r>
        <w:lastRenderedPageBreak/>
        <w:t>from above figure 6; according to research in the UK, after the pandemic hit</w:t>
      </w:r>
      <w:r>
        <w:t xml:space="preserve"> more than 46% of the employed community worked from home. The most interesting fact is that 50% of the biggest companies have also said that they have no intention of getting their total workforce back to offline offices (</w:t>
      </w:r>
      <w:r>
        <w:rPr>
          <w:highlight w:val="white"/>
        </w:rPr>
        <w:t xml:space="preserve">Amankwah-Amoah </w:t>
      </w:r>
      <w:r>
        <w:rPr>
          <w:i/>
          <w:highlight w:val="white"/>
        </w:rPr>
        <w:t xml:space="preserve">et al., </w:t>
      </w:r>
      <w:r>
        <w:rPr>
          <w:highlight w:val="white"/>
        </w:rPr>
        <w:t>2021)</w:t>
      </w:r>
      <w:r>
        <w:rPr>
          <w:i/>
          <w:sz w:val="28"/>
          <w:szCs w:val="28"/>
          <w:highlight w:val="white"/>
        </w:rPr>
        <w:t>.</w:t>
      </w:r>
      <w:r>
        <w:t xml:space="preserve"> In </w:t>
      </w:r>
      <w:r>
        <w:t>this situation, the Human Resource strategy is now employing newer ways to manage employee satisfaction, which may reduce due to working from home. The inability to have face-to-face interaction and poor routine can lead to lower levels of self-esteem, whi</w:t>
      </w:r>
      <w:r>
        <w:t xml:space="preserve">ch may lead to frustration in the workforce. Therefore, HR departments are now planning strategies such as company picnics and meetups. This can help people socialise as well as arrange for sessions where they can open up without the fear of being judged. </w:t>
      </w:r>
      <w:r>
        <w:t xml:space="preserve">However, the most effective mode in which employees are showing the most faith is the use of a hybrid mode of working, where they can have both offline and online working days in a week. In the UK, 59% of the total workforce has shown interest in a hybrid </w:t>
      </w:r>
      <w:r>
        <w:t xml:space="preserve">work schedule </w:t>
      </w:r>
      <w:r>
        <w:rPr>
          <w:color w:val="222222"/>
          <w:highlight w:val="white"/>
        </w:rPr>
        <w:t>(He and Harris, 2020).</w:t>
      </w:r>
    </w:p>
    <w:p w14:paraId="7AF75F17" w14:textId="77777777" w:rsidR="00D866B8" w:rsidRDefault="00304AE1">
      <w:pPr>
        <w:pStyle w:val="Heading1"/>
      </w:pPr>
      <w:bookmarkStart w:id="7" w:name="_30yxxd4uakz0" w:colFirst="0" w:colLast="0"/>
      <w:bookmarkStart w:id="8" w:name="_Toc123293461"/>
      <w:bookmarkEnd w:id="7"/>
      <w:r>
        <w:t>4. The emerging changes in Human Resourcing Strategies in the post-Brexit situation</w:t>
      </w:r>
      <w:bookmarkEnd w:id="8"/>
    </w:p>
    <w:p w14:paraId="7F07E49F" w14:textId="77777777" w:rsidR="00D866B8" w:rsidRDefault="00304AE1">
      <w:pPr>
        <w:pStyle w:val="Normal1"/>
      </w:pPr>
      <w:r>
        <w:t>Brexit has been another issue for the UK that has been posing a threat to its labour market. The decision of leaving the EU has been de</w:t>
      </w:r>
      <w:r>
        <w:t>trimental not only to the workforce and the businesses but also to individuals who are associated with the workforce. Departments such as tourism and retail have got a huge hit since they most importantly rely on people and their expenditures for their bus</w:t>
      </w:r>
      <w:r>
        <w:t xml:space="preserve">iness to happen </w:t>
      </w:r>
      <w:r>
        <w:rPr>
          <w:color w:val="222222"/>
          <w:highlight w:val="white"/>
        </w:rPr>
        <w:t xml:space="preserve">(Moradlou </w:t>
      </w:r>
      <w:r>
        <w:rPr>
          <w:i/>
          <w:color w:val="222222"/>
          <w:highlight w:val="white"/>
        </w:rPr>
        <w:t xml:space="preserve">et al., </w:t>
      </w:r>
      <w:r>
        <w:rPr>
          <w:color w:val="222222"/>
          <w:highlight w:val="white"/>
        </w:rPr>
        <w:t>2022)</w:t>
      </w:r>
      <w:r>
        <w:rPr>
          <w:sz w:val="28"/>
          <w:szCs w:val="28"/>
          <w:highlight w:val="white"/>
        </w:rPr>
        <w:t>.</w:t>
      </w:r>
      <w:r>
        <w:t xml:space="preserve"> The policy change now makes it mandatory for non-UK members to show their credibility to stay in the country. By 30th June 2020, around </w:t>
      </w:r>
      <w:r>
        <w:rPr>
          <w:highlight w:val="white"/>
        </w:rPr>
        <w:t>6,015,400 were submitted to companies all over the country for their request to</w:t>
      </w:r>
      <w:r>
        <w:rPr>
          <w:highlight w:val="white"/>
        </w:rPr>
        <w:t xml:space="preserve"> stay.</w:t>
      </w:r>
      <w:r>
        <w:rPr>
          <w:color w:val="3A3A4C"/>
          <w:highlight w:val="white"/>
        </w:rPr>
        <w:t xml:space="preserve"> </w:t>
      </w:r>
      <w:r>
        <w:t xml:space="preserve"> In such a situation, the Human Resources strategies needed big changes to work </w:t>
      </w:r>
      <w:r>
        <w:rPr>
          <w:color w:val="222222"/>
          <w:highlight w:val="white"/>
        </w:rPr>
        <w:t>(Ridgway, 2019).</w:t>
      </w:r>
    </w:p>
    <w:p w14:paraId="6CDA9DEC" w14:textId="77777777" w:rsidR="00D866B8" w:rsidRDefault="00304AE1">
      <w:pPr>
        <w:pStyle w:val="Normal1"/>
      </w:pPr>
      <w:r>
        <w:rPr>
          <w:b/>
        </w:rPr>
        <w:t xml:space="preserve">Dealing with the present: </w:t>
      </w:r>
      <w:r>
        <w:t>Doing business has gone through big changes ever since the UK's decision to leave the EU has been executed. The economic volat</w:t>
      </w:r>
      <w:r>
        <w:t>ility in the market created by Brexit has led to issues such as the handling of bonuses, pensions and incentives. It has also been difficult to do business with the same expenditure as was possible before Brexit, because of the changed business policies. T</w:t>
      </w:r>
      <w:r>
        <w:t xml:space="preserve">he Human resource strategy should thus base all its analysis on the present, keeping track of the change in calculation and the businesses overall </w:t>
      </w:r>
      <w:r>
        <w:rPr>
          <w:color w:val="222222"/>
          <w:highlight w:val="white"/>
        </w:rPr>
        <w:t xml:space="preserve">(Oseghale </w:t>
      </w:r>
      <w:r>
        <w:rPr>
          <w:i/>
          <w:color w:val="222222"/>
          <w:highlight w:val="white"/>
        </w:rPr>
        <w:t xml:space="preserve">et al., </w:t>
      </w:r>
      <w:r>
        <w:rPr>
          <w:color w:val="222222"/>
          <w:highlight w:val="white"/>
        </w:rPr>
        <w:t>2022)</w:t>
      </w:r>
    </w:p>
    <w:p w14:paraId="19E951CF" w14:textId="77777777" w:rsidR="00D866B8" w:rsidRDefault="00304AE1">
      <w:pPr>
        <w:pStyle w:val="Normal1"/>
      </w:pPr>
      <w:r>
        <w:rPr>
          <w:b/>
        </w:rPr>
        <w:lastRenderedPageBreak/>
        <w:t xml:space="preserve">Impact on overseas recruitment: </w:t>
      </w:r>
      <w:r>
        <w:t xml:space="preserve">After Brexit, there has been a big difference in the </w:t>
      </w:r>
      <w:r>
        <w:t>amount of paperwork that needs to be approved for the recruitment of a non-UK employee. The biggest responsibility and strategy for the HR department now should be to arrange for proper paperwork that can allow their foreign employees to live and work in t</w:t>
      </w:r>
      <w:r>
        <w:t xml:space="preserve">he country without hindrance and hassle. Their employees should be "officially recognised" by their companies as eligible to work for the organisation </w:t>
      </w:r>
      <w:r>
        <w:rPr>
          <w:color w:val="222222"/>
          <w:highlight w:val="white"/>
        </w:rPr>
        <w:t xml:space="preserve">(Zhong </w:t>
      </w:r>
      <w:r>
        <w:rPr>
          <w:i/>
          <w:color w:val="222222"/>
          <w:highlight w:val="white"/>
        </w:rPr>
        <w:t xml:space="preserve">et al., </w:t>
      </w:r>
      <w:r>
        <w:rPr>
          <w:color w:val="222222"/>
          <w:highlight w:val="white"/>
        </w:rPr>
        <w:t>2021).</w:t>
      </w:r>
    </w:p>
    <w:p w14:paraId="26F43B68" w14:textId="77777777" w:rsidR="00D866B8" w:rsidRDefault="00304AE1">
      <w:pPr>
        <w:pStyle w:val="Normal1"/>
      </w:pPr>
      <w:r>
        <w:rPr>
          <w:b/>
        </w:rPr>
        <w:t xml:space="preserve">Salary differences for overseas employees: </w:t>
      </w:r>
      <w:r>
        <w:t>Due to the Brexit decision, there has be</w:t>
      </w:r>
      <w:r>
        <w:t>en a change in the economic evaluation as was there when the country was a part of the European Union. Now, any employee who works for a business in the country from overseas needs their salaries calculated at par with the cost of living in that particular</w:t>
      </w:r>
      <w:r>
        <w:t xml:space="preserve"> country. The HR department now has to calculate the local-market data of that area and adjust their salaries accordingly. This has been a part of the new strategy of this sector </w:t>
      </w:r>
      <w:r>
        <w:rPr>
          <w:color w:val="222222"/>
          <w:highlight w:val="white"/>
        </w:rPr>
        <w:t xml:space="preserve">(Bratton </w:t>
      </w:r>
      <w:r>
        <w:rPr>
          <w:i/>
          <w:color w:val="222222"/>
          <w:highlight w:val="white"/>
        </w:rPr>
        <w:t xml:space="preserve">et al., </w:t>
      </w:r>
      <w:r>
        <w:rPr>
          <w:color w:val="222222"/>
          <w:highlight w:val="white"/>
        </w:rPr>
        <w:t>2021)</w:t>
      </w:r>
      <w:r>
        <w:rPr>
          <w:color w:val="222222"/>
          <w:sz w:val="28"/>
          <w:szCs w:val="28"/>
          <w:highlight w:val="white"/>
        </w:rPr>
        <w:t>.</w:t>
      </w:r>
      <w:r>
        <w:t xml:space="preserve"> In such a situation, the Human Resources strategies n</w:t>
      </w:r>
      <w:r>
        <w:t xml:space="preserve">eeded big changes to work. </w:t>
      </w:r>
    </w:p>
    <w:p w14:paraId="0297CA05" w14:textId="77777777" w:rsidR="00D866B8" w:rsidRDefault="00304AE1">
      <w:pPr>
        <w:pStyle w:val="Normal1"/>
      </w:pPr>
      <w:r>
        <w:rPr>
          <w:b/>
        </w:rPr>
        <w:t xml:space="preserve">Being empathic towards the workforce: </w:t>
      </w:r>
      <w:r>
        <w:t>Brexit has not only imposed major changes on businesses, but it has also forced a big pressure on the employees in the workforce. A big portion of the workforce has reported increased levels</w:t>
      </w:r>
      <w:r>
        <w:t xml:space="preserve"> of frustration and anxiety due to the whole situation, a lot of which depends on the lack of understanding of the situation, which is changing so rapidly and is in the process of change still now. The HR department needs to be empathetic with its employee</w:t>
      </w:r>
      <w:r>
        <w:t>s, enabling them with relevant information about the actual policies, being transparent and showing accountability (</w:t>
      </w:r>
      <w:r>
        <w:rPr>
          <w:color w:val="222222"/>
          <w:highlight w:val="white"/>
        </w:rPr>
        <w:t>Sindakis and Aggarwal, 2022</w:t>
      </w:r>
      <w:r>
        <w:t>). All these can make the employee feel safer in their workplace, and they can feel less stressed, which will hel</w:t>
      </w:r>
      <w:r>
        <w:t>p the people with their productivity.</w:t>
      </w:r>
    </w:p>
    <w:p w14:paraId="142DCF00" w14:textId="77777777" w:rsidR="00D866B8" w:rsidRDefault="00304AE1">
      <w:pPr>
        <w:pStyle w:val="Heading1"/>
      </w:pPr>
      <w:bookmarkStart w:id="9" w:name="_r1u98mapd01i" w:colFirst="0" w:colLast="0"/>
      <w:bookmarkStart w:id="10" w:name="_Toc123293462"/>
      <w:bookmarkEnd w:id="9"/>
      <w:r>
        <w:t>5. Conclusion</w:t>
      </w:r>
      <w:bookmarkEnd w:id="10"/>
      <w:r>
        <w:t xml:space="preserve"> </w:t>
      </w:r>
    </w:p>
    <w:p w14:paraId="3C6AFAC9" w14:textId="77777777" w:rsidR="00D866B8" w:rsidRDefault="00304AE1">
      <w:pPr>
        <w:pStyle w:val="Normal1"/>
      </w:pPr>
      <w:r>
        <w:t xml:space="preserve">In conclusion, judging by the several references cited in this report, inference can be drawn that the post-covid UK is on its way to steering upward at a nice pace. While it is true that employment has </w:t>
      </w:r>
      <w:r>
        <w:t>been going down in the past two years, the staff shortage has been a nuisance in the country, with vacancies rising to 1.3 million between March and May 2022. The labour shortage is proof that the market needs employees again, which is a great thing. Again</w:t>
      </w:r>
      <w:r>
        <w:t xml:space="preserve">, self-employment programs and the increase in desire towards freelancing, are signs of the changing workplace mindsets. Last but not the least, while automation is a threat to </w:t>
      </w:r>
      <w:r>
        <w:lastRenderedPageBreak/>
        <w:t>manual labour in the country, it is also an opportunity for people to venture i</w:t>
      </w:r>
      <w:r>
        <w:t>nto new sectors that are rapidly recruiting for positions in need of technical skills such as AI and software. This is also a significant sign for the education system to change its syllabi according to market needs, which is shifting towards an age of tot</w:t>
      </w:r>
      <w:r>
        <w:t>al digitalisation.</w:t>
      </w:r>
    </w:p>
    <w:p w14:paraId="6F23BBF2" w14:textId="77777777" w:rsidR="00D866B8" w:rsidRDefault="00D866B8">
      <w:pPr>
        <w:pStyle w:val="Normal1"/>
      </w:pPr>
    </w:p>
    <w:p w14:paraId="48EE2554" w14:textId="77777777" w:rsidR="00D866B8" w:rsidRDefault="00D866B8">
      <w:pPr>
        <w:pStyle w:val="Normal1"/>
      </w:pPr>
    </w:p>
    <w:p w14:paraId="731AEF70" w14:textId="77777777" w:rsidR="00D866B8" w:rsidRDefault="00304AE1">
      <w:pPr>
        <w:pStyle w:val="Normal1"/>
        <w:rPr>
          <w:sz w:val="30"/>
          <w:szCs w:val="30"/>
        </w:rPr>
      </w:pPr>
      <w:r>
        <w:br w:type="page"/>
      </w:r>
    </w:p>
    <w:p w14:paraId="6B60996A" w14:textId="77777777" w:rsidR="00D866B8" w:rsidRDefault="00304AE1">
      <w:pPr>
        <w:pStyle w:val="Heading1"/>
      </w:pPr>
      <w:bookmarkStart w:id="11" w:name="_h8nbcgtback6" w:colFirst="0" w:colLast="0"/>
      <w:bookmarkStart w:id="12" w:name="_Toc123293463"/>
      <w:bookmarkEnd w:id="11"/>
      <w:r>
        <w:lastRenderedPageBreak/>
        <w:t>References</w:t>
      </w:r>
      <w:bookmarkEnd w:id="12"/>
      <w:r>
        <w:t xml:space="preserve"> </w:t>
      </w:r>
    </w:p>
    <w:p w14:paraId="0EA90E57" w14:textId="77777777" w:rsidR="00995226" w:rsidRDefault="00995226" w:rsidP="00995226">
      <w:pPr>
        <w:pStyle w:val="Normal1"/>
        <w:rPr>
          <w:highlight w:val="white"/>
        </w:rPr>
      </w:pPr>
      <w:r>
        <w:rPr>
          <w:highlight w:val="white"/>
        </w:rPr>
        <w:t xml:space="preserve">Al-Fadly, A., 2020. Impact of COVID-19 on SMEs and employment. </w:t>
      </w:r>
      <w:r>
        <w:rPr>
          <w:i/>
          <w:highlight w:val="white"/>
        </w:rPr>
        <w:t>Entrepreneurship and sustainability issues</w:t>
      </w:r>
      <w:r>
        <w:rPr>
          <w:highlight w:val="white"/>
        </w:rPr>
        <w:t xml:space="preserve">, </w:t>
      </w:r>
      <w:r>
        <w:rPr>
          <w:i/>
          <w:highlight w:val="white"/>
        </w:rPr>
        <w:t>8</w:t>
      </w:r>
      <w:r>
        <w:rPr>
          <w:highlight w:val="white"/>
        </w:rPr>
        <w:t xml:space="preserve">(2), p.629. </w:t>
      </w:r>
    </w:p>
    <w:p w14:paraId="0697E37F" w14:textId="77777777" w:rsidR="00995226" w:rsidRDefault="00995226" w:rsidP="00995226">
      <w:pPr>
        <w:pStyle w:val="Normal1"/>
        <w:rPr>
          <w:highlight w:val="white"/>
        </w:rPr>
      </w:pPr>
      <w:r>
        <w:rPr>
          <w:highlight w:val="white"/>
        </w:rPr>
        <w:t xml:space="preserve">Amankwah-Amoah, J., Khan, Z., Wood, G. and Knight, G., 2021. COVID-19 and digitalization: The great acceleration. </w:t>
      </w:r>
      <w:r>
        <w:rPr>
          <w:i/>
          <w:highlight w:val="white"/>
        </w:rPr>
        <w:t>Journal of Business Research</w:t>
      </w:r>
      <w:r>
        <w:rPr>
          <w:highlight w:val="white"/>
        </w:rPr>
        <w:t xml:space="preserve">, </w:t>
      </w:r>
      <w:r>
        <w:rPr>
          <w:i/>
          <w:highlight w:val="white"/>
        </w:rPr>
        <w:t>136</w:t>
      </w:r>
      <w:r>
        <w:rPr>
          <w:highlight w:val="white"/>
        </w:rPr>
        <w:t xml:space="preserve">, pp.602-611. Sindakis, S. and Aggarwal, S., 2022. The Implications of Brexit for Small Businesses in the UK. In </w:t>
      </w:r>
      <w:r>
        <w:rPr>
          <w:i/>
          <w:highlight w:val="white"/>
        </w:rPr>
        <w:t>Small Business Management and Control of the Uncertain External Environment</w:t>
      </w:r>
      <w:r>
        <w:rPr>
          <w:highlight w:val="white"/>
        </w:rPr>
        <w:t xml:space="preserve">. Emerald Publishing Limited. </w:t>
      </w:r>
    </w:p>
    <w:p w14:paraId="0BFF21FB" w14:textId="77777777" w:rsidR="00995226" w:rsidRDefault="00995226" w:rsidP="00995226">
      <w:pPr>
        <w:pStyle w:val="Normal1"/>
        <w:rPr>
          <w:color w:val="222222"/>
          <w:highlight w:val="white"/>
        </w:rPr>
      </w:pPr>
      <w:r>
        <w:rPr>
          <w:color w:val="222222"/>
          <w:highlight w:val="white"/>
        </w:rPr>
        <w:t xml:space="preserve">Arthur, R., 2021. Studying the UK job market during the COVID-19 crisis with online job ads. </w:t>
      </w:r>
      <w:r>
        <w:rPr>
          <w:i/>
          <w:color w:val="222222"/>
          <w:highlight w:val="white"/>
        </w:rPr>
        <w:t>PloS one</w:t>
      </w:r>
      <w:r>
        <w:rPr>
          <w:color w:val="222222"/>
          <w:highlight w:val="white"/>
        </w:rPr>
        <w:t xml:space="preserve">, </w:t>
      </w:r>
      <w:r>
        <w:rPr>
          <w:i/>
          <w:color w:val="222222"/>
          <w:highlight w:val="white"/>
        </w:rPr>
        <w:t>16</w:t>
      </w:r>
      <w:r>
        <w:rPr>
          <w:color w:val="222222"/>
          <w:highlight w:val="white"/>
        </w:rPr>
        <w:t xml:space="preserve">(5), p.e0251431. </w:t>
      </w:r>
    </w:p>
    <w:p w14:paraId="55C75F6B" w14:textId="77777777" w:rsidR="00995226" w:rsidRDefault="00995226" w:rsidP="00995226">
      <w:pPr>
        <w:pStyle w:val="Normal1"/>
      </w:pPr>
      <w:r>
        <w:rPr>
          <w:color w:val="222222"/>
          <w:highlight w:val="white"/>
        </w:rPr>
        <w:t xml:space="preserve">Bell, D.N. and Blanchflower, D.G., 2020. US and UK labour markets before and during the Covid-19 crash. </w:t>
      </w:r>
      <w:r>
        <w:rPr>
          <w:i/>
          <w:color w:val="222222"/>
          <w:highlight w:val="white"/>
        </w:rPr>
        <w:t>National Institute Economic Review</w:t>
      </w:r>
      <w:r>
        <w:rPr>
          <w:color w:val="222222"/>
          <w:highlight w:val="white"/>
        </w:rPr>
        <w:t xml:space="preserve">, </w:t>
      </w:r>
      <w:r>
        <w:rPr>
          <w:i/>
          <w:color w:val="222222"/>
          <w:highlight w:val="white"/>
        </w:rPr>
        <w:t>252</w:t>
      </w:r>
      <w:r>
        <w:rPr>
          <w:color w:val="222222"/>
          <w:highlight w:val="white"/>
        </w:rPr>
        <w:t>, pp.R52-R69.</w:t>
      </w:r>
    </w:p>
    <w:p w14:paraId="5CA45F6A" w14:textId="77777777" w:rsidR="00995226" w:rsidRDefault="00995226" w:rsidP="00995226">
      <w:pPr>
        <w:pStyle w:val="Normal1"/>
      </w:pPr>
      <w:r>
        <w:t xml:space="preserve">Blundell, R., Joyce, R., Keiller, A.N. and Ziliak, J.P., 2018. Income inequality and the labour market in Britain and the US. </w:t>
      </w:r>
      <w:r>
        <w:rPr>
          <w:i/>
        </w:rPr>
        <w:t>Journal of Public Economics</w:t>
      </w:r>
      <w:r>
        <w:t xml:space="preserve">, </w:t>
      </w:r>
      <w:r>
        <w:rPr>
          <w:i/>
        </w:rPr>
        <w:t>162</w:t>
      </w:r>
      <w:r>
        <w:t>, pp.48-62.</w:t>
      </w:r>
    </w:p>
    <w:p w14:paraId="28ED53A7" w14:textId="77777777" w:rsidR="00995226" w:rsidRDefault="00995226" w:rsidP="00995226">
      <w:pPr>
        <w:pStyle w:val="Normal1"/>
        <w:rPr>
          <w:highlight w:val="white"/>
        </w:rPr>
      </w:pPr>
      <w:r>
        <w:rPr>
          <w:highlight w:val="white"/>
        </w:rPr>
        <w:t xml:space="preserve">Bratton, J., Gold, J., Bratton, A. and Steele, L., 2021. </w:t>
      </w:r>
      <w:r>
        <w:rPr>
          <w:i/>
          <w:highlight w:val="white"/>
        </w:rPr>
        <w:t>Human resource management</w:t>
      </w:r>
      <w:r>
        <w:rPr>
          <w:highlight w:val="white"/>
        </w:rPr>
        <w:t xml:space="preserve">. Bloomsbury Publishing. </w:t>
      </w:r>
    </w:p>
    <w:p w14:paraId="33AF07F5" w14:textId="77777777" w:rsidR="00995226" w:rsidRDefault="00995226" w:rsidP="00995226">
      <w:pPr>
        <w:pStyle w:val="Normal1"/>
      </w:pPr>
      <w:r>
        <w:t xml:space="preserve">Brell, C., Dustmann, C. and Preston, I., 2020. The labor market integration of refugee migrants in high-income countries. </w:t>
      </w:r>
      <w:r>
        <w:rPr>
          <w:i/>
        </w:rPr>
        <w:t>Journal of Economic Perspectives</w:t>
      </w:r>
      <w:r>
        <w:t xml:space="preserve">, </w:t>
      </w:r>
      <w:r>
        <w:rPr>
          <w:i/>
        </w:rPr>
        <w:t>34</w:t>
      </w:r>
      <w:r>
        <w:t>(1), pp.94-121.</w:t>
      </w:r>
    </w:p>
    <w:p w14:paraId="5CD1171F" w14:textId="77777777" w:rsidR="00995226" w:rsidRDefault="00995226" w:rsidP="00995226">
      <w:pPr>
        <w:pStyle w:val="Normal1"/>
      </w:pPr>
      <w:r>
        <w:t xml:space="preserve">Fana, M., Torrejón Pérez, S. and Fernández-Macías, E., 2020. Employment impact of Covid-19 crisis: from short term effects to long terms prospects. </w:t>
      </w:r>
      <w:r>
        <w:rPr>
          <w:i/>
        </w:rPr>
        <w:t>Journal of Industrial and Business Economics</w:t>
      </w:r>
      <w:r>
        <w:t xml:space="preserve">, </w:t>
      </w:r>
      <w:r>
        <w:rPr>
          <w:i/>
        </w:rPr>
        <w:t>47</w:t>
      </w:r>
      <w:r>
        <w:t>(3), pp.391-410.</w:t>
      </w:r>
    </w:p>
    <w:p w14:paraId="5C70E749" w14:textId="77777777" w:rsidR="00995226" w:rsidRDefault="00995226" w:rsidP="00995226">
      <w:pPr>
        <w:pStyle w:val="Normal1"/>
        <w:rPr>
          <w:highlight w:val="white"/>
        </w:rPr>
      </w:pPr>
      <w:r>
        <w:rPr>
          <w:highlight w:val="white"/>
        </w:rPr>
        <w:t xml:space="preserve">Findlay, P., Lindsay, C. and Roy, G., 2021. Business models, innovation and employees experiences in the workplace: challenges for the post-Covid-19 economy. </w:t>
      </w:r>
      <w:r>
        <w:rPr>
          <w:i/>
          <w:highlight w:val="white"/>
        </w:rPr>
        <w:t>Productivity and the Pandemic</w:t>
      </w:r>
      <w:r>
        <w:rPr>
          <w:highlight w:val="white"/>
        </w:rPr>
        <w:t xml:space="preserve">. </w:t>
      </w:r>
    </w:p>
    <w:p w14:paraId="7265D25A" w14:textId="77777777" w:rsidR="00995226" w:rsidRDefault="00995226" w:rsidP="00995226">
      <w:pPr>
        <w:pStyle w:val="Normal1"/>
      </w:pPr>
      <w:r>
        <w:t xml:space="preserve">Graham, M. and Anwar, M., 2019. The global gig economy: Towards a planetary labour market?. </w:t>
      </w:r>
      <w:r>
        <w:rPr>
          <w:i/>
        </w:rPr>
        <w:t>First Monday</w:t>
      </w:r>
      <w:r>
        <w:t xml:space="preserve">, </w:t>
      </w:r>
      <w:r>
        <w:rPr>
          <w:i/>
        </w:rPr>
        <w:t>24</w:t>
      </w:r>
      <w:r>
        <w:t>(4).</w:t>
      </w:r>
    </w:p>
    <w:p w14:paraId="4743CA0B" w14:textId="77777777" w:rsidR="00995226" w:rsidRDefault="00995226" w:rsidP="00995226">
      <w:pPr>
        <w:pStyle w:val="Normal1"/>
        <w:rPr>
          <w:highlight w:val="white"/>
        </w:rPr>
      </w:pPr>
      <w:r>
        <w:rPr>
          <w:highlight w:val="white"/>
        </w:rPr>
        <w:lastRenderedPageBreak/>
        <w:t xml:space="preserve">He, H. and Harris, L., 2020. The impact of Covid-19 pandemic on corporate social responsibility and marketing philosophy. </w:t>
      </w:r>
      <w:r>
        <w:rPr>
          <w:i/>
          <w:highlight w:val="white"/>
        </w:rPr>
        <w:t>Journal of business research</w:t>
      </w:r>
      <w:r>
        <w:rPr>
          <w:highlight w:val="white"/>
        </w:rPr>
        <w:t xml:space="preserve">, </w:t>
      </w:r>
      <w:r>
        <w:rPr>
          <w:i/>
          <w:highlight w:val="white"/>
        </w:rPr>
        <w:t>116</w:t>
      </w:r>
      <w:r>
        <w:rPr>
          <w:highlight w:val="white"/>
        </w:rPr>
        <w:t>, pp.176-182.</w:t>
      </w:r>
    </w:p>
    <w:p w14:paraId="0EAAF1E0" w14:textId="77777777" w:rsidR="00995226" w:rsidRDefault="00995226" w:rsidP="00995226">
      <w:pPr>
        <w:pStyle w:val="Normal1"/>
      </w:pPr>
      <w:r>
        <w:t xml:space="preserve">Kässi, O. and Lehdonvirta, V., 2018. Online labour index: Measuring the online gig economy for policy and research. </w:t>
      </w:r>
      <w:r>
        <w:rPr>
          <w:i/>
        </w:rPr>
        <w:t>Technological forecasting and social change</w:t>
      </w:r>
      <w:r>
        <w:t xml:space="preserve">, </w:t>
      </w:r>
      <w:r>
        <w:rPr>
          <w:i/>
        </w:rPr>
        <w:t>137</w:t>
      </w:r>
      <w:r>
        <w:t>, pp.241-248.</w:t>
      </w:r>
    </w:p>
    <w:p w14:paraId="4F0DC4BD" w14:textId="77777777" w:rsidR="00995226" w:rsidRDefault="00995226" w:rsidP="00995226">
      <w:pPr>
        <w:pStyle w:val="Normal1"/>
        <w:rPr>
          <w:color w:val="222222"/>
          <w:highlight w:val="white"/>
        </w:rPr>
      </w:pPr>
      <w:r>
        <w:rPr>
          <w:color w:val="222222"/>
          <w:highlight w:val="white"/>
        </w:rPr>
        <w:t xml:space="preserve">Moradlou, H., Fratocchi, L., Skipworth, H. and Ghadge, A., 2022. Post-Brexit back-shoring strategies: what UK manufacturing companies could learn from the past?. </w:t>
      </w:r>
      <w:r>
        <w:rPr>
          <w:i/>
          <w:color w:val="222222"/>
          <w:highlight w:val="white"/>
        </w:rPr>
        <w:t>Production Planning &amp; Control</w:t>
      </w:r>
      <w:r>
        <w:rPr>
          <w:color w:val="222222"/>
          <w:highlight w:val="white"/>
        </w:rPr>
        <w:t xml:space="preserve">, </w:t>
      </w:r>
      <w:r>
        <w:rPr>
          <w:i/>
          <w:color w:val="222222"/>
          <w:highlight w:val="white"/>
        </w:rPr>
        <w:t>33</w:t>
      </w:r>
      <w:r>
        <w:rPr>
          <w:color w:val="222222"/>
          <w:highlight w:val="white"/>
        </w:rPr>
        <w:t xml:space="preserve">(14), pp.1319-1336. </w:t>
      </w:r>
    </w:p>
    <w:p w14:paraId="5E41607F" w14:textId="77777777" w:rsidR="00995226" w:rsidRDefault="00995226" w:rsidP="00995226">
      <w:pPr>
        <w:pStyle w:val="Normal1"/>
        <w:rPr>
          <w:i/>
          <w:highlight w:val="white"/>
        </w:rPr>
      </w:pPr>
      <w:r>
        <w:rPr>
          <w:highlight w:val="white"/>
        </w:rPr>
        <w:t xml:space="preserve">Nedelkoska, L. and Quintini, G., 2018. </w:t>
      </w:r>
      <w:r>
        <w:rPr>
          <w:i/>
          <w:highlight w:val="white"/>
        </w:rPr>
        <w:t xml:space="preserve">Automation, skills use and training. </w:t>
      </w:r>
    </w:p>
    <w:p w14:paraId="0D1FE02D" w14:textId="77777777" w:rsidR="00995226" w:rsidRDefault="00995226" w:rsidP="00995226">
      <w:pPr>
        <w:pStyle w:val="Normal1"/>
        <w:rPr>
          <w:highlight w:val="white"/>
        </w:rPr>
      </w:pPr>
      <w:r>
        <w:rPr>
          <w:highlight w:val="white"/>
        </w:rPr>
        <w:t xml:space="preserve">Oseghale, R., Ochie, C., Dang, M., Nyuur, R. and Debrah, Y., 2022. Human Resource Management Reconfiguration Post-COVID Crisis. In </w:t>
      </w:r>
      <w:r>
        <w:rPr>
          <w:i/>
          <w:highlight w:val="white"/>
        </w:rPr>
        <w:t>Organizational Management in Post Pandemic Crisis</w:t>
      </w:r>
      <w:r>
        <w:rPr>
          <w:highlight w:val="white"/>
        </w:rPr>
        <w:t xml:space="preserve"> (pp. 139-159). Springer, Cham. </w:t>
      </w:r>
    </w:p>
    <w:p w14:paraId="1AE7D160" w14:textId="77777777" w:rsidR="00995226" w:rsidRDefault="00995226" w:rsidP="00995226">
      <w:pPr>
        <w:pStyle w:val="Normal1"/>
        <w:rPr>
          <w:color w:val="222222"/>
          <w:highlight w:val="white"/>
        </w:rPr>
      </w:pPr>
      <w:r>
        <w:rPr>
          <w:color w:val="222222"/>
          <w:highlight w:val="white"/>
        </w:rPr>
        <w:t xml:space="preserve">Palomino, J.C., Rodríguez, J.G. and Sebastian, R., 2020. Wage inequality and poverty effects of lockdown and social distancing in Europe. </w:t>
      </w:r>
      <w:r>
        <w:rPr>
          <w:i/>
          <w:color w:val="222222"/>
          <w:highlight w:val="white"/>
        </w:rPr>
        <w:t>European economic review</w:t>
      </w:r>
      <w:r>
        <w:rPr>
          <w:color w:val="222222"/>
          <w:highlight w:val="white"/>
        </w:rPr>
        <w:t xml:space="preserve">, </w:t>
      </w:r>
      <w:r>
        <w:rPr>
          <w:i/>
          <w:color w:val="222222"/>
          <w:highlight w:val="white"/>
        </w:rPr>
        <w:t>129</w:t>
      </w:r>
      <w:r>
        <w:rPr>
          <w:color w:val="222222"/>
          <w:highlight w:val="white"/>
        </w:rPr>
        <w:t xml:space="preserve">, p.103564. </w:t>
      </w:r>
    </w:p>
    <w:p w14:paraId="4A581E1A" w14:textId="77777777" w:rsidR="00995226" w:rsidRDefault="00995226" w:rsidP="00995226">
      <w:pPr>
        <w:pStyle w:val="Normal1"/>
        <w:rPr>
          <w:highlight w:val="white"/>
        </w:rPr>
      </w:pPr>
      <w:r>
        <w:rPr>
          <w:highlight w:val="white"/>
        </w:rPr>
        <w:t xml:space="preserve">Pisu, M., Von Rüden, C., Hwang, H. and Nicoletti, G., 2021. </w:t>
      </w:r>
      <w:r>
        <w:rPr>
          <w:i/>
          <w:highlight w:val="white"/>
        </w:rPr>
        <w:t xml:space="preserve">Spurring growth and closing gaps through digitalisation in a post-COVID world: Policies to LIFT all boats. </w:t>
      </w:r>
    </w:p>
    <w:p w14:paraId="31879733" w14:textId="77777777" w:rsidR="00995226" w:rsidRDefault="00995226" w:rsidP="00995226">
      <w:pPr>
        <w:pStyle w:val="Normal1"/>
        <w:rPr>
          <w:highlight w:val="white"/>
        </w:rPr>
      </w:pPr>
      <w:r>
        <w:rPr>
          <w:highlight w:val="white"/>
        </w:rPr>
        <w:t xml:space="preserve">Ridgway, M., 2019. Brexit: human resourcing implications. </w:t>
      </w:r>
      <w:r>
        <w:rPr>
          <w:i/>
          <w:highlight w:val="white"/>
        </w:rPr>
        <w:t>Employee Relations: The International Journal</w:t>
      </w:r>
      <w:r>
        <w:rPr>
          <w:highlight w:val="white"/>
        </w:rPr>
        <w:t>.</w:t>
      </w:r>
    </w:p>
    <w:p w14:paraId="39C04B81" w14:textId="77777777" w:rsidR="00995226" w:rsidRDefault="00995226" w:rsidP="00995226">
      <w:pPr>
        <w:pStyle w:val="Normal1"/>
      </w:pPr>
      <w:r>
        <w:t>Statista, 2021.</w:t>
      </w:r>
      <w:r>
        <w:rPr>
          <w:i/>
        </w:rPr>
        <w:t xml:space="preserve"> Labor force- United Kingdom.</w:t>
      </w:r>
      <w:r>
        <w:t xml:space="preserve"> Available at :</w:t>
      </w:r>
      <w:hyperlink r:id="rId14">
        <w:r>
          <w:rPr>
            <w:color w:val="1155CC"/>
            <w:u w:val="single"/>
          </w:rPr>
          <w:t>https://www.statista.com/outlook/co/labor-force/united-kingdom</w:t>
        </w:r>
      </w:hyperlink>
      <w:r>
        <w:t xml:space="preserve">  [Accessed on 29.12. 2022]</w:t>
      </w:r>
    </w:p>
    <w:p w14:paraId="211D74BF" w14:textId="77777777" w:rsidR="00995226" w:rsidRDefault="00995226" w:rsidP="00995226">
      <w:pPr>
        <w:pStyle w:val="Normal1"/>
      </w:pPr>
      <w:r>
        <w:t xml:space="preserve">Statista, 2022. </w:t>
      </w:r>
      <w:r>
        <w:rPr>
          <w:i/>
        </w:rPr>
        <w:t xml:space="preserve">Unemployment rate in the United Kingdom. </w:t>
      </w:r>
      <w:r>
        <w:t xml:space="preserve">Available at: </w:t>
      </w:r>
      <w:hyperlink r:id="rId15">
        <w:r>
          <w:rPr>
            <w:color w:val="1155CC"/>
            <w:u w:val="single"/>
          </w:rPr>
          <w:t>https://www.statista.com/statistics/263709/unemployment-rate-in-the-united-kingdom/</w:t>
        </w:r>
      </w:hyperlink>
      <w:r>
        <w:t xml:space="preserve"> [Accessed on 29.12.2022]</w:t>
      </w:r>
    </w:p>
    <w:p w14:paraId="021497E9" w14:textId="77777777" w:rsidR="00995226" w:rsidRDefault="00995226" w:rsidP="00995226">
      <w:pPr>
        <w:pStyle w:val="Normal1"/>
      </w:pPr>
      <w:r>
        <w:t xml:space="preserve">Su, C.W., Dai, K., Ullah, S. and Andlib, Z., 2022. COVID-19 pandemic and unemployment dynamics in European economies. </w:t>
      </w:r>
      <w:r>
        <w:rPr>
          <w:i/>
        </w:rPr>
        <w:t>Economic Research-Ekonomska Istraživanja</w:t>
      </w:r>
      <w:r>
        <w:t xml:space="preserve">, </w:t>
      </w:r>
      <w:r>
        <w:rPr>
          <w:i/>
        </w:rPr>
        <w:t>35</w:t>
      </w:r>
      <w:r>
        <w:t>(1), pp.1752-1764.</w:t>
      </w:r>
    </w:p>
    <w:p w14:paraId="6B1474EC" w14:textId="77777777" w:rsidR="00995226" w:rsidRDefault="00995226" w:rsidP="00995226">
      <w:pPr>
        <w:pStyle w:val="Normal1"/>
      </w:pPr>
      <w:r>
        <w:t xml:space="preserve">Thehomeofficelife, 2022. </w:t>
      </w:r>
      <w:r>
        <w:rPr>
          <w:i/>
        </w:rPr>
        <w:t xml:space="preserve">Working from home UK statistics 2022. </w:t>
      </w:r>
      <w:r>
        <w:t xml:space="preserve">Available at: </w:t>
      </w:r>
      <w:hyperlink r:id="rId16">
        <w:r>
          <w:rPr>
            <w:color w:val="1155CC"/>
            <w:u w:val="single"/>
          </w:rPr>
          <w:t>https://thehomeofficelife.com/blog/work-from-home-statistic</w:t>
        </w:r>
      </w:hyperlink>
      <w:r>
        <w:t xml:space="preserve">  [Accessed on 29.12.2022]</w:t>
      </w:r>
    </w:p>
    <w:p w14:paraId="0AD6732F" w14:textId="77777777" w:rsidR="00995226" w:rsidRDefault="00995226" w:rsidP="00995226">
      <w:pPr>
        <w:pStyle w:val="Normal1"/>
        <w:rPr>
          <w:color w:val="222222"/>
          <w:highlight w:val="white"/>
        </w:rPr>
      </w:pPr>
      <w:r>
        <w:rPr>
          <w:color w:val="222222"/>
          <w:highlight w:val="white"/>
        </w:rPr>
        <w:lastRenderedPageBreak/>
        <w:t xml:space="preserve">Undy, R., Ellis, V., McCarthy, W.E.J. and Halmos, A.M., 2022. </w:t>
      </w:r>
      <w:r>
        <w:rPr>
          <w:i/>
          <w:color w:val="222222"/>
          <w:highlight w:val="white"/>
        </w:rPr>
        <w:t>Change in Trade Unions: the Development of UK Unions since the 1960s</w:t>
      </w:r>
      <w:r>
        <w:rPr>
          <w:color w:val="222222"/>
          <w:highlight w:val="white"/>
        </w:rPr>
        <w:t xml:space="preserve"> (Vol. 20). Taylor &amp; Francis.</w:t>
      </w:r>
    </w:p>
    <w:p w14:paraId="600D766A" w14:textId="77777777" w:rsidR="00995226" w:rsidRDefault="00995226" w:rsidP="00995226">
      <w:pPr>
        <w:pStyle w:val="Normal1"/>
      </w:pPr>
      <w:r>
        <w:t xml:space="preserve">Watermeyer, R., Crick, T., Knight, C. and Goodall, J., 2021. COVID-19 and digital disruption in UK universities: Afflictions and affordances of emergency online migration. </w:t>
      </w:r>
      <w:r>
        <w:rPr>
          <w:i/>
        </w:rPr>
        <w:t>Higher Education</w:t>
      </w:r>
      <w:r>
        <w:t xml:space="preserve">, </w:t>
      </w:r>
      <w:r>
        <w:rPr>
          <w:i/>
        </w:rPr>
        <w:t>81</w:t>
      </w:r>
      <w:r>
        <w:t>(3), pp.623-641.</w:t>
      </w:r>
    </w:p>
    <w:p w14:paraId="7F849E04" w14:textId="77777777" w:rsidR="00995226" w:rsidRDefault="00995226" w:rsidP="00995226">
      <w:pPr>
        <w:pStyle w:val="Normal1"/>
        <w:rPr>
          <w:highlight w:val="white"/>
        </w:rPr>
      </w:pPr>
      <w:r>
        <w:rPr>
          <w:highlight w:val="white"/>
        </w:rPr>
        <w:t xml:space="preserve">Zhong, Y., Li, Y., Ding, J. and Liao, Y., 2021. Risk management: Exploring emerging Human Resource issues during the COVID-19 pandemic. </w:t>
      </w:r>
      <w:r>
        <w:rPr>
          <w:i/>
          <w:highlight w:val="white"/>
        </w:rPr>
        <w:t>Journal of Risk and Financial Management</w:t>
      </w:r>
      <w:r>
        <w:rPr>
          <w:highlight w:val="white"/>
        </w:rPr>
        <w:t xml:space="preserve">, </w:t>
      </w:r>
      <w:r>
        <w:rPr>
          <w:i/>
          <w:highlight w:val="white"/>
        </w:rPr>
        <w:t>14</w:t>
      </w:r>
      <w:r>
        <w:rPr>
          <w:highlight w:val="white"/>
        </w:rPr>
        <w:t xml:space="preserve">(5), p.228. </w:t>
      </w:r>
    </w:p>
    <w:p w14:paraId="32C622E8" w14:textId="77777777" w:rsidR="00D866B8" w:rsidRDefault="00D866B8">
      <w:pPr>
        <w:pStyle w:val="Normal1"/>
      </w:pPr>
    </w:p>
    <w:p w14:paraId="7635DFC4" w14:textId="77777777" w:rsidR="00D866B8" w:rsidRDefault="00D866B8">
      <w:pPr>
        <w:pStyle w:val="Normal1"/>
      </w:pPr>
    </w:p>
    <w:sectPr w:rsidR="00D866B8" w:rsidSect="00995226">
      <w:headerReference w:type="default" r:id="rId17"/>
      <w:footerReference w:type="default" r:id="rId18"/>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F0C273" w14:textId="77777777" w:rsidR="00304AE1" w:rsidRDefault="00304AE1" w:rsidP="00995226">
      <w:pPr>
        <w:spacing w:before="0" w:after="0" w:line="240" w:lineRule="auto"/>
      </w:pPr>
      <w:r>
        <w:separator/>
      </w:r>
    </w:p>
  </w:endnote>
  <w:endnote w:type="continuationSeparator" w:id="0">
    <w:p w14:paraId="2AF934F9" w14:textId="77777777" w:rsidR="00304AE1" w:rsidRDefault="00304AE1" w:rsidP="0099522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5214182"/>
      <w:docPartObj>
        <w:docPartGallery w:val="Page Numbers (Bottom of Page)"/>
        <w:docPartUnique/>
      </w:docPartObj>
    </w:sdtPr>
    <w:sdtEndPr/>
    <w:sdtContent>
      <w:sdt>
        <w:sdtPr>
          <w:id w:val="-1769616900"/>
          <w:docPartObj>
            <w:docPartGallery w:val="Page Numbers (Top of Page)"/>
            <w:docPartUnique/>
          </w:docPartObj>
        </w:sdtPr>
        <w:sdtEndPr/>
        <w:sdtContent>
          <w:p w14:paraId="48329DBE" w14:textId="4A2014AF" w:rsidR="00995226" w:rsidRDefault="00995226">
            <w:pPr>
              <w:pStyle w:val="Footer"/>
              <w:jc w:val="right"/>
            </w:pPr>
            <w:r>
              <w:t xml:space="preserve">Page </w:t>
            </w:r>
            <w:r>
              <w:rPr>
                <w:b/>
                <w:bCs/>
              </w:rPr>
              <w:fldChar w:fldCharType="begin"/>
            </w:r>
            <w:r>
              <w:rPr>
                <w:b/>
                <w:bCs/>
              </w:rPr>
              <w:instrText xml:space="preserve"> PAGE </w:instrText>
            </w:r>
            <w:r>
              <w:rPr>
                <w:b/>
                <w:bCs/>
              </w:rPr>
              <w:fldChar w:fldCharType="separate"/>
            </w:r>
            <w:r w:rsidR="00892BD4">
              <w:rPr>
                <w:b/>
                <w:bCs/>
                <w:noProof/>
              </w:rPr>
              <w:t>3</w:t>
            </w:r>
            <w:r>
              <w:rPr>
                <w:b/>
                <w:bCs/>
              </w:rPr>
              <w:fldChar w:fldCharType="end"/>
            </w:r>
            <w:r>
              <w:t xml:space="preserve"> of </w:t>
            </w:r>
            <w:r>
              <w:rPr>
                <w:b/>
                <w:bCs/>
              </w:rPr>
              <w:fldChar w:fldCharType="begin"/>
            </w:r>
            <w:r>
              <w:rPr>
                <w:b/>
                <w:bCs/>
              </w:rPr>
              <w:instrText xml:space="preserve"> NUMPAGES  </w:instrText>
            </w:r>
            <w:r>
              <w:rPr>
                <w:b/>
                <w:bCs/>
              </w:rPr>
              <w:fldChar w:fldCharType="separate"/>
            </w:r>
            <w:r w:rsidR="00892BD4">
              <w:rPr>
                <w:b/>
                <w:bCs/>
                <w:noProof/>
              </w:rPr>
              <w:t>17</w:t>
            </w:r>
            <w:r>
              <w:rPr>
                <w:b/>
                <w:bCs/>
              </w:rPr>
              <w:fldChar w:fldCharType="end"/>
            </w:r>
          </w:p>
        </w:sdtContent>
      </w:sdt>
    </w:sdtContent>
  </w:sdt>
  <w:p w14:paraId="3E4BB65A" w14:textId="77777777" w:rsidR="00995226" w:rsidRDefault="009952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4DADE5" w14:textId="77777777" w:rsidR="00304AE1" w:rsidRDefault="00304AE1" w:rsidP="00995226">
      <w:pPr>
        <w:spacing w:before="0" w:after="0" w:line="240" w:lineRule="auto"/>
      </w:pPr>
      <w:r>
        <w:separator/>
      </w:r>
    </w:p>
  </w:footnote>
  <w:footnote w:type="continuationSeparator" w:id="0">
    <w:p w14:paraId="2D6CD1FD" w14:textId="77777777" w:rsidR="00304AE1" w:rsidRDefault="00304AE1" w:rsidP="00995226">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43CCBD" w14:textId="77777777" w:rsidR="00995226" w:rsidRPr="00995226" w:rsidRDefault="00995226" w:rsidP="00995226">
    <w:pPr>
      <w:pStyle w:val="Normal1"/>
      <w:jc w:val="right"/>
      <w:rPr>
        <w:bCs/>
        <w:sz w:val="28"/>
        <w:szCs w:val="28"/>
      </w:rPr>
    </w:pPr>
    <w:r w:rsidRPr="00995226">
      <w:rPr>
        <w:bCs/>
      </w:rPr>
      <w:t>Human Resource Management</w:t>
    </w:r>
    <w:r w:rsidRPr="00995226">
      <w:rPr>
        <w:bCs/>
        <w:sz w:val="28"/>
        <w:szCs w:val="28"/>
      </w:rPr>
      <w:t xml:space="preserve"> </w:t>
    </w:r>
  </w:p>
  <w:p w14:paraId="24FBAE97" w14:textId="77777777" w:rsidR="00995226" w:rsidRDefault="009952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66B8"/>
    <w:rsid w:val="00304AE1"/>
    <w:rsid w:val="00892BD4"/>
    <w:rsid w:val="00995226"/>
    <w:rsid w:val="00D34C1A"/>
    <w:rsid w:val="00D40F07"/>
    <w:rsid w:val="00D866B8"/>
    <w:rsid w:val="00FD769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A4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 w:eastAsia="en-US"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99522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95226"/>
  </w:style>
  <w:style w:type="paragraph" w:styleId="Footer">
    <w:name w:val="footer"/>
    <w:basedOn w:val="Normal"/>
    <w:link w:val="FooterChar"/>
    <w:uiPriority w:val="99"/>
    <w:unhideWhenUsed/>
    <w:rsid w:val="0099522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95226"/>
  </w:style>
  <w:style w:type="paragraph" w:styleId="TOCHeading">
    <w:name w:val="TOC Heading"/>
    <w:basedOn w:val="Heading1"/>
    <w:next w:val="Normal"/>
    <w:uiPriority w:val="39"/>
    <w:unhideWhenUsed/>
    <w:qFormat/>
    <w:rsid w:val="009952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95226"/>
    <w:pPr>
      <w:spacing w:after="100"/>
    </w:pPr>
  </w:style>
  <w:style w:type="character" w:styleId="Hyperlink">
    <w:name w:val="Hyperlink"/>
    <w:basedOn w:val="DefaultParagraphFont"/>
    <w:uiPriority w:val="99"/>
    <w:unhideWhenUsed/>
    <w:rsid w:val="00995226"/>
    <w:rPr>
      <w:color w:val="0000FF" w:themeColor="hyperlink"/>
      <w:u w:val="single"/>
    </w:rPr>
  </w:style>
  <w:style w:type="table" w:styleId="TableGrid">
    <w:name w:val="Table Grid"/>
    <w:basedOn w:val="TableNormal"/>
    <w:uiPriority w:val="59"/>
    <w:unhideWhenUsed/>
    <w:rsid w:val="00D34C1A"/>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34C1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C1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 w:eastAsia="en-US"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99522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95226"/>
  </w:style>
  <w:style w:type="paragraph" w:styleId="Footer">
    <w:name w:val="footer"/>
    <w:basedOn w:val="Normal"/>
    <w:link w:val="FooterChar"/>
    <w:uiPriority w:val="99"/>
    <w:unhideWhenUsed/>
    <w:rsid w:val="0099522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95226"/>
  </w:style>
  <w:style w:type="paragraph" w:styleId="TOCHeading">
    <w:name w:val="TOC Heading"/>
    <w:basedOn w:val="Heading1"/>
    <w:next w:val="Normal"/>
    <w:uiPriority w:val="39"/>
    <w:unhideWhenUsed/>
    <w:qFormat/>
    <w:rsid w:val="009952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95226"/>
    <w:pPr>
      <w:spacing w:after="100"/>
    </w:pPr>
  </w:style>
  <w:style w:type="character" w:styleId="Hyperlink">
    <w:name w:val="Hyperlink"/>
    <w:basedOn w:val="DefaultParagraphFont"/>
    <w:uiPriority w:val="99"/>
    <w:unhideWhenUsed/>
    <w:rsid w:val="00995226"/>
    <w:rPr>
      <w:color w:val="0000FF" w:themeColor="hyperlink"/>
      <w:u w:val="single"/>
    </w:rPr>
  </w:style>
  <w:style w:type="table" w:styleId="TableGrid">
    <w:name w:val="Table Grid"/>
    <w:basedOn w:val="TableNormal"/>
    <w:uiPriority w:val="59"/>
    <w:unhideWhenUsed/>
    <w:rsid w:val="00D34C1A"/>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34C1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4C1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thehomeofficelife.com/blog/work-from-home-statisti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263709/unemployment-rate-in-the-united-kingdo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outlook/co/labor-forc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C0518-FA35-498C-9418-F4598236B1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17</Pages>
  <Words>3190</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4</cp:revision>
  <dcterms:created xsi:type="dcterms:W3CDTF">2022-12-30T06:20:00Z</dcterms:created>
  <dcterms:modified xsi:type="dcterms:W3CDTF">2023-01-04T17:44:00Z</dcterms:modified>
</cp:coreProperties>
</file>