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DEA61" w14:textId="77777777" w:rsidR="000330B5" w:rsidRPr="000330B5" w:rsidRDefault="000330B5" w:rsidP="000330B5">
      <w:pPr>
        <w:pStyle w:val="NoSpacing"/>
        <w:spacing w:line="360" w:lineRule="auto"/>
        <w:jc w:val="center"/>
        <w:rPr>
          <w:rFonts w:ascii="Times New Roman" w:hAnsi="Times New Roman" w:cs="Times New Roman"/>
          <w:sz w:val="32"/>
          <w:szCs w:val="32"/>
          <w:lang w:val="en-GB"/>
        </w:rPr>
      </w:pPr>
    </w:p>
    <w:p w14:paraId="2455544C" w14:textId="497740F7" w:rsidR="000330B5" w:rsidRPr="000330B5" w:rsidRDefault="000330B5" w:rsidP="000330B5">
      <w:pPr>
        <w:pStyle w:val="NoSpacing"/>
        <w:spacing w:line="360" w:lineRule="auto"/>
        <w:jc w:val="center"/>
        <w:rPr>
          <w:rFonts w:ascii="Times New Roman" w:hAnsi="Times New Roman" w:cs="Times New Roman"/>
          <w:b/>
          <w:bCs/>
          <w:sz w:val="32"/>
          <w:szCs w:val="32"/>
          <w:lang w:val="en-GB"/>
        </w:rPr>
      </w:pPr>
      <w:r w:rsidRPr="000330B5">
        <w:rPr>
          <w:rFonts w:ascii="Times New Roman" w:hAnsi="Times New Roman" w:cs="Times New Roman"/>
          <w:b/>
          <w:bCs/>
          <w:sz w:val="32"/>
          <w:szCs w:val="32"/>
          <w:lang w:val="en-GB"/>
        </w:rPr>
        <w:t>Programme:</w:t>
      </w:r>
      <w:r w:rsidRPr="000330B5">
        <w:rPr>
          <w:rFonts w:ascii="Times New Roman" w:hAnsi="Times New Roman" w:cs="Times New Roman"/>
          <w:b/>
          <w:bCs/>
          <w:sz w:val="32"/>
          <w:szCs w:val="32"/>
          <w:lang w:val="en-GB"/>
        </w:rPr>
        <w:t xml:space="preserve"> </w:t>
      </w:r>
      <w:r w:rsidRPr="000330B5">
        <w:rPr>
          <w:rFonts w:ascii="Times New Roman" w:hAnsi="Times New Roman" w:cs="Times New Roman"/>
          <w:b/>
          <w:bCs/>
          <w:sz w:val="32"/>
          <w:szCs w:val="32"/>
          <w:lang w:val="en-GB"/>
        </w:rPr>
        <w:t>BA (Hons) Business Management</w:t>
      </w:r>
    </w:p>
    <w:p w14:paraId="788F9EE7" w14:textId="67DB2882" w:rsidR="000330B5" w:rsidRPr="000330B5" w:rsidRDefault="000330B5" w:rsidP="000330B5">
      <w:pPr>
        <w:pStyle w:val="NoSpacing"/>
        <w:spacing w:line="360" w:lineRule="auto"/>
        <w:jc w:val="center"/>
        <w:rPr>
          <w:rFonts w:ascii="Times New Roman" w:hAnsi="Times New Roman" w:cs="Times New Roman"/>
          <w:b/>
          <w:bCs/>
          <w:sz w:val="32"/>
          <w:szCs w:val="32"/>
          <w:lang w:val="en-GB"/>
        </w:rPr>
      </w:pPr>
      <w:r w:rsidRPr="000330B5">
        <w:rPr>
          <w:rFonts w:ascii="Times New Roman" w:hAnsi="Times New Roman" w:cs="Times New Roman"/>
          <w:b/>
          <w:bCs/>
          <w:sz w:val="32"/>
          <w:szCs w:val="32"/>
          <w:lang w:val="en-GB"/>
        </w:rPr>
        <w:t>Module</w:t>
      </w:r>
      <w:r w:rsidRPr="000330B5">
        <w:rPr>
          <w:rFonts w:ascii="Times New Roman" w:hAnsi="Times New Roman" w:cs="Times New Roman"/>
          <w:b/>
          <w:bCs/>
          <w:sz w:val="32"/>
          <w:szCs w:val="32"/>
          <w:lang w:val="en-GB"/>
        </w:rPr>
        <w:t xml:space="preserve"> Title</w:t>
      </w:r>
      <w:r w:rsidRPr="000330B5">
        <w:rPr>
          <w:rFonts w:ascii="Times New Roman" w:hAnsi="Times New Roman" w:cs="Times New Roman"/>
          <w:b/>
          <w:bCs/>
          <w:sz w:val="32"/>
          <w:szCs w:val="32"/>
          <w:lang w:val="en-GB"/>
        </w:rPr>
        <w:t>:</w:t>
      </w:r>
      <w:r w:rsidRPr="000330B5">
        <w:rPr>
          <w:rFonts w:ascii="Times New Roman" w:hAnsi="Times New Roman" w:cs="Times New Roman"/>
          <w:b/>
          <w:bCs/>
          <w:sz w:val="32"/>
          <w:szCs w:val="32"/>
          <w:lang w:val="en-GB"/>
        </w:rPr>
        <w:t xml:space="preserve"> </w:t>
      </w:r>
      <w:r w:rsidRPr="000330B5">
        <w:rPr>
          <w:rFonts w:ascii="Times New Roman" w:hAnsi="Times New Roman" w:cs="Times New Roman"/>
          <w:b/>
          <w:bCs/>
          <w:sz w:val="32"/>
          <w:szCs w:val="32"/>
          <w:lang w:val="en-GB"/>
        </w:rPr>
        <w:t>Strategic Management and Sustainability</w:t>
      </w:r>
    </w:p>
    <w:p w14:paraId="38D00612" w14:textId="77777777" w:rsidR="000330B5" w:rsidRPr="000330B5" w:rsidRDefault="000330B5" w:rsidP="000330B5">
      <w:pPr>
        <w:pStyle w:val="NoSpacing"/>
        <w:spacing w:line="360" w:lineRule="auto"/>
        <w:jc w:val="center"/>
        <w:rPr>
          <w:rFonts w:ascii="Times New Roman" w:hAnsi="Times New Roman" w:cs="Times New Roman"/>
          <w:b/>
          <w:bCs/>
          <w:sz w:val="32"/>
          <w:szCs w:val="32"/>
          <w:lang w:val="en-GB"/>
        </w:rPr>
      </w:pPr>
    </w:p>
    <w:p w14:paraId="1F85A7A6" w14:textId="77777777" w:rsidR="000330B5" w:rsidRPr="000330B5" w:rsidRDefault="000330B5" w:rsidP="000330B5">
      <w:pPr>
        <w:pStyle w:val="NoSpacing"/>
        <w:spacing w:line="360" w:lineRule="auto"/>
        <w:jc w:val="center"/>
        <w:rPr>
          <w:rFonts w:ascii="Times New Roman" w:hAnsi="Times New Roman" w:cs="Times New Roman"/>
          <w:b/>
          <w:bCs/>
          <w:sz w:val="32"/>
          <w:szCs w:val="32"/>
          <w:lang w:val="en-GB"/>
        </w:rPr>
      </w:pPr>
      <w:r w:rsidRPr="000330B5">
        <w:rPr>
          <w:rFonts w:ascii="Times New Roman" w:hAnsi="Times New Roman" w:cs="Times New Roman"/>
          <w:b/>
          <w:bCs/>
          <w:sz w:val="32"/>
          <w:szCs w:val="32"/>
          <w:lang w:val="en-GB"/>
        </w:rPr>
        <w:t>Module code: LCBB 6015</w:t>
      </w:r>
    </w:p>
    <w:p w14:paraId="1309175F" w14:textId="77777777" w:rsidR="000330B5" w:rsidRPr="000330B5" w:rsidRDefault="000330B5" w:rsidP="000330B5">
      <w:pPr>
        <w:pStyle w:val="NoSpacing"/>
        <w:spacing w:line="360" w:lineRule="auto"/>
        <w:jc w:val="center"/>
        <w:rPr>
          <w:rFonts w:ascii="Times New Roman" w:hAnsi="Times New Roman" w:cs="Times New Roman"/>
          <w:b/>
          <w:bCs/>
          <w:sz w:val="32"/>
          <w:szCs w:val="32"/>
          <w:lang w:val="en-GB"/>
        </w:rPr>
      </w:pPr>
    </w:p>
    <w:p w14:paraId="5ED254CD" w14:textId="77777777" w:rsidR="000330B5" w:rsidRPr="000330B5" w:rsidRDefault="000330B5" w:rsidP="000330B5">
      <w:pPr>
        <w:pStyle w:val="NoSpacing"/>
        <w:spacing w:line="360" w:lineRule="auto"/>
        <w:jc w:val="center"/>
        <w:rPr>
          <w:rFonts w:ascii="Times New Roman" w:hAnsi="Times New Roman" w:cs="Times New Roman"/>
          <w:b/>
          <w:bCs/>
          <w:sz w:val="32"/>
          <w:szCs w:val="32"/>
          <w:lang w:val="en-GB"/>
        </w:rPr>
      </w:pPr>
      <w:r w:rsidRPr="000330B5">
        <w:rPr>
          <w:rFonts w:ascii="Times New Roman" w:hAnsi="Times New Roman" w:cs="Times New Roman"/>
          <w:b/>
          <w:bCs/>
          <w:sz w:val="32"/>
          <w:szCs w:val="32"/>
          <w:lang w:val="en-GB"/>
        </w:rPr>
        <w:t>Component 2: Coursework: Written Report</w:t>
      </w:r>
    </w:p>
    <w:p w14:paraId="460C2CA4" w14:textId="77777777" w:rsidR="000330B5" w:rsidRPr="000330B5" w:rsidRDefault="000330B5" w:rsidP="000330B5">
      <w:pPr>
        <w:pStyle w:val="NoSpacing"/>
        <w:spacing w:line="360" w:lineRule="auto"/>
        <w:jc w:val="center"/>
        <w:rPr>
          <w:rFonts w:ascii="Times New Roman" w:hAnsi="Times New Roman" w:cs="Times New Roman"/>
          <w:b/>
          <w:bCs/>
          <w:sz w:val="32"/>
          <w:szCs w:val="32"/>
          <w:lang w:val="en-GB"/>
        </w:rPr>
      </w:pPr>
    </w:p>
    <w:p w14:paraId="5C196632" w14:textId="77777777" w:rsidR="000330B5" w:rsidRPr="000330B5" w:rsidRDefault="000330B5" w:rsidP="000330B5">
      <w:pPr>
        <w:pStyle w:val="NoSpacing"/>
        <w:spacing w:line="360" w:lineRule="auto"/>
        <w:jc w:val="center"/>
        <w:rPr>
          <w:rFonts w:ascii="Times New Roman" w:hAnsi="Times New Roman" w:cs="Times New Roman"/>
          <w:sz w:val="32"/>
          <w:szCs w:val="32"/>
          <w:lang w:val="en-GB"/>
        </w:rPr>
      </w:pPr>
      <w:r w:rsidRPr="000330B5">
        <w:rPr>
          <w:rFonts w:ascii="Times New Roman" w:hAnsi="Times New Roman" w:cs="Times New Roman"/>
          <w:b/>
          <w:bCs/>
          <w:sz w:val="32"/>
          <w:szCs w:val="32"/>
          <w:lang w:val="en-GB"/>
        </w:rPr>
        <w:t>Strategy Formulation Plan: BMW Group</w:t>
      </w:r>
    </w:p>
    <w:p w14:paraId="5572651A" w14:textId="77777777" w:rsidR="000330B5" w:rsidRPr="000330B5" w:rsidRDefault="000330B5" w:rsidP="000330B5">
      <w:pPr>
        <w:pStyle w:val="NoSpacing"/>
        <w:spacing w:line="360" w:lineRule="auto"/>
        <w:jc w:val="center"/>
        <w:rPr>
          <w:rFonts w:ascii="Times New Roman" w:hAnsi="Times New Roman" w:cs="Times New Roman"/>
          <w:sz w:val="32"/>
          <w:szCs w:val="32"/>
          <w:lang w:val="en-GB"/>
        </w:rPr>
      </w:pPr>
      <w:r w:rsidRPr="000330B5">
        <w:rPr>
          <w:rFonts w:ascii="Times New Roman" w:hAnsi="Times New Roman" w:cs="Times New Roman"/>
          <w:i/>
          <w:iCs/>
          <w:sz w:val="32"/>
          <w:szCs w:val="32"/>
          <w:lang w:val="en-GB"/>
        </w:rPr>
        <w:t>Automotive Industry Trends and Strategy</w:t>
      </w:r>
    </w:p>
    <w:p w14:paraId="209D8797" w14:textId="77777777" w:rsidR="000330B5" w:rsidRPr="000330B5" w:rsidRDefault="000330B5" w:rsidP="000330B5">
      <w:pPr>
        <w:pStyle w:val="NoSpacing"/>
        <w:spacing w:line="360" w:lineRule="auto"/>
        <w:jc w:val="center"/>
        <w:rPr>
          <w:rFonts w:ascii="Times New Roman" w:hAnsi="Times New Roman" w:cs="Times New Roman"/>
          <w:sz w:val="32"/>
          <w:szCs w:val="32"/>
          <w:lang w:val="en-GB"/>
        </w:rPr>
      </w:pPr>
      <w:r w:rsidRPr="000330B5">
        <w:rPr>
          <w:rFonts w:ascii="Times New Roman" w:hAnsi="Times New Roman" w:cs="Times New Roman"/>
          <w:sz w:val="32"/>
          <w:szCs w:val="32"/>
          <w:lang w:val="en-GB"/>
        </w:rPr>
        <w:br w:type="page"/>
      </w:r>
    </w:p>
    <w:p w14:paraId="566769F8" w14:textId="77777777" w:rsidR="000330B5" w:rsidRPr="000330B5" w:rsidRDefault="000330B5" w:rsidP="000330B5">
      <w:pPr>
        <w:spacing w:line="360" w:lineRule="auto"/>
        <w:jc w:val="center"/>
        <w:rPr>
          <w:rFonts w:ascii="Times New Roman" w:hAnsi="Times New Roman" w:cs="Times New Roman"/>
          <w:b/>
          <w:bCs/>
          <w:sz w:val="32"/>
          <w:szCs w:val="32"/>
          <w:lang w:val="en-GB"/>
        </w:rPr>
      </w:pPr>
      <w:r w:rsidRPr="000330B5">
        <w:rPr>
          <w:rFonts w:ascii="Times New Roman" w:hAnsi="Times New Roman" w:cs="Times New Roman"/>
          <w:b/>
          <w:bCs/>
          <w:sz w:val="32"/>
          <w:szCs w:val="32"/>
          <w:lang w:val="en-GB"/>
        </w:rPr>
        <w:lastRenderedPageBreak/>
        <w:t>Executive Summary</w:t>
      </w:r>
    </w:p>
    <w:p w14:paraId="58593F2F"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This report studies about a strategy formulation plan for BMW Group, the Munich-based premium mobility manufacturer that goes by the names BMW, MINI and Rolls-Royce. The automotive industry is rapidly changing owing to electrification, software-defined vehicles, sustainability legislation and fierce competition from China's car makers. After an overview of the BMW's background, vision, mission and objectives, the report analyses the current financial and operational performance of BMW, which reveals that the company has a resilient performance, but as a result of tariff headwinds and price competition in China, its profitability has declined. BMW's strengths include the company's strong brand equity, engineering capability, and worldwide manufacturing flexibility, while its weaknesses are margin pressures, a reliance on the China market and an unresolved cost gap with Chinese EV competitors, according to the competitive environment analysis, which was based on Porter's Five Forces, SWOT, VRIO, BCG matrix and value chain frameworks. The report continues with a new course of strategic development to include increased acceleration of the Neue Klasse electric architecture, greater localisation and technology cooperation in China, software-defined vehicle platforms, supply chain diversification and further differentiation with sustainability leadership. The report ends with its recommendations that the Board maintain BMW's premium image and re-establish profitability and competitiveness by 2027 and beyond.</w:t>
      </w:r>
    </w:p>
    <w:p w14:paraId="72D9E415" w14:textId="77777777" w:rsidR="000330B5" w:rsidRPr="000330B5" w:rsidRDefault="000330B5" w:rsidP="000330B5">
      <w:pPr>
        <w:spacing w:line="360" w:lineRule="auto"/>
        <w:jc w:val="both"/>
        <w:rPr>
          <w:rFonts w:ascii="Times New Roman" w:hAnsi="Times New Roman" w:cs="Times New Roman"/>
          <w:szCs w:val="24"/>
          <w:lang w:val="en-GB"/>
        </w:rPr>
      </w:pPr>
    </w:p>
    <w:p w14:paraId="2C0FFD0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w:t>
      </w:r>
    </w:p>
    <w:p w14:paraId="7E370E46" w14:textId="77777777" w:rsidR="000330B5" w:rsidRDefault="000330B5">
      <w:pPr>
        <w:rPr>
          <w:rFonts w:ascii="Times New Roman" w:hAnsi="Times New Roman" w:cs="Times New Roman"/>
          <w:b/>
          <w:bCs/>
          <w:szCs w:val="24"/>
          <w:lang w:val="en-GB"/>
        </w:rPr>
      </w:pPr>
      <w:r>
        <w:rPr>
          <w:rFonts w:ascii="Times New Roman" w:hAnsi="Times New Roman" w:cs="Times New Roman"/>
          <w:b/>
          <w:bCs/>
          <w:szCs w:val="24"/>
          <w:lang w:val="en-GB"/>
        </w:rPr>
        <w:br w:type="page"/>
      </w:r>
    </w:p>
    <w:sdt>
      <w:sdtPr>
        <w:id w:val="-205248725"/>
        <w:docPartObj>
          <w:docPartGallery w:val="Table of Contents"/>
          <w:docPartUnique/>
        </w:docPartObj>
      </w:sdtPr>
      <w:sdtEndPr>
        <w:rPr>
          <w:rFonts w:asciiTheme="minorHAnsi" w:eastAsiaTheme="minorHAnsi" w:hAnsiTheme="minorHAnsi" w:cstheme="minorBidi"/>
          <w:b/>
          <w:bCs/>
          <w:noProof/>
          <w:color w:val="auto"/>
          <w:kern w:val="2"/>
          <w:sz w:val="24"/>
          <w:szCs w:val="30"/>
          <w:lang w:bidi="bn-IN"/>
          <w14:ligatures w14:val="standardContextual"/>
        </w:rPr>
      </w:sdtEndPr>
      <w:sdtContent>
        <w:p w14:paraId="5E0934E5" w14:textId="4F513820" w:rsidR="000330B5" w:rsidRPr="000330B5" w:rsidRDefault="000330B5" w:rsidP="000330B5">
          <w:pPr>
            <w:pStyle w:val="TOCHeading"/>
            <w:spacing w:line="360" w:lineRule="auto"/>
            <w:jc w:val="center"/>
            <w:rPr>
              <w:rFonts w:ascii="Times New Roman" w:hAnsi="Times New Roman" w:cs="Times New Roman"/>
              <w:b/>
              <w:bCs/>
              <w:sz w:val="36"/>
              <w:szCs w:val="36"/>
            </w:rPr>
          </w:pPr>
          <w:r w:rsidRPr="000330B5">
            <w:rPr>
              <w:rFonts w:ascii="Times New Roman" w:hAnsi="Times New Roman" w:cs="Times New Roman"/>
              <w:b/>
              <w:bCs/>
              <w:sz w:val="36"/>
              <w:szCs w:val="36"/>
            </w:rPr>
            <w:t>Table of Contents</w:t>
          </w:r>
        </w:p>
        <w:p w14:paraId="057DB529" w14:textId="33269E74"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r w:rsidRPr="000330B5">
            <w:rPr>
              <w:rFonts w:ascii="Times New Roman" w:hAnsi="Times New Roman" w:cs="Times New Roman"/>
              <w:szCs w:val="24"/>
            </w:rPr>
            <w:fldChar w:fldCharType="begin"/>
          </w:r>
          <w:r w:rsidRPr="000330B5">
            <w:rPr>
              <w:rFonts w:ascii="Times New Roman" w:hAnsi="Times New Roman" w:cs="Times New Roman"/>
              <w:szCs w:val="24"/>
            </w:rPr>
            <w:instrText xml:space="preserve"> TOC \o "1-3" \h \z \u </w:instrText>
          </w:r>
          <w:r w:rsidRPr="000330B5">
            <w:rPr>
              <w:rFonts w:ascii="Times New Roman" w:hAnsi="Times New Roman" w:cs="Times New Roman"/>
              <w:szCs w:val="24"/>
            </w:rPr>
            <w:fldChar w:fldCharType="separate"/>
          </w:r>
          <w:hyperlink w:anchor="_Toc237513768" w:history="1">
            <w:r w:rsidRPr="000330B5">
              <w:rPr>
                <w:rStyle w:val="Hyperlink"/>
                <w:rFonts w:ascii="Times New Roman" w:hAnsi="Times New Roman" w:cs="Times New Roman"/>
                <w:noProof/>
                <w:szCs w:val="24"/>
                <w:lang w:val="en-GB"/>
              </w:rPr>
              <w:t>1. Introduction to the Strategy</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_Toc237513768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4</w:t>
            </w:r>
            <w:r w:rsidRPr="000330B5">
              <w:rPr>
                <w:rFonts w:ascii="Times New Roman" w:hAnsi="Times New Roman" w:cs="Times New Roman"/>
                <w:noProof/>
                <w:webHidden/>
                <w:szCs w:val="24"/>
              </w:rPr>
              <w:fldChar w:fldCharType="end"/>
            </w:r>
          </w:hyperlink>
        </w:p>
        <w:p w14:paraId="429BA8C5" w14:textId="7C97F201"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hyperlink w:anchor="_Toc237513769" w:history="1">
            <w:r w:rsidRPr="000330B5">
              <w:rPr>
                <w:rStyle w:val="Hyperlink"/>
                <w:rFonts w:ascii="Times New Roman" w:hAnsi="Times New Roman" w:cs="Times New Roman"/>
                <w:noProof/>
                <w:szCs w:val="24"/>
                <w:lang w:val="en-GB"/>
              </w:rPr>
              <w:t>2. Overview/ Background of the Firm</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_Toc237513769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5</w:t>
            </w:r>
            <w:r w:rsidRPr="000330B5">
              <w:rPr>
                <w:rFonts w:ascii="Times New Roman" w:hAnsi="Times New Roman" w:cs="Times New Roman"/>
                <w:noProof/>
                <w:webHidden/>
                <w:szCs w:val="24"/>
              </w:rPr>
              <w:fldChar w:fldCharType="end"/>
            </w:r>
          </w:hyperlink>
        </w:p>
        <w:p w14:paraId="68A6589B" w14:textId="6FACF1A1"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hyperlink w:anchor="_Toc237513770" w:history="1">
            <w:r w:rsidRPr="000330B5">
              <w:rPr>
                <w:rStyle w:val="Hyperlink"/>
                <w:rFonts w:ascii="Times New Roman" w:hAnsi="Times New Roman" w:cs="Times New Roman"/>
                <w:noProof/>
                <w:szCs w:val="24"/>
                <w:lang w:val="en-GB"/>
              </w:rPr>
              <w:t>3. Strategic Intent</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_Toc237513770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6</w:t>
            </w:r>
            <w:r w:rsidRPr="000330B5">
              <w:rPr>
                <w:rFonts w:ascii="Times New Roman" w:hAnsi="Times New Roman" w:cs="Times New Roman"/>
                <w:noProof/>
                <w:webHidden/>
                <w:szCs w:val="24"/>
              </w:rPr>
              <w:fldChar w:fldCharType="end"/>
            </w:r>
          </w:hyperlink>
        </w:p>
        <w:p w14:paraId="50A21BF5" w14:textId="24E3BF04"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hyperlink w:anchor="_Toc237513771" w:history="1">
            <w:r w:rsidRPr="000330B5">
              <w:rPr>
                <w:rStyle w:val="Hyperlink"/>
                <w:rFonts w:ascii="Times New Roman" w:hAnsi="Times New Roman" w:cs="Times New Roman"/>
                <w:noProof/>
                <w:szCs w:val="24"/>
                <w:lang w:val="en-GB"/>
              </w:rPr>
              <w:t>4. The Company's Current Performance</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_Toc237513771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7</w:t>
            </w:r>
            <w:r w:rsidRPr="000330B5">
              <w:rPr>
                <w:rFonts w:ascii="Times New Roman" w:hAnsi="Times New Roman" w:cs="Times New Roman"/>
                <w:noProof/>
                <w:webHidden/>
                <w:szCs w:val="24"/>
              </w:rPr>
              <w:fldChar w:fldCharType="end"/>
            </w:r>
          </w:hyperlink>
        </w:p>
        <w:p w14:paraId="76176430" w14:textId="08907C0E"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hyperlink w:anchor="_Toc237513772" w:history="1">
            <w:r w:rsidRPr="000330B5">
              <w:rPr>
                <w:rStyle w:val="Hyperlink"/>
                <w:rFonts w:ascii="Times New Roman" w:hAnsi="Times New Roman" w:cs="Times New Roman"/>
                <w:noProof/>
                <w:szCs w:val="24"/>
                <w:lang w:val="en-GB"/>
              </w:rPr>
              <w:t>5. Strategy Analysis: Competitive Environment</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_Toc237513772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8</w:t>
            </w:r>
            <w:r w:rsidRPr="000330B5">
              <w:rPr>
                <w:rFonts w:ascii="Times New Roman" w:hAnsi="Times New Roman" w:cs="Times New Roman"/>
                <w:noProof/>
                <w:webHidden/>
                <w:szCs w:val="24"/>
              </w:rPr>
              <w:fldChar w:fldCharType="end"/>
            </w:r>
          </w:hyperlink>
        </w:p>
        <w:p w14:paraId="7A6B6BA3" w14:textId="083B5B58" w:rsidR="000330B5" w:rsidRPr="000330B5" w:rsidRDefault="000330B5" w:rsidP="000330B5">
          <w:pPr>
            <w:pStyle w:val="TOC2"/>
            <w:tabs>
              <w:tab w:val="right" w:leader="dot" w:pos="9016"/>
            </w:tabs>
            <w:spacing w:line="360" w:lineRule="auto"/>
            <w:rPr>
              <w:rFonts w:ascii="Times New Roman" w:hAnsi="Times New Roman" w:cs="Times New Roman"/>
              <w:noProof/>
              <w:szCs w:val="24"/>
            </w:rPr>
          </w:pPr>
          <w:hyperlink w:anchor="_Toc237513773" w:history="1">
            <w:r w:rsidRPr="000330B5">
              <w:rPr>
                <w:rStyle w:val="Hyperlink"/>
                <w:rFonts w:ascii="Times New Roman" w:hAnsi="Times New Roman" w:cs="Times New Roman"/>
                <w:noProof/>
                <w:szCs w:val="24"/>
                <w:lang w:val="en-GB"/>
              </w:rPr>
              <w:t>5.1 External Environmental Audit: Porter's Five Forces</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_Toc237513773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8</w:t>
            </w:r>
            <w:r w:rsidRPr="000330B5">
              <w:rPr>
                <w:rFonts w:ascii="Times New Roman" w:hAnsi="Times New Roman" w:cs="Times New Roman"/>
                <w:noProof/>
                <w:webHidden/>
                <w:szCs w:val="24"/>
              </w:rPr>
              <w:fldChar w:fldCharType="end"/>
            </w:r>
          </w:hyperlink>
        </w:p>
        <w:p w14:paraId="060D4321" w14:textId="7B25D862" w:rsidR="000330B5" w:rsidRPr="000330B5" w:rsidRDefault="000330B5" w:rsidP="000330B5">
          <w:pPr>
            <w:pStyle w:val="TOC2"/>
            <w:tabs>
              <w:tab w:val="right" w:leader="dot" w:pos="9016"/>
            </w:tabs>
            <w:spacing w:line="360" w:lineRule="auto"/>
            <w:rPr>
              <w:rFonts w:ascii="Times New Roman" w:hAnsi="Times New Roman" w:cs="Times New Roman"/>
              <w:noProof/>
              <w:szCs w:val="24"/>
            </w:rPr>
          </w:pPr>
          <w:hyperlink w:anchor="_Toc237513774" w:history="1">
            <w:r w:rsidRPr="000330B5">
              <w:rPr>
                <w:rStyle w:val="Hyperlink"/>
                <w:rFonts w:ascii="Times New Roman" w:hAnsi="Times New Roman" w:cs="Times New Roman"/>
                <w:noProof/>
                <w:szCs w:val="24"/>
                <w:lang w:val="en-GB"/>
              </w:rPr>
              <w:t>5.2 Internal Environmental Audit</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_Toc237513774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9</w:t>
            </w:r>
            <w:r w:rsidRPr="000330B5">
              <w:rPr>
                <w:rFonts w:ascii="Times New Roman" w:hAnsi="Times New Roman" w:cs="Times New Roman"/>
                <w:noProof/>
                <w:webHidden/>
                <w:szCs w:val="24"/>
              </w:rPr>
              <w:fldChar w:fldCharType="end"/>
            </w:r>
          </w:hyperlink>
        </w:p>
        <w:p w14:paraId="45D506A7" w14:textId="5657DE8E"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hyperlink w:anchor="_Toc237513775" w:history="1">
            <w:r w:rsidRPr="000330B5">
              <w:rPr>
                <w:rStyle w:val="Hyperlink"/>
                <w:rFonts w:ascii="Times New Roman" w:hAnsi="Times New Roman" w:cs="Times New Roman"/>
                <w:noProof/>
                <w:szCs w:val="24"/>
                <w:lang w:val="en-GB"/>
              </w:rPr>
              <w:t>6. Strategy Formulation</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_Toc237513775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12</w:t>
            </w:r>
            <w:r w:rsidRPr="000330B5">
              <w:rPr>
                <w:rFonts w:ascii="Times New Roman" w:hAnsi="Times New Roman" w:cs="Times New Roman"/>
                <w:noProof/>
                <w:webHidden/>
                <w:szCs w:val="24"/>
              </w:rPr>
              <w:fldChar w:fldCharType="end"/>
            </w:r>
          </w:hyperlink>
        </w:p>
        <w:p w14:paraId="186D2151" w14:textId="53E1EB8B"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hyperlink w:anchor="_Toc237513776" w:history="1">
            <w:r w:rsidRPr="000330B5">
              <w:rPr>
                <w:rStyle w:val="Hyperlink"/>
                <w:rFonts w:ascii="Times New Roman" w:hAnsi="Times New Roman" w:cs="Times New Roman"/>
                <w:noProof/>
                <w:szCs w:val="24"/>
                <w:lang w:val="en-GB"/>
              </w:rPr>
              <w:t>7. Conclusion and Recommendation</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_Toc237513776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13</w:t>
            </w:r>
            <w:r w:rsidRPr="000330B5">
              <w:rPr>
                <w:rFonts w:ascii="Times New Roman" w:hAnsi="Times New Roman" w:cs="Times New Roman"/>
                <w:noProof/>
                <w:webHidden/>
                <w:szCs w:val="24"/>
              </w:rPr>
              <w:fldChar w:fldCharType="end"/>
            </w:r>
          </w:hyperlink>
        </w:p>
        <w:p w14:paraId="2DA3E270" w14:textId="745A9345" w:rsidR="000330B5" w:rsidRPr="000330B5" w:rsidRDefault="000330B5" w:rsidP="000330B5">
          <w:pPr>
            <w:pStyle w:val="TOC1"/>
            <w:tabs>
              <w:tab w:val="right" w:leader="dot" w:pos="9016"/>
            </w:tabs>
            <w:spacing w:line="360" w:lineRule="auto"/>
            <w:rPr>
              <w:rFonts w:ascii="Times New Roman" w:hAnsi="Times New Roman" w:cs="Times New Roman"/>
              <w:noProof/>
              <w:szCs w:val="24"/>
            </w:rPr>
          </w:pPr>
          <w:hyperlink w:anchor="_Toc237513777" w:history="1">
            <w:r w:rsidRPr="000330B5">
              <w:rPr>
                <w:rStyle w:val="Hyperlink"/>
                <w:rFonts w:ascii="Times New Roman" w:hAnsi="Times New Roman" w:cs="Times New Roman"/>
                <w:noProof/>
                <w:szCs w:val="24"/>
                <w:lang w:val="en-GB"/>
              </w:rPr>
              <w:t>References</w:t>
            </w:r>
            <w:r w:rsidRPr="000330B5">
              <w:rPr>
                <w:rFonts w:ascii="Times New Roman" w:hAnsi="Times New Roman" w:cs="Times New Roman"/>
                <w:noProof/>
                <w:webHidden/>
                <w:szCs w:val="24"/>
              </w:rPr>
              <w:tab/>
            </w:r>
            <w:r w:rsidRPr="000330B5">
              <w:rPr>
                <w:rFonts w:ascii="Times New Roman" w:hAnsi="Times New Roman" w:cs="Times New Roman"/>
                <w:noProof/>
                <w:webHidden/>
                <w:szCs w:val="24"/>
              </w:rPr>
              <w:fldChar w:fldCharType="begin"/>
            </w:r>
            <w:r w:rsidRPr="000330B5">
              <w:rPr>
                <w:rFonts w:ascii="Times New Roman" w:hAnsi="Times New Roman" w:cs="Times New Roman"/>
                <w:noProof/>
                <w:webHidden/>
                <w:szCs w:val="24"/>
              </w:rPr>
              <w:instrText xml:space="preserve"> PAGEREF _Toc237513777 \h </w:instrText>
            </w:r>
            <w:r w:rsidRPr="000330B5">
              <w:rPr>
                <w:rFonts w:ascii="Times New Roman" w:hAnsi="Times New Roman" w:cs="Times New Roman"/>
                <w:noProof/>
                <w:webHidden/>
                <w:szCs w:val="24"/>
              </w:rPr>
            </w:r>
            <w:r w:rsidRPr="000330B5">
              <w:rPr>
                <w:rFonts w:ascii="Times New Roman" w:hAnsi="Times New Roman" w:cs="Times New Roman"/>
                <w:noProof/>
                <w:webHidden/>
                <w:szCs w:val="24"/>
              </w:rPr>
              <w:fldChar w:fldCharType="separate"/>
            </w:r>
            <w:r w:rsidRPr="000330B5">
              <w:rPr>
                <w:rFonts w:ascii="Times New Roman" w:hAnsi="Times New Roman" w:cs="Times New Roman"/>
                <w:noProof/>
                <w:webHidden/>
                <w:szCs w:val="24"/>
              </w:rPr>
              <w:t>14</w:t>
            </w:r>
            <w:r w:rsidRPr="000330B5">
              <w:rPr>
                <w:rFonts w:ascii="Times New Roman" w:hAnsi="Times New Roman" w:cs="Times New Roman"/>
                <w:noProof/>
                <w:webHidden/>
                <w:szCs w:val="24"/>
              </w:rPr>
              <w:fldChar w:fldCharType="end"/>
            </w:r>
          </w:hyperlink>
        </w:p>
        <w:p w14:paraId="223F309A" w14:textId="51D0B8E0" w:rsidR="000330B5" w:rsidRDefault="000330B5" w:rsidP="000330B5">
          <w:pPr>
            <w:spacing w:line="360" w:lineRule="auto"/>
          </w:pPr>
          <w:r w:rsidRPr="000330B5">
            <w:rPr>
              <w:rFonts w:ascii="Times New Roman" w:hAnsi="Times New Roman" w:cs="Times New Roman"/>
              <w:b/>
              <w:bCs/>
              <w:noProof/>
              <w:szCs w:val="24"/>
            </w:rPr>
            <w:fldChar w:fldCharType="end"/>
          </w:r>
        </w:p>
      </w:sdtContent>
    </w:sdt>
    <w:p w14:paraId="1D44BCC6" w14:textId="77777777" w:rsidR="000330B5" w:rsidRDefault="000330B5">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7C6BCCA3" w14:textId="212B82C6" w:rsidR="000330B5" w:rsidRPr="000330B5" w:rsidRDefault="000330B5" w:rsidP="000330B5">
      <w:pPr>
        <w:pStyle w:val="Heading1"/>
        <w:rPr>
          <w:lang w:val="en-GB"/>
        </w:rPr>
      </w:pPr>
      <w:bookmarkStart w:id="0" w:name="_Toc237513768"/>
      <w:r w:rsidRPr="000330B5">
        <w:rPr>
          <w:lang w:val="en-GB"/>
        </w:rPr>
        <w:lastRenderedPageBreak/>
        <w:t>1. Introduction to the Strategy</w:t>
      </w:r>
      <w:bookmarkEnd w:id="0"/>
    </w:p>
    <w:p w14:paraId="4E967F27" w14:textId="7777E91C"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Strategic management involves a continual journey of formulating, implementing and assessing decisions across all functional areas that enable the organisation to accomplish its long-term goals and remain competitive (Llopis-Albert et al., 2021). Its blending of analysis of the external environment and honest assessment of internal capability guides the firm to an integrated set of decisions as to where and how the firm will play the game. Strategic management is essential for a capital-intensive, globally exposed company like an automotive manufacturer, as it helps to prioritise capital expenditure, technology strategy and organisational structure to changing customer demand, regulation and competitor activity and serves as the discipline to allocate limited resources to markets and product lines. A proactive strategic management strategy provides a sense of direction for management and staff, strengthens actions during disruptive shifts and offers a justifiable platform for differentiating from the competition. The aim of this report is to establish a strategy formulation plan for BMW Group—a top-tier automotive premium manufacturer—based on their published performance data and common strategic analysis models. It contains background, strategic intent, current performance, two-stage strategy analysis, a proposed strategy formulation and several recommendations for BMW's Board of Management.</w:t>
      </w:r>
    </w:p>
    <w:p w14:paraId="7E98D168" w14:textId="77777777" w:rsidR="000330B5" w:rsidRPr="000330B5" w:rsidRDefault="000330B5" w:rsidP="000330B5">
      <w:pPr>
        <w:spacing w:line="360" w:lineRule="auto"/>
        <w:jc w:val="both"/>
        <w:rPr>
          <w:rFonts w:ascii="Times New Roman" w:hAnsi="Times New Roman" w:cs="Times New Roman"/>
          <w:szCs w:val="24"/>
          <w:lang w:val="en-GB"/>
        </w:rPr>
      </w:pPr>
    </w:p>
    <w:p w14:paraId="47A6859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w:t>
      </w:r>
    </w:p>
    <w:p w14:paraId="445E03EC" w14:textId="77777777" w:rsidR="000330B5" w:rsidRDefault="000330B5">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5A606AD7" w14:textId="710ABF69" w:rsidR="000330B5" w:rsidRPr="000330B5" w:rsidRDefault="000330B5" w:rsidP="000330B5">
      <w:pPr>
        <w:pStyle w:val="Heading1"/>
        <w:rPr>
          <w:lang w:val="en-GB"/>
        </w:rPr>
      </w:pPr>
      <w:bookmarkStart w:id="1" w:name="_Toc237513769"/>
      <w:r w:rsidRPr="000330B5">
        <w:rPr>
          <w:lang w:val="en-GB"/>
        </w:rPr>
        <w:lastRenderedPageBreak/>
        <w:t>2. Overview/ Background of the Firm</w:t>
      </w:r>
      <w:bookmarkEnd w:id="1"/>
    </w:p>
    <w:p w14:paraId="3FEFAAA6"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xml:space="preserve">BMW Group (Bayerische </w:t>
      </w:r>
      <w:proofErr w:type="spellStart"/>
      <w:r w:rsidRPr="000330B5">
        <w:rPr>
          <w:rFonts w:ascii="Times New Roman" w:hAnsi="Times New Roman" w:cs="Times New Roman"/>
          <w:szCs w:val="24"/>
          <w:lang w:val="en-GB"/>
        </w:rPr>
        <w:t>Motoren</w:t>
      </w:r>
      <w:proofErr w:type="spellEnd"/>
      <w:r w:rsidRPr="000330B5">
        <w:rPr>
          <w:rFonts w:ascii="Times New Roman" w:hAnsi="Times New Roman" w:cs="Times New Roman"/>
          <w:szCs w:val="24"/>
          <w:lang w:val="en-GB"/>
        </w:rPr>
        <w:t xml:space="preserve"> Werke AG) is a high-tech automotive and mobility company based in Germany, in Munich, Bavaria. The Group was founded in 1916 and today produces three core brands for premium and compact passenger cars and ultra-luxury motor cars (BMW, MINI, and Rolls-Royce), a large motorcycle division and BMW Financial Services, which offers mobility subscriptions, leasing and financing for the Group's global customers. Its products and services span the entire value chain of the mobility market, from vehicle design, engineering and manufacturing to digital services, connected-car software and after-sales services. The BMW Group has a production network of 32 plants in 15 countries around the world, including its home plant in Munich, the three large-scale plants in Spartanburg (USA), Debrecen (Hungary) and San Luis Potosí (Mexico), as well as a joint venture manufacturing facility in China with Great Wall Motor and BMW Brilliance China. During FY25 the Group sold some 2.46 million vehicles to customers in over 140 countries and had around 154,540 employees globally. BMW is one of the players in the premium segment of the car industry, which is becoming more and more digital and is characterised by a wide range of competitors in the field of electric mobility, as well as Chinese manufacturers (Petti et al., 2021).</w:t>
      </w:r>
    </w:p>
    <w:p w14:paraId="68727566" w14:textId="77777777" w:rsidR="000330B5" w:rsidRPr="000330B5" w:rsidRDefault="000330B5" w:rsidP="000330B5">
      <w:pPr>
        <w:spacing w:line="360" w:lineRule="auto"/>
        <w:jc w:val="both"/>
        <w:rPr>
          <w:rFonts w:ascii="Times New Roman" w:hAnsi="Times New Roman" w:cs="Times New Roman"/>
          <w:szCs w:val="24"/>
          <w:lang w:val="en-GB"/>
        </w:rPr>
      </w:pPr>
    </w:p>
    <w:p w14:paraId="0A0EB4C2"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w:t>
      </w:r>
    </w:p>
    <w:p w14:paraId="789E5AA3" w14:textId="77777777" w:rsidR="000330B5" w:rsidRDefault="000330B5">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71391CC3" w14:textId="65C95A69" w:rsidR="000330B5" w:rsidRPr="000330B5" w:rsidRDefault="000330B5" w:rsidP="000330B5">
      <w:pPr>
        <w:pStyle w:val="Heading1"/>
        <w:rPr>
          <w:lang w:val="en-GB"/>
        </w:rPr>
      </w:pPr>
      <w:bookmarkStart w:id="2" w:name="_Toc237513770"/>
      <w:r w:rsidRPr="000330B5">
        <w:rPr>
          <w:lang w:val="en-GB"/>
        </w:rPr>
        <w:lastRenderedPageBreak/>
        <w:t>3. Strategic Intent</w:t>
      </w:r>
      <w:bookmarkEnd w:id="2"/>
    </w:p>
    <w:p w14:paraId="37115E13" w14:textId="44D9FD94"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xml:space="preserve">The BMW Group's vision – the most successful and sustainable supplier of individual mobility with premium products and premium services – is the basis for the BMW Group's roadmap for electrification and for its circular-economy strategy. It aims to provide the highest quality auto, digital mobility and financial services around the globe through performance, design and technology, resulting in a superior end-to-end customer experience across the BMW, MINI and Rolls-Royce brands. This strategic intention is being put into action through the “Neue Klasse” programme, which was intern defined as “Rethinking Premium Individual Mobility for the Next 100 Years” and is realized in the BMW iX3 and BMW i3 starting with a new electric architecture, next generation battery technology and integrated software platform. Specific targets to achieve this purpose include delivering over 40 new or updated Neue Klasse models by 2027; focusing on </w:t>
      </w:r>
      <w:r w:rsidRPr="000330B5">
        <w:rPr>
          <w:rFonts w:ascii="Times New Roman" w:hAnsi="Times New Roman" w:cs="Times New Roman"/>
          <w:szCs w:val="24"/>
          <w:lang w:val="en-GB"/>
        </w:rPr>
        <w:t>medium-term automotive segment earnings</w:t>
      </w:r>
      <w:r w:rsidRPr="000330B5">
        <w:rPr>
          <w:rFonts w:ascii="Times New Roman" w:hAnsi="Times New Roman" w:cs="Times New Roman"/>
          <w:szCs w:val="24"/>
          <w:lang w:val="en-GB"/>
        </w:rPr>
        <w:t xml:space="preserve"> before interest, taxes, depreciation and amortisation (EBIT) margin target corridor of 8 to 10</w:t>
      </w:r>
      <w:r>
        <w:rPr>
          <w:rFonts w:ascii="Times New Roman" w:hAnsi="Times New Roman" w:cs="Times New Roman"/>
          <w:szCs w:val="24"/>
          <w:lang w:val="en-GB"/>
        </w:rPr>
        <w:t>%</w:t>
      </w:r>
      <w:r w:rsidRPr="000330B5">
        <w:rPr>
          <w:rFonts w:ascii="Times New Roman" w:hAnsi="Times New Roman" w:cs="Times New Roman"/>
          <w:szCs w:val="24"/>
          <w:lang w:val="en-GB"/>
        </w:rPr>
        <w:t>; and maintaining medium-term growth in battery electric vehicle (BEV) deliveries, which totalled 442,056 vehicles in 2025. These objectives allude to a strategic direction, an aim that is composed of short-term prudence and a more profound longer-term investment in electrification, digitalisation and sustainability as a means of differentiation.</w:t>
      </w:r>
    </w:p>
    <w:p w14:paraId="3052D4D9" w14:textId="77777777" w:rsidR="000330B5" w:rsidRPr="000330B5" w:rsidRDefault="000330B5" w:rsidP="000330B5">
      <w:pPr>
        <w:spacing w:line="360" w:lineRule="auto"/>
        <w:jc w:val="both"/>
        <w:rPr>
          <w:rFonts w:ascii="Times New Roman" w:hAnsi="Times New Roman" w:cs="Times New Roman"/>
          <w:szCs w:val="24"/>
          <w:lang w:val="en-GB"/>
        </w:rPr>
      </w:pPr>
    </w:p>
    <w:p w14:paraId="74BC496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w:t>
      </w:r>
    </w:p>
    <w:p w14:paraId="46BE3C13" w14:textId="77777777" w:rsidR="000330B5" w:rsidRDefault="000330B5">
      <w:pPr>
        <w:rPr>
          <w:rFonts w:ascii="Times New Roman" w:hAnsi="Times New Roman" w:cs="Times New Roman"/>
          <w:b/>
          <w:bCs/>
          <w:szCs w:val="24"/>
          <w:lang w:val="en-GB"/>
        </w:rPr>
      </w:pPr>
      <w:r>
        <w:rPr>
          <w:rFonts w:ascii="Times New Roman" w:hAnsi="Times New Roman" w:cs="Times New Roman"/>
          <w:b/>
          <w:bCs/>
          <w:szCs w:val="24"/>
          <w:lang w:val="en-GB"/>
        </w:rPr>
        <w:br w:type="page"/>
      </w:r>
    </w:p>
    <w:p w14:paraId="76597DBC" w14:textId="337265F5" w:rsidR="000330B5" w:rsidRPr="000330B5" w:rsidRDefault="000330B5" w:rsidP="000330B5">
      <w:pPr>
        <w:pStyle w:val="Heading1"/>
        <w:rPr>
          <w:lang w:val="en-GB"/>
        </w:rPr>
      </w:pPr>
      <w:bookmarkStart w:id="3" w:name="_Toc237513771"/>
      <w:r w:rsidRPr="000330B5">
        <w:rPr>
          <w:lang w:val="en-GB"/>
        </w:rPr>
        <w:lastRenderedPageBreak/>
        <w:t>4. The Company's Current Performance</w:t>
      </w:r>
      <w:bookmarkEnd w:id="3"/>
    </w:p>
    <w:p w14:paraId="62399CD7" w14:textId="6CAA128A"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This financial data for 2025 is a testament to the BMW Group's resilience compared to its competitors and highlights the stressors faced by the company. A full-year revenue of £114.0 billion was 6.3</w:t>
      </w:r>
      <w:r>
        <w:rPr>
          <w:rFonts w:ascii="Times New Roman" w:hAnsi="Times New Roman" w:cs="Times New Roman"/>
          <w:szCs w:val="24"/>
          <w:lang w:val="en-GB"/>
        </w:rPr>
        <w:t>%</w:t>
      </w:r>
      <w:r w:rsidRPr="000330B5">
        <w:rPr>
          <w:rFonts w:ascii="Times New Roman" w:hAnsi="Times New Roman" w:cs="Times New Roman"/>
          <w:szCs w:val="24"/>
          <w:lang w:val="en-GB"/>
        </w:rPr>
        <w:t xml:space="preserve"> lower than the previous full year and approximately 14</w:t>
      </w:r>
      <w:r>
        <w:rPr>
          <w:rFonts w:ascii="Times New Roman" w:hAnsi="Times New Roman" w:cs="Times New Roman"/>
          <w:szCs w:val="24"/>
          <w:lang w:val="en-GB"/>
        </w:rPr>
        <w:t>%</w:t>
      </w:r>
      <w:r w:rsidRPr="000330B5">
        <w:rPr>
          <w:rFonts w:ascii="Times New Roman" w:hAnsi="Times New Roman" w:cs="Times New Roman"/>
          <w:szCs w:val="24"/>
          <w:lang w:val="en-GB"/>
        </w:rPr>
        <w:t xml:space="preserve"> below the record of £132.8 billion from 2023. Before tax profit was down 11.5</w:t>
      </w:r>
      <w:r>
        <w:rPr>
          <w:rFonts w:ascii="Times New Roman" w:hAnsi="Times New Roman" w:cs="Times New Roman"/>
          <w:szCs w:val="24"/>
          <w:lang w:val="en-GB"/>
        </w:rPr>
        <w:t>%</w:t>
      </w:r>
      <w:r w:rsidRPr="000330B5">
        <w:rPr>
          <w:rFonts w:ascii="Times New Roman" w:hAnsi="Times New Roman" w:cs="Times New Roman"/>
          <w:szCs w:val="24"/>
          <w:lang w:val="en-GB"/>
        </w:rPr>
        <w:t xml:space="preserve"> at £8.71 billion, while the net profit margin of 7.7</w:t>
      </w:r>
      <w:r>
        <w:rPr>
          <w:rFonts w:ascii="Times New Roman" w:hAnsi="Times New Roman" w:cs="Times New Roman"/>
          <w:szCs w:val="24"/>
          <w:lang w:val="en-GB"/>
        </w:rPr>
        <w:t>%</w:t>
      </w:r>
      <w:r w:rsidRPr="000330B5">
        <w:rPr>
          <w:rFonts w:ascii="Times New Roman" w:hAnsi="Times New Roman" w:cs="Times New Roman"/>
          <w:szCs w:val="24"/>
          <w:lang w:val="en-GB"/>
        </w:rPr>
        <w:t xml:space="preserve"> was stable, compared with sharper falls in profit across the same category experienced by Volkswagen and Mercedes-Benz during the same time frame (Lukin et al., 2022). This automotive segment's EBIT margin was reduced to 5.3</w:t>
      </w:r>
      <w:r>
        <w:rPr>
          <w:rFonts w:ascii="Times New Roman" w:hAnsi="Times New Roman" w:cs="Times New Roman"/>
          <w:szCs w:val="24"/>
          <w:lang w:val="en-GB"/>
        </w:rPr>
        <w:t>%</w:t>
      </w:r>
      <w:r w:rsidRPr="000330B5">
        <w:rPr>
          <w:rFonts w:ascii="Times New Roman" w:hAnsi="Times New Roman" w:cs="Times New Roman"/>
          <w:szCs w:val="24"/>
          <w:lang w:val="en-GB"/>
        </w:rPr>
        <w:t>, below the Group's strategic 8 to 10</w:t>
      </w:r>
      <w:r>
        <w:rPr>
          <w:rFonts w:ascii="Times New Roman" w:hAnsi="Times New Roman" w:cs="Times New Roman"/>
          <w:szCs w:val="24"/>
          <w:lang w:val="en-GB"/>
        </w:rPr>
        <w:t>%</w:t>
      </w:r>
      <w:r w:rsidRPr="000330B5">
        <w:rPr>
          <w:rFonts w:ascii="Times New Roman" w:hAnsi="Times New Roman" w:cs="Times New Roman"/>
          <w:szCs w:val="24"/>
          <w:lang w:val="en-GB"/>
        </w:rPr>
        <w:t xml:space="preserve"> corridor, due to tariffs, adverse currency movements and high price competition in China. A total of 2,463,681 vehicles were delivered, broadly unchanged from the previous year, while sales of electrified vehicles increased by 8.2</w:t>
      </w:r>
      <w:r>
        <w:rPr>
          <w:rFonts w:ascii="Times New Roman" w:hAnsi="Times New Roman" w:cs="Times New Roman"/>
          <w:szCs w:val="24"/>
          <w:lang w:val="en-GB"/>
        </w:rPr>
        <w:t>%</w:t>
      </w:r>
      <w:r w:rsidRPr="000330B5">
        <w:rPr>
          <w:rFonts w:ascii="Times New Roman" w:hAnsi="Times New Roman" w:cs="Times New Roman"/>
          <w:szCs w:val="24"/>
          <w:lang w:val="en-GB"/>
        </w:rPr>
        <w:t xml:space="preserve"> to 642,071 units and sales of fully electric vehicles rose by 3.6</w:t>
      </w:r>
      <w:r>
        <w:rPr>
          <w:rFonts w:ascii="Times New Roman" w:hAnsi="Times New Roman" w:cs="Times New Roman"/>
          <w:szCs w:val="24"/>
          <w:lang w:val="en-GB"/>
        </w:rPr>
        <w:t>%</w:t>
      </w:r>
      <w:r w:rsidRPr="000330B5">
        <w:rPr>
          <w:rFonts w:ascii="Times New Roman" w:hAnsi="Times New Roman" w:cs="Times New Roman"/>
          <w:szCs w:val="24"/>
          <w:lang w:val="en-GB"/>
        </w:rPr>
        <w:t xml:space="preserve"> to 442,056 units including a strong over 28</w:t>
      </w:r>
      <w:r>
        <w:rPr>
          <w:rFonts w:ascii="Times New Roman" w:hAnsi="Times New Roman" w:cs="Times New Roman"/>
          <w:szCs w:val="24"/>
          <w:lang w:val="en-GB"/>
        </w:rPr>
        <w:t>%</w:t>
      </w:r>
      <w:r w:rsidRPr="000330B5">
        <w:rPr>
          <w:rFonts w:ascii="Times New Roman" w:hAnsi="Times New Roman" w:cs="Times New Roman"/>
          <w:szCs w:val="24"/>
          <w:lang w:val="en-GB"/>
        </w:rPr>
        <w:t xml:space="preserve"> increase in European battery-electric vehicle deliveries. Worse still, in 2026, the first half automotive EBIT margin dropped to 3.6</w:t>
      </w:r>
      <w:r>
        <w:rPr>
          <w:rFonts w:ascii="Times New Roman" w:hAnsi="Times New Roman" w:cs="Times New Roman"/>
          <w:szCs w:val="24"/>
          <w:lang w:val="en-GB"/>
        </w:rPr>
        <w:t>%</w:t>
      </w:r>
      <w:r w:rsidRPr="000330B5">
        <w:rPr>
          <w:rFonts w:ascii="Times New Roman" w:hAnsi="Times New Roman" w:cs="Times New Roman"/>
          <w:szCs w:val="24"/>
          <w:lang w:val="en-GB"/>
        </w:rPr>
        <w:t>, and BMW has reduced its full-year 2026 outlook to 1-3</w:t>
      </w:r>
      <w:r>
        <w:rPr>
          <w:rFonts w:ascii="Times New Roman" w:hAnsi="Times New Roman" w:cs="Times New Roman"/>
          <w:szCs w:val="24"/>
          <w:lang w:val="en-GB"/>
        </w:rPr>
        <w:t>%</w:t>
      </w:r>
      <w:r w:rsidRPr="000330B5">
        <w:rPr>
          <w:rFonts w:ascii="Times New Roman" w:hAnsi="Times New Roman" w:cs="Times New Roman"/>
          <w:szCs w:val="24"/>
          <w:lang w:val="en-GB"/>
        </w:rPr>
        <w:t xml:space="preserve"> margin after announcing an 8,000-role restructuring plan to improve its profitability. BMW's deliveries in its biggest single market China suffered a decline of around 12.5</w:t>
      </w:r>
      <w:r>
        <w:rPr>
          <w:rFonts w:ascii="Times New Roman" w:hAnsi="Times New Roman" w:cs="Times New Roman"/>
          <w:szCs w:val="24"/>
          <w:lang w:val="en-GB"/>
        </w:rPr>
        <w:t>%</w:t>
      </w:r>
      <w:r w:rsidRPr="000330B5">
        <w:rPr>
          <w:rFonts w:ascii="Times New Roman" w:hAnsi="Times New Roman" w:cs="Times New Roman"/>
          <w:szCs w:val="24"/>
          <w:lang w:val="en-GB"/>
        </w:rPr>
        <w:t xml:space="preserve"> in 2025, due to its active price skirmish against competitors in the market, and the German company's recommended retail prices for more than 30 currently offered models were also slashed from 1 January 2026 (</w:t>
      </w:r>
      <w:proofErr w:type="spellStart"/>
      <w:r w:rsidRPr="000330B5">
        <w:rPr>
          <w:rFonts w:ascii="Times New Roman" w:hAnsi="Times New Roman" w:cs="Times New Roman"/>
          <w:szCs w:val="24"/>
          <w:lang w:val="en-GB"/>
        </w:rPr>
        <w:t>Chervenkova</w:t>
      </w:r>
      <w:proofErr w:type="spellEnd"/>
      <w:r w:rsidRPr="000330B5">
        <w:rPr>
          <w:rFonts w:ascii="Times New Roman" w:hAnsi="Times New Roman" w:cs="Times New Roman"/>
          <w:szCs w:val="24"/>
          <w:lang w:val="en-GB"/>
        </w:rPr>
        <w:t xml:space="preserve"> and Ivanov, 2023). The picture of ongoing profitability amidst growing external pressures is a good example of the type of supply chain and demand-side disruption that needs to be addressed through active viability and adaptation strategies.</w:t>
      </w:r>
    </w:p>
    <w:p w14:paraId="5742D492" w14:textId="77777777" w:rsidR="000330B5" w:rsidRPr="000330B5" w:rsidRDefault="000330B5" w:rsidP="000330B5">
      <w:pPr>
        <w:spacing w:line="360" w:lineRule="auto"/>
        <w:jc w:val="both"/>
        <w:rPr>
          <w:rFonts w:ascii="Times New Roman" w:hAnsi="Times New Roman" w:cs="Times New Roman"/>
          <w:szCs w:val="24"/>
          <w:lang w:val="en-GB"/>
        </w:rPr>
      </w:pPr>
    </w:p>
    <w:p w14:paraId="39E1D788"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br w:type="page"/>
      </w:r>
    </w:p>
    <w:p w14:paraId="281644DD" w14:textId="77777777" w:rsidR="000330B5" w:rsidRPr="000330B5" w:rsidRDefault="000330B5" w:rsidP="000330B5">
      <w:pPr>
        <w:pStyle w:val="Heading1"/>
        <w:rPr>
          <w:lang w:val="en-GB"/>
        </w:rPr>
      </w:pPr>
      <w:bookmarkStart w:id="4" w:name="_Toc237513772"/>
      <w:r w:rsidRPr="000330B5">
        <w:rPr>
          <w:lang w:val="en-GB"/>
        </w:rPr>
        <w:lastRenderedPageBreak/>
        <w:t>5. Strategy Analysis: Competitive Environment</w:t>
      </w:r>
      <w:bookmarkEnd w:id="4"/>
    </w:p>
    <w:p w14:paraId="795C9E8F" w14:textId="77777777" w:rsidR="000330B5" w:rsidRPr="000330B5" w:rsidRDefault="000330B5" w:rsidP="000330B5">
      <w:pPr>
        <w:pStyle w:val="Heading2"/>
        <w:rPr>
          <w:lang w:val="en-GB"/>
        </w:rPr>
      </w:pPr>
      <w:bookmarkStart w:id="5" w:name="_Toc237513773"/>
      <w:r w:rsidRPr="000330B5">
        <w:rPr>
          <w:lang w:val="en-GB"/>
        </w:rPr>
        <w:t>5.1 External Environmental Audit: Porter's Five Forces</w:t>
      </w:r>
      <w:bookmarkEnd w:id="5"/>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1600"/>
        <w:gridCol w:w="5800"/>
      </w:tblGrid>
      <w:tr w:rsidR="000330B5" w:rsidRPr="000330B5" w14:paraId="50CEB8CC" w14:textId="77777777" w:rsidTr="00CF26C3">
        <w:tblPrEx>
          <w:tblCellMar>
            <w:top w:w="0" w:type="dxa"/>
            <w:bottom w:w="0" w:type="dxa"/>
          </w:tblCellMar>
        </w:tblPrEx>
        <w:trPr>
          <w:tblHeader/>
        </w:trPr>
        <w:tc>
          <w:tcPr>
            <w:tcW w:w="2400" w:type="dxa"/>
            <w:shd w:val="clear" w:color="auto" w:fill="D9D9D9"/>
            <w:tcMar>
              <w:top w:w="80" w:type="dxa"/>
              <w:left w:w="100" w:type="dxa"/>
              <w:bottom w:w="80" w:type="dxa"/>
              <w:right w:w="100" w:type="dxa"/>
            </w:tcMar>
          </w:tcPr>
          <w:p w14:paraId="713BD0B4"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Force</w:t>
            </w:r>
          </w:p>
        </w:tc>
        <w:tc>
          <w:tcPr>
            <w:tcW w:w="1600" w:type="dxa"/>
            <w:shd w:val="clear" w:color="auto" w:fill="D9D9D9"/>
            <w:tcMar>
              <w:top w:w="80" w:type="dxa"/>
              <w:left w:w="100" w:type="dxa"/>
              <w:bottom w:w="80" w:type="dxa"/>
              <w:right w:w="100" w:type="dxa"/>
            </w:tcMar>
          </w:tcPr>
          <w:p w14:paraId="1EC273D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Assessment</w:t>
            </w:r>
          </w:p>
        </w:tc>
        <w:tc>
          <w:tcPr>
            <w:tcW w:w="5800" w:type="dxa"/>
            <w:shd w:val="clear" w:color="auto" w:fill="D9D9D9"/>
            <w:tcMar>
              <w:top w:w="80" w:type="dxa"/>
              <w:left w:w="100" w:type="dxa"/>
              <w:bottom w:w="80" w:type="dxa"/>
              <w:right w:w="100" w:type="dxa"/>
            </w:tcMar>
          </w:tcPr>
          <w:p w14:paraId="24E3C37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Rationale</w:t>
            </w:r>
          </w:p>
        </w:tc>
      </w:tr>
      <w:tr w:rsidR="000330B5" w:rsidRPr="000330B5" w14:paraId="337A8E34" w14:textId="77777777" w:rsidTr="00CF26C3">
        <w:tblPrEx>
          <w:tblCellMar>
            <w:top w:w="0" w:type="dxa"/>
            <w:bottom w:w="0" w:type="dxa"/>
          </w:tblCellMar>
        </w:tblPrEx>
        <w:tc>
          <w:tcPr>
            <w:tcW w:w="2400" w:type="dxa"/>
            <w:tcMar>
              <w:top w:w="80" w:type="dxa"/>
              <w:left w:w="100" w:type="dxa"/>
              <w:bottom w:w="80" w:type="dxa"/>
              <w:right w:w="100" w:type="dxa"/>
            </w:tcMar>
          </w:tcPr>
          <w:p w14:paraId="25943AA9" w14:textId="77777777" w:rsidR="000330B5" w:rsidRPr="000330B5" w:rsidRDefault="000330B5" w:rsidP="000330B5">
            <w:pPr>
              <w:spacing w:line="360" w:lineRule="auto"/>
              <w:jc w:val="center"/>
              <w:rPr>
                <w:rFonts w:ascii="Times New Roman" w:hAnsi="Times New Roman" w:cs="Times New Roman"/>
                <w:b/>
                <w:bCs/>
                <w:i/>
                <w:iCs/>
                <w:szCs w:val="24"/>
                <w:lang w:val="en-GB"/>
              </w:rPr>
            </w:pPr>
            <w:r w:rsidRPr="000330B5">
              <w:rPr>
                <w:rFonts w:ascii="Times New Roman" w:hAnsi="Times New Roman" w:cs="Times New Roman"/>
                <w:b/>
                <w:bCs/>
                <w:i/>
                <w:iCs/>
                <w:szCs w:val="24"/>
                <w:lang w:val="en-GB"/>
              </w:rPr>
              <w:t>Threat of new entrants</w:t>
            </w:r>
          </w:p>
        </w:tc>
        <w:tc>
          <w:tcPr>
            <w:tcW w:w="1600" w:type="dxa"/>
            <w:tcMar>
              <w:top w:w="80" w:type="dxa"/>
              <w:left w:w="100" w:type="dxa"/>
              <w:bottom w:w="80" w:type="dxa"/>
              <w:right w:w="100" w:type="dxa"/>
            </w:tcMar>
          </w:tcPr>
          <w:p w14:paraId="429B22FC" w14:textId="77777777" w:rsidR="000330B5" w:rsidRPr="000330B5" w:rsidRDefault="000330B5" w:rsidP="000330B5">
            <w:pPr>
              <w:spacing w:line="360" w:lineRule="auto"/>
              <w:jc w:val="center"/>
              <w:rPr>
                <w:rFonts w:ascii="Times New Roman" w:hAnsi="Times New Roman" w:cs="Times New Roman"/>
                <w:szCs w:val="24"/>
                <w:lang w:val="en-GB"/>
              </w:rPr>
            </w:pPr>
            <w:r w:rsidRPr="000330B5">
              <w:rPr>
                <w:rFonts w:ascii="Times New Roman" w:hAnsi="Times New Roman" w:cs="Times New Roman"/>
                <w:szCs w:val="24"/>
                <w:lang w:val="en-GB"/>
              </w:rPr>
              <w:t>Moderate</w:t>
            </w:r>
          </w:p>
        </w:tc>
        <w:tc>
          <w:tcPr>
            <w:tcW w:w="5800" w:type="dxa"/>
            <w:tcMar>
              <w:top w:w="80" w:type="dxa"/>
              <w:left w:w="100" w:type="dxa"/>
              <w:bottom w:w="80" w:type="dxa"/>
              <w:right w:w="100" w:type="dxa"/>
            </w:tcMar>
          </w:tcPr>
          <w:p w14:paraId="549A033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While high capital and R&amp;D costs act as a barrier to most actors entering the market, Chinese e-vehicle producers, who are state backed and have vertically integrated battery supply chains, have been making swift strides in adjacent premium markets (Petti et al., 2021).</w:t>
            </w:r>
          </w:p>
        </w:tc>
      </w:tr>
      <w:tr w:rsidR="000330B5" w:rsidRPr="000330B5" w14:paraId="38FFBA9E" w14:textId="77777777" w:rsidTr="00CF26C3">
        <w:tblPrEx>
          <w:tblCellMar>
            <w:top w:w="0" w:type="dxa"/>
            <w:bottom w:w="0" w:type="dxa"/>
          </w:tblCellMar>
        </w:tblPrEx>
        <w:tc>
          <w:tcPr>
            <w:tcW w:w="2400" w:type="dxa"/>
            <w:tcMar>
              <w:top w:w="80" w:type="dxa"/>
              <w:left w:w="100" w:type="dxa"/>
              <w:bottom w:w="80" w:type="dxa"/>
              <w:right w:w="100" w:type="dxa"/>
            </w:tcMar>
          </w:tcPr>
          <w:p w14:paraId="7FAE3B53" w14:textId="77777777" w:rsidR="000330B5" w:rsidRPr="000330B5" w:rsidRDefault="000330B5" w:rsidP="000330B5">
            <w:pPr>
              <w:spacing w:line="360" w:lineRule="auto"/>
              <w:jc w:val="center"/>
              <w:rPr>
                <w:rFonts w:ascii="Times New Roman" w:hAnsi="Times New Roman" w:cs="Times New Roman"/>
                <w:b/>
                <w:bCs/>
                <w:i/>
                <w:iCs/>
                <w:szCs w:val="24"/>
                <w:lang w:val="en-GB"/>
              </w:rPr>
            </w:pPr>
            <w:r w:rsidRPr="000330B5">
              <w:rPr>
                <w:rFonts w:ascii="Times New Roman" w:hAnsi="Times New Roman" w:cs="Times New Roman"/>
                <w:b/>
                <w:bCs/>
                <w:i/>
                <w:iCs/>
                <w:szCs w:val="24"/>
                <w:lang w:val="en-GB"/>
              </w:rPr>
              <w:t>Bargaining power of suppliers</w:t>
            </w:r>
          </w:p>
        </w:tc>
        <w:tc>
          <w:tcPr>
            <w:tcW w:w="1600" w:type="dxa"/>
            <w:tcMar>
              <w:top w:w="80" w:type="dxa"/>
              <w:left w:w="100" w:type="dxa"/>
              <w:bottom w:w="80" w:type="dxa"/>
              <w:right w:w="100" w:type="dxa"/>
            </w:tcMar>
          </w:tcPr>
          <w:p w14:paraId="5A26E892" w14:textId="77777777" w:rsidR="000330B5" w:rsidRPr="000330B5" w:rsidRDefault="000330B5" w:rsidP="000330B5">
            <w:pPr>
              <w:spacing w:line="360" w:lineRule="auto"/>
              <w:jc w:val="center"/>
              <w:rPr>
                <w:rFonts w:ascii="Times New Roman" w:hAnsi="Times New Roman" w:cs="Times New Roman"/>
                <w:szCs w:val="24"/>
                <w:lang w:val="en-GB"/>
              </w:rPr>
            </w:pPr>
            <w:r w:rsidRPr="000330B5">
              <w:rPr>
                <w:rFonts w:ascii="Times New Roman" w:hAnsi="Times New Roman" w:cs="Times New Roman"/>
                <w:szCs w:val="24"/>
                <w:lang w:val="en-GB"/>
              </w:rPr>
              <w:t>High</w:t>
            </w:r>
          </w:p>
        </w:tc>
        <w:tc>
          <w:tcPr>
            <w:tcW w:w="5800" w:type="dxa"/>
            <w:tcMar>
              <w:top w:w="80" w:type="dxa"/>
              <w:left w:w="100" w:type="dxa"/>
              <w:bottom w:w="80" w:type="dxa"/>
              <w:right w:w="100" w:type="dxa"/>
            </w:tcMar>
          </w:tcPr>
          <w:p w14:paraId="21B507FA"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The global production of battery cells and semiconductors is a few large companies, leaving manufacturers vulnerable to sudden changes in prices and supplies, as was the case during the pandemic (</w:t>
            </w:r>
            <w:proofErr w:type="spellStart"/>
            <w:r w:rsidRPr="000330B5">
              <w:rPr>
                <w:rFonts w:ascii="Times New Roman" w:hAnsi="Times New Roman" w:cs="Times New Roman"/>
                <w:szCs w:val="24"/>
                <w:lang w:val="en-GB"/>
              </w:rPr>
              <w:t>Chervenkova</w:t>
            </w:r>
            <w:proofErr w:type="spellEnd"/>
            <w:r w:rsidRPr="000330B5">
              <w:rPr>
                <w:rFonts w:ascii="Times New Roman" w:hAnsi="Times New Roman" w:cs="Times New Roman"/>
                <w:szCs w:val="24"/>
                <w:lang w:val="en-GB"/>
              </w:rPr>
              <w:t xml:space="preserve"> and Ivanov, 2023).</w:t>
            </w:r>
          </w:p>
        </w:tc>
      </w:tr>
      <w:tr w:rsidR="000330B5" w:rsidRPr="000330B5" w14:paraId="5124A0F1" w14:textId="77777777" w:rsidTr="00CF26C3">
        <w:tblPrEx>
          <w:tblCellMar>
            <w:top w:w="0" w:type="dxa"/>
            <w:bottom w:w="0" w:type="dxa"/>
          </w:tblCellMar>
        </w:tblPrEx>
        <w:tc>
          <w:tcPr>
            <w:tcW w:w="2400" w:type="dxa"/>
            <w:tcMar>
              <w:top w:w="80" w:type="dxa"/>
              <w:left w:w="100" w:type="dxa"/>
              <w:bottom w:w="80" w:type="dxa"/>
              <w:right w:w="100" w:type="dxa"/>
            </w:tcMar>
          </w:tcPr>
          <w:p w14:paraId="45A70D19" w14:textId="77777777" w:rsidR="000330B5" w:rsidRPr="000330B5" w:rsidRDefault="000330B5" w:rsidP="000330B5">
            <w:pPr>
              <w:spacing w:line="360" w:lineRule="auto"/>
              <w:jc w:val="center"/>
              <w:rPr>
                <w:rFonts w:ascii="Times New Roman" w:hAnsi="Times New Roman" w:cs="Times New Roman"/>
                <w:b/>
                <w:bCs/>
                <w:i/>
                <w:iCs/>
                <w:szCs w:val="24"/>
                <w:lang w:val="en-GB"/>
              </w:rPr>
            </w:pPr>
            <w:r w:rsidRPr="000330B5">
              <w:rPr>
                <w:rFonts w:ascii="Times New Roman" w:hAnsi="Times New Roman" w:cs="Times New Roman"/>
                <w:b/>
                <w:bCs/>
                <w:i/>
                <w:iCs/>
                <w:szCs w:val="24"/>
                <w:lang w:val="en-GB"/>
              </w:rPr>
              <w:t>Bargaining power of buyers</w:t>
            </w:r>
          </w:p>
        </w:tc>
        <w:tc>
          <w:tcPr>
            <w:tcW w:w="1600" w:type="dxa"/>
            <w:tcMar>
              <w:top w:w="80" w:type="dxa"/>
              <w:left w:w="100" w:type="dxa"/>
              <w:bottom w:w="80" w:type="dxa"/>
              <w:right w:w="100" w:type="dxa"/>
            </w:tcMar>
          </w:tcPr>
          <w:p w14:paraId="34AE5FC9" w14:textId="77777777" w:rsidR="000330B5" w:rsidRPr="000330B5" w:rsidRDefault="000330B5" w:rsidP="000330B5">
            <w:pPr>
              <w:spacing w:line="360" w:lineRule="auto"/>
              <w:jc w:val="center"/>
              <w:rPr>
                <w:rFonts w:ascii="Times New Roman" w:hAnsi="Times New Roman" w:cs="Times New Roman"/>
                <w:szCs w:val="24"/>
                <w:lang w:val="en-GB"/>
              </w:rPr>
            </w:pPr>
            <w:r w:rsidRPr="000330B5">
              <w:rPr>
                <w:rFonts w:ascii="Times New Roman" w:hAnsi="Times New Roman" w:cs="Times New Roman"/>
                <w:szCs w:val="24"/>
                <w:lang w:val="en-GB"/>
              </w:rPr>
              <w:t>High</w:t>
            </w:r>
          </w:p>
        </w:tc>
        <w:tc>
          <w:tcPr>
            <w:tcW w:w="5800" w:type="dxa"/>
            <w:tcMar>
              <w:top w:w="80" w:type="dxa"/>
              <w:left w:w="100" w:type="dxa"/>
              <w:bottom w:w="80" w:type="dxa"/>
              <w:right w:w="100" w:type="dxa"/>
            </w:tcMar>
          </w:tcPr>
          <w:p w14:paraId="209D647C"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Customers can take advantage of the digital information revolution and check specifications and prices in real time; in China, the fierce price competition from homegrown brands has prompted BMW to cut the prices of more than 30 vehicles.</w:t>
            </w:r>
          </w:p>
        </w:tc>
      </w:tr>
      <w:tr w:rsidR="000330B5" w:rsidRPr="000330B5" w14:paraId="0503A4DF" w14:textId="77777777" w:rsidTr="00CF26C3">
        <w:tblPrEx>
          <w:tblCellMar>
            <w:top w:w="0" w:type="dxa"/>
            <w:bottom w:w="0" w:type="dxa"/>
          </w:tblCellMar>
        </w:tblPrEx>
        <w:tc>
          <w:tcPr>
            <w:tcW w:w="2400" w:type="dxa"/>
            <w:tcMar>
              <w:top w:w="80" w:type="dxa"/>
              <w:left w:w="100" w:type="dxa"/>
              <w:bottom w:w="80" w:type="dxa"/>
              <w:right w:w="100" w:type="dxa"/>
            </w:tcMar>
          </w:tcPr>
          <w:p w14:paraId="053F2ABA" w14:textId="77777777" w:rsidR="000330B5" w:rsidRPr="000330B5" w:rsidRDefault="000330B5" w:rsidP="000330B5">
            <w:pPr>
              <w:spacing w:line="360" w:lineRule="auto"/>
              <w:jc w:val="center"/>
              <w:rPr>
                <w:rFonts w:ascii="Times New Roman" w:hAnsi="Times New Roman" w:cs="Times New Roman"/>
                <w:b/>
                <w:bCs/>
                <w:i/>
                <w:iCs/>
                <w:szCs w:val="24"/>
                <w:lang w:val="en-GB"/>
              </w:rPr>
            </w:pPr>
            <w:r w:rsidRPr="000330B5">
              <w:rPr>
                <w:rFonts w:ascii="Times New Roman" w:hAnsi="Times New Roman" w:cs="Times New Roman"/>
                <w:b/>
                <w:bCs/>
                <w:i/>
                <w:iCs/>
                <w:szCs w:val="24"/>
                <w:lang w:val="en-GB"/>
              </w:rPr>
              <w:t>Threat of substitutes</w:t>
            </w:r>
          </w:p>
        </w:tc>
        <w:tc>
          <w:tcPr>
            <w:tcW w:w="1600" w:type="dxa"/>
            <w:tcMar>
              <w:top w:w="80" w:type="dxa"/>
              <w:left w:w="100" w:type="dxa"/>
              <w:bottom w:w="80" w:type="dxa"/>
              <w:right w:w="100" w:type="dxa"/>
            </w:tcMar>
          </w:tcPr>
          <w:p w14:paraId="6356C7A2" w14:textId="77777777" w:rsidR="000330B5" w:rsidRPr="000330B5" w:rsidRDefault="000330B5" w:rsidP="000330B5">
            <w:pPr>
              <w:spacing w:line="360" w:lineRule="auto"/>
              <w:jc w:val="center"/>
              <w:rPr>
                <w:rFonts w:ascii="Times New Roman" w:hAnsi="Times New Roman" w:cs="Times New Roman"/>
                <w:szCs w:val="24"/>
                <w:lang w:val="en-GB"/>
              </w:rPr>
            </w:pPr>
            <w:r w:rsidRPr="000330B5">
              <w:rPr>
                <w:rFonts w:ascii="Times New Roman" w:hAnsi="Times New Roman" w:cs="Times New Roman"/>
                <w:szCs w:val="24"/>
                <w:lang w:val="en-GB"/>
              </w:rPr>
              <w:t>Moderate to High</w:t>
            </w:r>
          </w:p>
        </w:tc>
        <w:tc>
          <w:tcPr>
            <w:tcW w:w="5800" w:type="dxa"/>
            <w:tcMar>
              <w:top w:w="80" w:type="dxa"/>
              <w:left w:w="100" w:type="dxa"/>
              <w:bottom w:w="80" w:type="dxa"/>
              <w:right w:w="100" w:type="dxa"/>
            </w:tcMar>
          </w:tcPr>
          <w:p w14:paraId="1335762F"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In dense urban markets, the same dollar pools are spent on mobility-as-a-service as well as on ride-hailing, public transportation or competing high-end or EV challenger brands.</w:t>
            </w:r>
          </w:p>
        </w:tc>
      </w:tr>
      <w:tr w:rsidR="000330B5" w:rsidRPr="000330B5" w14:paraId="1C213AC6" w14:textId="77777777" w:rsidTr="00CF26C3">
        <w:tblPrEx>
          <w:tblCellMar>
            <w:top w:w="0" w:type="dxa"/>
            <w:bottom w:w="0" w:type="dxa"/>
          </w:tblCellMar>
        </w:tblPrEx>
        <w:tc>
          <w:tcPr>
            <w:tcW w:w="2400" w:type="dxa"/>
            <w:tcMar>
              <w:top w:w="80" w:type="dxa"/>
              <w:left w:w="100" w:type="dxa"/>
              <w:bottom w:w="80" w:type="dxa"/>
              <w:right w:w="100" w:type="dxa"/>
            </w:tcMar>
          </w:tcPr>
          <w:p w14:paraId="77D8B089" w14:textId="77777777" w:rsidR="000330B5" w:rsidRPr="000330B5" w:rsidRDefault="000330B5" w:rsidP="000330B5">
            <w:pPr>
              <w:spacing w:line="360" w:lineRule="auto"/>
              <w:jc w:val="center"/>
              <w:rPr>
                <w:rFonts w:ascii="Times New Roman" w:hAnsi="Times New Roman" w:cs="Times New Roman"/>
                <w:b/>
                <w:bCs/>
                <w:i/>
                <w:iCs/>
                <w:szCs w:val="24"/>
                <w:lang w:val="en-GB"/>
              </w:rPr>
            </w:pPr>
            <w:r w:rsidRPr="000330B5">
              <w:rPr>
                <w:rFonts w:ascii="Times New Roman" w:hAnsi="Times New Roman" w:cs="Times New Roman"/>
                <w:b/>
                <w:bCs/>
                <w:i/>
                <w:iCs/>
                <w:szCs w:val="24"/>
                <w:lang w:val="en-GB"/>
              </w:rPr>
              <w:t>Competitive rivalry</w:t>
            </w:r>
          </w:p>
        </w:tc>
        <w:tc>
          <w:tcPr>
            <w:tcW w:w="1600" w:type="dxa"/>
            <w:tcMar>
              <w:top w:w="80" w:type="dxa"/>
              <w:left w:w="100" w:type="dxa"/>
              <w:bottom w:w="80" w:type="dxa"/>
              <w:right w:w="100" w:type="dxa"/>
            </w:tcMar>
          </w:tcPr>
          <w:p w14:paraId="4EF97A72" w14:textId="77777777" w:rsidR="000330B5" w:rsidRPr="000330B5" w:rsidRDefault="000330B5" w:rsidP="000330B5">
            <w:pPr>
              <w:spacing w:line="360" w:lineRule="auto"/>
              <w:jc w:val="center"/>
              <w:rPr>
                <w:rFonts w:ascii="Times New Roman" w:hAnsi="Times New Roman" w:cs="Times New Roman"/>
                <w:szCs w:val="24"/>
                <w:lang w:val="en-GB"/>
              </w:rPr>
            </w:pPr>
            <w:r w:rsidRPr="000330B5">
              <w:rPr>
                <w:rFonts w:ascii="Times New Roman" w:hAnsi="Times New Roman" w:cs="Times New Roman"/>
                <w:szCs w:val="24"/>
                <w:lang w:val="en-GB"/>
              </w:rPr>
              <w:t>Very High</w:t>
            </w:r>
          </w:p>
        </w:tc>
        <w:tc>
          <w:tcPr>
            <w:tcW w:w="5800" w:type="dxa"/>
            <w:tcMar>
              <w:top w:w="80" w:type="dxa"/>
              <w:left w:w="100" w:type="dxa"/>
              <w:bottom w:w="80" w:type="dxa"/>
              <w:right w:w="100" w:type="dxa"/>
            </w:tcMar>
          </w:tcPr>
          <w:p w14:paraId="53DB38DC"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The established players (Mercedes-Benz, Audi, Tesla) and rapidly rising Chinese contenders (BYD, Li Auto, NIO) battle it out for technology, price and brand, particularly in the world's largest EV market, China.</w:t>
            </w:r>
          </w:p>
        </w:tc>
      </w:tr>
    </w:tbl>
    <w:p w14:paraId="26079425" w14:textId="77777777" w:rsidR="000330B5" w:rsidRDefault="000330B5" w:rsidP="000330B5">
      <w:pPr>
        <w:spacing w:line="360" w:lineRule="auto"/>
        <w:jc w:val="both"/>
        <w:rPr>
          <w:rFonts w:ascii="Times New Roman" w:hAnsi="Times New Roman" w:cs="Times New Roman"/>
          <w:szCs w:val="24"/>
          <w:lang w:val="en-GB"/>
        </w:rPr>
      </w:pPr>
    </w:p>
    <w:p w14:paraId="08218D31" w14:textId="77777777" w:rsidR="000330B5" w:rsidRDefault="000330B5">
      <w:pPr>
        <w:rPr>
          <w:rFonts w:ascii="Times New Roman" w:hAnsi="Times New Roman" w:cs="Times New Roman"/>
          <w:szCs w:val="24"/>
          <w:lang w:val="en-GB"/>
        </w:rPr>
      </w:pPr>
      <w:r>
        <w:rPr>
          <w:rFonts w:ascii="Times New Roman" w:hAnsi="Times New Roman" w:cs="Times New Roman"/>
          <w:szCs w:val="24"/>
          <w:lang w:val="en-GB"/>
        </w:rPr>
        <w:br w:type="page"/>
      </w:r>
    </w:p>
    <w:p w14:paraId="41D87228" w14:textId="0BCB0F95" w:rsidR="000330B5" w:rsidRPr="000330B5" w:rsidRDefault="000330B5" w:rsidP="000330B5">
      <w:pPr>
        <w:pStyle w:val="Heading2"/>
        <w:rPr>
          <w:lang w:val="en-GB"/>
        </w:rPr>
      </w:pPr>
      <w:bookmarkStart w:id="6" w:name="_Toc237513774"/>
      <w:r w:rsidRPr="000330B5">
        <w:rPr>
          <w:lang w:val="en-GB"/>
        </w:rPr>
        <w:lastRenderedPageBreak/>
        <w:t>5.2 Internal Environmental Audit</w:t>
      </w:r>
      <w:bookmarkEnd w:id="6"/>
    </w:p>
    <w:p w14:paraId="27A03329" w14:textId="77777777" w:rsidR="000330B5" w:rsidRPr="000330B5" w:rsidRDefault="000330B5" w:rsidP="000330B5">
      <w:pPr>
        <w:spacing w:line="360" w:lineRule="auto"/>
        <w:jc w:val="both"/>
        <w:rPr>
          <w:rFonts w:ascii="Times New Roman" w:hAnsi="Times New Roman" w:cs="Times New Roman"/>
          <w:b/>
          <w:bCs/>
          <w:i/>
          <w:iCs/>
          <w:szCs w:val="24"/>
          <w:lang w:val="en-GB"/>
        </w:rPr>
      </w:pPr>
      <w:r w:rsidRPr="000330B5">
        <w:rPr>
          <w:rFonts w:ascii="Times New Roman" w:hAnsi="Times New Roman" w:cs="Times New Roman"/>
          <w:b/>
          <w:bCs/>
          <w:i/>
          <w:iCs/>
          <w:szCs w:val="24"/>
          <w:lang w:val="en-GB"/>
        </w:rPr>
        <w:t>SWOT Analysis</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900"/>
        <w:gridCol w:w="4900"/>
      </w:tblGrid>
      <w:tr w:rsidR="000330B5" w:rsidRPr="000330B5" w14:paraId="5AF2264B" w14:textId="77777777" w:rsidTr="00CF26C3">
        <w:tblPrEx>
          <w:tblCellMar>
            <w:top w:w="0" w:type="dxa"/>
            <w:bottom w:w="0" w:type="dxa"/>
          </w:tblCellMar>
        </w:tblPrEx>
        <w:trPr>
          <w:tblHeader/>
        </w:trPr>
        <w:tc>
          <w:tcPr>
            <w:tcW w:w="4900" w:type="dxa"/>
            <w:shd w:val="clear" w:color="auto" w:fill="D9D9D9"/>
            <w:tcMar>
              <w:top w:w="80" w:type="dxa"/>
              <w:left w:w="100" w:type="dxa"/>
              <w:bottom w:w="80" w:type="dxa"/>
              <w:right w:w="100" w:type="dxa"/>
            </w:tcMar>
          </w:tcPr>
          <w:p w14:paraId="47D78270"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Strengths</w:t>
            </w:r>
          </w:p>
        </w:tc>
        <w:tc>
          <w:tcPr>
            <w:tcW w:w="4900" w:type="dxa"/>
            <w:shd w:val="clear" w:color="auto" w:fill="D9D9D9"/>
            <w:tcMar>
              <w:top w:w="80" w:type="dxa"/>
              <w:left w:w="100" w:type="dxa"/>
              <w:bottom w:w="80" w:type="dxa"/>
              <w:right w:w="100" w:type="dxa"/>
            </w:tcMar>
          </w:tcPr>
          <w:p w14:paraId="31B3D4A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Weaknesses</w:t>
            </w:r>
          </w:p>
        </w:tc>
      </w:tr>
      <w:tr w:rsidR="000330B5" w:rsidRPr="000330B5" w14:paraId="564D542B" w14:textId="77777777" w:rsidTr="00CF26C3">
        <w:tblPrEx>
          <w:tblCellMar>
            <w:top w:w="0" w:type="dxa"/>
            <w:bottom w:w="0" w:type="dxa"/>
          </w:tblCellMar>
        </w:tblPrEx>
        <w:tc>
          <w:tcPr>
            <w:tcW w:w="4900" w:type="dxa"/>
            <w:tcMar>
              <w:top w:w="80" w:type="dxa"/>
              <w:left w:w="100" w:type="dxa"/>
              <w:bottom w:w="80" w:type="dxa"/>
              <w:right w:w="100" w:type="dxa"/>
            </w:tcMar>
          </w:tcPr>
          <w:p w14:paraId="16B3EF5A"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The strong brand equity of BMW, MINI and Rolls-Royce, the extensive engineering and R&amp;D capability, the flexible global production network of 32 plants that allows lightweight multi powertrain manufacturing (Czerwinski, 2021).</w:t>
            </w:r>
          </w:p>
        </w:tc>
        <w:tc>
          <w:tcPr>
            <w:tcW w:w="4900" w:type="dxa"/>
            <w:tcMar>
              <w:top w:w="80" w:type="dxa"/>
              <w:left w:w="100" w:type="dxa"/>
              <w:bottom w:w="80" w:type="dxa"/>
              <w:right w:w="100" w:type="dxa"/>
            </w:tcMar>
          </w:tcPr>
          <w:p w14:paraId="0FF21CF3"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Not meeting the target corridor for automotive EBIT margin; high exposure to the volatile Chinese market for volume and profits; legacy platform costs during transition to Neue Klasse.</w:t>
            </w:r>
          </w:p>
        </w:tc>
      </w:tr>
      <w:tr w:rsidR="000330B5" w:rsidRPr="000330B5" w14:paraId="07D1008F" w14:textId="77777777" w:rsidTr="00CF26C3">
        <w:tblPrEx>
          <w:tblCellMar>
            <w:top w:w="0" w:type="dxa"/>
            <w:bottom w:w="0" w:type="dxa"/>
          </w:tblCellMar>
        </w:tblPrEx>
        <w:trPr>
          <w:tblHeader/>
        </w:trPr>
        <w:tc>
          <w:tcPr>
            <w:tcW w:w="4900" w:type="dxa"/>
            <w:shd w:val="clear" w:color="auto" w:fill="D9D9D9"/>
            <w:tcMar>
              <w:top w:w="80" w:type="dxa"/>
              <w:left w:w="100" w:type="dxa"/>
              <w:bottom w:w="80" w:type="dxa"/>
              <w:right w:w="100" w:type="dxa"/>
            </w:tcMar>
          </w:tcPr>
          <w:p w14:paraId="6FA2D0C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Opportunities</w:t>
            </w:r>
          </w:p>
        </w:tc>
        <w:tc>
          <w:tcPr>
            <w:tcW w:w="4900" w:type="dxa"/>
            <w:shd w:val="clear" w:color="auto" w:fill="D9D9D9"/>
            <w:tcMar>
              <w:top w:w="80" w:type="dxa"/>
              <w:left w:w="100" w:type="dxa"/>
              <w:bottom w:w="80" w:type="dxa"/>
              <w:right w:w="100" w:type="dxa"/>
            </w:tcMar>
          </w:tcPr>
          <w:p w14:paraId="54317136"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Threats</w:t>
            </w:r>
          </w:p>
        </w:tc>
      </w:tr>
      <w:tr w:rsidR="000330B5" w:rsidRPr="000330B5" w14:paraId="56D561A3" w14:textId="77777777" w:rsidTr="00CF26C3">
        <w:tblPrEx>
          <w:tblCellMar>
            <w:top w:w="0" w:type="dxa"/>
            <w:bottom w:w="0" w:type="dxa"/>
          </w:tblCellMar>
        </w:tblPrEx>
        <w:tc>
          <w:tcPr>
            <w:tcW w:w="4900" w:type="dxa"/>
            <w:tcMar>
              <w:top w:w="80" w:type="dxa"/>
              <w:left w:w="100" w:type="dxa"/>
              <w:bottom w:w="80" w:type="dxa"/>
              <w:right w:w="100" w:type="dxa"/>
            </w:tcMar>
          </w:tcPr>
          <w:p w14:paraId="780F1C8D"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New electric architecture under Neue Klasse with battery cost reduction, Smart-factory manufacturing based on digital twin and AI (Chen, 2022); new partnerships, like Alibaba AI joint venture; increasing demand for subscription-based, software-defined vehicle features.</w:t>
            </w:r>
          </w:p>
        </w:tc>
        <w:tc>
          <w:tcPr>
            <w:tcW w:w="4900" w:type="dxa"/>
            <w:tcMar>
              <w:top w:w="80" w:type="dxa"/>
              <w:left w:w="100" w:type="dxa"/>
              <w:bottom w:w="80" w:type="dxa"/>
              <w:right w:w="100" w:type="dxa"/>
            </w:tcMar>
          </w:tcPr>
          <w:p w14:paraId="76C74CAC"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Aggressive Chinese price cut for EVs, margins eroded; escalating EU/USA/China tariff warfare; geopolitical instability negatively impacting supply chains/demand (</w:t>
            </w:r>
            <w:proofErr w:type="spellStart"/>
            <w:r w:rsidRPr="000330B5">
              <w:rPr>
                <w:rFonts w:ascii="Times New Roman" w:hAnsi="Times New Roman" w:cs="Times New Roman"/>
                <w:szCs w:val="24"/>
                <w:lang w:val="en-GB"/>
              </w:rPr>
              <w:t>Chervenkova</w:t>
            </w:r>
            <w:proofErr w:type="spellEnd"/>
            <w:r w:rsidRPr="000330B5">
              <w:rPr>
                <w:rFonts w:ascii="Times New Roman" w:hAnsi="Times New Roman" w:cs="Times New Roman"/>
                <w:szCs w:val="24"/>
                <w:lang w:val="en-GB"/>
              </w:rPr>
              <w:t xml:space="preserve"> and Ivanov, 2023).</w:t>
            </w:r>
          </w:p>
        </w:tc>
      </w:tr>
    </w:tbl>
    <w:p w14:paraId="447DD475" w14:textId="77777777" w:rsidR="000330B5" w:rsidRDefault="000330B5" w:rsidP="000330B5">
      <w:pPr>
        <w:spacing w:line="360" w:lineRule="auto"/>
        <w:jc w:val="both"/>
        <w:rPr>
          <w:rFonts w:ascii="Times New Roman" w:hAnsi="Times New Roman" w:cs="Times New Roman"/>
          <w:b/>
          <w:bCs/>
          <w:i/>
          <w:iCs/>
          <w:szCs w:val="24"/>
          <w:lang w:val="en-GB"/>
        </w:rPr>
      </w:pPr>
    </w:p>
    <w:p w14:paraId="530F8D7E" w14:textId="0A323DE9" w:rsidR="000330B5" w:rsidRPr="000330B5" w:rsidRDefault="000330B5" w:rsidP="000330B5">
      <w:pPr>
        <w:spacing w:line="360" w:lineRule="auto"/>
        <w:jc w:val="both"/>
        <w:rPr>
          <w:rFonts w:ascii="Times New Roman" w:hAnsi="Times New Roman" w:cs="Times New Roman"/>
          <w:b/>
          <w:bCs/>
          <w:i/>
          <w:iCs/>
          <w:szCs w:val="24"/>
          <w:lang w:val="en-GB"/>
        </w:rPr>
      </w:pPr>
      <w:r w:rsidRPr="000330B5">
        <w:rPr>
          <w:rFonts w:ascii="Times New Roman" w:hAnsi="Times New Roman" w:cs="Times New Roman"/>
          <w:b/>
          <w:bCs/>
          <w:i/>
          <w:iCs/>
          <w:szCs w:val="24"/>
          <w:lang w:val="en-GB"/>
        </w:rPr>
        <w:t>VRIO Analysis</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64"/>
        <w:gridCol w:w="1219"/>
        <w:gridCol w:w="1120"/>
        <w:gridCol w:w="1169"/>
        <w:gridCol w:w="1292"/>
        <w:gridCol w:w="2636"/>
      </w:tblGrid>
      <w:tr w:rsidR="000330B5" w:rsidRPr="000330B5" w14:paraId="2AAD70DE" w14:textId="77777777" w:rsidTr="00CF26C3">
        <w:tblPrEx>
          <w:tblCellMar>
            <w:top w:w="0" w:type="dxa"/>
            <w:bottom w:w="0" w:type="dxa"/>
          </w:tblCellMar>
        </w:tblPrEx>
        <w:trPr>
          <w:tblHeader/>
        </w:trPr>
        <w:tc>
          <w:tcPr>
            <w:tcW w:w="2600" w:type="dxa"/>
            <w:shd w:val="clear" w:color="auto" w:fill="D9D9D9"/>
            <w:tcMar>
              <w:top w:w="80" w:type="dxa"/>
              <w:left w:w="100" w:type="dxa"/>
              <w:bottom w:w="80" w:type="dxa"/>
              <w:right w:w="100" w:type="dxa"/>
            </w:tcMar>
          </w:tcPr>
          <w:p w14:paraId="16B40E7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Resource / Capability</w:t>
            </w:r>
          </w:p>
        </w:tc>
        <w:tc>
          <w:tcPr>
            <w:tcW w:w="900" w:type="dxa"/>
            <w:shd w:val="clear" w:color="auto" w:fill="D9D9D9"/>
            <w:tcMar>
              <w:top w:w="80" w:type="dxa"/>
              <w:left w:w="100" w:type="dxa"/>
              <w:bottom w:w="80" w:type="dxa"/>
              <w:right w:w="100" w:type="dxa"/>
            </w:tcMar>
          </w:tcPr>
          <w:p w14:paraId="149BB018"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Valuable?</w:t>
            </w:r>
          </w:p>
        </w:tc>
        <w:tc>
          <w:tcPr>
            <w:tcW w:w="800" w:type="dxa"/>
            <w:shd w:val="clear" w:color="auto" w:fill="D9D9D9"/>
            <w:tcMar>
              <w:top w:w="80" w:type="dxa"/>
              <w:left w:w="100" w:type="dxa"/>
              <w:bottom w:w="80" w:type="dxa"/>
              <w:right w:w="100" w:type="dxa"/>
            </w:tcMar>
          </w:tcPr>
          <w:p w14:paraId="33BF396C"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Rare?</w:t>
            </w:r>
          </w:p>
        </w:tc>
        <w:tc>
          <w:tcPr>
            <w:tcW w:w="1200" w:type="dxa"/>
            <w:shd w:val="clear" w:color="auto" w:fill="D9D9D9"/>
            <w:tcMar>
              <w:top w:w="80" w:type="dxa"/>
              <w:left w:w="100" w:type="dxa"/>
              <w:bottom w:w="80" w:type="dxa"/>
              <w:right w:w="100" w:type="dxa"/>
            </w:tcMar>
          </w:tcPr>
          <w:p w14:paraId="4A0AC09F"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Costly to Imitate?</w:t>
            </w:r>
          </w:p>
        </w:tc>
        <w:tc>
          <w:tcPr>
            <w:tcW w:w="1300" w:type="dxa"/>
            <w:shd w:val="clear" w:color="auto" w:fill="D9D9D9"/>
            <w:tcMar>
              <w:top w:w="80" w:type="dxa"/>
              <w:left w:w="100" w:type="dxa"/>
              <w:bottom w:w="80" w:type="dxa"/>
              <w:right w:w="100" w:type="dxa"/>
            </w:tcMar>
          </w:tcPr>
          <w:p w14:paraId="198C6C2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Organised to Capture Value?</w:t>
            </w:r>
          </w:p>
        </w:tc>
        <w:tc>
          <w:tcPr>
            <w:tcW w:w="3000" w:type="dxa"/>
            <w:shd w:val="clear" w:color="auto" w:fill="D9D9D9"/>
            <w:tcMar>
              <w:top w:w="80" w:type="dxa"/>
              <w:left w:w="100" w:type="dxa"/>
              <w:bottom w:w="80" w:type="dxa"/>
              <w:right w:w="100" w:type="dxa"/>
            </w:tcMar>
          </w:tcPr>
          <w:p w14:paraId="3B1EE113"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Competitive Implication</w:t>
            </w:r>
          </w:p>
        </w:tc>
      </w:tr>
      <w:tr w:rsidR="000330B5" w:rsidRPr="000330B5" w14:paraId="15DD6C0B" w14:textId="77777777" w:rsidTr="00CF26C3">
        <w:tblPrEx>
          <w:tblCellMar>
            <w:top w:w="0" w:type="dxa"/>
            <w:bottom w:w="0" w:type="dxa"/>
          </w:tblCellMar>
        </w:tblPrEx>
        <w:tc>
          <w:tcPr>
            <w:tcW w:w="2600" w:type="dxa"/>
            <w:tcMar>
              <w:top w:w="80" w:type="dxa"/>
              <w:left w:w="100" w:type="dxa"/>
              <w:bottom w:w="80" w:type="dxa"/>
              <w:right w:w="100" w:type="dxa"/>
            </w:tcMar>
          </w:tcPr>
          <w:p w14:paraId="5ACFBBC1"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Premium brand reputation</w:t>
            </w:r>
          </w:p>
        </w:tc>
        <w:tc>
          <w:tcPr>
            <w:tcW w:w="900" w:type="dxa"/>
            <w:tcMar>
              <w:top w:w="80" w:type="dxa"/>
              <w:left w:w="100" w:type="dxa"/>
              <w:bottom w:w="80" w:type="dxa"/>
              <w:right w:w="100" w:type="dxa"/>
            </w:tcMar>
          </w:tcPr>
          <w:p w14:paraId="6E62C36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800" w:type="dxa"/>
            <w:tcMar>
              <w:top w:w="80" w:type="dxa"/>
              <w:left w:w="100" w:type="dxa"/>
              <w:bottom w:w="80" w:type="dxa"/>
              <w:right w:w="100" w:type="dxa"/>
            </w:tcMar>
          </w:tcPr>
          <w:p w14:paraId="5DEF8D5A"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1200" w:type="dxa"/>
            <w:tcMar>
              <w:top w:w="80" w:type="dxa"/>
              <w:left w:w="100" w:type="dxa"/>
              <w:bottom w:w="80" w:type="dxa"/>
              <w:right w:w="100" w:type="dxa"/>
            </w:tcMar>
          </w:tcPr>
          <w:p w14:paraId="4A0E996D"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1300" w:type="dxa"/>
            <w:tcMar>
              <w:top w:w="80" w:type="dxa"/>
              <w:left w:w="100" w:type="dxa"/>
              <w:bottom w:w="80" w:type="dxa"/>
              <w:right w:w="100" w:type="dxa"/>
            </w:tcMar>
          </w:tcPr>
          <w:p w14:paraId="2D20BB5F"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3000" w:type="dxa"/>
            <w:tcMar>
              <w:top w:w="80" w:type="dxa"/>
              <w:left w:w="100" w:type="dxa"/>
              <w:bottom w:w="80" w:type="dxa"/>
              <w:right w:w="100" w:type="dxa"/>
            </w:tcMar>
          </w:tcPr>
          <w:p w14:paraId="5BC0FE02"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Sustained competitive advantage</w:t>
            </w:r>
          </w:p>
        </w:tc>
      </w:tr>
      <w:tr w:rsidR="000330B5" w:rsidRPr="000330B5" w14:paraId="6DAD19D6" w14:textId="77777777" w:rsidTr="00CF26C3">
        <w:tblPrEx>
          <w:tblCellMar>
            <w:top w:w="0" w:type="dxa"/>
            <w:bottom w:w="0" w:type="dxa"/>
          </w:tblCellMar>
        </w:tblPrEx>
        <w:tc>
          <w:tcPr>
            <w:tcW w:w="2600" w:type="dxa"/>
            <w:tcMar>
              <w:top w:w="80" w:type="dxa"/>
              <w:left w:w="100" w:type="dxa"/>
              <w:bottom w:w="80" w:type="dxa"/>
              <w:right w:w="100" w:type="dxa"/>
            </w:tcMar>
          </w:tcPr>
          <w:p w14:paraId="6A86A940"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lastRenderedPageBreak/>
              <w:t>Neue Klasse EV architecture and battery technology</w:t>
            </w:r>
          </w:p>
        </w:tc>
        <w:tc>
          <w:tcPr>
            <w:tcW w:w="900" w:type="dxa"/>
            <w:tcMar>
              <w:top w:w="80" w:type="dxa"/>
              <w:left w:w="100" w:type="dxa"/>
              <w:bottom w:w="80" w:type="dxa"/>
              <w:right w:w="100" w:type="dxa"/>
            </w:tcMar>
          </w:tcPr>
          <w:p w14:paraId="4B17F27D"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800" w:type="dxa"/>
            <w:tcMar>
              <w:top w:w="80" w:type="dxa"/>
              <w:left w:w="100" w:type="dxa"/>
              <w:bottom w:w="80" w:type="dxa"/>
              <w:right w:w="100" w:type="dxa"/>
            </w:tcMar>
          </w:tcPr>
          <w:p w14:paraId="70BE7103"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1200" w:type="dxa"/>
            <w:tcMar>
              <w:top w:w="80" w:type="dxa"/>
              <w:left w:w="100" w:type="dxa"/>
              <w:bottom w:w="80" w:type="dxa"/>
              <w:right w:w="100" w:type="dxa"/>
            </w:tcMar>
          </w:tcPr>
          <w:p w14:paraId="5502647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Partially</w:t>
            </w:r>
          </w:p>
        </w:tc>
        <w:tc>
          <w:tcPr>
            <w:tcW w:w="1300" w:type="dxa"/>
            <w:tcMar>
              <w:top w:w="80" w:type="dxa"/>
              <w:left w:w="100" w:type="dxa"/>
              <w:bottom w:w="80" w:type="dxa"/>
              <w:right w:w="100" w:type="dxa"/>
            </w:tcMar>
          </w:tcPr>
          <w:p w14:paraId="57D61EE6"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3000" w:type="dxa"/>
            <w:tcMar>
              <w:top w:w="80" w:type="dxa"/>
              <w:left w:w="100" w:type="dxa"/>
              <w:bottom w:w="80" w:type="dxa"/>
              <w:right w:w="100" w:type="dxa"/>
            </w:tcMar>
          </w:tcPr>
          <w:p w14:paraId="4C6C3153"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Temporary competitive advantage, converging toward sustained as scale increases</w:t>
            </w:r>
          </w:p>
        </w:tc>
      </w:tr>
      <w:tr w:rsidR="000330B5" w:rsidRPr="000330B5" w14:paraId="148F1D53" w14:textId="77777777" w:rsidTr="00CF26C3">
        <w:tblPrEx>
          <w:tblCellMar>
            <w:top w:w="0" w:type="dxa"/>
            <w:bottom w:w="0" w:type="dxa"/>
          </w:tblCellMar>
        </w:tblPrEx>
        <w:tc>
          <w:tcPr>
            <w:tcW w:w="2600" w:type="dxa"/>
            <w:tcMar>
              <w:top w:w="80" w:type="dxa"/>
              <w:left w:w="100" w:type="dxa"/>
              <w:bottom w:w="80" w:type="dxa"/>
              <w:right w:w="100" w:type="dxa"/>
            </w:tcMar>
          </w:tcPr>
          <w:p w14:paraId="24C51B08"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Flexible multi-powertrain manufacturing network (Lee et al., 2023)</w:t>
            </w:r>
          </w:p>
        </w:tc>
        <w:tc>
          <w:tcPr>
            <w:tcW w:w="900" w:type="dxa"/>
            <w:tcMar>
              <w:top w:w="80" w:type="dxa"/>
              <w:left w:w="100" w:type="dxa"/>
              <w:bottom w:w="80" w:type="dxa"/>
              <w:right w:w="100" w:type="dxa"/>
            </w:tcMar>
          </w:tcPr>
          <w:p w14:paraId="38AAD826"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800" w:type="dxa"/>
            <w:tcMar>
              <w:top w:w="80" w:type="dxa"/>
              <w:left w:w="100" w:type="dxa"/>
              <w:bottom w:w="80" w:type="dxa"/>
              <w:right w:w="100" w:type="dxa"/>
            </w:tcMar>
          </w:tcPr>
          <w:p w14:paraId="0D330645"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Moderate</w:t>
            </w:r>
          </w:p>
        </w:tc>
        <w:tc>
          <w:tcPr>
            <w:tcW w:w="1200" w:type="dxa"/>
            <w:tcMar>
              <w:top w:w="80" w:type="dxa"/>
              <w:left w:w="100" w:type="dxa"/>
              <w:bottom w:w="80" w:type="dxa"/>
              <w:right w:w="100" w:type="dxa"/>
            </w:tcMar>
          </w:tcPr>
          <w:p w14:paraId="79843E15"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1300" w:type="dxa"/>
            <w:tcMar>
              <w:top w:w="80" w:type="dxa"/>
              <w:left w:w="100" w:type="dxa"/>
              <w:bottom w:w="80" w:type="dxa"/>
              <w:right w:w="100" w:type="dxa"/>
            </w:tcMar>
          </w:tcPr>
          <w:p w14:paraId="614EB49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3000" w:type="dxa"/>
            <w:tcMar>
              <w:top w:w="80" w:type="dxa"/>
              <w:left w:w="100" w:type="dxa"/>
              <w:bottom w:w="80" w:type="dxa"/>
              <w:right w:w="100" w:type="dxa"/>
            </w:tcMar>
          </w:tcPr>
          <w:p w14:paraId="23732CEC"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Sustained competitive advantage</w:t>
            </w:r>
          </w:p>
        </w:tc>
      </w:tr>
      <w:tr w:rsidR="000330B5" w:rsidRPr="000330B5" w14:paraId="79EA274D" w14:textId="77777777" w:rsidTr="00CF26C3">
        <w:tblPrEx>
          <w:tblCellMar>
            <w:top w:w="0" w:type="dxa"/>
            <w:bottom w:w="0" w:type="dxa"/>
          </w:tblCellMar>
        </w:tblPrEx>
        <w:tc>
          <w:tcPr>
            <w:tcW w:w="2600" w:type="dxa"/>
            <w:tcMar>
              <w:top w:w="80" w:type="dxa"/>
              <w:left w:w="100" w:type="dxa"/>
              <w:bottom w:w="80" w:type="dxa"/>
              <w:right w:w="100" w:type="dxa"/>
            </w:tcMar>
          </w:tcPr>
          <w:p w14:paraId="5164A67C"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BMW Financial Services arm</w:t>
            </w:r>
          </w:p>
        </w:tc>
        <w:tc>
          <w:tcPr>
            <w:tcW w:w="900" w:type="dxa"/>
            <w:tcMar>
              <w:top w:w="80" w:type="dxa"/>
              <w:left w:w="100" w:type="dxa"/>
              <w:bottom w:w="80" w:type="dxa"/>
              <w:right w:w="100" w:type="dxa"/>
            </w:tcMar>
          </w:tcPr>
          <w:p w14:paraId="1D53B8C4"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800" w:type="dxa"/>
            <w:tcMar>
              <w:top w:w="80" w:type="dxa"/>
              <w:left w:w="100" w:type="dxa"/>
              <w:bottom w:w="80" w:type="dxa"/>
              <w:right w:w="100" w:type="dxa"/>
            </w:tcMar>
          </w:tcPr>
          <w:p w14:paraId="2FE40940"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No</w:t>
            </w:r>
          </w:p>
        </w:tc>
        <w:tc>
          <w:tcPr>
            <w:tcW w:w="1200" w:type="dxa"/>
            <w:tcMar>
              <w:top w:w="80" w:type="dxa"/>
              <w:left w:w="100" w:type="dxa"/>
              <w:bottom w:w="80" w:type="dxa"/>
              <w:right w:w="100" w:type="dxa"/>
            </w:tcMar>
          </w:tcPr>
          <w:p w14:paraId="5A43B21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No</w:t>
            </w:r>
          </w:p>
        </w:tc>
        <w:tc>
          <w:tcPr>
            <w:tcW w:w="1300" w:type="dxa"/>
            <w:tcMar>
              <w:top w:w="80" w:type="dxa"/>
              <w:left w:w="100" w:type="dxa"/>
              <w:bottom w:w="80" w:type="dxa"/>
              <w:right w:w="100" w:type="dxa"/>
            </w:tcMar>
          </w:tcPr>
          <w:p w14:paraId="721508E1"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Yes</w:t>
            </w:r>
          </w:p>
        </w:tc>
        <w:tc>
          <w:tcPr>
            <w:tcW w:w="3000" w:type="dxa"/>
            <w:tcMar>
              <w:top w:w="80" w:type="dxa"/>
              <w:left w:w="100" w:type="dxa"/>
              <w:bottom w:w="80" w:type="dxa"/>
              <w:right w:w="100" w:type="dxa"/>
            </w:tcMar>
          </w:tcPr>
          <w:p w14:paraId="2C0293B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Competitive parity</w:t>
            </w:r>
          </w:p>
        </w:tc>
      </w:tr>
    </w:tbl>
    <w:p w14:paraId="50AE67C0" w14:textId="77777777" w:rsidR="000330B5" w:rsidRDefault="000330B5" w:rsidP="000330B5">
      <w:pPr>
        <w:spacing w:line="360" w:lineRule="auto"/>
        <w:jc w:val="both"/>
        <w:rPr>
          <w:rFonts w:ascii="Times New Roman" w:hAnsi="Times New Roman" w:cs="Times New Roman"/>
          <w:b/>
          <w:bCs/>
          <w:i/>
          <w:iCs/>
          <w:szCs w:val="24"/>
          <w:lang w:val="en-GB"/>
        </w:rPr>
      </w:pPr>
    </w:p>
    <w:p w14:paraId="26F2A1EC" w14:textId="2A4C6AEA" w:rsidR="000330B5" w:rsidRPr="000330B5" w:rsidRDefault="000330B5" w:rsidP="000330B5">
      <w:pPr>
        <w:spacing w:line="360" w:lineRule="auto"/>
        <w:jc w:val="both"/>
        <w:rPr>
          <w:rFonts w:ascii="Times New Roman" w:hAnsi="Times New Roman" w:cs="Times New Roman"/>
          <w:b/>
          <w:bCs/>
          <w:i/>
          <w:iCs/>
          <w:szCs w:val="24"/>
          <w:lang w:val="en-GB"/>
        </w:rPr>
      </w:pPr>
      <w:r w:rsidRPr="000330B5">
        <w:rPr>
          <w:rFonts w:ascii="Times New Roman" w:hAnsi="Times New Roman" w:cs="Times New Roman"/>
          <w:b/>
          <w:bCs/>
          <w:i/>
          <w:iCs/>
          <w:szCs w:val="24"/>
          <w:lang w:val="en-GB"/>
        </w:rPr>
        <w:t>BCG Matrix</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0"/>
        <w:gridCol w:w="1800"/>
        <w:gridCol w:w="2200"/>
        <w:gridCol w:w="2200"/>
      </w:tblGrid>
      <w:tr w:rsidR="000330B5" w:rsidRPr="000330B5" w14:paraId="194C1F52" w14:textId="77777777" w:rsidTr="00CF26C3">
        <w:tblPrEx>
          <w:tblCellMar>
            <w:top w:w="0" w:type="dxa"/>
            <w:bottom w:w="0" w:type="dxa"/>
          </w:tblCellMar>
        </w:tblPrEx>
        <w:trPr>
          <w:tblHeader/>
        </w:trPr>
        <w:tc>
          <w:tcPr>
            <w:tcW w:w="3600" w:type="dxa"/>
            <w:shd w:val="clear" w:color="auto" w:fill="D9D9D9"/>
            <w:tcMar>
              <w:top w:w="80" w:type="dxa"/>
              <w:left w:w="100" w:type="dxa"/>
              <w:bottom w:w="80" w:type="dxa"/>
              <w:right w:w="100" w:type="dxa"/>
            </w:tcMar>
          </w:tcPr>
          <w:p w14:paraId="453A9268"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Business Unit</w:t>
            </w:r>
          </w:p>
        </w:tc>
        <w:tc>
          <w:tcPr>
            <w:tcW w:w="1800" w:type="dxa"/>
            <w:shd w:val="clear" w:color="auto" w:fill="D9D9D9"/>
            <w:tcMar>
              <w:top w:w="80" w:type="dxa"/>
              <w:left w:w="100" w:type="dxa"/>
              <w:bottom w:w="80" w:type="dxa"/>
              <w:right w:w="100" w:type="dxa"/>
            </w:tcMar>
          </w:tcPr>
          <w:p w14:paraId="730F780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Market Growth</w:t>
            </w:r>
          </w:p>
        </w:tc>
        <w:tc>
          <w:tcPr>
            <w:tcW w:w="2200" w:type="dxa"/>
            <w:shd w:val="clear" w:color="auto" w:fill="D9D9D9"/>
            <w:tcMar>
              <w:top w:w="80" w:type="dxa"/>
              <w:left w:w="100" w:type="dxa"/>
              <w:bottom w:w="80" w:type="dxa"/>
              <w:right w:w="100" w:type="dxa"/>
            </w:tcMar>
          </w:tcPr>
          <w:p w14:paraId="337D3D2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Relative Market Share</w:t>
            </w:r>
          </w:p>
        </w:tc>
        <w:tc>
          <w:tcPr>
            <w:tcW w:w="2200" w:type="dxa"/>
            <w:shd w:val="clear" w:color="auto" w:fill="D9D9D9"/>
            <w:tcMar>
              <w:top w:w="80" w:type="dxa"/>
              <w:left w:w="100" w:type="dxa"/>
              <w:bottom w:w="80" w:type="dxa"/>
              <w:right w:w="100" w:type="dxa"/>
            </w:tcMar>
          </w:tcPr>
          <w:p w14:paraId="669FBE15"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BCG Category</w:t>
            </w:r>
          </w:p>
        </w:tc>
      </w:tr>
      <w:tr w:rsidR="000330B5" w:rsidRPr="000330B5" w14:paraId="5E214FD2" w14:textId="77777777" w:rsidTr="00CF26C3">
        <w:tblPrEx>
          <w:tblCellMar>
            <w:top w:w="0" w:type="dxa"/>
            <w:bottom w:w="0" w:type="dxa"/>
          </w:tblCellMar>
        </w:tblPrEx>
        <w:tc>
          <w:tcPr>
            <w:tcW w:w="3600" w:type="dxa"/>
            <w:tcMar>
              <w:top w:w="80" w:type="dxa"/>
              <w:left w:w="100" w:type="dxa"/>
              <w:bottom w:w="80" w:type="dxa"/>
              <w:right w:w="100" w:type="dxa"/>
            </w:tcMar>
          </w:tcPr>
          <w:p w14:paraId="185A51A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Combustion and hybrid BMW core range</w:t>
            </w:r>
          </w:p>
        </w:tc>
        <w:tc>
          <w:tcPr>
            <w:tcW w:w="1800" w:type="dxa"/>
            <w:tcMar>
              <w:top w:w="80" w:type="dxa"/>
              <w:left w:w="100" w:type="dxa"/>
              <w:bottom w:w="80" w:type="dxa"/>
              <w:right w:w="100" w:type="dxa"/>
            </w:tcMar>
          </w:tcPr>
          <w:p w14:paraId="5BFB245F"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Low</w:t>
            </w:r>
          </w:p>
        </w:tc>
        <w:tc>
          <w:tcPr>
            <w:tcW w:w="2200" w:type="dxa"/>
            <w:tcMar>
              <w:top w:w="80" w:type="dxa"/>
              <w:left w:w="100" w:type="dxa"/>
              <w:bottom w:w="80" w:type="dxa"/>
              <w:right w:w="100" w:type="dxa"/>
            </w:tcMar>
          </w:tcPr>
          <w:p w14:paraId="4CAF2CE6"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High</w:t>
            </w:r>
          </w:p>
        </w:tc>
        <w:tc>
          <w:tcPr>
            <w:tcW w:w="2200" w:type="dxa"/>
            <w:tcMar>
              <w:top w:w="80" w:type="dxa"/>
              <w:left w:w="100" w:type="dxa"/>
              <w:bottom w:w="80" w:type="dxa"/>
              <w:right w:w="100" w:type="dxa"/>
            </w:tcMar>
          </w:tcPr>
          <w:p w14:paraId="775A4BF8"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Cash Cow</w:t>
            </w:r>
          </w:p>
        </w:tc>
      </w:tr>
      <w:tr w:rsidR="000330B5" w:rsidRPr="000330B5" w14:paraId="48191B6A" w14:textId="77777777" w:rsidTr="00CF26C3">
        <w:tblPrEx>
          <w:tblCellMar>
            <w:top w:w="0" w:type="dxa"/>
            <w:bottom w:w="0" w:type="dxa"/>
          </w:tblCellMar>
        </w:tblPrEx>
        <w:tc>
          <w:tcPr>
            <w:tcW w:w="3600" w:type="dxa"/>
            <w:tcMar>
              <w:top w:w="80" w:type="dxa"/>
              <w:left w:w="100" w:type="dxa"/>
              <w:bottom w:w="80" w:type="dxa"/>
              <w:right w:w="100" w:type="dxa"/>
            </w:tcMar>
          </w:tcPr>
          <w:p w14:paraId="3F000654"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Neue Klasse battery-electric range (iX3, i3)</w:t>
            </w:r>
          </w:p>
        </w:tc>
        <w:tc>
          <w:tcPr>
            <w:tcW w:w="1800" w:type="dxa"/>
            <w:tcMar>
              <w:top w:w="80" w:type="dxa"/>
              <w:left w:w="100" w:type="dxa"/>
              <w:bottom w:w="80" w:type="dxa"/>
              <w:right w:w="100" w:type="dxa"/>
            </w:tcMar>
          </w:tcPr>
          <w:p w14:paraId="7EFF9296"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High</w:t>
            </w:r>
          </w:p>
        </w:tc>
        <w:tc>
          <w:tcPr>
            <w:tcW w:w="2200" w:type="dxa"/>
            <w:tcMar>
              <w:top w:w="80" w:type="dxa"/>
              <w:left w:w="100" w:type="dxa"/>
              <w:bottom w:w="80" w:type="dxa"/>
              <w:right w:w="100" w:type="dxa"/>
            </w:tcMar>
          </w:tcPr>
          <w:p w14:paraId="2DA78F0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Low-Medium (growing)</w:t>
            </w:r>
          </w:p>
        </w:tc>
        <w:tc>
          <w:tcPr>
            <w:tcW w:w="2200" w:type="dxa"/>
            <w:tcMar>
              <w:top w:w="80" w:type="dxa"/>
              <w:left w:w="100" w:type="dxa"/>
              <w:bottom w:w="80" w:type="dxa"/>
              <w:right w:w="100" w:type="dxa"/>
            </w:tcMar>
          </w:tcPr>
          <w:p w14:paraId="10272091"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Question Mark, transitioning toward Star</w:t>
            </w:r>
          </w:p>
        </w:tc>
      </w:tr>
      <w:tr w:rsidR="000330B5" w:rsidRPr="000330B5" w14:paraId="17290C8E" w14:textId="77777777" w:rsidTr="00CF26C3">
        <w:tblPrEx>
          <w:tblCellMar>
            <w:top w:w="0" w:type="dxa"/>
            <w:bottom w:w="0" w:type="dxa"/>
          </w:tblCellMar>
        </w:tblPrEx>
        <w:tc>
          <w:tcPr>
            <w:tcW w:w="3600" w:type="dxa"/>
            <w:tcMar>
              <w:top w:w="80" w:type="dxa"/>
              <w:left w:w="100" w:type="dxa"/>
              <w:bottom w:w="80" w:type="dxa"/>
              <w:right w:w="100" w:type="dxa"/>
            </w:tcMar>
          </w:tcPr>
          <w:p w14:paraId="063D88F4"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MINI</w:t>
            </w:r>
          </w:p>
        </w:tc>
        <w:tc>
          <w:tcPr>
            <w:tcW w:w="1800" w:type="dxa"/>
            <w:tcMar>
              <w:top w:w="80" w:type="dxa"/>
              <w:left w:w="100" w:type="dxa"/>
              <w:bottom w:w="80" w:type="dxa"/>
              <w:right w:w="100" w:type="dxa"/>
            </w:tcMar>
          </w:tcPr>
          <w:p w14:paraId="01BBAB25"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Low-Moderate</w:t>
            </w:r>
          </w:p>
        </w:tc>
        <w:tc>
          <w:tcPr>
            <w:tcW w:w="2200" w:type="dxa"/>
            <w:tcMar>
              <w:top w:w="80" w:type="dxa"/>
              <w:left w:w="100" w:type="dxa"/>
              <w:bottom w:w="80" w:type="dxa"/>
              <w:right w:w="100" w:type="dxa"/>
            </w:tcMar>
          </w:tcPr>
          <w:p w14:paraId="17A16E41"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Moderate</w:t>
            </w:r>
          </w:p>
        </w:tc>
        <w:tc>
          <w:tcPr>
            <w:tcW w:w="2200" w:type="dxa"/>
            <w:tcMar>
              <w:top w:w="80" w:type="dxa"/>
              <w:left w:w="100" w:type="dxa"/>
              <w:bottom w:w="80" w:type="dxa"/>
              <w:right w:w="100" w:type="dxa"/>
            </w:tcMar>
          </w:tcPr>
          <w:p w14:paraId="270F75D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Cash Cow / Dog (market-dependent)</w:t>
            </w:r>
          </w:p>
        </w:tc>
      </w:tr>
      <w:tr w:rsidR="000330B5" w:rsidRPr="000330B5" w14:paraId="6CA6C411" w14:textId="77777777" w:rsidTr="00CF26C3">
        <w:tblPrEx>
          <w:tblCellMar>
            <w:top w:w="0" w:type="dxa"/>
            <w:bottom w:w="0" w:type="dxa"/>
          </w:tblCellMar>
        </w:tblPrEx>
        <w:tc>
          <w:tcPr>
            <w:tcW w:w="3600" w:type="dxa"/>
            <w:tcMar>
              <w:top w:w="80" w:type="dxa"/>
              <w:left w:w="100" w:type="dxa"/>
              <w:bottom w:w="80" w:type="dxa"/>
              <w:right w:w="100" w:type="dxa"/>
            </w:tcMar>
          </w:tcPr>
          <w:p w14:paraId="1CD36DB1"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lastRenderedPageBreak/>
              <w:t>Rolls-Royce</w:t>
            </w:r>
          </w:p>
        </w:tc>
        <w:tc>
          <w:tcPr>
            <w:tcW w:w="1800" w:type="dxa"/>
            <w:tcMar>
              <w:top w:w="80" w:type="dxa"/>
              <w:left w:w="100" w:type="dxa"/>
              <w:bottom w:w="80" w:type="dxa"/>
              <w:right w:w="100" w:type="dxa"/>
            </w:tcMar>
          </w:tcPr>
          <w:p w14:paraId="7623EB6D"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Moderate</w:t>
            </w:r>
          </w:p>
        </w:tc>
        <w:tc>
          <w:tcPr>
            <w:tcW w:w="2200" w:type="dxa"/>
            <w:tcMar>
              <w:top w:w="80" w:type="dxa"/>
              <w:left w:w="100" w:type="dxa"/>
              <w:bottom w:w="80" w:type="dxa"/>
              <w:right w:w="100" w:type="dxa"/>
            </w:tcMar>
          </w:tcPr>
          <w:p w14:paraId="5B0BA36A"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High (niche ultra-luxury)</w:t>
            </w:r>
          </w:p>
        </w:tc>
        <w:tc>
          <w:tcPr>
            <w:tcW w:w="2200" w:type="dxa"/>
            <w:tcMar>
              <w:top w:w="80" w:type="dxa"/>
              <w:left w:w="100" w:type="dxa"/>
              <w:bottom w:w="80" w:type="dxa"/>
              <w:right w:w="100" w:type="dxa"/>
            </w:tcMar>
          </w:tcPr>
          <w:p w14:paraId="68890C3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Star</w:t>
            </w:r>
          </w:p>
        </w:tc>
      </w:tr>
      <w:tr w:rsidR="000330B5" w:rsidRPr="000330B5" w14:paraId="225D9F6C" w14:textId="77777777" w:rsidTr="00CF26C3">
        <w:tblPrEx>
          <w:tblCellMar>
            <w:top w:w="0" w:type="dxa"/>
            <w:bottom w:w="0" w:type="dxa"/>
          </w:tblCellMar>
        </w:tblPrEx>
        <w:tc>
          <w:tcPr>
            <w:tcW w:w="3600" w:type="dxa"/>
            <w:tcMar>
              <w:top w:w="80" w:type="dxa"/>
              <w:left w:w="100" w:type="dxa"/>
              <w:bottom w:w="80" w:type="dxa"/>
              <w:right w:w="100" w:type="dxa"/>
            </w:tcMar>
          </w:tcPr>
          <w:p w14:paraId="54BCA674"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Software, AI and autonomous-driving services</w:t>
            </w:r>
          </w:p>
        </w:tc>
        <w:tc>
          <w:tcPr>
            <w:tcW w:w="1800" w:type="dxa"/>
            <w:tcMar>
              <w:top w:w="80" w:type="dxa"/>
              <w:left w:w="100" w:type="dxa"/>
              <w:bottom w:w="80" w:type="dxa"/>
              <w:right w:w="100" w:type="dxa"/>
            </w:tcMar>
          </w:tcPr>
          <w:p w14:paraId="644A87B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High</w:t>
            </w:r>
          </w:p>
        </w:tc>
        <w:tc>
          <w:tcPr>
            <w:tcW w:w="2200" w:type="dxa"/>
            <w:tcMar>
              <w:top w:w="80" w:type="dxa"/>
              <w:left w:w="100" w:type="dxa"/>
              <w:bottom w:w="80" w:type="dxa"/>
              <w:right w:w="100" w:type="dxa"/>
            </w:tcMar>
          </w:tcPr>
          <w:p w14:paraId="1A45F7BD"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Low</w:t>
            </w:r>
          </w:p>
        </w:tc>
        <w:tc>
          <w:tcPr>
            <w:tcW w:w="2200" w:type="dxa"/>
            <w:tcMar>
              <w:top w:w="80" w:type="dxa"/>
              <w:left w:w="100" w:type="dxa"/>
              <w:bottom w:w="80" w:type="dxa"/>
              <w:right w:w="100" w:type="dxa"/>
            </w:tcMar>
          </w:tcPr>
          <w:p w14:paraId="093DC93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Question Mark</w:t>
            </w:r>
          </w:p>
        </w:tc>
      </w:tr>
    </w:tbl>
    <w:p w14:paraId="1D5717B1" w14:textId="77777777" w:rsidR="000330B5" w:rsidRDefault="000330B5" w:rsidP="000330B5">
      <w:pPr>
        <w:spacing w:line="360" w:lineRule="auto"/>
        <w:jc w:val="both"/>
        <w:rPr>
          <w:rFonts w:ascii="Times New Roman" w:hAnsi="Times New Roman" w:cs="Times New Roman"/>
          <w:b/>
          <w:bCs/>
          <w:i/>
          <w:iCs/>
          <w:szCs w:val="24"/>
          <w:lang w:val="en-GB"/>
        </w:rPr>
      </w:pPr>
    </w:p>
    <w:p w14:paraId="7CB9B48B" w14:textId="4DCF1B4C" w:rsidR="000330B5" w:rsidRPr="000330B5" w:rsidRDefault="000330B5" w:rsidP="000330B5">
      <w:pPr>
        <w:spacing w:line="360" w:lineRule="auto"/>
        <w:jc w:val="both"/>
        <w:rPr>
          <w:rFonts w:ascii="Times New Roman" w:hAnsi="Times New Roman" w:cs="Times New Roman"/>
          <w:b/>
          <w:bCs/>
          <w:i/>
          <w:iCs/>
          <w:szCs w:val="24"/>
          <w:lang w:val="en-GB"/>
        </w:rPr>
      </w:pPr>
      <w:r w:rsidRPr="000330B5">
        <w:rPr>
          <w:rFonts w:ascii="Times New Roman" w:hAnsi="Times New Roman" w:cs="Times New Roman"/>
          <w:b/>
          <w:bCs/>
          <w:i/>
          <w:iCs/>
          <w:szCs w:val="24"/>
          <w:lang w:val="en-GB"/>
        </w:rPr>
        <w:t>Value Chain Analysis</w:t>
      </w: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7400"/>
      </w:tblGrid>
      <w:tr w:rsidR="000330B5" w:rsidRPr="000330B5" w14:paraId="794BB060" w14:textId="77777777" w:rsidTr="00CF26C3">
        <w:tblPrEx>
          <w:tblCellMar>
            <w:top w:w="0" w:type="dxa"/>
            <w:bottom w:w="0" w:type="dxa"/>
          </w:tblCellMar>
        </w:tblPrEx>
        <w:trPr>
          <w:tblHeader/>
        </w:trPr>
        <w:tc>
          <w:tcPr>
            <w:tcW w:w="2400" w:type="dxa"/>
            <w:shd w:val="clear" w:color="auto" w:fill="D9D9D9"/>
            <w:tcMar>
              <w:top w:w="80" w:type="dxa"/>
              <w:left w:w="100" w:type="dxa"/>
              <w:bottom w:w="80" w:type="dxa"/>
              <w:right w:w="100" w:type="dxa"/>
            </w:tcMar>
          </w:tcPr>
          <w:p w14:paraId="7B502F2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Activity</w:t>
            </w:r>
          </w:p>
        </w:tc>
        <w:tc>
          <w:tcPr>
            <w:tcW w:w="7400" w:type="dxa"/>
            <w:shd w:val="clear" w:color="auto" w:fill="D9D9D9"/>
            <w:tcMar>
              <w:top w:w="80" w:type="dxa"/>
              <w:left w:w="100" w:type="dxa"/>
              <w:bottom w:w="80" w:type="dxa"/>
              <w:right w:w="100" w:type="dxa"/>
            </w:tcMar>
          </w:tcPr>
          <w:p w14:paraId="4E2EED1F"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b/>
                <w:bCs/>
                <w:szCs w:val="24"/>
                <w:lang w:val="en-GB"/>
              </w:rPr>
              <w:t>BMW Group Application</w:t>
            </w:r>
          </w:p>
        </w:tc>
      </w:tr>
      <w:tr w:rsidR="000330B5" w:rsidRPr="000330B5" w14:paraId="0584C58D" w14:textId="77777777" w:rsidTr="00CF26C3">
        <w:tblPrEx>
          <w:tblCellMar>
            <w:top w:w="0" w:type="dxa"/>
            <w:bottom w:w="0" w:type="dxa"/>
          </w:tblCellMar>
        </w:tblPrEx>
        <w:tc>
          <w:tcPr>
            <w:tcW w:w="2400" w:type="dxa"/>
            <w:tcMar>
              <w:top w:w="80" w:type="dxa"/>
              <w:left w:w="100" w:type="dxa"/>
              <w:bottom w:w="80" w:type="dxa"/>
              <w:right w:w="100" w:type="dxa"/>
            </w:tcMar>
          </w:tcPr>
          <w:p w14:paraId="67BA453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Inbound logistics</w:t>
            </w:r>
          </w:p>
        </w:tc>
        <w:tc>
          <w:tcPr>
            <w:tcW w:w="7400" w:type="dxa"/>
            <w:tcMar>
              <w:top w:w="80" w:type="dxa"/>
              <w:left w:w="100" w:type="dxa"/>
              <w:bottom w:w="80" w:type="dxa"/>
              <w:right w:w="100" w:type="dxa"/>
            </w:tcMar>
          </w:tcPr>
          <w:p w14:paraId="6FFE3003"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Multi-source, partially localised supplier network for batteries and semiconductors to minimise single-source exposure.</w:t>
            </w:r>
          </w:p>
        </w:tc>
      </w:tr>
      <w:tr w:rsidR="000330B5" w:rsidRPr="000330B5" w14:paraId="5D5DB759" w14:textId="77777777" w:rsidTr="00CF26C3">
        <w:tblPrEx>
          <w:tblCellMar>
            <w:top w:w="0" w:type="dxa"/>
            <w:bottom w:w="0" w:type="dxa"/>
          </w:tblCellMar>
        </w:tblPrEx>
        <w:tc>
          <w:tcPr>
            <w:tcW w:w="2400" w:type="dxa"/>
            <w:tcMar>
              <w:top w:w="80" w:type="dxa"/>
              <w:left w:w="100" w:type="dxa"/>
              <w:bottom w:w="80" w:type="dxa"/>
              <w:right w:w="100" w:type="dxa"/>
            </w:tcMar>
          </w:tcPr>
          <w:p w14:paraId="519B596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Operations</w:t>
            </w:r>
          </w:p>
        </w:tc>
        <w:tc>
          <w:tcPr>
            <w:tcW w:w="7400" w:type="dxa"/>
            <w:tcMar>
              <w:top w:w="80" w:type="dxa"/>
              <w:left w:w="100" w:type="dxa"/>
              <w:bottom w:w="80" w:type="dxa"/>
              <w:right w:w="100" w:type="dxa"/>
            </w:tcMar>
          </w:tcPr>
          <w:p w14:paraId="4FC1EAE8"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Smart and flexible factories with digital twin simulation and AI-based production planning (Chen, 2022; Lee et al., 2023).</w:t>
            </w:r>
          </w:p>
        </w:tc>
      </w:tr>
      <w:tr w:rsidR="000330B5" w:rsidRPr="000330B5" w14:paraId="3A0FB324" w14:textId="77777777" w:rsidTr="00CF26C3">
        <w:tblPrEx>
          <w:tblCellMar>
            <w:top w:w="0" w:type="dxa"/>
            <w:bottom w:w="0" w:type="dxa"/>
          </w:tblCellMar>
        </w:tblPrEx>
        <w:tc>
          <w:tcPr>
            <w:tcW w:w="2400" w:type="dxa"/>
            <w:tcMar>
              <w:top w:w="80" w:type="dxa"/>
              <w:left w:w="100" w:type="dxa"/>
              <w:bottom w:w="80" w:type="dxa"/>
              <w:right w:w="100" w:type="dxa"/>
            </w:tcMar>
          </w:tcPr>
          <w:p w14:paraId="6F4FAED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Outbound logistics</w:t>
            </w:r>
          </w:p>
        </w:tc>
        <w:tc>
          <w:tcPr>
            <w:tcW w:w="7400" w:type="dxa"/>
            <w:tcMar>
              <w:top w:w="80" w:type="dxa"/>
              <w:left w:w="100" w:type="dxa"/>
              <w:bottom w:w="80" w:type="dxa"/>
              <w:right w:w="100" w:type="dxa"/>
            </w:tcMar>
          </w:tcPr>
          <w:p w14:paraId="5EF36251"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Presence in more than 140 markets with regional production sites (Munich, Spartanburg, Debrecen, San Luis Potosí and Shenyang).</w:t>
            </w:r>
          </w:p>
        </w:tc>
      </w:tr>
      <w:tr w:rsidR="000330B5" w:rsidRPr="000330B5" w14:paraId="4E98DB5B" w14:textId="77777777" w:rsidTr="00CF26C3">
        <w:tblPrEx>
          <w:tblCellMar>
            <w:top w:w="0" w:type="dxa"/>
            <w:bottom w:w="0" w:type="dxa"/>
          </w:tblCellMar>
        </w:tblPrEx>
        <w:tc>
          <w:tcPr>
            <w:tcW w:w="2400" w:type="dxa"/>
            <w:tcMar>
              <w:top w:w="80" w:type="dxa"/>
              <w:left w:w="100" w:type="dxa"/>
              <w:bottom w:w="80" w:type="dxa"/>
              <w:right w:w="100" w:type="dxa"/>
            </w:tcMar>
          </w:tcPr>
          <w:p w14:paraId="07582D45"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Marketing and sales</w:t>
            </w:r>
          </w:p>
        </w:tc>
        <w:tc>
          <w:tcPr>
            <w:tcW w:w="7400" w:type="dxa"/>
            <w:tcMar>
              <w:top w:w="80" w:type="dxa"/>
              <w:left w:w="100" w:type="dxa"/>
              <w:bottom w:w="80" w:type="dxa"/>
              <w:right w:w="100" w:type="dxa"/>
            </w:tcMar>
          </w:tcPr>
          <w:p w14:paraId="5CCD649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Highly priced brand positioning, direct online channels and China-only product variants (long-wheelbase models).</w:t>
            </w:r>
          </w:p>
        </w:tc>
      </w:tr>
      <w:tr w:rsidR="000330B5" w:rsidRPr="000330B5" w14:paraId="22BB4759" w14:textId="77777777" w:rsidTr="00CF26C3">
        <w:tblPrEx>
          <w:tblCellMar>
            <w:top w:w="0" w:type="dxa"/>
            <w:bottom w:w="0" w:type="dxa"/>
          </w:tblCellMar>
        </w:tblPrEx>
        <w:tc>
          <w:tcPr>
            <w:tcW w:w="2400" w:type="dxa"/>
            <w:tcMar>
              <w:top w:w="80" w:type="dxa"/>
              <w:left w:w="100" w:type="dxa"/>
              <w:bottom w:w="80" w:type="dxa"/>
              <w:right w:w="100" w:type="dxa"/>
            </w:tcMar>
          </w:tcPr>
          <w:p w14:paraId="59241E7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Service</w:t>
            </w:r>
          </w:p>
        </w:tc>
        <w:tc>
          <w:tcPr>
            <w:tcW w:w="7400" w:type="dxa"/>
            <w:tcMar>
              <w:top w:w="80" w:type="dxa"/>
              <w:left w:w="100" w:type="dxa"/>
              <w:bottom w:w="80" w:type="dxa"/>
              <w:right w:w="100" w:type="dxa"/>
            </w:tcMar>
          </w:tcPr>
          <w:p w14:paraId="59B2282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Commercialisation of financial services, software updates for connected cars, and life cycle sustainability commitments for positioning aligned with SDG (Lukin, Krajnović and Bosna, 2022).</w:t>
            </w:r>
          </w:p>
        </w:tc>
      </w:tr>
    </w:tbl>
    <w:p w14:paraId="05ACD962"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br w:type="page"/>
      </w:r>
    </w:p>
    <w:p w14:paraId="531C32FB" w14:textId="77777777" w:rsidR="000330B5" w:rsidRPr="000330B5" w:rsidRDefault="000330B5" w:rsidP="000330B5">
      <w:pPr>
        <w:pStyle w:val="Heading1"/>
        <w:rPr>
          <w:lang w:val="en-GB"/>
        </w:rPr>
      </w:pPr>
      <w:bookmarkStart w:id="7" w:name="_Toc237513775"/>
      <w:r w:rsidRPr="000330B5">
        <w:rPr>
          <w:lang w:val="en-GB"/>
        </w:rPr>
        <w:lastRenderedPageBreak/>
        <w:t>6. Strategy Formulation</w:t>
      </w:r>
      <w:bookmarkEnd w:id="7"/>
    </w:p>
    <w:p w14:paraId="7BDCB1BA"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BMW's strategic choice is between a widespread focus on cost leadership, where Chinese and mass-market manufacturers with more cost-effective manufacturing can compete, and a differentiation strategy, where the traditional strength in terms of brand, engineering, and sustainability can be leveraged. However, for a premium manufacturer, cost leadership alone does not make sense and, in fact, BMW is moving towards a more focused differentiation strategy, supported by disciplined cost management, with approximately 8000 job cuts to date, and a move towards centralisation of E/E architectures based on software, which will lead to a decrease in complexity and per-car cost across the Brand portfolio (Bandur et al., 2021).</w:t>
      </w:r>
    </w:p>
    <w:p w14:paraId="5C9B3803"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This report puts forward a new approach for BMW Group that is based on three pillars. On the one hand, BMW will need to speed up and broaden its “in China, for China” strategy and have to co-develop battery and AI technology with local partners like Great Wall Motor, Alibaba, and other partners, in order to get a better understanding of local tastes and preferences and use Chinese local expertise to export cost-competitive technology. Second, BMW should take the zonal, distributed software architecture that powers the central element of Neue Klasse and expand it to the rest of the model line, bringing software features up to the entire fleet via OTA while also creating additional, higher-value potential for recurring software sales and services and shrinking the disadvantage in terms of development costs compared to China's vertically integrated competitors. Third, BMW needs to find new suppliers and new production sites, as it has learned during the pandemic (</w:t>
      </w:r>
      <w:proofErr w:type="spellStart"/>
      <w:r w:rsidRPr="000330B5">
        <w:rPr>
          <w:rFonts w:ascii="Times New Roman" w:hAnsi="Times New Roman" w:cs="Times New Roman"/>
          <w:szCs w:val="24"/>
          <w:lang w:val="en-GB"/>
        </w:rPr>
        <w:t>Chervenkova</w:t>
      </w:r>
      <w:proofErr w:type="spellEnd"/>
      <w:r w:rsidRPr="000330B5">
        <w:rPr>
          <w:rFonts w:ascii="Times New Roman" w:hAnsi="Times New Roman" w:cs="Times New Roman"/>
          <w:szCs w:val="24"/>
          <w:lang w:val="en-GB"/>
        </w:rPr>
        <w:t xml:space="preserve"> and Ivanov, 2023), to minimise reliance on any particular tariff regime or geopolitical shock, while continuing its investment in carbon reduction along the value chain and circular economy as a differentiator of the brand's value, which will help the Group achieve its sustainable-development-goal-oriented sustainability targets (Lukin et al., 2022). All of these decisions put BMW in a strong position to shield margin, speed up the electric transition, and maintain premium brand equity in the face of both current competitors and emerging new players.</w:t>
      </w:r>
    </w:p>
    <w:p w14:paraId="49C0A647"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w:t>
      </w:r>
    </w:p>
    <w:p w14:paraId="496D45C4" w14:textId="77777777" w:rsidR="000330B5" w:rsidRDefault="000330B5">
      <w:pPr>
        <w:rPr>
          <w:rFonts w:ascii="Times New Roman" w:hAnsi="Times New Roman" w:cs="Times New Roman"/>
          <w:szCs w:val="24"/>
          <w:lang w:val="en-GB"/>
        </w:rPr>
      </w:pPr>
      <w:r>
        <w:rPr>
          <w:rFonts w:ascii="Times New Roman" w:hAnsi="Times New Roman" w:cs="Times New Roman"/>
          <w:szCs w:val="24"/>
          <w:lang w:val="en-GB"/>
        </w:rPr>
        <w:br w:type="page"/>
      </w:r>
    </w:p>
    <w:p w14:paraId="7EB7CDCD" w14:textId="3134960D" w:rsidR="000330B5" w:rsidRPr="000330B5" w:rsidRDefault="000330B5" w:rsidP="000330B5">
      <w:pPr>
        <w:pStyle w:val="Heading1"/>
        <w:rPr>
          <w:lang w:val="en-GB"/>
        </w:rPr>
      </w:pPr>
      <w:bookmarkStart w:id="8" w:name="_Toc237513776"/>
      <w:r w:rsidRPr="000330B5">
        <w:rPr>
          <w:lang w:val="en-GB"/>
        </w:rPr>
        <w:lastRenderedPageBreak/>
        <w:t>7. Conclusion and Recommendation</w:t>
      </w:r>
      <w:bookmarkEnd w:id="8"/>
    </w:p>
    <w:p w14:paraId="6C5F33C5" w14:textId="146A3262"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With the first half of the decade behind, the BMW Group is now a financially strong yet margin-squeezed premium manufacturer in the midst of the most pronounced technological change in its history. Its global manufacturing footprint and flexibility, brand strength, and engineering capability are reliable competitive advantages, but heavy China dependence, tariff exposure, and cost disadvantages relative to vertically integrated Chinese EV producers pose a challenge for near-term profitability. The report states that BMW's Board of Management should pursue the proposed BMW Group strategy of deeper China localisation and technology partnership, increase the pace of transitioning to a centralised software-defined vehicle architecture across the BMW Group's vehicle portfolio, and continue diversifying the supply chain while differentiating on sustainability. The focus of management in the short-term should be on disciplined implementation of the roll-out of the Neue Klasse and the announced cost restructurings to again reach the automotive EBIT margin target corridor of 8 to 10</w:t>
      </w:r>
      <w:r>
        <w:rPr>
          <w:rFonts w:ascii="Times New Roman" w:hAnsi="Times New Roman" w:cs="Times New Roman"/>
          <w:szCs w:val="24"/>
          <w:lang w:val="en-GB"/>
        </w:rPr>
        <w:t>%</w:t>
      </w:r>
      <w:r w:rsidRPr="000330B5">
        <w:rPr>
          <w:rFonts w:ascii="Times New Roman" w:hAnsi="Times New Roman" w:cs="Times New Roman"/>
          <w:szCs w:val="24"/>
          <w:lang w:val="en-GB"/>
        </w:rPr>
        <w:t>. In the medium term, BMW should institutionalise recurring software and subscription streams and grow. Co-development partnerships that also reduce the cost of developing batteries and AI. Continued tracking of tariff policy, pricing activity of Chinese competitors, and advances in battery technology will be important, as change has been seen in this analysis to happen quickly. If implemented in a systematic manner, this approach will enable BMW to maintain its premium brand image while narrowing the profitability margin created by electrification and increasingly fierce competition around the globe.</w:t>
      </w:r>
    </w:p>
    <w:p w14:paraId="1B5207FA" w14:textId="77777777" w:rsidR="000330B5" w:rsidRPr="000330B5" w:rsidRDefault="000330B5" w:rsidP="000330B5">
      <w:pPr>
        <w:spacing w:line="360" w:lineRule="auto"/>
        <w:jc w:val="both"/>
        <w:rPr>
          <w:rFonts w:ascii="Times New Roman" w:hAnsi="Times New Roman" w:cs="Times New Roman"/>
          <w:szCs w:val="24"/>
          <w:lang w:val="en-GB"/>
        </w:rPr>
      </w:pPr>
    </w:p>
    <w:p w14:paraId="0C85EEF0" w14:textId="77777777" w:rsidR="000330B5" w:rsidRDefault="000330B5">
      <w:pPr>
        <w:rPr>
          <w:rFonts w:ascii="Times New Roman" w:hAnsi="Times New Roman" w:cs="Times New Roman"/>
          <w:szCs w:val="24"/>
          <w:lang w:val="en-GB"/>
        </w:rPr>
      </w:pPr>
      <w:r>
        <w:rPr>
          <w:rFonts w:ascii="Times New Roman" w:hAnsi="Times New Roman" w:cs="Times New Roman"/>
          <w:szCs w:val="24"/>
          <w:lang w:val="en-GB"/>
        </w:rPr>
        <w:br w:type="page"/>
      </w:r>
    </w:p>
    <w:p w14:paraId="3508BB97" w14:textId="001A5044" w:rsidR="000330B5" w:rsidRPr="000330B5" w:rsidRDefault="000330B5" w:rsidP="000330B5">
      <w:pPr>
        <w:pStyle w:val="Heading1"/>
        <w:rPr>
          <w:lang w:val="en-GB"/>
        </w:rPr>
      </w:pPr>
      <w:bookmarkStart w:id="9" w:name="_Toc237513777"/>
      <w:r w:rsidRPr="000330B5">
        <w:rPr>
          <w:lang w:val="en-GB"/>
        </w:rPr>
        <w:lastRenderedPageBreak/>
        <w:t>References</w:t>
      </w:r>
      <w:bookmarkEnd w:id="9"/>
    </w:p>
    <w:p w14:paraId="2B116B6B"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xml:space="preserve">Bandur, V., Selim, G., </w:t>
      </w:r>
      <w:proofErr w:type="spellStart"/>
      <w:r w:rsidRPr="000330B5">
        <w:rPr>
          <w:rFonts w:ascii="Times New Roman" w:hAnsi="Times New Roman" w:cs="Times New Roman"/>
          <w:szCs w:val="24"/>
          <w:lang w:val="en-GB"/>
        </w:rPr>
        <w:t>Pantelic</w:t>
      </w:r>
      <w:proofErr w:type="spellEnd"/>
      <w:r w:rsidRPr="000330B5">
        <w:rPr>
          <w:rFonts w:ascii="Times New Roman" w:hAnsi="Times New Roman" w:cs="Times New Roman"/>
          <w:szCs w:val="24"/>
          <w:lang w:val="en-GB"/>
        </w:rPr>
        <w:t>, V. and Lawford, M., 2021. Making the case for centralized automotive E/E architectures. </w:t>
      </w:r>
      <w:r w:rsidRPr="000330B5">
        <w:rPr>
          <w:rFonts w:ascii="Times New Roman" w:hAnsi="Times New Roman" w:cs="Times New Roman"/>
          <w:i/>
          <w:iCs/>
          <w:szCs w:val="24"/>
          <w:lang w:val="en-GB"/>
        </w:rPr>
        <w:t>IEEE Transactions on Vehicular Technology</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70</w:t>
      </w:r>
      <w:r w:rsidRPr="000330B5">
        <w:rPr>
          <w:rFonts w:ascii="Times New Roman" w:hAnsi="Times New Roman" w:cs="Times New Roman"/>
          <w:szCs w:val="24"/>
          <w:lang w:val="en-GB"/>
        </w:rPr>
        <w:t>(2), pp.1230-1245.</w:t>
      </w:r>
    </w:p>
    <w:p w14:paraId="5652C05C"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Chen, Y., 2022. Research on collaborative innovation of key common technologies in new energy vehicle industry based on digital twin technology. </w:t>
      </w:r>
      <w:r w:rsidRPr="000330B5">
        <w:rPr>
          <w:rFonts w:ascii="Times New Roman" w:hAnsi="Times New Roman" w:cs="Times New Roman"/>
          <w:i/>
          <w:iCs/>
          <w:szCs w:val="24"/>
          <w:lang w:val="en-GB"/>
        </w:rPr>
        <w:t>Energy Reports</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8</w:t>
      </w:r>
      <w:r w:rsidRPr="000330B5">
        <w:rPr>
          <w:rFonts w:ascii="Times New Roman" w:hAnsi="Times New Roman" w:cs="Times New Roman"/>
          <w:szCs w:val="24"/>
          <w:lang w:val="en-GB"/>
        </w:rPr>
        <w:t>, pp.15399-15407.</w:t>
      </w:r>
    </w:p>
    <w:p w14:paraId="3FAA771E" w14:textId="77777777" w:rsidR="000330B5" w:rsidRPr="000330B5" w:rsidRDefault="000330B5" w:rsidP="000330B5">
      <w:pPr>
        <w:spacing w:line="360" w:lineRule="auto"/>
        <w:jc w:val="both"/>
        <w:rPr>
          <w:rFonts w:ascii="Times New Roman" w:hAnsi="Times New Roman" w:cs="Times New Roman"/>
          <w:szCs w:val="24"/>
          <w:lang w:val="en-GB"/>
        </w:rPr>
      </w:pPr>
      <w:proofErr w:type="spellStart"/>
      <w:r w:rsidRPr="000330B5">
        <w:rPr>
          <w:rFonts w:ascii="Times New Roman" w:hAnsi="Times New Roman" w:cs="Times New Roman"/>
          <w:szCs w:val="24"/>
          <w:lang w:val="en-GB"/>
        </w:rPr>
        <w:t>Chervenkova</w:t>
      </w:r>
      <w:proofErr w:type="spellEnd"/>
      <w:r w:rsidRPr="000330B5">
        <w:rPr>
          <w:rFonts w:ascii="Times New Roman" w:hAnsi="Times New Roman" w:cs="Times New Roman"/>
          <w:szCs w:val="24"/>
          <w:lang w:val="en-GB"/>
        </w:rPr>
        <w:t>, T. and Ivanov, D., 2023. Adaptation strategies for building supply chain viability: A case study analysis of the global automotive industry re-purposing during the COVID-19 pandemic. </w:t>
      </w:r>
      <w:r w:rsidRPr="000330B5">
        <w:rPr>
          <w:rFonts w:ascii="Times New Roman" w:hAnsi="Times New Roman" w:cs="Times New Roman"/>
          <w:i/>
          <w:iCs/>
          <w:szCs w:val="24"/>
          <w:lang w:val="en-GB"/>
        </w:rPr>
        <w:t>Transportation Research Part E: Logistics and Transportation Review</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177</w:t>
      </w:r>
      <w:r w:rsidRPr="000330B5">
        <w:rPr>
          <w:rFonts w:ascii="Times New Roman" w:hAnsi="Times New Roman" w:cs="Times New Roman"/>
          <w:szCs w:val="24"/>
          <w:lang w:val="en-GB"/>
        </w:rPr>
        <w:t>, p.103249.</w:t>
      </w:r>
    </w:p>
    <w:p w14:paraId="09A890B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Czerwinski, F., 2021. Current trends in automotive lightweighting strategies and materials. </w:t>
      </w:r>
      <w:r w:rsidRPr="000330B5">
        <w:rPr>
          <w:rFonts w:ascii="Times New Roman" w:hAnsi="Times New Roman" w:cs="Times New Roman"/>
          <w:i/>
          <w:iCs/>
          <w:szCs w:val="24"/>
          <w:lang w:val="en-GB"/>
        </w:rPr>
        <w:t>Materials</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14</w:t>
      </w:r>
      <w:r w:rsidRPr="000330B5">
        <w:rPr>
          <w:rFonts w:ascii="Times New Roman" w:hAnsi="Times New Roman" w:cs="Times New Roman"/>
          <w:szCs w:val="24"/>
          <w:lang w:val="en-GB"/>
        </w:rPr>
        <w:t>(21), p.6631.</w:t>
      </w:r>
    </w:p>
    <w:p w14:paraId="22C59082"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Lee, J., Chua, P.C., Chen, L., Ng, P.H.N., Kim, Y., Wu, Q., Jeon, S., Jung, J., Chang, S. and Moon, S.K., 2023. Key enabling technologies for smart factory in automotive industry: Status and applications. </w:t>
      </w:r>
      <w:r w:rsidRPr="000330B5">
        <w:rPr>
          <w:rFonts w:ascii="Times New Roman" w:hAnsi="Times New Roman" w:cs="Times New Roman"/>
          <w:i/>
          <w:iCs/>
          <w:szCs w:val="24"/>
          <w:lang w:val="en-GB"/>
        </w:rPr>
        <w:t>International Journal of Precision Engineering and Manufacturing-Smart Technology</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1</w:t>
      </w:r>
      <w:r w:rsidRPr="000330B5">
        <w:rPr>
          <w:rFonts w:ascii="Times New Roman" w:hAnsi="Times New Roman" w:cs="Times New Roman"/>
          <w:szCs w:val="24"/>
          <w:lang w:val="en-GB"/>
        </w:rPr>
        <w:t>(1), pp.93-105.</w:t>
      </w:r>
    </w:p>
    <w:p w14:paraId="104589A5"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Llopis-Albert, C., Rubio, F. and Valero, F., 2021. Impact of digital transformation on the automotive industry. </w:t>
      </w:r>
      <w:r w:rsidRPr="000330B5">
        <w:rPr>
          <w:rFonts w:ascii="Times New Roman" w:hAnsi="Times New Roman" w:cs="Times New Roman"/>
          <w:i/>
          <w:iCs/>
          <w:szCs w:val="24"/>
          <w:lang w:val="en-GB"/>
        </w:rPr>
        <w:t>Technological forecasting and social change</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162</w:t>
      </w:r>
      <w:r w:rsidRPr="000330B5">
        <w:rPr>
          <w:rFonts w:ascii="Times New Roman" w:hAnsi="Times New Roman" w:cs="Times New Roman"/>
          <w:szCs w:val="24"/>
          <w:lang w:val="en-GB"/>
        </w:rPr>
        <w:t>, p.120343.</w:t>
      </w:r>
    </w:p>
    <w:p w14:paraId="56BE3E2E"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Lukin, E., Krajnović, A. and Bosna, J., 2022. Sustainability strategies and achieving SDGs: A comparative analysis of leading companies in the automotive industry. </w:t>
      </w:r>
      <w:r w:rsidRPr="000330B5">
        <w:rPr>
          <w:rFonts w:ascii="Times New Roman" w:hAnsi="Times New Roman" w:cs="Times New Roman"/>
          <w:i/>
          <w:iCs/>
          <w:szCs w:val="24"/>
          <w:lang w:val="en-GB"/>
        </w:rPr>
        <w:t>Sustainability</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14</w:t>
      </w:r>
      <w:r w:rsidRPr="000330B5">
        <w:rPr>
          <w:rFonts w:ascii="Times New Roman" w:hAnsi="Times New Roman" w:cs="Times New Roman"/>
          <w:szCs w:val="24"/>
          <w:lang w:val="en-GB"/>
        </w:rPr>
        <w:t>(7), p.4000.</w:t>
      </w:r>
    </w:p>
    <w:p w14:paraId="5B64503D"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Omol, E.J., 2024. Organizational digital transformation: from evolution to future trends. </w:t>
      </w:r>
      <w:r w:rsidRPr="000330B5">
        <w:rPr>
          <w:rFonts w:ascii="Times New Roman" w:hAnsi="Times New Roman" w:cs="Times New Roman"/>
          <w:i/>
          <w:iCs/>
          <w:szCs w:val="24"/>
          <w:lang w:val="en-GB"/>
        </w:rPr>
        <w:t>Digital Transformation and Society</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3</w:t>
      </w:r>
      <w:r w:rsidRPr="000330B5">
        <w:rPr>
          <w:rFonts w:ascii="Times New Roman" w:hAnsi="Times New Roman" w:cs="Times New Roman"/>
          <w:szCs w:val="24"/>
          <w:lang w:val="en-GB"/>
        </w:rPr>
        <w:t>(3), pp.240-256.</w:t>
      </w:r>
    </w:p>
    <w:p w14:paraId="326712B9" w14:textId="77777777" w:rsidR="000330B5"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xml:space="preserve">Petti, C., Spigarelli, F., </w:t>
      </w:r>
      <w:proofErr w:type="spellStart"/>
      <w:r w:rsidRPr="000330B5">
        <w:rPr>
          <w:rFonts w:ascii="Times New Roman" w:hAnsi="Times New Roman" w:cs="Times New Roman"/>
          <w:szCs w:val="24"/>
          <w:lang w:val="en-GB"/>
        </w:rPr>
        <w:t>Lv</w:t>
      </w:r>
      <w:proofErr w:type="spellEnd"/>
      <w:r w:rsidRPr="000330B5">
        <w:rPr>
          <w:rFonts w:ascii="Times New Roman" w:hAnsi="Times New Roman" w:cs="Times New Roman"/>
          <w:szCs w:val="24"/>
          <w:lang w:val="en-GB"/>
        </w:rPr>
        <w:t xml:space="preserve">, P. and </w:t>
      </w:r>
      <w:proofErr w:type="spellStart"/>
      <w:r w:rsidRPr="000330B5">
        <w:rPr>
          <w:rFonts w:ascii="Times New Roman" w:hAnsi="Times New Roman" w:cs="Times New Roman"/>
          <w:szCs w:val="24"/>
          <w:lang w:val="en-GB"/>
        </w:rPr>
        <w:t>Biggeri</w:t>
      </w:r>
      <w:proofErr w:type="spellEnd"/>
      <w:r w:rsidRPr="000330B5">
        <w:rPr>
          <w:rFonts w:ascii="Times New Roman" w:hAnsi="Times New Roman" w:cs="Times New Roman"/>
          <w:szCs w:val="24"/>
          <w:lang w:val="en-GB"/>
        </w:rPr>
        <w:t>, M., 2021. Globalization and innovation with Chinese characteristics: the case of the automotive industry. </w:t>
      </w:r>
      <w:r w:rsidRPr="000330B5">
        <w:rPr>
          <w:rFonts w:ascii="Times New Roman" w:hAnsi="Times New Roman" w:cs="Times New Roman"/>
          <w:i/>
          <w:iCs/>
          <w:szCs w:val="24"/>
          <w:lang w:val="en-GB"/>
        </w:rPr>
        <w:t>International journal of emerging markets</w:t>
      </w:r>
      <w:r w:rsidRPr="000330B5">
        <w:rPr>
          <w:rFonts w:ascii="Times New Roman" w:hAnsi="Times New Roman" w:cs="Times New Roman"/>
          <w:szCs w:val="24"/>
          <w:lang w:val="en-GB"/>
        </w:rPr>
        <w:t>, </w:t>
      </w:r>
      <w:r w:rsidRPr="000330B5">
        <w:rPr>
          <w:rFonts w:ascii="Times New Roman" w:hAnsi="Times New Roman" w:cs="Times New Roman"/>
          <w:i/>
          <w:iCs/>
          <w:szCs w:val="24"/>
          <w:lang w:val="en-GB"/>
        </w:rPr>
        <w:t>16</w:t>
      </w:r>
      <w:r w:rsidRPr="000330B5">
        <w:rPr>
          <w:rFonts w:ascii="Times New Roman" w:hAnsi="Times New Roman" w:cs="Times New Roman"/>
          <w:szCs w:val="24"/>
          <w:lang w:val="en-GB"/>
        </w:rPr>
        <w:t>(2), pp.303-322.</w:t>
      </w:r>
    </w:p>
    <w:p w14:paraId="0EF97095" w14:textId="092C2371" w:rsidR="00006994" w:rsidRPr="000330B5" w:rsidRDefault="000330B5" w:rsidP="000330B5">
      <w:pPr>
        <w:spacing w:line="360" w:lineRule="auto"/>
        <w:jc w:val="both"/>
        <w:rPr>
          <w:rFonts w:ascii="Times New Roman" w:hAnsi="Times New Roman" w:cs="Times New Roman"/>
          <w:szCs w:val="24"/>
          <w:lang w:val="en-GB"/>
        </w:rPr>
      </w:pPr>
      <w:r w:rsidRPr="000330B5">
        <w:rPr>
          <w:rFonts w:ascii="Times New Roman" w:hAnsi="Times New Roman" w:cs="Times New Roman"/>
          <w:szCs w:val="24"/>
          <w:lang w:val="en-GB"/>
        </w:rPr>
        <w:t xml:space="preserve">Zhilkin, O. and </w:t>
      </w:r>
      <w:proofErr w:type="spellStart"/>
      <w:r w:rsidRPr="000330B5">
        <w:rPr>
          <w:rFonts w:ascii="Times New Roman" w:hAnsi="Times New Roman" w:cs="Times New Roman"/>
          <w:szCs w:val="24"/>
          <w:lang w:val="en-GB"/>
        </w:rPr>
        <w:t>Kiryukhina</w:t>
      </w:r>
      <w:proofErr w:type="spellEnd"/>
      <w:r w:rsidRPr="000330B5">
        <w:rPr>
          <w:rFonts w:ascii="Times New Roman" w:hAnsi="Times New Roman" w:cs="Times New Roman"/>
          <w:szCs w:val="24"/>
          <w:lang w:val="en-GB"/>
        </w:rPr>
        <w:t>, S., 2021. Automotive industry: trends in the implementation of modern corporate strategies. In </w:t>
      </w:r>
      <w:r w:rsidRPr="000330B5">
        <w:rPr>
          <w:rFonts w:ascii="Times New Roman" w:hAnsi="Times New Roman" w:cs="Times New Roman"/>
          <w:i/>
          <w:iCs/>
          <w:szCs w:val="24"/>
          <w:lang w:val="en-GB"/>
        </w:rPr>
        <w:t>SHS Web of Conferences</w:t>
      </w:r>
      <w:r w:rsidRPr="000330B5">
        <w:rPr>
          <w:rFonts w:ascii="Times New Roman" w:hAnsi="Times New Roman" w:cs="Times New Roman"/>
          <w:szCs w:val="24"/>
          <w:lang w:val="en-GB"/>
        </w:rPr>
        <w:t> (Vol. 114, p. 01003). EDP Sciences.</w:t>
      </w:r>
    </w:p>
    <w:sectPr w:rsidR="00006994" w:rsidRPr="000330B5" w:rsidSect="000330B5">
      <w:footerReference w:type="default" r:id="rId7"/>
      <w:pgSz w:w="11906" w:h="16838" w:code="9"/>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848E2" w14:textId="77777777" w:rsidR="00E04CA2" w:rsidRDefault="00E04CA2" w:rsidP="000330B5">
      <w:pPr>
        <w:spacing w:after="0" w:line="240" w:lineRule="auto"/>
      </w:pPr>
      <w:r>
        <w:separator/>
      </w:r>
    </w:p>
  </w:endnote>
  <w:endnote w:type="continuationSeparator" w:id="0">
    <w:p w14:paraId="5C2B9B34" w14:textId="77777777" w:rsidR="00E04CA2" w:rsidRDefault="00E04CA2" w:rsidP="00033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901469"/>
      <w:docPartObj>
        <w:docPartGallery w:val="Page Numbers (Bottom of Page)"/>
        <w:docPartUnique/>
      </w:docPartObj>
    </w:sdtPr>
    <w:sdtEndPr>
      <w:rPr>
        <w:noProof/>
      </w:rPr>
    </w:sdtEndPr>
    <w:sdtContent>
      <w:p w14:paraId="14A85E81" w14:textId="5F22AA2A" w:rsidR="000330B5" w:rsidRDefault="000330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C2613D" w14:textId="77777777" w:rsidR="000330B5" w:rsidRDefault="00033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D0E99" w14:textId="77777777" w:rsidR="00E04CA2" w:rsidRDefault="00E04CA2" w:rsidP="000330B5">
      <w:pPr>
        <w:spacing w:after="0" w:line="240" w:lineRule="auto"/>
      </w:pPr>
      <w:r>
        <w:separator/>
      </w:r>
    </w:p>
  </w:footnote>
  <w:footnote w:type="continuationSeparator" w:id="0">
    <w:p w14:paraId="10A8B7BF" w14:textId="77777777" w:rsidR="00E04CA2" w:rsidRDefault="00E04CA2" w:rsidP="000330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0B5"/>
    <w:rsid w:val="00006994"/>
    <w:rsid w:val="000330B5"/>
    <w:rsid w:val="008918FA"/>
    <w:rsid w:val="00E04CA2"/>
    <w:rsid w:val="00F83B9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4012A"/>
  <w15:chartTrackingRefBased/>
  <w15:docId w15:val="{5FCF898D-17EB-4BD3-8A01-3C084BE0A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0B5"/>
    <w:pPr>
      <w:keepNext/>
      <w:keepLines/>
      <w:spacing w:before="360" w:after="80" w:line="360" w:lineRule="auto"/>
      <w:jc w:val="both"/>
      <w:outlineLvl w:val="0"/>
    </w:pPr>
    <w:rPr>
      <w:rFonts w:ascii="Times New Roman" w:eastAsiaTheme="majorEastAsia" w:hAnsi="Times New Roman" w:cstheme="majorBidi"/>
      <w:b/>
      <w:color w:val="0F4761" w:themeColor="accent1" w:themeShade="BF"/>
      <w:sz w:val="28"/>
      <w:szCs w:val="50"/>
    </w:rPr>
  </w:style>
  <w:style w:type="paragraph" w:styleId="Heading2">
    <w:name w:val="heading 2"/>
    <w:basedOn w:val="Normal"/>
    <w:next w:val="Normal"/>
    <w:link w:val="Heading2Char"/>
    <w:uiPriority w:val="9"/>
    <w:unhideWhenUsed/>
    <w:qFormat/>
    <w:rsid w:val="000330B5"/>
    <w:pPr>
      <w:keepNext/>
      <w:keepLines/>
      <w:spacing w:before="160" w:after="80" w:line="360" w:lineRule="auto"/>
      <w:jc w:val="both"/>
      <w:outlineLvl w:val="1"/>
    </w:pPr>
    <w:rPr>
      <w:rFonts w:ascii="Times New Roman" w:eastAsiaTheme="majorEastAsia" w:hAnsi="Times New Roman" w:cstheme="majorBidi"/>
      <w:b/>
      <w:color w:val="000000" w:themeColor="text1"/>
      <w:sz w:val="28"/>
      <w:szCs w:val="40"/>
    </w:rPr>
  </w:style>
  <w:style w:type="paragraph" w:styleId="Heading3">
    <w:name w:val="heading 3"/>
    <w:basedOn w:val="Normal"/>
    <w:next w:val="Normal"/>
    <w:link w:val="Heading3Char"/>
    <w:uiPriority w:val="9"/>
    <w:semiHidden/>
    <w:unhideWhenUsed/>
    <w:qFormat/>
    <w:rsid w:val="000330B5"/>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033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0B5"/>
    <w:rPr>
      <w:rFonts w:ascii="Times New Roman" w:eastAsiaTheme="majorEastAsia" w:hAnsi="Times New Roman" w:cstheme="majorBidi"/>
      <w:b/>
      <w:color w:val="0F4761" w:themeColor="accent1" w:themeShade="BF"/>
      <w:sz w:val="28"/>
      <w:szCs w:val="50"/>
    </w:rPr>
  </w:style>
  <w:style w:type="character" w:customStyle="1" w:styleId="Heading2Char">
    <w:name w:val="Heading 2 Char"/>
    <w:basedOn w:val="DefaultParagraphFont"/>
    <w:link w:val="Heading2"/>
    <w:uiPriority w:val="9"/>
    <w:rsid w:val="000330B5"/>
    <w:rPr>
      <w:rFonts w:ascii="Times New Roman" w:eastAsiaTheme="majorEastAsia" w:hAnsi="Times New Roman" w:cstheme="majorBidi"/>
      <w:b/>
      <w:color w:val="000000" w:themeColor="text1"/>
      <w:sz w:val="28"/>
      <w:szCs w:val="40"/>
    </w:rPr>
  </w:style>
  <w:style w:type="character" w:customStyle="1" w:styleId="Heading3Char">
    <w:name w:val="Heading 3 Char"/>
    <w:basedOn w:val="DefaultParagraphFont"/>
    <w:link w:val="Heading3"/>
    <w:uiPriority w:val="9"/>
    <w:semiHidden/>
    <w:rsid w:val="000330B5"/>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0330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0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0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0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0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0B5"/>
    <w:rPr>
      <w:rFonts w:eastAsiaTheme="majorEastAsia" w:cstheme="majorBidi"/>
      <w:color w:val="272727" w:themeColor="text1" w:themeTint="D8"/>
    </w:rPr>
  </w:style>
  <w:style w:type="paragraph" w:styleId="Title">
    <w:name w:val="Title"/>
    <w:basedOn w:val="Normal"/>
    <w:next w:val="Normal"/>
    <w:link w:val="TitleChar"/>
    <w:uiPriority w:val="10"/>
    <w:qFormat/>
    <w:rsid w:val="000330B5"/>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0330B5"/>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0330B5"/>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0330B5"/>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0330B5"/>
    <w:pPr>
      <w:spacing w:before="160"/>
      <w:jc w:val="center"/>
    </w:pPr>
    <w:rPr>
      <w:i/>
      <w:iCs/>
      <w:color w:val="404040" w:themeColor="text1" w:themeTint="BF"/>
    </w:rPr>
  </w:style>
  <w:style w:type="character" w:customStyle="1" w:styleId="QuoteChar">
    <w:name w:val="Quote Char"/>
    <w:basedOn w:val="DefaultParagraphFont"/>
    <w:link w:val="Quote"/>
    <w:uiPriority w:val="29"/>
    <w:rsid w:val="000330B5"/>
    <w:rPr>
      <w:i/>
      <w:iCs/>
      <w:color w:val="404040" w:themeColor="text1" w:themeTint="BF"/>
    </w:rPr>
  </w:style>
  <w:style w:type="paragraph" w:styleId="ListParagraph">
    <w:name w:val="List Paragraph"/>
    <w:basedOn w:val="Normal"/>
    <w:uiPriority w:val="34"/>
    <w:qFormat/>
    <w:rsid w:val="000330B5"/>
    <w:pPr>
      <w:ind w:left="720"/>
      <w:contextualSpacing/>
    </w:pPr>
  </w:style>
  <w:style w:type="character" w:styleId="IntenseEmphasis">
    <w:name w:val="Intense Emphasis"/>
    <w:basedOn w:val="DefaultParagraphFont"/>
    <w:uiPriority w:val="21"/>
    <w:qFormat/>
    <w:rsid w:val="000330B5"/>
    <w:rPr>
      <w:i/>
      <w:iCs/>
      <w:color w:val="0F4761" w:themeColor="accent1" w:themeShade="BF"/>
    </w:rPr>
  </w:style>
  <w:style w:type="paragraph" w:styleId="IntenseQuote">
    <w:name w:val="Intense Quote"/>
    <w:basedOn w:val="Normal"/>
    <w:next w:val="Normal"/>
    <w:link w:val="IntenseQuoteChar"/>
    <w:uiPriority w:val="30"/>
    <w:qFormat/>
    <w:rsid w:val="00033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0B5"/>
    <w:rPr>
      <w:i/>
      <w:iCs/>
      <w:color w:val="0F4761" w:themeColor="accent1" w:themeShade="BF"/>
    </w:rPr>
  </w:style>
  <w:style w:type="character" w:styleId="IntenseReference">
    <w:name w:val="Intense Reference"/>
    <w:basedOn w:val="DefaultParagraphFont"/>
    <w:uiPriority w:val="32"/>
    <w:qFormat/>
    <w:rsid w:val="000330B5"/>
    <w:rPr>
      <w:b/>
      <w:bCs/>
      <w:smallCaps/>
      <w:color w:val="0F4761" w:themeColor="accent1" w:themeShade="BF"/>
      <w:spacing w:val="5"/>
    </w:rPr>
  </w:style>
  <w:style w:type="paragraph" w:styleId="NoSpacing">
    <w:name w:val="No Spacing"/>
    <w:uiPriority w:val="1"/>
    <w:qFormat/>
    <w:rsid w:val="000330B5"/>
    <w:pPr>
      <w:spacing w:after="0" w:line="240" w:lineRule="auto"/>
    </w:pPr>
  </w:style>
  <w:style w:type="paragraph" w:styleId="Header">
    <w:name w:val="header"/>
    <w:basedOn w:val="Normal"/>
    <w:link w:val="HeaderChar"/>
    <w:uiPriority w:val="99"/>
    <w:unhideWhenUsed/>
    <w:rsid w:val="000330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30B5"/>
  </w:style>
  <w:style w:type="paragraph" w:styleId="Footer">
    <w:name w:val="footer"/>
    <w:basedOn w:val="Normal"/>
    <w:link w:val="FooterChar"/>
    <w:uiPriority w:val="99"/>
    <w:unhideWhenUsed/>
    <w:rsid w:val="000330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30B5"/>
  </w:style>
  <w:style w:type="paragraph" w:styleId="TOCHeading">
    <w:name w:val="TOC Heading"/>
    <w:basedOn w:val="Heading1"/>
    <w:next w:val="Normal"/>
    <w:uiPriority w:val="39"/>
    <w:unhideWhenUsed/>
    <w:qFormat/>
    <w:rsid w:val="000330B5"/>
    <w:pPr>
      <w:spacing w:before="240" w:after="0" w:line="259" w:lineRule="auto"/>
      <w:jc w:val="left"/>
      <w:outlineLvl w:val="9"/>
    </w:pPr>
    <w:rPr>
      <w:rFonts w:asciiTheme="majorHAnsi" w:hAnsiTheme="majorHAnsi"/>
      <w:b w:val="0"/>
      <w:kern w:val="0"/>
      <w:sz w:val="32"/>
      <w:szCs w:val="32"/>
      <w:lang w:bidi="ar-SA"/>
      <w14:ligatures w14:val="none"/>
    </w:rPr>
  </w:style>
  <w:style w:type="paragraph" w:styleId="TOC1">
    <w:name w:val="toc 1"/>
    <w:basedOn w:val="Normal"/>
    <w:next w:val="Normal"/>
    <w:autoRedefine/>
    <w:uiPriority w:val="39"/>
    <w:unhideWhenUsed/>
    <w:rsid w:val="000330B5"/>
    <w:pPr>
      <w:spacing w:after="100"/>
    </w:pPr>
  </w:style>
  <w:style w:type="paragraph" w:styleId="TOC2">
    <w:name w:val="toc 2"/>
    <w:basedOn w:val="Normal"/>
    <w:next w:val="Normal"/>
    <w:autoRedefine/>
    <w:uiPriority w:val="39"/>
    <w:unhideWhenUsed/>
    <w:rsid w:val="000330B5"/>
    <w:pPr>
      <w:spacing w:after="100"/>
      <w:ind w:left="240"/>
    </w:pPr>
  </w:style>
  <w:style w:type="character" w:styleId="Hyperlink">
    <w:name w:val="Hyperlink"/>
    <w:basedOn w:val="DefaultParagraphFont"/>
    <w:uiPriority w:val="99"/>
    <w:unhideWhenUsed/>
    <w:rsid w:val="000330B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975A8-5AED-45AB-A4C1-72A9BF159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2863</Words>
  <Characters>16321</Characters>
  <DocSecurity>0</DocSecurity>
  <Lines>136</Lines>
  <Paragraphs>38</Paragraphs>
  <ScaleCrop>false</ScaleCrop>
  <Company/>
  <LinksUpToDate>false</LinksUpToDate>
  <CharactersWithSpaces>19146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2026-08-13T05:35:00Z</dcterms:created>
  <dcterms:modified xsi:type="dcterms:W3CDTF">2026-08-13T05:44:00Z</dcterms:modified>
</cp:coreProperties>
</file>