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743F4290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470A43BF" w:rsidR="007801F9" w:rsidRDefault="00E16542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Environmental Legislation &amp; Circular Economy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21-02-10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796869D1" w:rsidR="007801F9" w:rsidRDefault="00E16542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10/02/2021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4B6A1AAB" w:rsidR="007801F9" w:rsidRDefault="00E16542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21C71557" w:rsidR="007801F9" w:rsidRDefault="00E16542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69E29C16" w:rsidR="000318EB" w:rsidRDefault="00E16542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N/A</w:t>
            </w: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1EE41A03" w14:textId="6897B9D5" w:rsidR="00B1208A" w:rsidRPr="00B1208A" w:rsidRDefault="00B1208A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 xml:space="preserve">To </w:t>
      </w:r>
      <w:r w:rsidR="00E16542">
        <w:rPr>
          <w:rFonts w:ascii="Arial" w:hAnsi="Arial" w:cs="Arial"/>
          <w:sz w:val="22"/>
          <w:szCs w:val="22"/>
        </w:rPr>
        <w:t>enable students to make informed judgments concerning the principal legal aspects relating to the environment, as well as outlining the importance of circular economy in policy and practice.</w:t>
      </w:r>
    </w:p>
    <w:p w14:paraId="2FC6B1F8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4276662B" w14:textId="2427D854" w:rsidR="00B1208A" w:rsidRPr="00B1208A" w:rsidRDefault="00E16542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Use and apply legal materials that influence the environment and apply these to a range of case study scenarios</w:t>
      </w:r>
    </w:p>
    <w:p w14:paraId="533A4887" w14:textId="6753BE4C" w:rsidR="00B1208A" w:rsidRPr="00B1208A" w:rsidRDefault="00F93B2A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Introduce the circular economy and its importance of policy and practice</w:t>
      </w:r>
    </w:p>
    <w:p w14:paraId="7DFD32C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67185D27" w14:textId="45D69A7F" w:rsidR="00B1208A" w:rsidRPr="00B1208A" w:rsidRDefault="00F93B2A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Introduction of the legal framework for England and Wales</w:t>
      </w:r>
    </w:p>
    <w:p w14:paraId="2CBA9096" w14:textId="149654A4" w:rsidR="00B1208A" w:rsidRPr="00B1208A" w:rsidRDefault="00F93B2A" w:rsidP="00F93B2A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Identification of key stakeholders within the legal and policy framework, and their respective roles and responsibilities for the environment</w:t>
      </w:r>
    </w:p>
    <w:p w14:paraId="0C49A828" w14:textId="2B15AD8D" w:rsidR="00B1208A" w:rsidRPr="00B1208A" w:rsidRDefault="00F93B2A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Coverage of key legal controls for differing environmental media</w:t>
      </w:r>
    </w:p>
    <w:p w14:paraId="00C4BBF6" w14:textId="653C3C51" w:rsidR="00B1208A" w:rsidRPr="00F93B2A" w:rsidRDefault="00F93B2A" w:rsidP="00F93B2A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  <w:highlight w:val="yellow"/>
        </w:rPr>
      </w:pPr>
      <w:r w:rsidRPr="00F93B2A">
        <w:rPr>
          <w:rFonts w:ascii="Arial" w:hAnsi="Arial" w:cs="Arial"/>
          <w:sz w:val="22"/>
          <w:szCs w:val="22"/>
          <w:highlight w:val="yellow"/>
        </w:rPr>
        <w:t>Introduction to the circular economy, its associated policy framework and importance globally, nationally and locally</w:t>
      </w:r>
    </w:p>
    <w:p w14:paraId="166B6D0A" w14:textId="53361B22" w:rsidR="00B1208A" w:rsidRPr="00F93B2A" w:rsidRDefault="00F93B2A" w:rsidP="00F93B2A">
      <w:pPr>
        <w:pStyle w:val="ListParagraph"/>
        <w:numPr>
          <w:ilvl w:val="0"/>
          <w:numId w:val="2"/>
        </w:numPr>
        <w:spacing w:before="240"/>
        <w:ind w:left="851" w:hanging="567"/>
        <w:jc w:val="both"/>
        <w:rPr>
          <w:rFonts w:ascii="Arial" w:hAnsi="Arial" w:cs="Arial"/>
          <w:sz w:val="22"/>
          <w:szCs w:val="22"/>
          <w:highlight w:val="yellow"/>
        </w:rPr>
      </w:pPr>
      <w:r w:rsidRPr="00F93B2A">
        <w:rPr>
          <w:rFonts w:ascii="Arial" w:hAnsi="Arial" w:cs="Arial"/>
          <w:sz w:val="22"/>
          <w:szCs w:val="22"/>
          <w:highlight w:val="yellow"/>
        </w:rPr>
        <w:t>Underlying principles of circular economy, including progress towards achievement via case studies that demonstrate the fundamentals (globally, nationally and locally).</w:t>
      </w:r>
    </w:p>
    <w:p w14:paraId="3242D39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48BC9E6A" w14:textId="77DBE102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3128B33" w14:textId="77777777" w:rsidTr="008D7603">
        <w:tc>
          <w:tcPr>
            <w:tcW w:w="3969" w:type="dxa"/>
          </w:tcPr>
          <w:p w14:paraId="59DE5F2C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42FF893B" w:rsidR="00B1208A" w:rsidRPr="00B1208A" w:rsidRDefault="00F93B2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14:paraId="7164CCD2" w14:textId="3F7B28DC" w:rsidR="00B1208A" w:rsidRPr="00B1208A" w:rsidRDefault="00F93B2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24%</w:t>
            </w:r>
          </w:p>
        </w:tc>
      </w:tr>
      <w:tr w:rsidR="00B1208A" w:rsidRPr="00B1208A" w14:paraId="48623A03" w14:textId="77777777" w:rsidTr="008D7603">
        <w:tc>
          <w:tcPr>
            <w:tcW w:w="3969" w:type="dxa"/>
          </w:tcPr>
          <w:p w14:paraId="3973078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3FECB87B" w:rsidR="00B1208A" w:rsidRPr="00B1208A" w:rsidRDefault="00F93B2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14:paraId="4AB622CF" w14:textId="50ECECA8" w:rsidR="00B1208A" w:rsidRPr="00B1208A" w:rsidRDefault="00F93B2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76%</w:t>
            </w:r>
          </w:p>
        </w:tc>
      </w:tr>
      <w:tr w:rsidR="00B1208A" w:rsidRPr="00B1208A" w14:paraId="29E89567" w14:textId="77777777" w:rsidTr="008D7603">
        <w:tc>
          <w:tcPr>
            <w:tcW w:w="3969" w:type="dxa"/>
          </w:tcPr>
          <w:p w14:paraId="7B58649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14:paraId="22C63B95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2BEF44F9" w14:textId="77777777" w:rsidTr="008D7603">
        <w:tc>
          <w:tcPr>
            <w:tcW w:w="3969" w:type="dxa"/>
          </w:tcPr>
          <w:p w14:paraId="5AB854D4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355BAC7C" w:rsidR="00B1208A" w:rsidRPr="00B1208A" w:rsidRDefault="00F93B2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23449649" w:rsidR="00B1208A" w:rsidRPr="00B1208A" w:rsidRDefault="00BC5D54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00B53530">
        <w:tc>
          <w:tcPr>
            <w:tcW w:w="3256" w:type="dxa"/>
          </w:tcPr>
          <w:p w14:paraId="5183CBBC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2976F189" w14:textId="77777777" w:rsidTr="00B53530">
        <w:tc>
          <w:tcPr>
            <w:tcW w:w="3256" w:type="dxa"/>
          </w:tcPr>
          <w:p w14:paraId="7ECFFB20" w14:textId="1EED95E6" w:rsidR="00B1208A" w:rsidRPr="00B1208A" w:rsidRDefault="00F93B2A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Video (or similar multimedia file)</w:t>
            </w:r>
            <w:r w:rsidR="00F0221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14:paraId="0BE1ECE5" w14:textId="2FB1904D" w:rsidR="00B1208A" w:rsidRPr="00F93B2A" w:rsidRDefault="00F93B2A" w:rsidP="00F0221E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F93B2A">
              <w:rPr>
                <w:rFonts w:ascii="Arial" w:hAnsi="Arial" w:cs="Arial"/>
                <w:sz w:val="22"/>
                <w:szCs w:val="22"/>
              </w:rPr>
              <w:t>10 minutes or equivalent</w:t>
            </w:r>
          </w:p>
        </w:tc>
        <w:tc>
          <w:tcPr>
            <w:tcW w:w="1559" w:type="dxa"/>
          </w:tcPr>
          <w:p w14:paraId="7549C0D0" w14:textId="7BD8514C" w:rsidR="00B1208A" w:rsidRPr="00B1208A" w:rsidRDefault="00F93B2A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531CE5EB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6AD3759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59DFD59" w14:textId="77777777" w:rsidR="007801F9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0E31160B" w14:textId="4953F9AB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2</w:t>
      </w:r>
    </w:p>
    <w:p w14:paraId="0C276D21" w14:textId="238B8E33" w:rsidR="00B1208A" w:rsidRPr="00B1208A" w:rsidRDefault="00BA343F" w:rsidP="00B1208A">
      <w:pPr>
        <w:rPr>
          <w:rFonts w:ascii="Arial" w:hAnsi="Arial" w:cs="Arial"/>
          <w:b/>
          <w:sz w:val="22"/>
          <w:szCs w:val="22"/>
        </w:rPr>
      </w:pPr>
      <w:r w:rsidRPr="00BA343F">
        <w:rPr>
          <w:rFonts w:ascii="Arial" w:hAnsi="Arial" w:cs="Arial"/>
          <w:b/>
          <w:i/>
          <w:sz w:val="20"/>
        </w:rPr>
        <w:t>(Tick one</w:t>
      </w:r>
      <w:r w:rsidR="00AA501F">
        <w:rPr>
          <w:rFonts w:ascii="Arial" w:hAnsi="Arial" w:cs="Arial"/>
          <w:b/>
          <w:i/>
          <w:sz w:val="20"/>
        </w:rPr>
        <w:t>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575AE81B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F924941" w14:textId="4A1A3C5A" w:rsidR="00B1208A" w:rsidRPr="00B1208A" w:rsidRDefault="00F93B2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58" w:type="dxa"/>
          </w:tcPr>
          <w:p w14:paraId="0A111A48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D2A0390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FD7891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B453FC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306CFB4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55874B1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B1208A" w14:paraId="1BB8FD3D" w14:textId="77777777" w:rsidTr="00447080">
        <w:tc>
          <w:tcPr>
            <w:tcW w:w="3256" w:type="dxa"/>
          </w:tcPr>
          <w:p w14:paraId="4258B827" w14:textId="77777777" w:rsidR="00B53530" w:rsidRPr="00B1208A" w:rsidRDefault="00B53530" w:rsidP="0044708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609D813D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573EF88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53530" w:rsidRPr="00B1208A" w14:paraId="25E5505F" w14:textId="77777777" w:rsidTr="00447080">
        <w:tc>
          <w:tcPr>
            <w:tcW w:w="3256" w:type="dxa"/>
          </w:tcPr>
          <w:p w14:paraId="22D7D5EB" w14:textId="6A242DB8" w:rsidR="00B53530" w:rsidRPr="00B1208A" w:rsidRDefault="00F93B2A" w:rsidP="004470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Exam (open book)</w:t>
            </w:r>
            <w:r w:rsidR="00B5353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14:paraId="4D365A28" w14:textId="34BC7040" w:rsidR="00B53530" w:rsidRPr="00F0221E" w:rsidRDefault="00F93B2A" w:rsidP="00447080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F93B2A">
              <w:rPr>
                <w:rFonts w:ascii="Arial" w:hAnsi="Arial" w:cs="Arial"/>
                <w:sz w:val="22"/>
                <w:szCs w:val="22"/>
              </w:rPr>
              <w:t>7 hours (open book)</w:t>
            </w:r>
          </w:p>
        </w:tc>
        <w:tc>
          <w:tcPr>
            <w:tcW w:w="1559" w:type="dxa"/>
          </w:tcPr>
          <w:p w14:paraId="392D9CCE" w14:textId="2DC31AB1" w:rsidR="00B53530" w:rsidRPr="00B1208A" w:rsidRDefault="00F93B2A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6949159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  <w:highlight w:val="cyan"/>
        </w:rPr>
      </w:pPr>
    </w:p>
    <w:p w14:paraId="33CD395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AB51084" w14:textId="77777777" w:rsidTr="008D7603">
        <w:tc>
          <w:tcPr>
            <w:tcW w:w="3261" w:type="dxa"/>
          </w:tcPr>
          <w:p w14:paraId="55BDA44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571F4DF5" w:rsidR="00B1208A" w:rsidRPr="00B1208A" w:rsidRDefault="0053265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B1208A" w:rsidRPr="00B1208A" w14:paraId="524A0572" w14:textId="77777777" w:rsidTr="008D7603">
        <w:tc>
          <w:tcPr>
            <w:tcW w:w="3261" w:type="dxa"/>
          </w:tcPr>
          <w:p w14:paraId="1F476B8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2AF3AB98" w:rsidR="00B1208A" w:rsidRPr="00B1208A" w:rsidRDefault="0053265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B1208A" w:rsidRPr="00B1208A" w14:paraId="6B7D6DDF" w14:textId="77777777" w:rsidTr="008D7603">
        <w:tc>
          <w:tcPr>
            <w:tcW w:w="3261" w:type="dxa"/>
          </w:tcPr>
          <w:p w14:paraId="7CBFBB8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1208A" w:rsidRPr="00B1208A" w14:paraId="0B664606" w14:textId="77777777" w:rsidTr="008D7603">
        <w:tc>
          <w:tcPr>
            <w:tcW w:w="3261" w:type="dxa"/>
          </w:tcPr>
          <w:p w14:paraId="45ECE7F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6735AD32" w14:textId="3E6B3C93" w:rsidR="00A74B3E" w:rsidRPr="00A74B3E" w:rsidRDefault="00527E61" w:rsidP="00A74B3E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A74B3E">
        <w:rPr>
          <w:rFonts w:ascii="Arial" w:hAnsi="Arial" w:cs="Arial"/>
          <w:b/>
          <w:sz w:val="22"/>
          <w:szCs w:val="22"/>
        </w:rPr>
        <w:t>READING LIST</w:t>
      </w:r>
    </w:p>
    <w:p w14:paraId="1142575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391E82D2" w14:textId="77777777" w:rsidR="00A74B3E" w:rsidRPr="00A74B3E" w:rsidRDefault="00A74B3E" w:rsidP="00A74B3E">
      <w:pPr>
        <w:pStyle w:val="ListParagraph"/>
        <w:numPr>
          <w:ilvl w:val="0"/>
          <w:numId w:val="7"/>
        </w:numPr>
        <w:ind w:left="360"/>
        <w:rPr>
          <w:rFonts w:ascii="Arial" w:hAnsi="Arial" w:cs="Arial"/>
          <w:color w:val="000000" w:themeColor="text1"/>
          <w:sz w:val="22"/>
          <w:szCs w:val="22"/>
          <w:highlight w:val="cyan"/>
        </w:rPr>
      </w:pPr>
      <w:r w:rsidRPr="00A74B3E">
        <w:rPr>
          <w:rFonts w:ascii="Arial" w:hAnsi="Arial" w:cs="Arial"/>
          <w:b/>
          <w:color w:val="000000" w:themeColor="text1"/>
          <w:sz w:val="22"/>
          <w:szCs w:val="22"/>
          <w:highlight w:val="cyan"/>
        </w:rPr>
        <w:t xml:space="preserve">Essential Reading: </w:t>
      </w:r>
      <w:r w:rsidRPr="00A74B3E">
        <w:rPr>
          <w:rFonts w:ascii="Arial" w:hAnsi="Arial" w:cs="Arial"/>
          <w:color w:val="000000" w:themeColor="text1"/>
          <w:sz w:val="22"/>
          <w:szCs w:val="22"/>
          <w:highlight w:val="cyan"/>
        </w:rPr>
        <w:t>It is expected that the majority will contain no more than 7 items; however there will be instances where no more than 2 items is appropriate. The absolute maximum number of items to be included as essential on a reading list is up to 15 items.</w:t>
      </w:r>
    </w:p>
    <w:p w14:paraId="628D8BAD" w14:textId="77777777" w:rsidR="00A74B3E" w:rsidRPr="00A74B3E" w:rsidRDefault="00A74B3E" w:rsidP="00A74B3E">
      <w:pPr>
        <w:pStyle w:val="ListParagraph"/>
        <w:numPr>
          <w:ilvl w:val="0"/>
          <w:numId w:val="7"/>
        </w:numPr>
        <w:spacing w:before="120"/>
        <w:ind w:left="360"/>
        <w:rPr>
          <w:rFonts w:ascii="Arial" w:hAnsi="Arial" w:cs="Arial"/>
          <w:color w:val="000000" w:themeColor="text1"/>
          <w:sz w:val="22"/>
          <w:szCs w:val="22"/>
          <w:highlight w:val="cyan"/>
        </w:rPr>
      </w:pPr>
      <w:r w:rsidRPr="00A74B3E">
        <w:rPr>
          <w:rFonts w:ascii="Arial" w:hAnsi="Arial" w:cs="Arial"/>
          <w:b/>
          <w:color w:val="000000" w:themeColor="text1"/>
          <w:sz w:val="22"/>
          <w:szCs w:val="22"/>
          <w:highlight w:val="cyan"/>
        </w:rPr>
        <w:t xml:space="preserve">Further Reading: </w:t>
      </w:r>
      <w:r w:rsidRPr="00A74B3E">
        <w:rPr>
          <w:rFonts w:ascii="Arial" w:hAnsi="Arial" w:cs="Arial"/>
          <w:color w:val="000000" w:themeColor="text1"/>
          <w:sz w:val="22"/>
          <w:szCs w:val="22"/>
          <w:highlight w:val="cyan"/>
        </w:rPr>
        <w:t>The absolute maximum number of items to be included as further reading on a reading list is up to 25 items, plus digitised chapters / articles as appropriate and within Copyright Licensing Agency (CLA) guidelines.</w:t>
      </w:r>
    </w:p>
    <w:p w14:paraId="6B34606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7E0A4B23" w:rsidR="00A74B3E" w:rsidRPr="00A74B3E" w:rsidRDefault="0053265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TBC</w:t>
            </w:r>
          </w:p>
        </w:tc>
      </w:tr>
      <w:tr w:rsidR="00A74B3E" w:rsidRPr="00A74B3E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64CFB330" w:rsidR="00A74B3E" w:rsidRPr="00A74B3E" w:rsidRDefault="0053265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Environmental Legislation &amp; Circular Economy</w:t>
            </w:r>
          </w:p>
        </w:tc>
      </w:tr>
      <w:tr w:rsidR="00A74B3E" w:rsidRPr="00A74B3E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A74B3E" w:rsidRPr="00A74B3E" w14:paraId="7562E93A" w14:textId="77777777" w:rsidTr="00BA343F">
        <w:tc>
          <w:tcPr>
            <w:tcW w:w="1689" w:type="dxa"/>
          </w:tcPr>
          <w:p w14:paraId="5411688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AE3E739" w14:textId="0AD5859D" w:rsidR="00A74B3E" w:rsidRPr="00A74B3E" w:rsidRDefault="0053265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Bell, McGillivray &amp; Pedersen (2013) </w:t>
            </w:r>
            <w:r w:rsidRPr="0053265D">
              <w:rPr>
                <w:rFonts w:ascii="Arial" w:hAnsi="Arial" w:cs="Arial"/>
                <w:i/>
                <w:sz w:val="22"/>
                <w:szCs w:val="22"/>
              </w:rPr>
              <w:t>Environmental Law</w:t>
            </w:r>
            <w:r>
              <w:rPr>
                <w:rFonts w:ascii="Arial" w:hAnsi="Arial" w:cs="Arial"/>
                <w:sz w:val="22"/>
                <w:szCs w:val="22"/>
              </w:rPr>
              <w:t>, 8</w:t>
            </w:r>
            <w:r w:rsidRPr="0053265D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ed, Oxford: Oxford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1EB48349" w14:textId="77777777" w:rsidTr="00BA343F">
        <w:tc>
          <w:tcPr>
            <w:tcW w:w="1689" w:type="dxa"/>
          </w:tcPr>
          <w:p w14:paraId="6E9A57FE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22EAA47" w14:textId="0C20EEB8" w:rsidR="00A74B3E" w:rsidRPr="00A74B3E" w:rsidRDefault="005E09EA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Torre, Cattaneo, Lenzi &amp; Zanelli (2020) </w:t>
            </w:r>
            <w:r w:rsidRPr="005E09EA">
              <w:rPr>
                <w:rFonts w:ascii="Arial" w:hAnsi="Arial" w:cs="Arial"/>
                <w:i/>
                <w:sz w:val="22"/>
                <w:szCs w:val="22"/>
              </w:rPr>
              <w:t>Regeneration of the Built Environment from a Circular Economy Perspective</w:t>
            </w:r>
            <w:r>
              <w:rPr>
                <w:rFonts w:ascii="Arial" w:hAnsi="Arial" w:cs="Arial"/>
                <w:sz w:val="22"/>
                <w:szCs w:val="22"/>
              </w:rPr>
              <w:t>, Switzerland: Springer Open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5953971C" w:rsidR="00A74B3E" w:rsidRPr="00A74B3E" w:rsidRDefault="005E09EA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63312798" w14:textId="77777777" w:rsidTr="00BA343F">
        <w:tc>
          <w:tcPr>
            <w:tcW w:w="1689" w:type="dxa"/>
          </w:tcPr>
          <w:p w14:paraId="0E1D4BA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4EB3D9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75A2AA40" w14:textId="77777777" w:rsidTr="00BA343F">
        <w:tc>
          <w:tcPr>
            <w:tcW w:w="1689" w:type="dxa"/>
          </w:tcPr>
          <w:p w14:paraId="6FC8D5C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6BEDC50" w14:textId="1A2F2EA1" w:rsidR="00A74B3E" w:rsidRPr="0053265D" w:rsidRDefault="0053265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Lange &amp; Scotford (2013) </w:t>
            </w:r>
            <w:r>
              <w:rPr>
                <w:rFonts w:ascii="Arial" w:hAnsi="Arial" w:cs="Arial"/>
                <w:i/>
                <w:sz w:val="22"/>
                <w:szCs w:val="22"/>
              </w:rPr>
              <w:t>Environmental Law: text, cases and materials</w:t>
            </w:r>
            <w:r>
              <w:rPr>
                <w:rFonts w:ascii="Arial" w:hAnsi="Arial" w:cs="Arial"/>
                <w:sz w:val="22"/>
                <w:szCs w:val="22"/>
              </w:rPr>
              <w:t>, Oxford: Oxford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7720A566" w14:textId="77777777" w:rsidTr="00BA343F">
        <w:tc>
          <w:tcPr>
            <w:tcW w:w="1689" w:type="dxa"/>
          </w:tcPr>
          <w:p w14:paraId="7C6A4DE9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53BDCCE" w14:textId="543BF84F" w:rsidR="00A74B3E" w:rsidRPr="00A74B3E" w:rsidRDefault="0053265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Review of European, Comparative &amp; International Environmental Law 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106F1463" w:rsidR="00A74B3E" w:rsidRPr="00A74B3E" w:rsidRDefault="0053265D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3897B6B7" w14:textId="77777777" w:rsidTr="00BA343F">
        <w:tc>
          <w:tcPr>
            <w:tcW w:w="1689" w:type="dxa"/>
          </w:tcPr>
          <w:p w14:paraId="3A762DA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2C2DD73" w14:textId="60243624" w:rsidR="00A74B3E" w:rsidRPr="00A74B3E" w:rsidRDefault="0053265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Modern Law Review 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2B19D4F9" w:rsidR="00A74B3E" w:rsidRPr="00A74B3E" w:rsidRDefault="0053265D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0D6897E5" w14:textId="77777777" w:rsidTr="00BA343F">
        <w:tc>
          <w:tcPr>
            <w:tcW w:w="1689" w:type="dxa"/>
          </w:tcPr>
          <w:p w14:paraId="2F4966C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DF94B32" w14:textId="0F42C9F6" w:rsidR="00A74B3E" w:rsidRPr="00A74B3E" w:rsidRDefault="005E09EA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Materials Circular Economy journal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1A127DBF" w:rsidR="00A74B3E" w:rsidRPr="00A74B3E" w:rsidRDefault="005E09EA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58F00C0F" w14:textId="77777777" w:rsidTr="00BA343F">
        <w:tc>
          <w:tcPr>
            <w:tcW w:w="1689" w:type="dxa"/>
          </w:tcPr>
          <w:p w14:paraId="0097F6D3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0E4ACD4" w14:textId="59F64B65" w:rsidR="00A74B3E" w:rsidRPr="00A74B3E" w:rsidRDefault="005E09EA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Journal of Economic Issues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098A758A" w:rsidR="00A74B3E" w:rsidRPr="00A74B3E" w:rsidRDefault="005E09EA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0CF7BC22" w14:textId="77777777" w:rsidTr="00BA343F">
        <w:tc>
          <w:tcPr>
            <w:tcW w:w="1689" w:type="dxa"/>
          </w:tcPr>
          <w:p w14:paraId="0C0B778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EF5A5AD" w14:textId="6E0E4CC7" w:rsidR="00A74B3E" w:rsidRPr="00A74B3E" w:rsidRDefault="00EB7775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Ellen MacArthur Foundation website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E1AEB3" w14:textId="006F0D0B" w:rsidR="00A74B3E" w:rsidRPr="00A74B3E" w:rsidRDefault="00EB7775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2AE8E63F" w14:textId="77777777" w:rsidTr="00BA343F">
        <w:tc>
          <w:tcPr>
            <w:tcW w:w="1689" w:type="dxa"/>
          </w:tcPr>
          <w:p w14:paraId="16F9132F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C61B9B4" w14:textId="1C661A07" w:rsidR="00A74B3E" w:rsidRPr="00A74B3E" w:rsidRDefault="00EB7775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UK legislation website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4775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1E211A" w14:textId="10D9AE19" w:rsidR="00A74B3E" w:rsidRPr="00A74B3E" w:rsidRDefault="00EB7775" w:rsidP="00DF0678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43D5C5D8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B13C9D4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FD94F4D" w14:textId="77777777" w:rsidR="0090686F" w:rsidRDefault="0090686F" w:rsidP="009B5674">
      <w:r>
        <w:separator/>
      </w:r>
    </w:p>
  </w:endnote>
  <w:endnote w:type="continuationSeparator" w:id="0">
    <w:p w14:paraId="22A0A744" w14:textId="77777777" w:rsidR="0090686F" w:rsidRDefault="0090686F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7A27011" w14:textId="77777777" w:rsidR="0090686F" w:rsidRDefault="0090686F" w:rsidP="009B5674">
      <w:r>
        <w:separator/>
      </w:r>
    </w:p>
  </w:footnote>
  <w:footnote w:type="continuationSeparator" w:id="0">
    <w:p w14:paraId="71AAA427" w14:textId="77777777" w:rsidR="0090686F" w:rsidRDefault="0090686F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6"/>
  </w:num>
  <w:num w:numId="5">
    <w:abstractNumId w:val="1"/>
    <w:lvlOverride w:ilvl="0">
      <w:startOverride w:val="1"/>
    </w:lvlOverride>
  </w:num>
  <w:num w:numId="6">
    <w:abstractNumId w:val="3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741E"/>
    <w:rsid w:val="00005C82"/>
    <w:rsid w:val="00014CBA"/>
    <w:rsid w:val="000318EB"/>
    <w:rsid w:val="00066DE8"/>
    <w:rsid w:val="00077CD4"/>
    <w:rsid w:val="000906B4"/>
    <w:rsid w:val="000C6407"/>
    <w:rsid w:val="00116B44"/>
    <w:rsid w:val="00172EDC"/>
    <w:rsid w:val="001A15E3"/>
    <w:rsid w:val="001A2624"/>
    <w:rsid w:val="001C765C"/>
    <w:rsid w:val="001D5DF6"/>
    <w:rsid w:val="00203392"/>
    <w:rsid w:val="002411A3"/>
    <w:rsid w:val="00262CFB"/>
    <w:rsid w:val="00302297"/>
    <w:rsid w:val="003146EA"/>
    <w:rsid w:val="00316625"/>
    <w:rsid w:val="00356025"/>
    <w:rsid w:val="00404273"/>
    <w:rsid w:val="00470586"/>
    <w:rsid w:val="004A6539"/>
    <w:rsid w:val="004B6F80"/>
    <w:rsid w:val="004F207C"/>
    <w:rsid w:val="005006B0"/>
    <w:rsid w:val="005259D7"/>
    <w:rsid w:val="00527E61"/>
    <w:rsid w:val="0053265D"/>
    <w:rsid w:val="00551363"/>
    <w:rsid w:val="005946A7"/>
    <w:rsid w:val="005E09EA"/>
    <w:rsid w:val="005E40A7"/>
    <w:rsid w:val="005E41B4"/>
    <w:rsid w:val="0062376E"/>
    <w:rsid w:val="00646A7D"/>
    <w:rsid w:val="0069757B"/>
    <w:rsid w:val="006A0463"/>
    <w:rsid w:val="006A0CE9"/>
    <w:rsid w:val="006D2B8B"/>
    <w:rsid w:val="006E184F"/>
    <w:rsid w:val="00717684"/>
    <w:rsid w:val="00736A82"/>
    <w:rsid w:val="007801F9"/>
    <w:rsid w:val="007F3042"/>
    <w:rsid w:val="008619BD"/>
    <w:rsid w:val="0089539D"/>
    <w:rsid w:val="008C188B"/>
    <w:rsid w:val="008E55FA"/>
    <w:rsid w:val="008F44C9"/>
    <w:rsid w:val="0090686F"/>
    <w:rsid w:val="009139DF"/>
    <w:rsid w:val="00924F30"/>
    <w:rsid w:val="00996935"/>
    <w:rsid w:val="009A077A"/>
    <w:rsid w:val="009B5674"/>
    <w:rsid w:val="009D0293"/>
    <w:rsid w:val="00A74B3E"/>
    <w:rsid w:val="00A9641E"/>
    <w:rsid w:val="00AA501F"/>
    <w:rsid w:val="00AD111C"/>
    <w:rsid w:val="00B1208A"/>
    <w:rsid w:val="00B17917"/>
    <w:rsid w:val="00B30B52"/>
    <w:rsid w:val="00B53530"/>
    <w:rsid w:val="00B80522"/>
    <w:rsid w:val="00B81017"/>
    <w:rsid w:val="00B8741E"/>
    <w:rsid w:val="00BA343F"/>
    <w:rsid w:val="00BC5D54"/>
    <w:rsid w:val="00BD06FD"/>
    <w:rsid w:val="00BF6F6C"/>
    <w:rsid w:val="00C13D91"/>
    <w:rsid w:val="00C86B41"/>
    <w:rsid w:val="00D41EBF"/>
    <w:rsid w:val="00DA3486"/>
    <w:rsid w:val="00DB46AD"/>
    <w:rsid w:val="00DC7FD0"/>
    <w:rsid w:val="00DE543B"/>
    <w:rsid w:val="00E16542"/>
    <w:rsid w:val="00E30887"/>
    <w:rsid w:val="00E91B3E"/>
    <w:rsid w:val="00EA24E6"/>
    <w:rsid w:val="00EB7775"/>
    <w:rsid w:val="00ED342A"/>
    <w:rsid w:val="00F0221E"/>
    <w:rsid w:val="00F64B4A"/>
    <w:rsid w:val="00F74441"/>
    <w:rsid w:val="00F93B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4DA4"/>
    <w:rsid w:val="000A10BC"/>
    <w:rsid w:val="003D3C8A"/>
    <w:rsid w:val="00604ED3"/>
    <w:rsid w:val="00732B30"/>
    <w:rsid w:val="00820288"/>
    <w:rsid w:val="00B54DA4"/>
    <w:rsid w:val="00C00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752D831-12C3-4221-9D43-338D2B9E91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3</Pages>
  <Words>478</Words>
  <Characters>2731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3203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Lara Hopkinson</cp:lastModifiedBy>
  <cp:revision>3</cp:revision>
  <cp:lastPrinted>1901-01-01T00:00:00Z</cp:lastPrinted>
  <dcterms:created xsi:type="dcterms:W3CDTF">2021-02-10T14:17:00Z</dcterms:created>
  <dcterms:modified xsi:type="dcterms:W3CDTF">2021-02-10T14:17:00Z</dcterms:modified>
</cp:coreProperties>
</file>