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b/>
          <w:bCs/>
          <w:sz w:val="24"/>
          <w:szCs w:val="24"/>
          <w:lang w:val="en-GB"/>
        </w:rPr>
      </w:pPr>
      <w:r>
        <w:rPr>
          <w:rFonts w:hint="default" w:ascii="Arial" w:hAnsi="Arial" w:cs="Arial"/>
          <w:b/>
          <w:bCs/>
          <w:sz w:val="24"/>
          <w:szCs w:val="24"/>
          <w:lang w:val="en-GB"/>
        </w:rPr>
        <w:t>Design a person-centered service for vulnerable children.  Include a critical evaluation of different types of person-centered planning.</w:t>
      </w:r>
    </w:p>
    <w:p>
      <w:pPr>
        <w:spacing w:line="360" w:lineRule="auto"/>
        <w:jc w:val="both"/>
        <w:rPr>
          <w:rFonts w:hint="default" w:ascii="Arial" w:hAnsi="Arial" w:cs="Arial"/>
          <w:sz w:val="24"/>
          <w:szCs w:val="24"/>
          <w:lang w:val="en-GB"/>
        </w:rPr>
      </w:pPr>
    </w:p>
    <w:p>
      <w:pPr>
        <w:spacing w:line="360" w:lineRule="auto"/>
        <w:ind w:left="0" w:leftChars="0" w:firstLine="0" w:firstLineChars="0"/>
        <w:jc w:val="both"/>
        <w:rPr>
          <w:rFonts w:hint="default" w:ascii="Arial" w:hAnsi="Arial" w:cs="Arial"/>
          <w:sz w:val="24"/>
          <w:szCs w:val="24"/>
          <w:lang w:val="en-GB"/>
        </w:rPr>
      </w:pPr>
      <w:r>
        <w:rPr>
          <w:rFonts w:hint="default" w:ascii="Arial" w:hAnsi="Arial" w:cs="Arial"/>
          <w:sz w:val="24"/>
          <w:szCs w:val="24"/>
          <w:lang w:val="en-GB"/>
        </w:rPr>
        <w:t>The service within this assignment has been designed around children who have been bereaved.  A bereaved child is one who has lost a parent, a brother or sister, Grand-parent or a friend according to NHS (2017), and Marie Curie (2019) highlight the differences in how children deal with bereavement; Marie Curie suggest that this is dependent on many factors which include their age, their development stage, family background and personal experiences.  For the purposes of this assignment the focus will be on children aged seven to eleven, how they perceive death, and how this service will support them.</w:t>
      </w:r>
    </w:p>
    <w:p>
      <w:pPr>
        <w:spacing w:line="360" w:lineRule="auto"/>
        <w:ind w:left="0" w:leftChars="0" w:firstLine="0" w:firstLineChars="0"/>
        <w:jc w:val="both"/>
        <w:rPr>
          <w:rFonts w:hint="default" w:ascii="Arial" w:hAnsi="Arial" w:cs="Arial"/>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Child Bereavement UK (2016) advise that each school setting should have a Bereavement Policy in place for such circumstances as a sudden death or an expected death which would affect the school community, but advise this should be a framework acknowledging that each case is different.  The Children Act (1989) ensures that the welfare of the child is paramount, and any decision which may affect the child is made in his or her best interests (All About Law, 2018), and this is also supported by the United Nations Convention of the Rights of the Child (Unicef, 2010) where there are a number of articles which aim to protect the child and ensure that their best interests are at heart.  Some of these are as follows:</w:t>
      </w:r>
    </w:p>
    <w:p>
      <w:pPr>
        <w:spacing w:line="360" w:lineRule="auto"/>
        <w:ind w:left="0" w:leftChars="0" w:firstLine="0" w:firstLineChars="0"/>
        <w:jc w:val="both"/>
        <w:rPr>
          <w:rFonts w:hint="default" w:ascii="Arial" w:hAnsi="Arial" w:cs="Arial"/>
          <w:b w:val="0"/>
          <w:bCs w:val="0"/>
          <w:color w:val="auto"/>
          <w:sz w:val="24"/>
          <w:szCs w:val="24"/>
          <w:lang w:val="en-GB"/>
        </w:rPr>
      </w:pP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3 - covers the best interests of the child</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8 - protection and preservation of identity (more suited to complex bereavements)</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16 - right to privacy</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17 - right to access information from the media (in some cases school settings may be asked to give information or address a complex issue which could be portrayed in the media)</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24 - relates to health and health services being accessed to ensure early intervention and support</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28 - right to education</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31 - leisure, play and culture</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Article 39 - recovery from trauma (this can relate to complex issues surrounding bereavement, and also neglect, abuse and exploitation).</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Welsh Government (2018) aims to support and improve mental health of children and young people in Wales through their Children and Adolescent Mental Health Services (CAHMS), whereby they can access assessment and treatments for a range of mental and emotional issues, but this comes with it’s own issues as according to Hemming (2017) there are not enough children being able to access the service and over one thousand eight hundred referrals were rejected between 2015 and 2016, the reasons for this are unknown.  The waiting lists are too long with not enough expertly trained staff to deal with these often complex issues (Hemming, 2017).  Donaldson (2015) acknowledges through his investigations into the curriculum, that teachers are expressing the need for more mental health support for children and through the new curriculum it is designed to create capable learners, who are healthy and confident.  There is also an emphasis on the need for readily available information and access to that information which Donaldson (2015) claims all children should be able to do; however without extra trained staff waiting lists will continue to rise. There is a positive outlook though as at January 2019 the Welsh Government have pledged seven million pounds to “improve the mental health of children and young people in Wales” (Welsh Government, 2019).</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sz w:val="24"/>
          <w:szCs w:val="24"/>
          <w:lang w:val="en-GB"/>
        </w:rPr>
      </w:pPr>
    </w:p>
    <w:p>
      <w:pPr>
        <w:spacing w:line="360" w:lineRule="auto"/>
        <w:ind w:left="0" w:leftChars="0" w:firstLine="0" w:firstLineChars="0"/>
        <w:jc w:val="both"/>
        <w:rPr>
          <w:rFonts w:hint="default" w:ascii="Arial" w:hAnsi="Arial" w:cs="Arial"/>
          <w:sz w:val="24"/>
          <w:szCs w:val="24"/>
          <w:lang w:val="en-GB"/>
        </w:rPr>
      </w:pPr>
      <w:r>
        <w:rPr>
          <w:rFonts w:hint="default" w:ascii="Arial" w:hAnsi="Arial" w:cs="Arial"/>
          <w:sz w:val="24"/>
          <w:szCs w:val="24"/>
          <w:lang w:val="en-GB"/>
        </w:rPr>
        <w:t>The Childhood Bereavement Network (2015) estimated that over twenty two and a half thousand parents passed away in 2015, which meant that over forty thousand children were left bereaved.  These figures varied around the country and also take into consideration social class, as research has shown that within disadvantaged areas children are more likely to experience bereavement (Childhood Bereavement Network, 2015), the Joseph Rowntree Foundation (2005) also agrees that the rates for mortality vary within social class and geographical area.</w:t>
      </w:r>
    </w:p>
    <w:p>
      <w:pPr>
        <w:spacing w:line="360" w:lineRule="auto"/>
        <w:ind w:left="0" w:leftChars="0" w:firstLine="0" w:firstLineChars="0"/>
        <w:jc w:val="both"/>
        <w:rPr>
          <w:rFonts w:hint="default" w:ascii="Arial" w:hAnsi="Arial" w:cs="Arial"/>
          <w:sz w:val="24"/>
          <w:szCs w:val="24"/>
          <w:lang w:val="en-GB"/>
        </w:rPr>
      </w:pPr>
    </w:p>
    <w:p>
      <w:pPr>
        <w:spacing w:line="360" w:lineRule="auto"/>
        <w:jc w:val="both"/>
        <w:rPr>
          <w:rFonts w:hint="default" w:ascii="Arial" w:hAnsi="Arial" w:cs="Arial"/>
          <w:sz w:val="24"/>
          <w:szCs w:val="24"/>
          <w:lang w:val="en-GB"/>
        </w:rPr>
      </w:pPr>
      <w:r>
        <w:rPr>
          <w:rFonts w:hint="default" w:ascii="Arial" w:hAnsi="Arial" w:cs="Arial"/>
          <w:sz w:val="24"/>
          <w:szCs w:val="24"/>
          <w:lang w:val="en-GB"/>
        </w:rPr>
        <w:t>The Joseph Rowntree Foundation (2005) identify that children and young people can be at risk if they have experienced difficulties alongside one or more bereavements; these risks can be risky behaviours, depression, low self-esteem and self harming. The Joseph Rowntree Foundation (2005) claim that there are a high number of children and young people who do not speak to anyone about their experience of bereavement, this is backed up by research found by The National Children’s Bureau (2016):</w:t>
      </w:r>
    </w:p>
    <w:p>
      <w:pPr>
        <w:spacing w:line="240" w:lineRule="auto"/>
        <w:jc w:val="both"/>
        <w:rPr>
          <w:rFonts w:hint="default" w:ascii="Arial" w:hAnsi="Arial" w:cs="Arial"/>
          <w:sz w:val="24"/>
          <w:szCs w:val="24"/>
          <w:lang w:val="en-GB"/>
        </w:rPr>
      </w:pPr>
    </w:p>
    <w:p>
      <w:pPr>
        <w:spacing w:line="240" w:lineRule="auto"/>
        <w:ind w:leftChars="100"/>
        <w:jc w:val="both"/>
        <w:rPr>
          <w:rFonts w:hint="default" w:ascii="Arial" w:hAnsi="Arial" w:cs="Arial"/>
          <w:sz w:val="24"/>
          <w:szCs w:val="24"/>
          <w:lang w:val="en-GB"/>
        </w:rPr>
      </w:pPr>
      <w:r>
        <w:rPr>
          <w:rFonts w:hint="default" w:ascii="Arial" w:hAnsi="Arial" w:cs="Arial"/>
          <w:sz w:val="24"/>
          <w:szCs w:val="24"/>
          <w:lang w:val="en-GB"/>
        </w:rPr>
        <w:t xml:space="preserve"> </w:t>
      </w:r>
      <w:r>
        <w:rPr>
          <w:rFonts w:hint="default" w:ascii="Arial" w:hAnsi="Arial" w:cs="Arial"/>
          <w:sz w:val="24"/>
          <w:szCs w:val="24"/>
          <w:lang w:val="en-GB"/>
        </w:rPr>
        <w:tab/>
        <w:t xml:space="preserve">“that children bereaved of a parent are more likely to keep their fears </w:t>
      </w:r>
      <w:r>
        <w:rPr>
          <w:rFonts w:hint="default" w:ascii="Arial" w:hAnsi="Arial" w:cs="Arial"/>
          <w:sz w:val="24"/>
          <w:szCs w:val="24"/>
          <w:lang w:val="en-GB"/>
        </w:rPr>
        <w:tab/>
      </w:r>
      <w:r>
        <w:rPr>
          <w:rFonts w:hint="default" w:ascii="Arial" w:hAnsi="Arial" w:cs="Arial"/>
          <w:sz w:val="24"/>
          <w:szCs w:val="24"/>
          <w:lang w:val="en-GB"/>
        </w:rPr>
        <w:tab/>
        <w:t xml:space="preserve">and feelings to themselves, raising concerns about risks to their </w:t>
      </w:r>
      <w:r>
        <w:rPr>
          <w:rFonts w:hint="default" w:ascii="Arial" w:hAnsi="Arial" w:cs="Arial"/>
          <w:sz w:val="24"/>
          <w:szCs w:val="24"/>
          <w:lang w:val="en-GB"/>
        </w:rPr>
        <w:tab/>
      </w:r>
      <w:r>
        <w:rPr>
          <w:rFonts w:hint="default" w:ascii="Arial" w:hAnsi="Arial" w:cs="Arial"/>
          <w:sz w:val="24"/>
          <w:szCs w:val="24"/>
          <w:lang w:val="en-GB"/>
        </w:rPr>
        <w:t>emotional health”</w:t>
      </w:r>
    </w:p>
    <w:p>
      <w:pPr>
        <w:spacing w:line="240" w:lineRule="auto"/>
        <w:ind w:left="420" w:leftChars="0" w:firstLine="420" w:firstLineChars="0"/>
        <w:jc w:val="both"/>
        <w:rPr>
          <w:rFonts w:hint="default" w:ascii="Arial" w:hAnsi="Arial" w:cs="Arial"/>
          <w:sz w:val="24"/>
          <w:szCs w:val="24"/>
          <w:lang w:val="en-GB"/>
        </w:rPr>
      </w:pPr>
    </w:p>
    <w:p>
      <w:pPr>
        <w:spacing w:line="360" w:lineRule="auto"/>
        <w:ind w:left="0" w:leftChars="0" w:firstLine="0" w:firstLineChars="0"/>
        <w:jc w:val="both"/>
        <w:rPr>
          <w:rFonts w:hint="default" w:ascii="Arial" w:hAnsi="Arial" w:cs="Arial"/>
          <w:sz w:val="24"/>
          <w:szCs w:val="24"/>
          <w:lang w:val="en-GB"/>
        </w:rPr>
      </w:pPr>
      <w:r>
        <w:rPr>
          <w:rFonts w:hint="default" w:ascii="Arial" w:hAnsi="Arial" w:cs="Arial"/>
          <w:sz w:val="24"/>
          <w:szCs w:val="24"/>
          <w:lang w:val="en-GB"/>
        </w:rPr>
        <w:t>Not discussing with others about their experiences can cause a child or young person to be at risk of social exclusion over a period of time, and whereas families are often seen as networks of support during difficult times, a bereavement can put pressure on this and cause issues if not addressed (Joseph Rowntree Foundation, 2005).  Mallon (2011) agrees that the whole process of grief is a “family affair”, and how a child or young person copes with grief is reflected in how the family come together and support each other.</w:t>
      </w:r>
    </w:p>
    <w:p>
      <w:pPr>
        <w:spacing w:line="360" w:lineRule="auto"/>
        <w:ind w:left="0" w:leftChars="0" w:firstLine="0" w:firstLineChars="0"/>
        <w:jc w:val="both"/>
        <w:rPr>
          <w:rFonts w:hint="default" w:ascii="Arial" w:hAnsi="Arial" w:cs="Arial"/>
          <w:sz w:val="24"/>
          <w:szCs w:val="24"/>
          <w:lang w:val="en-GB"/>
        </w:rPr>
      </w:pPr>
    </w:p>
    <w:p>
      <w:pPr>
        <w:spacing w:line="360" w:lineRule="auto"/>
        <w:ind w:left="0" w:leftChars="0" w:firstLine="0" w:firstLineChars="0"/>
        <w:jc w:val="both"/>
        <w:rPr>
          <w:rFonts w:hint="default" w:ascii="Arial" w:hAnsi="Arial" w:cs="Arial"/>
          <w:sz w:val="24"/>
          <w:szCs w:val="24"/>
          <w:lang w:val="en-GB"/>
        </w:rPr>
      </w:pPr>
      <w:r>
        <w:rPr>
          <w:rFonts w:hint="default" w:ascii="Arial" w:hAnsi="Arial" w:cs="Arial"/>
          <w:sz w:val="24"/>
          <w:szCs w:val="24"/>
          <w:lang w:val="en-GB"/>
        </w:rPr>
        <w:t>Aynsley-Green et al (2012) found that children stated they felt alone after a bereavement and a significant effect of this was depression; Weller (1998, cited in Mallon, 2011, p.14) conducted a study of thirty eight children who had lost a parent, and found that thirty seven per cent of these children “fitted the criteria for a major depressive condition”.  Research highlights the need for substantial emotional and mental support for large amounts of children and young people, and this is supported by Black (1996, cited in Mallon, 2011, p.14) who claims that there is a significant increase in the development of psychiatric disorders in bereaved children, who may also suffer social and psychological difficulties of a considerable nature in the future.  The need for such robust support is important to ensure that the impact is reduced so that children can go on to lead normal lives, and find mechanisms to help them cope with bereavement.</w:t>
      </w:r>
    </w:p>
    <w:p>
      <w:pPr>
        <w:spacing w:line="360" w:lineRule="auto"/>
        <w:ind w:left="0" w:leftChars="0" w:firstLine="0" w:firstLineChars="0"/>
        <w:jc w:val="both"/>
        <w:rPr>
          <w:rFonts w:hint="default" w:ascii="Arial" w:hAnsi="Arial" w:cs="Arial"/>
          <w:b/>
          <w:bCs/>
          <w:color w:val="FF0000"/>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Mallon (2011) states “the way we deal with loss defines our health”, and this true of the notion that “what we hold in our minds, also manifests in our bodies”, so support for both mental and physical support need to be met.  As Aynsley et al (2012) found, children feel alone after a bereavement and the aim of this service is to bring together children and young people who have been affected by bereavement, and give them an opportunity to make new friends, provide experiences and speak to experienced practitioners about their feelings.  Lake (1984) acknowledges that even though some children may have a lot of friends and family around, they can still feel loneliness, as a feeling of withdrawal can creep over a person as it can be felt that others do not understand the grief that the person is going through.  This can be a difficult cycle to break on occasions.  The service will support children in raising their self-confidence, and guiding them through the grief journey, with the aim of answering any questions that the children many have.  Sometimes children can experience bullying in school due to bereavement as they are seen as different, and this service aims to dispel the myth that they are different and bring together children who understand one another.  The service will also support other parents and caregivers in the grief journey, and the service will aim to include parents and guardians in aspects of the service and also offer counselling sessions and groups for parents.</w:t>
      </w:r>
    </w:p>
    <w:p>
      <w:pPr>
        <w:spacing w:line="360" w:lineRule="auto"/>
        <w:ind w:left="0" w:leftChars="0" w:firstLine="0" w:firstLineChars="0"/>
        <w:jc w:val="both"/>
        <w:rPr>
          <w:rFonts w:hint="default" w:ascii="Arial" w:hAnsi="Arial" w:cs="Arial"/>
          <w:b/>
          <w:bCs/>
          <w:color w:val="FF0000"/>
          <w:sz w:val="24"/>
          <w:szCs w:val="24"/>
          <w:lang w:val="en-GB"/>
        </w:rPr>
      </w:pPr>
    </w:p>
    <w:p>
      <w:pPr>
        <w:spacing w:line="360" w:lineRule="auto"/>
        <w:ind w:left="0" w:leftChars="0" w:firstLine="0" w:firstLineChars="0"/>
        <w:jc w:val="both"/>
        <w:rPr>
          <w:rFonts w:hint="default" w:ascii="Arial" w:hAnsi="Arial" w:cs="Arial"/>
          <w:b/>
          <w:bCs/>
          <w:color w:val="FF0000"/>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There are different styles of person-centered planning, of which each one will be more useful to a person than another due to the fact each person is an individual and has different needs and wants.  The main theme of all of the approaches is that the person is based at the centre, and they have a strong voice in what they want and need.  Mercer (2003) and Sanderson (no date) both discuss different systems such as the McGill Action Planning System (MAPS), Planning Alternative Tomorrows with Hope (PATH) and Personal Futures Planning, but for this service the most appropriate would be One Page Profiles along with MAPS.  One Page Profiles are an important information tool in finding out about the child involved and look at what the child would like to enable them to be supported and what is important to that child to achieve this (Helen Sanderson, no date).  The service can also draw on the MAPS system which also looks at the history of the child, but also what scares them, what their strengths and weaknesses are, and how they would like to be supported (Helen Sanderson, no date).  Using these tools the service can gain the best picture possible of the child and tailor the support specifically for that child.  It would not be best to use the Essential Lifestyle Planning as this service aims to support children in the short to medium term, rather than the long term.</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 service will aim to dispel the myths that children who are bereaved are different, and also aim to allow children to understand their grief and to make new friends along the way.  The service will be based on a number of theoretical models, such as William Worden, the Continuing Bonds,</w:t>
      </w:r>
      <w:r>
        <w:rPr>
          <w:rFonts w:hint="default" w:ascii="Arial" w:hAnsi="Arial" w:cs="Arial"/>
          <w:b w:val="0"/>
          <w:bCs w:val="0"/>
          <w:color w:val="00B0F0"/>
          <w:sz w:val="24"/>
          <w:szCs w:val="24"/>
          <w:lang w:val="en-GB"/>
        </w:rPr>
        <w:t xml:space="preserve"> </w:t>
      </w:r>
      <w:r>
        <w:rPr>
          <w:rFonts w:hint="default" w:ascii="Arial" w:hAnsi="Arial" w:cs="Arial"/>
          <w:b w:val="0"/>
          <w:bCs w:val="0"/>
          <w:color w:val="auto"/>
          <w:sz w:val="24"/>
          <w:szCs w:val="24"/>
          <w:lang w:val="en-GB"/>
        </w:rPr>
        <w:t>Dual Process and</w:t>
      </w:r>
      <w:r>
        <w:rPr>
          <w:rFonts w:hint="default" w:ascii="Arial" w:hAnsi="Arial" w:cs="Arial"/>
          <w:b w:val="0"/>
          <w:bCs w:val="0"/>
          <w:color w:val="00B0F0"/>
          <w:sz w:val="24"/>
          <w:szCs w:val="24"/>
          <w:lang w:val="en-GB"/>
        </w:rPr>
        <w:t xml:space="preserve"> </w:t>
      </w:r>
      <w:r>
        <w:rPr>
          <w:rFonts w:hint="default" w:ascii="Arial" w:hAnsi="Arial" w:cs="Arial"/>
          <w:b w:val="0"/>
          <w:bCs w:val="0"/>
          <w:color w:val="auto"/>
          <w:sz w:val="24"/>
          <w:szCs w:val="24"/>
          <w:lang w:val="en-GB"/>
        </w:rPr>
        <w:t>Narrative Models which will be discussed further.  The reason why the service will include so many models is that, every child will grieve differently so different models can work with different children.  The main theme of working through any of these models is to assist children in accepting their loss, helping with the pain they feel and adjusting to live both physically and emotionally since their loss, whilst also ensuring that children continue to hold bonds and memories of the deceased, and through the narrative model, help the child understand that their ‘life story’ has now changed (Mallon, 2011).  The aim of the service would be to run an initial eight week course for children and after this organise ad-hoc events such as bowling to ensure that children keep the contact they have made and the friendships that have been formed.</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Each child will start with having a One Page Profile, this will assist in Staff getting to know a child and to look at what is working for that child, and what is not working.  Helen Sanderson Associates (no date) encourage the use of One Page Profiles as they believe that this is the “foundation of personalisation”, and it is felt that better relationships can be formed through the usage of these profiles.  Through creating these profiles it can be established which form or forms of support the child needs when they arrive at the service.  There will be an emphasis on honesty and a lack of euphemisms within the service as Gao and Slaven (2017) has found it is important to do this to ensure that children do not get confused, for example, a parent who is terminally ill being referred to as sick; a child may believe that they will get well again and not understand that once they have died, they will not be coming back (Gao and Slaven, 2017).  Also by creating a One Page Profile, the service can look at the interests of the child and make a link between the most beneficial model for that time.  Review of the profile is very important as children’s needs towards grief and support are ever changing and Neill and Wordley (2015) identify that different approaches are required for different children.</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 service will include a structured timetable each week, whereby the children (and their families) will take part in different things such as, group activities, creating memory boxes, writing letters, and one-to-one counselling sessions if required.  Group support is a very good tool in reducing the feelings of loneliness in children, and Gao and Slaven (2017) also acknowledges that other children/friends who have no experienced grief, do not understand the bereaved child and this can lead to isolation.  Through group sessions “bereaved people can empower each other through their shared experiences” (Gao and Slaven, 2017).  The service would also aim to take children on trips to experience different situations such as surfing in the summer months, or to the cinema or bowling, to give the children time to have fun and understand that it is still important to have fun as well as understanding how they are feeling about the bereavement itself.  There would also be workshops for parents and guardians to help them through this journey also, and they can be catered for individually and also in conjunction with the children themselves.  Family orientated support would be readily available and encouraged for all through the Family Bereavement Programme, and this would help to bring families closer together (Gao and Slaven, 2017).</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Gao and Slaven (2017) have found recommendations that therapies such as art and play, and counselling are successful in supporting children which would include the Narrative Model and Continuing Bonds theory.  The Narrative Model looks at the change in the “life story” of the child after bereavement according to Mallon (2011), and it is suggested that through using personal stories or biographies, the child can reminisce on memories and strengthen the bonds towards the deceased.  The Narrative Model is also linked into the Continuing Bonds theory, and this relates to memories being kept alive through photographs, memory boxes, memorial gardens etc. and encompasses the deceased in the future of the child concerned (Mallon, 2011).  Mallon (2011, p. 61) also claims that writing “has healing and cathartic qualities” which is supportive in the journey of grief.  By encouraging children to write down their thoughts and feelings can be a means of communication that they would not normally have, and a way of expressing their feelings which in turn, can lead to conversations on feelings and emotions.  The service would actively encourage activities like this for all children and also parents alike, should they wish.  Ethical considerations must also be taken into account when using the Narrative Model in relation to gathering information regarding a child as highlighted be Reid (2011) and notes that it is important for Counsellors to “recognise that therapy can be part of the problem if the power relations within which a young person accesses counselling are not recognised” (Reid, 2011, p.147).</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 Dual Process and the Task Models are linked in with Counselling sessions, and will look at the different aspects to grief.  In these sessions it will highlight feelings for children which are a normal part of grief, and will help to identify any unwanted behaviours which may be arising.  There are a number of stages of the Task Model which was created by William Worden, a psychologist and grief specialist and later adapted by Therese Rando according to Mallon (2011).  The stages are:</w:t>
      </w:r>
    </w:p>
    <w:p>
      <w:pPr>
        <w:spacing w:line="360" w:lineRule="auto"/>
        <w:ind w:left="0" w:leftChars="0" w:firstLine="0" w:firstLineChars="0"/>
        <w:jc w:val="both"/>
        <w:rPr>
          <w:rFonts w:hint="default" w:ascii="Arial" w:hAnsi="Arial" w:cs="Arial"/>
          <w:b w:val="0"/>
          <w:bCs w:val="0"/>
          <w:color w:val="auto"/>
          <w:sz w:val="24"/>
          <w:szCs w:val="24"/>
          <w:lang w:val="en-GB"/>
        </w:rPr>
      </w:pP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Acceptance</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Working through the pain of grief</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Adjusting to change</w:t>
      </w:r>
    </w:p>
    <w:p>
      <w:pPr>
        <w:numPr>
          <w:ilvl w:val="0"/>
          <w:numId w:val="1"/>
        </w:numPr>
        <w:spacing w:line="360" w:lineRule="auto"/>
        <w:ind w:left="420" w:leftChars="0" w:hanging="42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Moving adaptively into the new world</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 Dual Process Model has been in existence since 1999, and was published by Margaret Stroebe and Henk Schut (Mallon, 2011).  This model focusses on how an individual copes with grief and looks at ways to manage the grief of bereavement.  The model looks at two aspects which are, loss orientated behaviours and restorative orientation behaviours; behaviours around loss can incorporate a focus on the past, breaking of bonds with the deceased and overwhelming grief, whilst the restorative behaviours include looking to the future and “gives a respite from dwelling on loss” (Mallon, 2011, p.6).  Both of these models are important in grief in children as they regularly flip between engaging and grief in what is described as ‘grief puddles’ (Mallon, 2011, Gao and Slaven, 2017).  Counselling sessions at the service will aim to incorporate these models so give children an understanding of grief, and a person-centred approach to Counselling is what Larson (2013) advocates and claims that it is an “excellent foundation for grief counselling”.</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There are many opportunities for children to benefit from this service.  Children can contact the service directly, or they can ask a parent or family member to assist them, or they can even be referred by schools, GP’s or CAHMS.  There are a number of different ways in which the service can support children through grief, and it can be as individual as the child themselves.  Group activities bring opportunities for friendship, and activities taken place other than in the centre are an opportunity to gain different experiences.</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 main barrier of the service would be the timetabled schedule.  The initial service would run over a period of eight weeks and other events planned ad-hoc after this.  Therefore, there could be a potential waiting list if the course is full before starting a new one, or a child wishing to join during the course.  Barriers can occur when children or their families do not wish to take part, or the lack of motivation and isolation restricts them from doing this.  Some families may feel that they cannot be helped, and they will deal with their grief in their own way, however research into the Family Bereavement Programme has shown that by children and families being taught coping strategies, it can normalise grief and assist in the healing process (Gao and Slaven, 2017).</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There could be other barriers such as location and transport issues arising.  These could be tackled by ensuring that locations are centrally placed near a bus or train route, and that should children from outside of that area wish to take part, then appropriate transport is provided in the form of a minibus for instance.  The costs involved could be a concern for some families, and the service would ensure that these would be kept to a minimum at all times.  Fund-raising activities would take place to raise monies to support events and trips.</w:t>
      </w:r>
    </w:p>
    <w:p>
      <w:pPr>
        <w:spacing w:line="360" w:lineRule="auto"/>
        <w:ind w:left="0" w:leftChars="0" w:firstLine="0" w:firstLineChars="0"/>
        <w:jc w:val="both"/>
        <w:rPr>
          <w:rFonts w:hint="default" w:ascii="Arial" w:hAnsi="Arial" w:cs="Arial"/>
          <w:b w:val="0"/>
          <w:bCs w:val="0"/>
          <w:color w:val="auto"/>
          <w:sz w:val="24"/>
          <w:szCs w:val="24"/>
          <w:lang w:val="en-GB"/>
        </w:rPr>
      </w:pPr>
    </w:p>
    <w:p>
      <w:pPr>
        <w:spacing w:line="360" w:lineRule="auto"/>
        <w:ind w:left="0" w:leftChars="0" w:firstLine="0" w:firstLineChars="0"/>
        <w:jc w:val="both"/>
        <w:rPr>
          <w:rFonts w:hint="default" w:ascii="Arial" w:hAnsi="Arial" w:cs="Arial"/>
          <w:b/>
          <w:bCs/>
          <w:color w:val="FF0000"/>
          <w:sz w:val="24"/>
          <w:szCs w:val="24"/>
          <w:lang w:val="en-GB"/>
        </w:rPr>
      </w:pPr>
      <w:r>
        <w:rPr>
          <w:rFonts w:hint="default" w:ascii="Arial" w:hAnsi="Arial" w:cs="Arial"/>
          <w:b/>
          <w:bCs/>
          <w:color w:val="FF0000"/>
          <w:sz w:val="24"/>
          <w:szCs w:val="24"/>
          <w:lang w:val="en-GB"/>
        </w:rPr>
        <w:t>CONCLUSION</w:t>
      </w:r>
    </w:p>
    <w:p>
      <w:pPr>
        <w:spacing w:line="360" w:lineRule="auto"/>
        <w:ind w:left="0" w:leftChars="0" w:firstLine="0" w:firstLineChars="0"/>
        <w:jc w:val="both"/>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In conclusion, this service aims to support children of any age through the bereavement process.  The service is adaptable to cater for children of any age, although this assignment focussed on one age group.  More access to services like this would be beneficial for children who not only have experienced bereavement, but other traumas also.  Isolation and loneliness appears to be a large worry amongst children who also feel different, and by giving them access to groups and sessions it will help them to speak to other children and adults who ‘get them’, who understand the pain they are experiencing of loss.  There have been many studies proving that person cen</w:t>
      </w:r>
      <w:bookmarkStart w:id="0" w:name="_GoBack"/>
      <w:bookmarkEnd w:id="0"/>
      <w:r>
        <w:rPr>
          <w:rFonts w:hint="default" w:ascii="Arial" w:hAnsi="Arial" w:cs="Arial"/>
          <w:b w:val="0"/>
          <w:bCs w:val="0"/>
          <w:color w:val="auto"/>
          <w:sz w:val="24"/>
          <w:szCs w:val="24"/>
          <w:lang w:val="en-GB"/>
        </w:rPr>
        <w:t>tered counselling works, and that group sessions are important for social interaction so this service would cover all aspects.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Bahnschrift Light SemiCondensed">
    <w:panose1 w:val="020B0502040204020203"/>
    <w:charset w:val="00"/>
    <w:family w:val="auto"/>
    <w:pitch w:val="default"/>
    <w:sig w:usb0="800002C7" w:usb1="00000002" w:usb2="00000000" w:usb3="00000000" w:csb0="2000019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424E2"/>
    <w:multiLevelType w:val="singleLevel"/>
    <w:tmpl w:val="410424E2"/>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F5850"/>
    <w:rsid w:val="04A9437A"/>
    <w:rsid w:val="0F590A08"/>
    <w:rsid w:val="16430C52"/>
    <w:rsid w:val="185E72FE"/>
    <w:rsid w:val="2463403E"/>
    <w:rsid w:val="26202127"/>
    <w:rsid w:val="27A9669C"/>
    <w:rsid w:val="2C381F44"/>
    <w:rsid w:val="2C8E0A00"/>
    <w:rsid w:val="2DFB45C8"/>
    <w:rsid w:val="3166334F"/>
    <w:rsid w:val="38251EBB"/>
    <w:rsid w:val="3CAD4AC9"/>
    <w:rsid w:val="40C90F45"/>
    <w:rsid w:val="47ED37FE"/>
    <w:rsid w:val="48DA6453"/>
    <w:rsid w:val="4E1A5BD9"/>
    <w:rsid w:val="52FE08A2"/>
    <w:rsid w:val="55A57C70"/>
    <w:rsid w:val="5AA645AD"/>
    <w:rsid w:val="61C71D99"/>
    <w:rsid w:val="705200AB"/>
    <w:rsid w:val="75517BFF"/>
    <w:rsid w:val="764F5850"/>
    <w:rsid w:val="7FA647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2019-04-16T13:50:00Z</dcterms:created>
  <dc:creator>marit</dc:creator>
  <cp:lastModifiedBy>marit</cp:lastModifiedBy>
  <dcterms:modified xsi:type="dcterms:W3CDTF">2019-04-18T11:22:50Z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2057-10.2.0.7635</vt:lpwstr>
  </property>
</Properties>
</file>