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7A565F" w:rsidRDefault="007A565F">
      <w:pPr>
        <w:jc w:val="center"/>
        <w:rPr>
          <w:b/>
          <w:color w:val="222222"/>
          <w:sz w:val="36"/>
          <w:szCs w:val="36"/>
          <w:highlight w:val="white"/>
        </w:rPr>
      </w:pPr>
    </w:p>
    <w:p w14:paraId="00000002" w14:textId="77777777" w:rsidR="007A565F" w:rsidRDefault="007A565F">
      <w:pPr>
        <w:jc w:val="center"/>
        <w:rPr>
          <w:b/>
          <w:color w:val="222222"/>
          <w:sz w:val="36"/>
          <w:szCs w:val="36"/>
          <w:highlight w:val="white"/>
        </w:rPr>
      </w:pPr>
    </w:p>
    <w:p w14:paraId="00000003" w14:textId="77777777" w:rsidR="007A565F" w:rsidRDefault="007A565F">
      <w:pPr>
        <w:jc w:val="center"/>
        <w:rPr>
          <w:b/>
          <w:color w:val="222222"/>
          <w:sz w:val="36"/>
          <w:szCs w:val="36"/>
          <w:highlight w:val="white"/>
        </w:rPr>
      </w:pPr>
    </w:p>
    <w:p w14:paraId="00000004" w14:textId="77777777" w:rsidR="007A565F" w:rsidRDefault="007A565F">
      <w:pPr>
        <w:jc w:val="center"/>
        <w:rPr>
          <w:b/>
          <w:color w:val="222222"/>
          <w:sz w:val="36"/>
          <w:szCs w:val="36"/>
          <w:highlight w:val="white"/>
        </w:rPr>
      </w:pPr>
    </w:p>
    <w:p w14:paraId="00000005" w14:textId="77777777" w:rsidR="007A565F" w:rsidRDefault="007A565F">
      <w:pPr>
        <w:jc w:val="center"/>
        <w:rPr>
          <w:b/>
          <w:color w:val="222222"/>
          <w:sz w:val="36"/>
          <w:szCs w:val="36"/>
          <w:highlight w:val="white"/>
        </w:rPr>
      </w:pPr>
    </w:p>
    <w:p w14:paraId="00000006" w14:textId="77777777" w:rsidR="007A565F" w:rsidRDefault="007A565F">
      <w:pPr>
        <w:jc w:val="center"/>
        <w:rPr>
          <w:b/>
          <w:color w:val="222222"/>
          <w:sz w:val="36"/>
          <w:szCs w:val="36"/>
          <w:highlight w:val="white"/>
        </w:rPr>
      </w:pPr>
    </w:p>
    <w:p w14:paraId="00000007" w14:textId="77777777" w:rsidR="007A565F" w:rsidRDefault="007A565F">
      <w:pPr>
        <w:jc w:val="center"/>
        <w:rPr>
          <w:b/>
          <w:color w:val="222222"/>
          <w:sz w:val="36"/>
          <w:szCs w:val="36"/>
          <w:highlight w:val="white"/>
        </w:rPr>
      </w:pPr>
    </w:p>
    <w:p w14:paraId="00000008" w14:textId="77777777" w:rsidR="007A565F" w:rsidRDefault="007A565F">
      <w:pPr>
        <w:jc w:val="center"/>
        <w:rPr>
          <w:b/>
          <w:color w:val="222222"/>
          <w:sz w:val="36"/>
          <w:szCs w:val="36"/>
          <w:highlight w:val="white"/>
        </w:rPr>
      </w:pPr>
    </w:p>
    <w:p w14:paraId="00000009" w14:textId="77777777" w:rsidR="007A565F" w:rsidRDefault="00C553F1">
      <w:pPr>
        <w:jc w:val="center"/>
        <w:rPr>
          <w:b/>
          <w:color w:val="222222"/>
          <w:sz w:val="36"/>
          <w:szCs w:val="36"/>
          <w:highlight w:val="white"/>
        </w:rPr>
      </w:pPr>
      <w:r>
        <w:rPr>
          <w:b/>
          <w:color w:val="222222"/>
          <w:sz w:val="36"/>
          <w:szCs w:val="36"/>
          <w:highlight w:val="white"/>
        </w:rPr>
        <w:t>Digital Skills Methods</w:t>
      </w:r>
      <w:r>
        <w:br w:type="page"/>
      </w:r>
    </w:p>
    <w:p w14:paraId="0000000A" w14:textId="77777777" w:rsidR="007A565F" w:rsidRDefault="00C553F1">
      <w:pPr>
        <w:jc w:val="center"/>
        <w:rPr>
          <w:b/>
          <w:sz w:val="28"/>
          <w:szCs w:val="28"/>
        </w:rPr>
      </w:pPr>
      <w:r>
        <w:rPr>
          <w:b/>
          <w:color w:val="222222"/>
          <w:sz w:val="28"/>
          <w:szCs w:val="28"/>
          <w:highlight w:val="white"/>
        </w:rPr>
        <w:t>Table of Content</w:t>
      </w:r>
    </w:p>
    <w:sdt>
      <w:sdtPr>
        <w:id w:val="-1787655343"/>
        <w:docPartObj>
          <w:docPartGallery w:val="Table of Contents"/>
          <w:docPartUnique/>
        </w:docPartObj>
      </w:sdtPr>
      <w:sdtEndPr/>
      <w:sdtContent>
        <w:p w14:paraId="0000000B" w14:textId="77777777" w:rsidR="007A565F" w:rsidRDefault="00C553F1">
          <w:pPr>
            <w:widowControl w:val="0"/>
            <w:tabs>
              <w:tab w:val="right" w:pos="9025"/>
            </w:tabs>
            <w:spacing w:before="60" w:after="200"/>
            <w:jc w:val="left"/>
            <w:rPr>
              <w:color w:val="000000"/>
            </w:rPr>
          </w:pPr>
          <w:r>
            <w:fldChar w:fldCharType="begin"/>
          </w:r>
          <w:r>
            <w:instrText xml:space="preserve"> TOC \h \u \z \t "Heading 1,1,Heading 2,2,Heading 3,3,Heading 4,4,Heading 5,5,Heading 6,6,"</w:instrText>
          </w:r>
          <w:r>
            <w:fldChar w:fldCharType="separate"/>
          </w:r>
          <w:hyperlink w:anchor="_62tgjnk9dcqt">
            <w:r>
              <w:rPr>
                <w:color w:val="000000"/>
              </w:rPr>
              <w:t>Introduction</w:t>
            </w:r>
            <w:r>
              <w:rPr>
                <w:color w:val="000000"/>
              </w:rPr>
              <w:tab/>
            </w:r>
          </w:hyperlink>
          <w:r>
            <w:fldChar w:fldCharType="begin"/>
          </w:r>
          <w:r>
            <w:instrText xml:space="preserve"> PAGEREF _62tgjnk9dcqt \h </w:instrText>
          </w:r>
          <w:r>
            <w:fldChar w:fldCharType="separate"/>
          </w:r>
          <w:r>
            <w:t>3</w:t>
          </w:r>
          <w:r>
            <w:fldChar w:fldCharType="end"/>
          </w:r>
        </w:p>
        <w:p w14:paraId="0000000C" w14:textId="77777777" w:rsidR="007A565F" w:rsidRDefault="00C553F1">
          <w:pPr>
            <w:widowControl w:val="0"/>
            <w:tabs>
              <w:tab w:val="right" w:pos="9025"/>
            </w:tabs>
            <w:spacing w:before="60" w:after="200"/>
            <w:jc w:val="left"/>
            <w:rPr>
              <w:color w:val="000000"/>
            </w:rPr>
          </w:pPr>
          <w:hyperlink w:anchor="_tr37ld907o9x">
            <w:r>
              <w:rPr>
                <w:color w:val="000000"/>
              </w:rPr>
              <w:t>1. “Explore how to find a research topic and then find a research topic of your choice where you feel there is a necess</w:t>
            </w:r>
            <w:r>
              <w:rPr>
                <w:color w:val="000000"/>
              </w:rPr>
              <w:t>ity for a research to be conducted. Finally, justify the reason behind your choice.”</w:t>
            </w:r>
            <w:r>
              <w:rPr>
                <w:color w:val="000000"/>
              </w:rPr>
              <w:tab/>
            </w:r>
          </w:hyperlink>
          <w:r>
            <w:fldChar w:fldCharType="begin"/>
          </w:r>
          <w:r>
            <w:instrText xml:space="preserve"> PAGEREF _tr37ld907o9x \h </w:instrText>
          </w:r>
          <w:r>
            <w:fldChar w:fldCharType="separate"/>
          </w:r>
          <w:r>
            <w:t>3</w:t>
          </w:r>
          <w:r>
            <w:fldChar w:fldCharType="end"/>
          </w:r>
        </w:p>
        <w:p w14:paraId="0000000D" w14:textId="77777777" w:rsidR="007A565F" w:rsidRDefault="00C553F1">
          <w:pPr>
            <w:widowControl w:val="0"/>
            <w:tabs>
              <w:tab w:val="right" w:pos="9025"/>
            </w:tabs>
            <w:spacing w:before="60" w:after="200"/>
            <w:jc w:val="left"/>
            <w:rPr>
              <w:color w:val="000000"/>
            </w:rPr>
          </w:pPr>
          <w:hyperlink w:anchor="_hdpuywtpoanj">
            <w:r>
              <w:rPr>
                <w:color w:val="000000"/>
              </w:rPr>
              <w:t>2. “Briefly discuss your chosen r</w:t>
            </w:r>
            <w:r>
              <w:rPr>
                <w:color w:val="000000"/>
              </w:rPr>
              <w:t>esearch idea.”</w:t>
            </w:r>
            <w:r>
              <w:rPr>
                <w:color w:val="000000"/>
              </w:rPr>
              <w:tab/>
            </w:r>
          </w:hyperlink>
          <w:r>
            <w:fldChar w:fldCharType="begin"/>
          </w:r>
          <w:r>
            <w:instrText xml:space="preserve"> PAGEREF _hdpuywtpoanj \h </w:instrText>
          </w:r>
          <w:r>
            <w:fldChar w:fldCharType="separate"/>
          </w:r>
          <w:r>
            <w:t>4</w:t>
          </w:r>
          <w:r>
            <w:fldChar w:fldCharType="end"/>
          </w:r>
        </w:p>
        <w:p w14:paraId="0000000E" w14:textId="77777777" w:rsidR="007A565F" w:rsidRDefault="00C553F1">
          <w:pPr>
            <w:widowControl w:val="0"/>
            <w:tabs>
              <w:tab w:val="right" w:pos="9025"/>
            </w:tabs>
            <w:spacing w:before="60" w:after="200"/>
            <w:jc w:val="left"/>
            <w:rPr>
              <w:color w:val="000000"/>
            </w:rPr>
          </w:pPr>
          <w:hyperlink w:anchor="_niefa9c7wpcv">
            <w:r>
              <w:rPr>
                <w:color w:val="000000"/>
              </w:rPr>
              <w:t>3. “Which methodology would you like to consider for your chosen research? and justify why.”</w:t>
            </w:r>
            <w:r>
              <w:rPr>
                <w:color w:val="000000"/>
              </w:rPr>
              <w:tab/>
            </w:r>
          </w:hyperlink>
          <w:r>
            <w:fldChar w:fldCharType="begin"/>
          </w:r>
          <w:r>
            <w:instrText xml:space="preserve"> PAGEREF _niefa9c7wpcv \h </w:instrText>
          </w:r>
          <w:r>
            <w:fldChar w:fldCharType="separate"/>
          </w:r>
          <w:r>
            <w:t>5</w:t>
          </w:r>
          <w:r>
            <w:fldChar w:fldCharType="end"/>
          </w:r>
        </w:p>
        <w:p w14:paraId="0000000F" w14:textId="77777777" w:rsidR="007A565F" w:rsidRDefault="00C553F1">
          <w:pPr>
            <w:widowControl w:val="0"/>
            <w:tabs>
              <w:tab w:val="right" w:pos="9025"/>
            </w:tabs>
            <w:spacing w:before="60" w:after="200"/>
            <w:jc w:val="left"/>
            <w:rPr>
              <w:color w:val="000000"/>
            </w:rPr>
          </w:pPr>
          <w:hyperlink w:anchor="_deiiiggm1qh6">
            <w:r>
              <w:rPr>
                <w:color w:val="000000"/>
              </w:rPr>
              <w:t xml:space="preserve">4. “Explain how to find some credible sources to support your research. Then find some credible sources relevant to your research and describe the way (From where and how) you found them. Finally, present all those sources according to Harvard referencing </w:t>
            </w:r>
            <w:r>
              <w:rPr>
                <w:color w:val="000000"/>
              </w:rPr>
              <w:t>style.”</w:t>
            </w:r>
            <w:r>
              <w:rPr>
                <w:color w:val="000000"/>
              </w:rPr>
              <w:tab/>
            </w:r>
          </w:hyperlink>
          <w:r>
            <w:fldChar w:fldCharType="begin"/>
          </w:r>
          <w:r>
            <w:instrText xml:space="preserve"> PAGEREF _deiiiggm1qh6 \h </w:instrText>
          </w:r>
          <w:r>
            <w:fldChar w:fldCharType="separate"/>
          </w:r>
          <w:r>
            <w:t>6</w:t>
          </w:r>
          <w:r>
            <w:fldChar w:fldCharType="end"/>
          </w:r>
        </w:p>
        <w:p w14:paraId="00000010" w14:textId="77777777" w:rsidR="007A565F" w:rsidRDefault="00C553F1">
          <w:pPr>
            <w:widowControl w:val="0"/>
            <w:tabs>
              <w:tab w:val="right" w:pos="9025"/>
            </w:tabs>
            <w:spacing w:before="60" w:after="200"/>
            <w:jc w:val="left"/>
            <w:rPr>
              <w:color w:val="000000"/>
            </w:rPr>
          </w:pPr>
          <w:hyperlink w:anchor="_6xj3ydnih8p">
            <w:r>
              <w:rPr>
                <w:color w:val="000000"/>
              </w:rPr>
              <w:t>Conclusion</w:t>
            </w:r>
            <w:r>
              <w:rPr>
                <w:color w:val="000000"/>
              </w:rPr>
              <w:tab/>
            </w:r>
          </w:hyperlink>
          <w:r>
            <w:fldChar w:fldCharType="begin"/>
          </w:r>
          <w:r>
            <w:instrText xml:space="preserve"> PAGEREF _6xj3ydnih8p \h </w:instrText>
          </w:r>
          <w:r>
            <w:fldChar w:fldCharType="separate"/>
          </w:r>
          <w:r>
            <w:t>8</w:t>
          </w:r>
          <w:r>
            <w:fldChar w:fldCharType="end"/>
          </w:r>
        </w:p>
        <w:p w14:paraId="00000011" w14:textId="77777777" w:rsidR="007A565F" w:rsidRDefault="00C553F1">
          <w:pPr>
            <w:widowControl w:val="0"/>
            <w:tabs>
              <w:tab w:val="right" w:pos="9025"/>
            </w:tabs>
            <w:spacing w:before="60" w:after="200"/>
            <w:jc w:val="left"/>
            <w:rPr>
              <w:color w:val="000000"/>
            </w:rPr>
          </w:pPr>
          <w:hyperlink w:anchor="_iktniruo7o39">
            <w:r>
              <w:rPr>
                <w:color w:val="000000"/>
              </w:rPr>
              <w:t>References</w:t>
            </w:r>
            <w:r>
              <w:rPr>
                <w:color w:val="000000"/>
              </w:rPr>
              <w:tab/>
            </w:r>
          </w:hyperlink>
          <w:r>
            <w:fldChar w:fldCharType="begin"/>
          </w:r>
          <w:r>
            <w:instrText xml:space="preserve"> PAGEREF _iktniruo7o39 \h </w:instrText>
          </w:r>
          <w:r>
            <w:fldChar w:fldCharType="separate"/>
          </w:r>
          <w:r>
            <w:t>9</w:t>
          </w:r>
          <w:r>
            <w:fldChar w:fldCharType="end"/>
          </w:r>
          <w:r>
            <w:fldChar w:fldCharType="end"/>
          </w:r>
        </w:p>
      </w:sdtContent>
    </w:sdt>
    <w:p w14:paraId="00000012" w14:textId="77777777" w:rsidR="007A565F" w:rsidRDefault="00C553F1">
      <w:pPr>
        <w:rPr>
          <w:b/>
        </w:rPr>
      </w:pPr>
      <w:r>
        <w:br w:type="page"/>
      </w:r>
    </w:p>
    <w:p w14:paraId="00000013" w14:textId="77777777" w:rsidR="007A565F" w:rsidRDefault="00C553F1">
      <w:pPr>
        <w:pStyle w:val="Heading1"/>
      </w:pPr>
      <w:bookmarkStart w:id="0" w:name="_62tgjnk9dcqt" w:colFirst="0" w:colLast="0"/>
      <w:bookmarkEnd w:id="0"/>
      <w:r>
        <w:t xml:space="preserve">Introduction </w:t>
      </w:r>
    </w:p>
    <w:p w14:paraId="00000014" w14:textId="77777777" w:rsidR="007A565F" w:rsidRDefault="00C553F1">
      <w:r>
        <w:t>The use of innovation in medical services has recently increased, particularly in nurs</w:t>
      </w:r>
      <w:r>
        <w:t>ing homes and elder care. Telemedicine and e-health innovations provide the opportunity to work on understanding outcomes, save costs, and enhance access to medical services. However, a variety of challenges and problems have stymied the application and up</w:t>
      </w:r>
      <w:r>
        <w:t>take of these technologies (Grabowsk and Mor, 2020). This article will look at the benefits, disadvantages, and possible uses of telemedicine technology in elder care and nursing facilities.</w:t>
      </w:r>
    </w:p>
    <w:p w14:paraId="00000015" w14:textId="77777777" w:rsidR="007A565F" w:rsidRDefault="007A565F"/>
    <w:p w14:paraId="00000016" w14:textId="77777777" w:rsidR="007A565F" w:rsidRDefault="00C553F1">
      <w:pPr>
        <w:pStyle w:val="Heading1"/>
      </w:pPr>
      <w:bookmarkStart w:id="1" w:name="_tr37ld907o9x" w:colFirst="0" w:colLast="0"/>
      <w:bookmarkEnd w:id="1"/>
      <w:r>
        <w:t>1. “Explore how to find a research topic and then find a researc</w:t>
      </w:r>
      <w:r>
        <w:t>h topic of your choice where you feel there is a necessity for a research to be conducted. Finally, justify the reason behind your choice.”</w:t>
      </w:r>
    </w:p>
    <w:p w14:paraId="00000017" w14:textId="77777777" w:rsidR="007A565F" w:rsidRDefault="00C553F1">
      <w:r>
        <w:t>Many individuals may find it challenging to choose a study subject. It is advised that the researcher choose a topic</w:t>
      </w:r>
      <w:r>
        <w:t xml:space="preserve"> that the individual is very interested in. In order to identify themes, the researcher may explore news items, books, or articles pertaining to their area of interest. They may also seek assistance from coaches, cohorts, or professors who are specialists </w:t>
      </w:r>
      <w:r>
        <w:t>in their field. After generating a broad notion, the researcher should aim to reduce their emphasis and construct a specific research question or thesis statement. It is critical to ensure that the study subject is doable and practical in light of the time</w:t>
      </w:r>
      <w:r>
        <w:t xml:space="preserve"> and financial restrictions (Mali, 2022). When the researcher performs extra study and acquires a greater knowledge of their topic, they should be open to switching subjects.</w:t>
      </w:r>
    </w:p>
    <w:p w14:paraId="00000018" w14:textId="77777777" w:rsidR="007A565F" w:rsidRDefault="00C553F1">
      <w:r>
        <w:t>One promising area of research is the use of telemedicine technology in senior nu</w:t>
      </w:r>
      <w:r>
        <w:t xml:space="preserve">rsing homes. Nursing homes have evolved as a popular choice for elderly individuals who need regular medical treatment and care as the world's population continues to age. However, there are worries about the quality of care and the accessibility of these </w:t>
      </w:r>
      <w:r>
        <w:t xml:space="preserve">people's healthcare services (Rouidi </w:t>
      </w:r>
      <w:r>
        <w:rPr>
          <w:i/>
        </w:rPr>
        <w:t>et al.,</w:t>
      </w:r>
      <w:r>
        <w:t xml:space="preserve"> 2022). Telemedicine technology may be able to alleviate these concerns by delivering remote consultations, diagnosis, and treatments. This research will look at the use of telemedicine technology to enhance heal</w:t>
      </w:r>
      <w:r>
        <w:t xml:space="preserve">thcare outcomes for nursing home patients, as well as the challenges to its adoption in the healthcare industry. The outcomes of this research will be used to advise nursing homes in better integrating and using telemedicine technology to give better care </w:t>
      </w:r>
      <w:r>
        <w:t>to older patients.</w:t>
      </w:r>
    </w:p>
    <w:p w14:paraId="00000019" w14:textId="77777777" w:rsidR="007A565F" w:rsidRDefault="00C553F1">
      <w:r>
        <w:t xml:space="preserve">As the population ages, nursing homes are becoming more popular for older individuals who need day-to-day care and medical treatment. However, these hospitals usually face challenges such as a shortage of people, insufficient money, and </w:t>
      </w:r>
      <w:r>
        <w:t xml:space="preserve">limited access to healthcare services (Seaman </w:t>
      </w:r>
      <w:r>
        <w:rPr>
          <w:i/>
        </w:rPr>
        <w:t>et al.,</w:t>
      </w:r>
      <w:r>
        <w:t xml:space="preserve"> 2021). Telemedicine innovation may be able to overcome these obstacles by providing remote interviews, analysis, and medications (Bender </w:t>
      </w:r>
      <w:r>
        <w:rPr>
          <w:i/>
        </w:rPr>
        <w:t>et al.,</w:t>
      </w:r>
      <w:r>
        <w:t xml:space="preserve"> 2019). Furthermore, the COVID-19 pandemic has highlighted the need of telemedicine in delivering healthcare services and reducing infection risk. Telemedicine, a medical technique that enables physicians to treat patients from a distance, may benefit nurs</w:t>
      </w:r>
      <w:r>
        <w:t>ing homes (Mehrotra</w:t>
      </w:r>
      <w:r>
        <w:rPr>
          <w:i/>
        </w:rPr>
        <w:t xml:space="preserve"> et al., </w:t>
      </w:r>
      <w:r>
        <w:t>2020). As a result, it is critical to investigate how well telemedicine innovation works for elderly patients in nursing homes. The findings of this study might assist nursing homes in transmitting and developing telemedicine in</w:t>
      </w:r>
      <w:r>
        <w:t>novation, which could work fairly and squarely to care for older patients and address issues that these offices are now facing.</w:t>
      </w:r>
    </w:p>
    <w:p w14:paraId="0000001A" w14:textId="77777777" w:rsidR="007A565F" w:rsidRDefault="007A565F"/>
    <w:p w14:paraId="0000001B" w14:textId="77777777" w:rsidR="007A565F" w:rsidRDefault="00C553F1">
      <w:pPr>
        <w:pStyle w:val="Heading1"/>
      </w:pPr>
      <w:bookmarkStart w:id="2" w:name="_hdpuywtpoanj" w:colFirst="0" w:colLast="0"/>
      <w:bookmarkEnd w:id="2"/>
      <w:r>
        <w:t>2. “Briefly discuss your chosen research idea.”</w:t>
      </w:r>
    </w:p>
    <w:p w14:paraId="0000001C" w14:textId="77777777" w:rsidR="007A565F" w:rsidRDefault="00C553F1">
      <w:r>
        <w:t>Telemedicine technology has the ability to change healthcare services, especially for elderly patients in nursing homes. Because of mobility or transportation concerns, the elderly population often experiences several health conditions and has restricted a</w:t>
      </w:r>
      <w:r>
        <w:t>ccess to healthcare services. Telemedicine technology enables healthcare professionals to provide remote treatment to elderly patients, reducing the need for real travel to healthcare facilities (Otto and Harst, 2019).</w:t>
      </w:r>
    </w:p>
    <w:p w14:paraId="0000001D" w14:textId="77777777" w:rsidR="007A565F" w:rsidRDefault="00C553F1">
      <w:r>
        <w:t>The COVID-19 epidemic has highlighted</w:t>
      </w:r>
      <w:r>
        <w:t xml:space="preserve"> the need for telemedicine technologies in nursing homes. Social distancing methods have made it difficult for healthcare workers to provide in-person treatment to elderly patients. Telemedicine technology has grown as a realistic tool for ensuring treatme</w:t>
      </w:r>
      <w:r>
        <w:t>nt continuation while adhering to social distance norms (Kashani, 2019).</w:t>
      </w:r>
    </w:p>
    <w:p w14:paraId="0000001E" w14:textId="77777777" w:rsidR="007A565F" w:rsidRDefault="00C553F1">
      <w:r>
        <w:t>The use of telemedicine technology in nursing homes has several benefits. For starters, it reduces the need for older people to go to healthcare facilities, which may be problematic f</w:t>
      </w:r>
      <w:r>
        <w:t>or individuals with mobility concerns. Second, it allows healthcare staff to remotely monitor patients' health status and respond quickly in the event of an emergency. Third, telemedicine technology may help patients and healthcare providers save money. It</w:t>
      </w:r>
      <w:r>
        <w:t xml:space="preserve"> decreases the need for physical infrastructure like examination rooms and waiting rooms, as well as the number of staff needed for patient care.</w:t>
      </w:r>
    </w:p>
    <w:p w14:paraId="0000001F" w14:textId="77777777" w:rsidR="007A565F" w:rsidRDefault="00C553F1">
      <w:r>
        <w:t xml:space="preserve">However, there are considerable barriers associated with the use of telemedicine technology in nursing homes. </w:t>
      </w:r>
      <w:r>
        <w:t>Some older people may be less comfortable with technology or need assistance in using it. If the technology is not used appropriately or if healthcare personnel lack enough training or experience with telemedicine technology, the quality of treatment may s</w:t>
      </w:r>
      <w:r>
        <w:t xml:space="preserve">uffer. Furthermore, the availability and price of high-speed internet and telecommunication services may be a concern in certain areas, limiting the feasibility of using telemedicine technology in nursing homes (Haleem </w:t>
      </w:r>
      <w:r>
        <w:rPr>
          <w:i/>
        </w:rPr>
        <w:t>et al.,</w:t>
      </w:r>
      <w:r>
        <w:t xml:space="preserve"> 2021).</w:t>
      </w:r>
    </w:p>
    <w:p w14:paraId="00000020" w14:textId="77777777" w:rsidR="007A565F" w:rsidRDefault="007A565F"/>
    <w:p w14:paraId="00000021" w14:textId="77777777" w:rsidR="007A565F" w:rsidRDefault="007A565F"/>
    <w:p w14:paraId="00000022" w14:textId="77777777" w:rsidR="007A565F" w:rsidRDefault="007A565F"/>
    <w:p w14:paraId="00000023" w14:textId="77777777" w:rsidR="007A565F" w:rsidRDefault="007A565F"/>
    <w:p w14:paraId="00000024" w14:textId="77777777" w:rsidR="007A565F" w:rsidRDefault="007A565F"/>
    <w:p w14:paraId="00000025" w14:textId="77777777" w:rsidR="007A565F" w:rsidRDefault="00C553F1">
      <w:pPr>
        <w:pStyle w:val="Heading1"/>
      </w:pPr>
      <w:bookmarkStart w:id="3" w:name="_niefa9c7wpcv" w:colFirst="0" w:colLast="0"/>
      <w:bookmarkEnd w:id="3"/>
      <w:r>
        <w:t>3. “Which methodo</w:t>
      </w:r>
      <w:r>
        <w:t>logy would you like to consider for your chosen research? and justify why.”</w:t>
      </w:r>
    </w:p>
    <w:p w14:paraId="00000026" w14:textId="77777777" w:rsidR="007A565F" w:rsidRDefault="00C553F1">
      <w:pPr>
        <w:rPr>
          <w:b/>
        </w:rPr>
      </w:pPr>
      <w:r>
        <w:rPr>
          <w:b/>
        </w:rPr>
        <w:t>Research Philosophy:</w:t>
      </w:r>
      <w:r>
        <w:t xml:space="preserve"> The research philosophy of interpretivism forms the basis of this study's research technique. Because reality is a social construction, the researcher's interp</w:t>
      </w:r>
      <w:r>
        <w:t xml:space="preserve">retation of the issue under study is critical to understanding it, according to interpretivism (Alharahsheh and Pius, 2020). This is congruent with the study's purpose of investigating the usefulness of telemedicine technology in nursing homes for elderly </w:t>
      </w:r>
      <w:r>
        <w:t>patients, since the researcher will be analysing secondary data to understand the experiences and viewpoints of both the patients and healthcare professionals involved.</w:t>
      </w:r>
    </w:p>
    <w:p w14:paraId="00000027" w14:textId="77777777" w:rsidR="007A565F" w:rsidRDefault="00C553F1">
      <w:pPr>
        <w:rPr>
          <w:b/>
        </w:rPr>
      </w:pPr>
      <w:r>
        <w:rPr>
          <w:b/>
        </w:rPr>
        <w:t xml:space="preserve">Research Approach: </w:t>
      </w:r>
      <w:r>
        <w:t>The deductive research approach was applied in this investigation. A</w:t>
      </w:r>
      <w:r>
        <w:t xml:space="preserve"> deductive approach begins with a theory or hypothesis and tests it via the examination of evidence (Casula </w:t>
      </w:r>
      <w:r>
        <w:rPr>
          <w:i/>
        </w:rPr>
        <w:t>et al.,</w:t>
      </w:r>
      <w:r>
        <w:t xml:space="preserve"> 2021). The researcher will utilise secondary data to test the claim that telemedicine technology improves patient outcomes and satisfaction </w:t>
      </w:r>
      <w:r>
        <w:t>in nursing homes for older patients.</w:t>
      </w:r>
    </w:p>
    <w:p w14:paraId="00000028" w14:textId="77777777" w:rsidR="007A565F" w:rsidRDefault="00C553F1">
      <w:pPr>
        <w:rPr>
          <w:b/>
        </w:rPr>
      </w:pPr>
      <w:r>
        <w:rPr>
          <w:b/>
        </w:rPr>
        <w:t>Research Strategy:</w:t>
      </w:r>
      <w:r>
        <w:t xml:space="preserve"> This study's research technique is a systematic review. The researcher will look for and study existing literature on the use of telemedicine technology in nursing homes for elderly patients. This wil</w:t>
      </w:r>
      <w:r>
        <w:t>l include looking at secondary data from already completed and published studies.</w:t>
      </w:r>
    </w:p>
    <w:p w14:paraId="00000029" w14:textId="77777777" w:rsidR="007A565F" w:rsidRDefault="00C553F1">
      <w:pPr>
        <w:rPr>
          <w:b/>
        </w:rPr>
      </w:pPr>
      <w:r>
        <w:rPr>
          <w:b/>
        </w:rPr>
        <w:t xml:space="preserve">Data Collection: </w:t>
      </w:r>
      <w:r>
        <w:t>This study will not need data collection since it will depend on secondary data.</w:t>
      </w:r>
    </w:p>
    <w:p w14:paraId="0000002A" w14:textId="77777777" w:rsidR="007A565F" w:rsidRDefault="00C553F1">
      <w:r>
        <w:rPr>
          <w:b/>
        </w:rPr>
        <w:t xml:space="preserve">Data Analysis: </w:t>
      </w:r>
      <w:r>
        <w:t xml:space="preserve">The existing literature on the effectiveness of telemedicine </w:t>
      </w:r>
      <w:r>
        <w:t>technology for senior patients in nursing homes will be extensively researched in order to assess the data for this study. In published articles, the usage of telemedicine technology in nursing homes for senior patients, as well as its impact on patient ou</w:t>
      </w:r>
      <w:r>
        <w:t>tcomes and satisfaction, will be explored, discovered, and examined. To assess if telemedicine technology is effective for treating elderly patients in nursing homes, the data analysis procedure will include synthesising the study findings and searching fo</w:t>
      </w:r>
      <w:r>
        <w:t>r patterns or trends.</w:t>
      </w:r>
    </w:p>
    <w:p w14:paraId="0000002B" w14:textId="77777777" w:rsidR="007A565F" w:rsidRDefault="007A565F"/>
    <w:p w14:paraId="0000002C" w14:textId="77777777" w:rsidR="007A565F" w:rsidRDefault="00C553F1">
      <w:pPr>
        <w:pStyle w:val="Heading1"/>
      </w:pPr>
      <w:bookmarkStart w:id="4" w:name="_deiiiggm1qh6" w:colFirst="0" w:colLast="0"/>
      <w:bookmarkEnd w:id="4"/>
      <w:r>
        <w:t xml:space="preserve">4. “Explain how to find some credible sources to support your research. Then find some credible sources relevant to your research and describe the way (From where and how) you found them. Finally, present all those sources according </w:t>
      </w:r>
      <w:r>
        <w:t>to Harvard referencing style.”</w:t>
      </w:r>
    </w:p>
    <w:p w14:paraId="0000002D" w14:textId="77777777" w:rsidR="007A565F" w:rsidRDefault="00C553F1">
      <w:r>
        <w:t>Finding trustworthy sources to support your research is a crucial step in the research process. Here are a few ways to find reliable sources:</w:t>
      </w:r>
    </w:p>
    <w:p w14:paraId="0000002E" w14:textId="77777777" w:rsidR="007A565F" w:rsidRDefault="00C553F1">
      <w:r>
        <w:rPr>
          <w:b/>
          <w:i/>
        </w:rPr>
        <w:t>Academic database services:</w:t>
      </w:r>
      <w:r>
        <w:t xml:space="preserve"> Access to peer-reviewed articles, research initiatives,</w:t>
      </w:r>
      <w:r>
        <w:t xml:space="preserve"> and academic magazines is available via a number of academic databases, including JSTOR, PubMed, and Scopus. These databases provide a wealth of data on several topics and are quite reliable.</w:t>
      </w:r>
    </w:p>
    <w:p w14:paraId="0000002F" w14:textId="77777777" w:rsidR="007A565F" w:rsidRDefault="00C553F1">
      <w:r>
        <w:rPr>
          <w:b/>
          <w:i/>
        </w:rPr>
        <w:t>Publications that the government has released:</w:t>
      </w:r>
      <w:r>
        <w:t xml:space="preserve"> Reports, white p</w:t>
      </w:r>
      <w:r>
        <w:t>apers, and statistics published by the government may be a useful source of research information. A large variety of very reliable publications are available on government websites, including those of the World Health Organisation (WHO), the National Insti</w:t>
      </w:r>
      <w:r>
        <w:t>tutes of Health (NIH), and the Centres for Disease Control and Prevention (CDC).</w:t>
      </w:r>
    </w:p>
    <w:p w14:paraId="00000030" w14:textId="77777777" w:rsidR="007A565F" w:rsidRDefault="00C553F1">
      <w:r>
        <w:rPr>
          <w:b/>
          <w:i/>
        </w:rPr>
        <w:t>Organisations for professionals:</w:t>
      </w:r>
      <w:r>
        <w:t xml:space="preserve"> Professional associations in your field of study may be a good resource for information. These organisations often publish journals, articles,</w:t>
      </w:r>
      <w:r>
        <w:t xml:space="preserve"> and studies that provide information on current trends in both academia and business.</w:t>
      </w:r>
    </w:p>
    <w:p w14:paraId="00000031" w14:textId="77777777" w:rsidR="007A565F" w:rsidRDefault="00C553F1">
      <w:r>
        <w:t>Many libraries provide access to online book, paper, and other material collections that students and academics may use. These digital libraries might provide trustworth</w:t>
      </w:r>
      <w:r>
        <w:t>y information.</w:t>
      </w:r>
    </w:p>
    <w:p w14:paraId="00000032" w14:textId="77777777" w:rsidR="007A565F" w:rsidRDefault="00C553F1">
      <w:pPr>
        <w:numPr>
          <w:ilvl w:val="0"/>
          <w:numId w:val="2"/>
        </w:numPr>
      </w:pPr>
      <w:r>
        <w:t>Bibliometric Analysis of Telemedicine and E-Health Literature</w:t>
      </w:r>
    </w:p>
    <w:p w14:paraId="00000033" w14:textId="77777777" w:rsidR="007A565F" w:rsidRDefault="00C553F1">
      <w:pPr>
        <w:numPr>
          <w:ilvl w:val="0"/>
          <w:numId w:val="2"/>
        </w:numPr>
      </w:pPr>
      <w:r>
        <w:t>Analysis of Telehealth Versus Telemedicine Terminology in the Telemedicine and e-Health Journal Between 2010 and 2020</w:t>
      </w:r>
    </w:p>
    <w:p w14:paraId="00000034" w14:textId="77777777" w:rsidR="007A565F" w:rsidRDefault="00C553F1">
      <w:pPr>
        <w:numPr>
          <w:ilvl w:val="0"/>
          <w:numId w:val="2"/>
        </w:numPr>
      </w:pPr>
      <w:r>
        <w:t>Telemedicine and e-Health research solutions in literature fo</w:t>
      </w:r>
      <w:r>
        <w:t>r combatting COVID-19: a systematic review</w:t>
      </w:r>
    </w:p>
    <w:p w14:paraId="00000035" w14:textId="77777777" w:rsidR="007A565F" w:rsidRDefault="00C553F1">
      <w:pPr>
        <w:numPr>
          <w:ilvl w:val="0"/>
          <w:numId w:val="2"/>
        </w:numPr>
      </w:pPr>
      <w:r>
        <w:t>The Origins of Telemedicine and e-Health</w:t>
      </w:r>
    </w:p>
    <w:p w14:paraId="00000036" w14:textId="77777777" w:rsidR="007A565F" w:rsidRDefault="00C553F1">
      <w:pPr>
        <w:numPr>
          <w:ilvl w:val="0"/>
          <w:numId w:val="2"/>
        </w:numPr>
      </w:pPr>
      <w:r>
        <w:t>E-Commerce and E-Health Strategies and Implementation Activities in the United Kingdom: Review Study</w:t>
      </w:r>
    </w:p>
    <w:p w14:paraId="00000037" w14:textId="77777777" w:rsidR="007A565F" w:rsidRDefault="00C553F1">
      <w:pPr>
        <w:numPr>
          <w:ilvl w:val="0"/>
          <w:numId w:val="2"/>
        </w:numPr>
      </w:pPr>
      <w:r>
        <w:t>Factors affecting progress of the National e-Health Strategy in the NHS</w:t>
      </w:r>
      <w:r>
        <w:t xml:space="preserve"> in England: A Socio-technical Evaluation.</w:t>
      </w:r>
    </w:p>
    <w:p w14:paraId="00000038" w14:textId="77777777" w:rsidR="007A565F" w:rsidRDefault="00C553F1">
      <w:r>
        <w:t>These sources were discovered using a keyword search in academic databases like Google Scholar. The researcher found the files by searching for phrases like "telemedicine," "e-health," "COVID-19," "National e-Health Strategy," and "NHS in England." To ensu</w:t>
      </w:r>
      <w:r>
        <w:t>re that the sources are related to the research issue, the search was also confined to certain publications, such as the Telemedicine and E-Health Journal or the Journal of Medical Internet Studies. After doing the search, the results were verified for rel</w:t>
      </w:r>
      <w:r>
        <w:t>iability and relevance before being included in the research.</w:t>
      </w:r>
    </w:p>
    <w:p w14:paraId="00000039" w14:textId="77777777" w:rsidR="007A565F" w:rsidRDefault="00C553F1">
      <w:r>
        <w:t>To test for relevance, the following criteria were used:</w:t>
      </w:r>
    </w:p>
    <w:p w14:paraId="0000003A" w14:textId="77777777" w:rsidR="007A565F" w:rsidRDefault="00C553F1">
      <w:pPr>
        <w:numPr>
          <w:ilvl w:val="0"/>
          <w:numId w:val="1"/>
        </w:numPr>
      </w:pPr>
      <w:r>
        <w:t>The use of telemedicine or e-health technology in nursing homes or senior care must be included in the title and/or abstract.</w:t>
      </w:r>
    </w:p>
    <w:p w14:paraId="0000003B" w14:textId="77777777" w:rsidR="007A565F" w:rsidRDefault="00C553F1">
      <w:pPr>
        <w:numPr>
          <w:ilvl w:val="0"/>
          <w:numId w:val="1"/>
        </w:numPr>
      </w:pPr>
      <w:r>
        <w:t>Given the f</w:t>
      </w:r>
      <w:r>
        <w:t>ast evolution of technology and healthcare services, the publication date must be within the previous ten years.</w:t>
      </w:r>
    </w:p>
    <w:p w14:paraId="0000003C" w14:textId="77777777" w:rsidR="007A565F" w:rsidRDefault="00C553F1">
      <w:pPr>
        <w:numPr>
          <w:ilvl w:val="0"/>
          <w:numId w:val="1"/>
        </w:numPr>
      </w:pPr>
      <w:r>
        <w:t>To ensure the accuracy and legitimacy of the information provided, the source must be a peer-reviewed journal article or a systematic review.</w:t>
      </w:r>
    </w:p>
    <w:p w14:paraId="0000003D" w14:textId="77777777" w:rsidR="007A565F" w:rsidRDefault="00C553F1">
      <w:r>
        <w:t>Following the application of these criteria, the sources were evaluated for their relevance to the research subject at hand. The bibliometric analysis and terminology analysis were selected to offer readers with a more comprehensive understanding of the de</w:t>
      </w:r>
      <w:r>
        <w:t>velopment and application of telemedicine technology in healthcare. The systematic review on telemedicine and e-health research solutions for COVID-19 was chosen to offer information on the actual application of telemedicine technology in the current healt</w:t>
      </w:r>
      <w:r>
        <w:t xml:space="preserve">hcare context. The origins of telemedicine and e-health, as well as the e-commerce and e-health strategies research, were selected to give a historical and policy perspective on the development and usage of telemedicine technology. The factors driving the </w:t>
      </w:r>
      <w:r>
        <w:t>establishment of the National e-Health Strategy within the NHS in England were chosen to provide light on the possibilities and challenges connected with national telemedicine technology adoption.</w:t>
      </w:r>
    </w:p>
    <w:p w14:paraId="0000003E" w14:textId="77777777" w:rsidR="007A565F" w:rsidRDefault="00C553F1">
      <w:r>
        <w:t>Sources in Harvard Format</w:t>
      </w:r>
    </w:p>
    <w:p w14:paraId="0000003F" w14:textId="77777777" w:rsidR="007A565F" w:rsidRDefault="00C553F1">
      <w:pPr>
        <w:numPr>
          <w:ilvl w:val="0"/>
          <w:numId w:val="3"/>
        </w:numPr>
        <w:rPr>
          <w:color w:val="222222"/>
          <w:highlight w:val="white"/>
        </w:rPr>
      </w:pPr>
      <w:r>
        <w:rPr>
          <w:color w:val="222222"/>
          <w:highlight w:val="white"/>
        </w:rPr>
        <w:t>Sikandar, H., Vaicondam, Y., Parv</w:t>
      </w:r>
      <w:r>
        <w:rPr>
          <w:color w:val="222222"/>
          <w:highlight w:val="white"/>
        </w:rPr>
        <w:t xml:space="preserve">een, S., Khan, N. and Qureshi, M.I., 2021. Bibliometric Analysis of Telemedicine and E-Health Literature. </w:t>
      </w:r>
      <w:r>
        <w:rPr>
          <w:i/>
          <w:color w:val="222222"/>
          <w:highlight w:val="white"/>
        </w:rPr>
        <w:t>International Journal of Online &amp; Biomedical Engineering</w:t>
      </w:r>
      <w:r>
        <w:rPr>
          <w:color w:val="222222"/>
          <w:highlight w:val="white"/>
        </w:rPr>
        <w:t xml:space="preserve">, </w:t>
      </w:r>
      <w:r>
        <w:rPr>
          <w:i/>
          <w:color w:val="222222"/>
          <w:highlight w:val="white"/>
        </w:rPr>
        <w:t>17</w:t>
      </w:r>
      <w:r>
        <w:rPr>
          <w:color w:val="222222"/>
          <w:highlight w:val="white"/>
        </w:rPr>
        <w:t>(12).</w:t>
      </w:r>
    </w:p>
    <w:p w14:paraId="00000040" w14:textId="77777777" w:rsidR="007A565F" w:rsidRDefault="00C553F1">
      <w:pPr>
        <w:numPr>
          <w:ilvl w:val="0"/>
          <w:numId w:val="3"/>
        </w:numPr>
        <w:rPr>
          <w:color w:val="222222"/>
          <w:highlight w:val="white"/>
        </w:rPr>
      </w:pPr>
      <w:r>
        <w:rPr>
          <w:color w:val="222222"/>
          <w:highlight w:val="white"/>
        </w:rPr>
        <w:t>Sodhi, N., Weinstein, R.S., Stewart, K. and Doarn, C.R., 2022. Analysis of telehealt</w:t>
      </w:r>
      <w:r>
        <w:rPr>
          <w:color w:val="222222"/>
          <w:highlight w:val="white"/>
        </w:rPr>
        <w:t xml:space="preserve">h versus telemedicine terminology in the telemedicine and e-Health journal between 2010 and 2020. </w:t>
      </w:r>
      <w:r>
        <w:rPr>
          <w:i/>
          <w:color w:val="222222"/>
          <w:highlight w:val="white"/>
        </w:rPr>
        <w:t>Telemedicine and e-Health</w:t>
      </w:r>
      <w:r>
        <w:rPr>
          <w:color w:val="222222"/>
          <w:highlight w:val="white"/>
        </w:rPr>
        <w:t xml:space="preserve">, </w:t>
      </w:r>
      <w:r>
        <w:rPr>
          <w:i/>
          <w:color w:val="222222"/>
          <w:highlight w:val="white"/>
        </w:rPr>
        <w:t>28</w:t>
      </w:r>
      <w:r>
        <w:rPr>
          <w:color w:val="222222"/>
          <w:highlight w:val="white"/>
        </w:rPr>
        <w:t>(12), pp.1861-1865.</w:t>
      </w:r>
    </w:p>
    <w:p w14:paraId="00000041" w14:textId="77777777" w:rsidR="007A565F" w:rsidRDefault="00C553F1">
      <w:pPr>
        <w:numPr>
          <w:ilvl w:val="0"/>
          <w:numId w:val="3"/>
        </w:numPr>
        <w:rPr>
          <w:color w:val="222222"/>
          <w:highlight w:val="white"/>
        </w:rPr>
      </w:pPr>
      <w:r>
        <w:rPr>
          <w:color w:val="222222"/>
          <w:highlight w:val="white"/>
        </w:rPr>
        <w:t>Alonso, S.G., Marques, G., Barrachina, I., Garcia-Zapirain, B., Arambarri, J., Salvador, J.C. and de la Torre</w:t>
      </w:r>
      <w:r>
        <w:rPr>
          <w:color w:val="222222"/>
          <w:highlight w:val="white"/>
        </w:rPr>
        <w:t xml:space="preserve"> Díez, I., 2021. Telemedicine and e-Health research solutions in literature for combatting COVID-19: a systematic review. </w:t>
      </w:r>
      <w:r>
        <w:rPr>
          <w:i/>
          <w:color w:val="222222"/>
          <w:highlight w:val="white"/>
        </w:rPr>
        <w:t>Health and technology</w:t>
      </w:r>
      <w:r>
        <w:rPr>
          <w:color w:val="222222"/>
          <w:highlight w:val="white"/>
        </w:rPr>
        <w:t xml:space="preserve">, </w:t>
      </w:r>
      <w:r>
        <w:rPr>
          <w:i/>
          <w:color w:val="222222"/>
          <w:highlight w:val="white"/>
        </w:rPr>
        <w:t>11</w:t>
      </w:r>
      <w:r>
        <w:rPr>
          <w:color w:val="222222"/>
          <w:highlight w:val="white"/>
        </w:rPr>
        <w:t>, pp.257-266.</w:t>
      </w:r>
    </w:p>
    <w:p w14:paraId="00000042" w14:textId="77777777" w:rsidR="007A565F" w:rsidRDefault="00C553F1">
      <w:pPr>
        <w:numPr>
          <w:ilvl w:val="0"/>
          <w:numId w:val="3"/>
        </w:numPr>
        <w:rPr>
          <w:color w:val="222222"/>
          <w:highlight w:val="white"/>
        </w:rPr>
      </w:pPr>
      <w:r>
        <w:rPr>
          <w:color w:val="222222"/>
          <w:highlight w:val="white"/>
        </w:rPr>
        <w:t xml:space="preserve">Bashshur, R.L. and Goldberg, M.A., 2014. The origins of telemedicine and e-health. </w:t>
      </w:r>
      <w:r>
        <w:rPr>
          <w:i/>
          <w:color w:val="222222"/>
          <w:highlight w:val="white"/>
        </w:rPr>
        <w:t>Telemedicine</w:t>
      </w:r>
      <w:r>
        <w:rPr>
          <w:i/>
          <w:color w:val="222222"/>
          <w:highlight w:val="white"/>
        </w:rPr>
        <w:t xml:space="preserve"> and e-Health</w:t>
      </w:r>
      <w:r>
        <w:rPr>
          <w:color w:val="222222"/>
          <w:highlight w:val="white"/>
        </w:rPr>
        <w:t xml:space="preserve">, </w:t>
      </w:r>
      <w:r>
        <w:rPr>
          <w:i/>
          <w:color w:val="222222"/>
          <w:highlight w:val="white"/>
        </w:rPr>
        <w:t>20</w:t>
      </w:r>
      <w:r>
        <w:rPr>
          <w:color w:val="222222"/>
          <w:highlight w:val="white"/>
        </w:rPr>
        <w:t>(3), pp.190-191.</w:t>
      </w:r>
    </w:p>
    <w:p w14:paraId="00000043" w14:textId="77777777" w:rsidR="007A565F" w:rsidRDefault="00C553F1">
      <w:pPr>
        <w:numPr>
          <w:ilvl w:val="0"/>
          <w:numId w:val="3"/>
        </w:numPr>
        <w:rPr>
          <w:color w:val="222222"/>
          <w:highlight w:val="white"/>
        </w:rPr>
      </w:pPr>
      <w:r>
        <w:rPr>
          <w:color w:val="222222"/>
          <w:highlight w:val="white"/>
        </w:rPr>
        <w:t xml:space="preserve">Fedushko, S., Shevchuk, L., Poritska, A., Kravets, R. and Tymovchak-Maksymets, O., 2021. E-Commerce and E-Health Strategies and Implementation Activities in the United Kingdom: Review Study. </w:t>
      </w:r>
      <w:r>
        <w:rPr>
          <w:i/>
          <w:color w:val="222222"/>
          <w:highlight w:val="white"/>
        </w:rPr>
        <w:t>arXiv preprint arXiv:2108.08271</w:t>
      </w:r>
      <w:r>
        <w:rPr>
          <w:color w:val="222222"/>
          <w:highlight w:val="white"/>
        </w:rPr>
        <w:t>.</w:t>
      </w:r>
    </w:p>
    <w:p w14:paraId="00000044" w14:textId="77777777" w:rsidR="007A565F" w:rsidRDefault="00C553F1">
      <w:pPr>
        <w:numPr>
          <w:ilvl w:val="0"/>
          <w:numId w:val="3"/>
        </w:numPr>
        <w:rPr>
          <w:color w:val="222222"/>
          <w:highlight w:val="white"/>
        </w:rPr>
      </w:pPr>
      <w:r>
        <w:rPr>
          <w:color w:val="222222"/>
          <w:highlight w:val="white"/>
        </w:rPr>
        <w:t>Richardson, K., 2019. Factors affecting progress of the National e-Health Strategy in the NHS in England: A Socio-technical Evaluation.</w:t>
      </w:r>
    </w:p>
    <w:p w14:paraId="00000045" w14:textId="77777777" w:rsidR="007A565F" w:rsidRDefault="007A565F">
      <w:pPr>
        <w:rPr>
          <w:color w:val="222222"/>
          <w:highlight w:val="white"/>
        </w:rPr>
      </w:pPr>
    </w:p>
    <w:p w14:paraId="00000046" w14:textId="77777777" w:rsidR="007A565F" w:rsidRDefault="00C553F1">
      <w:pPr>
        <w:pStyle w:val="Heading1"/>
      </w:pPr>
      <w:bookmarkStart w:id="5" w:name="_6xj3ydnih8p" w:colFirst="0" w:colLast="0"/>
      <w:bookmarkEnd w:id="5"/>
      <w:r>
        <w:t>Conclusion</w:t>
      </w:r>
    </w:p>
    <w:p w14:paraId="00000047" w14:textId="77777777" w:rsidR="007A565F" w:rsidRDefault="00C553F1">
      <w:pPr>
        <w:rPr>
          <w:color w:val="222222"/>
          <w:highlight w:val="white"/>
        </w:rPr>
      </w:pPr>
      <w:r>
        <w:rPr>
          <w:color w:val="222222"/>
          <w:highlight w:val="white"/>
        </w:rPr>
        <w:t>In Conclusion, telemedicine technology has the potential to alter the way older individuals get healthcare</w:t>
      </w:r>
      <w:r>
        <w:rPr>
          <w:color w:val="222222"/>
          <w:highlight w:val="white"/>
        </w:rPr>
        <w:t xml:space="preserve"> in nursing homes and other institutions for the elderly. Telemedicine technology is a helpful tool in today's healthcare environment because of its benefits, which include improved patient outcomes, more access to healthcare, and decreased healthcare cost</w:t>
      </w:r>
      <w:r>
        <w:rPr>
          <w:color w:val="222222"/>
          <w:highlight w:val="white"/>
        </w:rPr>
        <w:t xml:space="preserve">s. However, there are a number of barriers to the use and use of these technologies, including interoperability issues, privacy and security concerns, and the need for adequate patient and healthcare provider training and support. Research and development </w:t>
      </w:r>
      <w:r>
        <w:rPr>
          <w:color w:val="222222"/>
          <w:highlight w:val="white"/>
        </w:rPr>
        <w:t>must continue in order to overcome these hurdles and unleash the full potential of telemedicine technology. As seen by the studies discussed in this article, which give insights into the history, development, and uses of telemedicine technology in healthca</w:t>
      </w:r>
      <w:r>
        <w:rPr>
          <w:color w:val="222222"/>
          <w:highlight w:val="white"/>
        </w:rPr>
        <w:t>re, research and innovation are still required. By addressing the challenges and promoting the use of telemedicine technology in nursing homes and elder care, healthcare professionals may increase the level of care provided to older people and improve thei</w:t>
      </w:r>
      <w:r>
        <w:rPr>
          <w:color w:val="222222"/>
          <w:highlight w:val="white"/>
        </w:rPr>
        <w:t>r overall health and well-being.</w:t>
      </w:r>
      <w:r>
        <w:br w:type="page"/>
      </w:r>
    </w:p>
    <w:p w14:paraId="00000048" w14:textId="77777777" w:rsidR="007A565F" w:rsidRDefault="00C553F1">
      <w:pPr>
        <w:pStyle w:val="Heading1"/>
      </w:pPr>
      <w:bookmarkStart w:id="6" w:name="_iktniruo7o39" w:colFirst="0" w:colLast="0"/>
      <w:bookmarkEnd w:id="6"/>
      <w:r>
        <w:t>References</w:t>
      </w:r>
    </w:p>
    <w:p w14:paraId="00000049" w14:textId="5CDC6F46" w:rsidR="007A565F" w:rsidRDefault="00C553F1">
      <w:pPr>
        <w:spacing w:after="200"/>
        <w:rPr>
          <w:color w:val="222222"/>
          <w:highlight w:val="white"/>
        </w:rPr>
      </w:pPr>
      <w:r>
        <w:rPr>
          <w:color w:val="222222"/>
          <w:highlight w:val="white"/>
        </w:rPr>
        <w:t>Alharahsheh, H.H. and Pius, A.</w:t>
      </w:r>
      <w:r>
        <w:rPr>
          <w:color w:val="222222"/>
          <w:highlight w:val="white"/>
        </w:rPr>
        <w:t xml:space="preserve"> </w:t>
      </w:r>
      <w:r w:rsidR="005A070B">
        <w:rPr>
          <w:color w:val="222222"/>
          <w:highlight w:val="white"/>
        </w:rPr>
        <w:t xml:space="preserve">( </w:t>
      </w:r>
      <w:r>
        <w:rPr>
          <w:color w:val="222222"/>
          <w:highlight w:val="white"/>
        </w:rPr>
        <w:t>2020</w:t>
      </w:r>
      <w:r w:rsidR="005A070B">
        <w:rPr>
          <w:color w:val="222222"/>
          <w:highlight w:val="white"/>
        </w:rPr>
        <w:t>)</w:t>
      </w:r>
      <w:r>
        <w:rPr>
          <w:color w:val="222222"/>
          <w:highlight w:val="white"/>
        </w:rPr>
        <w:t xml:space="preserve"> A review of key paradigms: Positivism VS interpretivism. </w:t>
      </w:r>
      <w:r>
        <w:rPr>
          <w:i/>
          <w:color w:val="222222"/>
          <w:highlight w:val="white"/>
        </w:rPr>
        <w:t>Global Academic Journal of Humanities and Social Sciences</w:t>
      </w:r>
      <w:r>
        <w:rPr>
          <w:color w:val="222222"/>
          <w:highlight w:val="white"/>
        </w:rPr>
        <w:t xml:space="preserve">, </w:t>
      </w:r>
      <w:r>
        <w:rPr>
          <w:i/>
          <w:color w:val="222222"/>
          <w:highlight w:val="white"/>
        </w:rPr>
        <w:t>2</w:t>
      </w:r>
      <w:r>
        <w:rPr>
          <w:color w:val="222222"/>
          <w:highlight w:val="white"/>
        </w:rPr>
        <w:t>(3), pp.39-43.</w:t>
      </w:r>
    </w:p>
    <w:p w14:paraId="0000004A" w14:textId="31E8F72B" w:rsidR="007A565F" w:rsidRDefault="00C553F1">
      <w:pPr>
        <w:spacing w:after="200"/>
        <w:rPr>
          <w:color w:val="222222"/>
          <w:highlight w:val="white"/>
        </w:rPr>
      </w:pPr>
      <w:r>
        <w:rPr>
          <w:color w:val="222222"/>
          <w:highlight w:val="white"/>
        </w:rPr>
        <w:t xml:space="preserve">Bender, W., Hiddleson, C.A. and Buchman, </w:t>
      </w:r>
      <w:r>
        <w:rPr>
          <w:color w:val="222222"/>
          <w:highlight w:val="white"/>
        </w:rPr>
        <w:t>T.G.</w:t>
      </w:r>
      <w:r w:rsidR="005A070B">
        <w:rPr>
          <w:color w:val="222222"/>
          <w:highlight w:val="white"/>
        </w:rPr>
        <w:t xml:space="preserve"> (</w:t>
      </w:r>
      <w:r>
        <w:rPr>
          <w:color w:val="222222"/>
          <w:highlight w:val="white"/>
        </w:rPr>
        <w:t>201</w:t>
      </w:r>
      <w:r w:rsidR="005A070B">
        <w:rPr>
          <w:color w:val="222222"/>
          <w:highlight w:val="white"/>
        </w:rPr>
        <w:t xml:space="preserve">9) </w:t>
      </w:r>
      <w:r>
        <w:rPr>
          <w:color w:val="222222"/>
          <w:highlight w:val="white"/>
        </w:rPr>
        <w:t xml:space="preserve">Intensive care unit telemedicine: innovations and limitations. </w:t>
      </w:r>
      <w:r>
        <w:rPr>
          <w:i/>
          <w:color w:val="222222"/>
          <w:highlight w:val="white"/>
        </w:rPr>
        <w:t>Critical care clinics</w:t>
      </w:r>
      <w:r>
        <w:rPr>
          <w:color w:val="222222"/>
          <w:highlight w:val="white"/>
        </w:rPr>
        <w:t xml:space="preserve">, </w:t>
      </w:r>
      <w:r>
        <w:rPr>
          <w:i/>
          <w:color w:val="222222"/>
          <w:highlight w:val="white"/>
        </w:rPr>
        <w:t>35</w:t>
      </w:r>
      <w:r>
        <w:rPr>
          <w:color w:val="222222"/>
          <w:highlight w:val="white"/>
        </w:rPr>
        <w:t>(3), pp.497-509.</w:t>
      </w:r>
    </w:p>
    <w:p w14:paraId="0000004B" w14:textId="0F811F96" w:rsidR="007A565F" w:rsidRDefault="00C553F1">
      <w:pPr>
        <w:spacing w:after="200"/>
        <w:rPr>
          <w:color w:val="222222"/>
          <w:highlight w:val="white"/>
        </w:rPr>
      </w:pPr>
      <w:r>
        <w:rPr>
          <w:color w:val="222222"/>
          <w:highlight w:val="white"/>
        </w:rPr>
        <w:t>Casula, M., Rangarajan, N. and Shields, P.</w:t>
      </w:r>
      <w:r w:rsidR="00FD2FE8">
        <w:rPr>
          <w:color w:val="222222"/>
          <w:highlight w:val="white"/>
        </w:rPr>
        <w:t xml:space="preserve"> (</w:t>
      </w:r>
      <w:r>
        <w:rPr>
          <w:color w:val="222222"/>
          <w:highlight w:val="white"/>
        </w:rPr>
        <w:t>2021</w:t>
      </w:r>
      <w:r w:rsidR="00FD2FE8">
        <w:rPr>
          <w:color w:val="222222"/>
          <w:highlight w:val="white"/>
        </w:rPr>
        <w:t>)</w:t>
      </w:r>
      <w:r>
        <w:rPr>
          <w:color w:val="222222"/>
          <w:highlight w:val="white"/>
        </w:rPr>
        <w:t xml:space="preserve"> The potential of working hypotheses for deductive exploratory research. </w:t>
      </w:r>
      <w:r>
        <w:rPr>
          <w:i/>
          <w:color w:val="222222"/>
          <w:highlight w:val="white"/>
        </w:rPr>
        <w:t>Quality &amp; Quantit</w:t>
      </w:r>
      <w:r>
        <w:rPr>
          <w:i/>
          <w:color w:val="222222"/>
          <w:highlight w:val="white"/>
        </w:rPr>
        <w:t>y</w:t>
      </w:r>
      <w:r>
        <w:rPr>
          <w:color w:val="222222"/>
          <w:highlight w:val="white"/>
        </w:rPr>
        <w:t xml:space="preserve">, </w:t>
      </w:r>
      <w:r>
        <w:rPr>
          <w:i/>
          <w:color w:val="222222"/>
          <w:highlight w:val="white"/>
        </w:rPr>
        <w:t>55</w:t>
      </w:r>
      <w:r>
        <w:rPr>
          <w:color w:val="222222"/>
          <w:highlight w:val="white"/>
        </w:rPr>
        <w:t>(5), pp.1703-1725.</w:t>
      </w:r>
    </w:p>
    <w:p w14:paraId="0000004C" w14:textId="2C0BE624" w:rsidR="007A565F" w:rsidRDefault="00C553F1">
      <w:pPr>
        <w:spacing w:after="200"/>
        <w:rPr>
          <w:color w:val="222222"/>
          <w:highlight w:val="white"/>
        </w:rPr>
      </w:pPr>
      <w:r>
        <w:rPr>
          <w:color w:val="222222"/>
          <w:highlight w:val="white"/>
        </w:rPr>
        <w:t>Grabowski, D.C. and Mor, V.</w:t>
      </w:r>
      <w:r w:rsidR="00FD2FE8">
        <w:rPr>
          <w:color w:val="222222"/>
          <w:highlight w:val="white"/>
        </w:rPr>
        <w:t xml:space="preserve"> (</w:t>
      </w:r>
      <w:r>
        <w:rPr>
          <w:color w:val="222222"/>
          <w:highlight w:val="white"/>
        </w:rPr>
        <w:t>2020</w:t>
      </w:r>
      <w:r w:rsidR="00FD2FE8">
        <w:rPr>
          <w:color w:val="222222"/>
          <w:highlight w:val="white"/>
        </w:rPr>
        <w:t xml:space="preserve">) </w:t>
      </w:r>
      <w:r>
        <w:rPr>
          <w:color w:val="222222"/>
          <w:highlight w:val="white"/>
        </w:rPr>
        <w:t xml:space="preserve">Nursing home care in crisis in the wake of COVID-19. </w:t>
      </w:r>
      <w:r>
        <w:rPr>
          <w:i/>
          <w:color w:val="222222"/>
          <w:highlight w:val="white"/>
        </w:rPr>
        <w:t>Jama</w:t>
      </w:r>
      <w:r>
        <w:rPr>
          <w:color w:val="222222"/>
          <w:highlight w:val="white"/>
        </w:rPr>
        <w:t xml:space="preserve">, </w:t>
      </w:r>
      <w:r>
        <w:rPr>
          <w:i/>
          <w:color w:val="222222"/>
          <w:highlight w:val="white"/>
        </w:rPr>
        <w:t>324</w:t>
      </w:r>
      <w:r>
        <w:rPr>
          <w:color w:val="222222"/>
          <w:highlight w:val="white"/>
        </w:rPr>
        <w:t>(1), pp.23-24.</w:t>
      </w:r>
    </w:p>
    <w:p w14:paraId="0000004D" w14:textId="63664808" w:rsidR="007A565F" w:rsidRDefault="00C553F1">
      <w:pPr>
        <w:spacing w:after="200"/>
        <w:rPr>
          <w:color w:val="222222"/>
          <w:highlight w:val="white"/>
        </w:rPr>
      </w:pPr>
      <w:r>
        <w:rPr>
          <w:color w:val="222222"/>
          <w:highlight w:val="white"/>
        </w:rPr>
        <w:t>Haleem, A.</w:t>
      </w:r>
      <w:r w:rsidR="004E512C">
        <w:rPr>
          <w:color w:val="222222"/>
          <w:highlight w:val="white"/>
        </w:rPr>
        <w:t xml:space="preserve"> et al (</w:t>
      </w:r>
      <w:r>
        <w:rPr>
          <w:color w:val="222222"/>
          <w:highlight w:val="white"/>
        </w:rPr>
        <w:t>2021</w:t>
      </w:r>
      <w:r w:rsidR="004E512C">
        <w:rPr>
          <w:color w:val="222222"/>
          <w:highlight w:val="white"/>
        </w:rPr>
        <w:t>)</w:t>
      </w:r>
      <w:r>
        <w:rPr>
          <w:color w:val="222222"/>
          <w:highlight w:val="white"/>
        </w:rPr>
        <w:t xml:space="preserve"> Telemedicine for healthcare: Capabilities, features, barriers, </w:t>
      </w:r>
      <w:r>
        <w:rPr>
          <w:color w:val="222222"/>
          <w:highlight w:val="white"/>
        </w:rPr>
        <w:t xml:space="preserve">and applications. </w:t>
      </w:r>
      <w:r>
        <w:rPr>
          <w:i/>
          <w:color w:val="222222"/>
          <w:highlight w:val="white"/>
        </w:rPr>
        <w:t>Sensors international</w:t>
      </w:r>
      <w:r>
        <w:rPr>
          <w:color w:val="222222"/>
          <w:highlight w:val="white"/>
        </w:rPr>
        <w:t xml:space="preserve">, </w:t>
      </w:r>
      <w:r>
        <w:rPr>
          <w:i/>
          <w:color w:val="222222"/>
          <w:highlight w:val="white"/>
        </w:rPr>
        <w:t>2</w:t>
      </w:r>
      <w:r>
        <w:rPr>
          <w:color w:val="222222"/>
          <w:highlight w:val="white"/>
        </w:rPr>
        <w:t>, p.100117.</w:t>
      </w:r>
    </w:p>
    <w:p w14:paraId="0000004E" w14:textId="7B3DDFC2" w:rsidR="007A565F" w:rsidRDefault="00C553F1">
      <w:pPr>
        <w:spacing w:after="200"/>
        <w:rPr>
          <w:color w:val="222222"/>
          <w:highlight w:val="white"/>
        </w:rPr>
      </w:pPr>
      <w:r>
        <w:rPr>
          <w:color w:val="222222"/>
          <w:highlight w:val="white"/>
        </w:rPr>
        <w:t xml:space="preserve">Kashani, K. </w:t>
      </w:r>
      <w:r w:rsidR="00EE5380">
        <w:rPr>
          <w:color w:val="222222"/>
          <w:highlight w:val="white"/>
        </w:rPr>
        <w:t>and</w:t>
      </w:r>
      <w:r w:rsidR="00E72D85">
        <w:rPr>
          <w:color w:val="222222"/>
          <w:highlight w:val="white"/>
        </w:rPr>
        <w:t xml:space="preserve"> Farmer, J.C. (</w:t>
      </w:r>
      <w:r>
        <w:rPr>
          <w:color w:val="222222"/>
          <w:highlight w:val="white"/>
        </w:rPr>
        <w:t>2019</w:t>
      </w:r>
      <w:r w:rsidR="00EE5380">
        <w:rPr>
          <w:color w:val="222222"/>
          <w:highlight w:val="white"/>
        </w:rPr>
        <w:t xml:space="preserve">) </w:t>
      </w:r>
      <w:r>
        <w:rPr>
          <w:i/>
          <w:color w:val="222222"/>
          <w:highlight w:val="white"/>
        </w:rPr>
        <w:t>Intensive Care Unit Telemedicin</w:t>
      </w:r>
      <w:r w:rsidR="000C4735">
        <w:rPr>
          <w:i/>
          <w:color w:val="222222"/>
          <w:highlight w:val="white"/>
        </w:rPr>
        <w:t>e</w:t>
      </w:r>
      <w:r>
        <w:rPr>
          <w:color w:val="222222"/>
          <w:highlight w:val="white"/>
        </w:rPr>
        <w:t xml:space="preserve">. </w:t>
      </w:r>
      <w:r w:rsidR="000C4735">
        <w:rPr>
          <w:color w:val="222222"/>
          <w:highlight w:val="white"/>
        </w:rPr>
        <w:t xml:space="preserve">[online] Available at: </w:t>
      </w:r>
      <w:hyperlink r:id="rId7" w:history="1">
        <w:r w:rsidR="00CB1019" w:rsidRPr="003E25CC">
          <w:rPr>
            <w:rStyle w:val="Hyperlink"/>
          </w:rPr>
          <w:t>https://www.criticalcare.theclinics.com/article/S0749-0704(19)30031-4/fulltext</w:t>
        </w:r>
      </w:hyperlink>
      <w:r w:rsidR="00CB1019">
        <w:rPr>
          <w:color w:val="222222"/>
        </w:rPr>
        <w:t xml:space="preserve"> (Accessed: </w:t>
      </w:r>
      <w:r w:rsidR="00D22B27">
        <w:rPr>
          <w:color w:val="222222"/>
        </w:rPr>
        <w:t>20</w:t>
      </w:r>
      <w:r w:rsidR="00D22B27">
        <w:rPr>
          <w:color w:val="222222"/>
          <w:vertAlign w:val="superscript"/>
        </w:rPr>
        <w:t xml:space="preserve"> </w:t>
      </w:r>
      <w:r w:rsidR="00D22B27">
        <w:rPr>
          <w:color w:val="222222"/>
          <w:highlight w:val="white"/>
        </w:rPr>
        <w:t>April 2023)</w:t>
      </w:r>
    </w:p>
    <w:p w14:paraId="0000004F" w14:textId="639551C0" w:rsidR="007A565F" w:rsidRDefault="00C553F1">
      <w:pPr>
        <w:spacing w:after="200"/>
        <w:rPr>
          <w:color w:val="222222"/>
          <w:highlight w:val="white"/>
        </w:rPr>
      </w:pPr>
      <w:r>
        <w:rPr>
          <w:color w:val="222222"/>
          <w:highlight w:val="white"/>
        </w:rPr>
        <w:t>Mali, Y.C.G.</w:t>
      </w:r>
      <w:r>
        <w:rPr>
          <w:color w:val="222222"/>
          <w:highlight w:val="white"/>
        </w:rPr>
        <w:t xml:space="preserve"> </w:t>
      </w:r>
      <w:r w:rsidR="00D46F33">
        <w:rPr>
          <w:color w:val="222222"/>
          <w:highlight w:val="white"/>
        </w:rPr>
        <w:t>(</w:t>
      </w:r>
      <w:r>
        <w:rPr>
          <w:color w:val="222222"/>
          <w:highlight w:val="white"/>
        </w:rPr>
        <w:t>2022</w:t>
      </w:r>
      <w:r w:rsidR="00D46F33">
        <w:rPr>
          <w:color w:val="222222"/>
          <w:highlight w:val="white"/>
        </w:rPr>
        <w:t>)</w:t>
      </w:r>
      <w:r>
        <w:rPr>
          <w:color w:val="222222"/>
          <w:highlight w:val="white"/>
        </w:rPr>
        <w:t xml:space="preserve"> A workshop on how to find current topics for research. </w:t>
      </w:r>
      <w:r>
        <w:rPr>
          <w:i/>
          <w:color w:val="222222"/>
          <w:highlight w:val="white"/>
        </w:rPr>
        <w:t>Jurnal Pengabdian Pada Masyarakat</w:t>
      </w:r>
      <w:r>
        <w:rPr>
          <w:color w:val="222222"/>
          <w:highlight w:val="white"/>
        </w:rPr>
        <w:t xml:space="preserve">, </w:t>
      </w:r>
      <w:r>
        <w:rPr>
          <w:i/>
          <w:color w:val="222222"/>
          <w:highlight w:val="white"/>
        </w:rPr>
        <w:t>7</w:t>
      </w:r>
      <w:r>
        <w:rPr>
          <w:color w:val="222222"/>
          <w:highlight w:val="white"/>
        </w:rPr>
        <w:t>(1), pp.171-177.</w:t>
      </w:r>
    </w:p>
    <w:p w14:paraId="00000050" w14:textId="5FDA1DE1" w:rsidR="007A565F" w:rsidRDefault="00C553F1">
      <w:pPr>
        <w:spacing w:after="200"/>
        <w:rPr>
          <w:color w:val="222222"/>
          <w:highlight w:val="white"/>
        </w:rPr>
      </w:pPr>
      <w:r>
        <w:rPr>
          <w:color w:val="222222"/>
          <w:highlight w:val="white"/>
        </w:rPr>
        <w:t>Mehrotra, A.</w:t>
      </w:r>
      <w:r w:rsidR="00646BA9">
        <w:rPr>
          <w:color w:val="222222"/>
          <w:highlight w:val="white"/>
        </w:rPr>
        <w:t xml:space="preserve"> et al (</w:t>
      </w:r>
      <w:r>
        <w:rPr>
          <w:color w:val="222222"/>
          <w:highlight w:val="white"/>
        </w:rPr>
        <w:t>2020</w:t>
      </w:r>
      <w:r w:rsidR="00646BA9">
        <w:rPr>
          <w:color w:val="222222"/>
          <w:highlight w:val="white"/>
        </w:rPr>
        <w:t xml:space="preserve">) </w:t>
      </w:r>
      <w:r>
        <w:rPr>
          <w:color w:val="222222"/>
          <w:highlight w:val="white"/>
        </w:rPr>
        <w:t>Rapidly converting to “virtual practices”: outpat</w:t>
      </w:r>
      <w:r>
        <w:rPr>
          <w:color w:val="222222"/>
          <w:highlight w:val="white"/>
        </w:rPr>
        <w:t xml:space="preserve">ient care in the era of Covid-19. </w:t>
      </w:r>
      <w:r>
        <w:rPr>
          <w:i/>
          <w:color w:val="222222"/>
          <w:highlight w:val="white"/>
        </w:rPr>
        <w:t>NEJM catalyst innovations in care delivery</w:t>
      </w:r>
      <w:r>
        <w:rPr>
          <w:color w:val="222222"/>
          <w:highlight w:val="white"/>
        </w:rPr>
        <w:t xml:space="preserve">, </w:t>
      </w:r>
      <w:r>
        <w:rPr>
          <w:i/>
          <w:color w:val="222222"/>
          <w:highlight w:val="white"/>
        </w:rPr>
        <w:t>1</w:t>
      </w:r>
      <w:r>
        <w:rPr>
          <w:color w:val="222222"/>
          <w:highlight w:val="white"/>
        </w:rPr>
        <w:t>(2).</w:t>
      </w:r>
    </w:p>
    <w:p w14:paraId="00000051" w14:textId="1AD04F18" w:rsidR="007A565F" w:rsidRDefault="00C553F1">
      <w:pPr>
        <w:spacing w:after="200"/>
        <w:rPr>
          <w:color w:val="222222"/>
          <w:highlight w:val="white"/>
        </w:rPr>
      </w:pPr>
      <w:r>
        <w:rPr>
          <w:color w:val="222222"/>
          <w:highlight w:val="white"/>
        </w:rPr>
        <w:t>Otto, L. and Harst, L.</w:t>
      </w:r>
      <w:r w:rsidR="00646BA9">
        <w:rPr>
          <w:color w:val="222222"/>
          <w:highlight w:val="white"/>
        </w:rPr>
        <w:t xml:space="preserve"> (</w:t>
      </w:r>
      <w:r>
        <w:rPr>
          <w:color w:val="222222"/>
          <w:highlight w:val="white"/>
        </w:rPr>
        <w:t>2019</w:t>
      </w:r>
      <w:r w:rsidR="00646BA9">
        <w:rPr>
          <w:color w:val="222222"/>
          <w:highlight w:val="white"/>
        </w:rPr>
        <w:t xml:space="preserve">) </w:t>
      </w:r>
      <w:r>
        <w:rPr>
          <w:color w:val="222222"/>
          <w:highlight w:val="white"/>
        </w:rPr>
        <w:t>Investigating barriers for the implementation of telemedicine initiatives: A systematic review of reviews.</w:t>
      </w:r>
    </w:p>
    <w:p w14:paraId="00000052" w14:textId="30A2F657" w:rsidR="007A565F" w:rsidRDefault="00C553F1">
      <w:pPr>
        <w:spacing w:after="200"/>
        <w:rPr>
          <w:color w:val="222222"/>
          <w:highlight w:val="white"/>
        </w:rPr>
      </w:pPr>
      <w:r>
        <w:rPr>
          <w:color w:val="222222"/>
          <w:highlight w:val="white"/>
        </w:rPr>
        <w:t>Rouidi, M., Elouadi, A. and Hamdoun</w:t>
      </w:r>
      <w:r>
        <w:rPr>
          <w:color w:val="222222"/>
          <w:highlight w:val="white"/>
        </w:rPr>
        <w:t>e, A.</w:t>
      </w:r>
      <w:r w:rsidR="002D77A1">
        <w:rPr>
          <w:color w:val="222222"/>
          <w:highlight w:val="white"/>
        </w:rPr>
        <w:t xml:space="preserve"> (</w:t>
      </w:r>
      <w:r>
        <w:rPr>
          <w:color w:val="222222"/>
          <w:highlight w:val="white"/>
        </w:rPr>
        <w:t>2022</w:t>
      </w:r>
      <w:r w:rsidR="002D77A1">
        <w:rPr>
          <w:color w:val="222222"/>
          <w:highlight w:val="white"/>
        </w:rPr>
        <w:t xml:space="preserve">) </w:t>
      </w:r>
      <w:r>
        <w:rPr>
          <w:color w:val="222222"/>
          <w:highlight w:val="white"/>
        </w:rPr>
        <w:t xml:space="preserve">Acceptance and use of telemedicine technology by health professionals: Development of a conceptual model. </w:t>
      </w:r>
      <w:r>
        <w:rPr>
          <w:i/>
          <w:color w:val="222222"/>
          <w:highlight w:val="white"/>
        </w:rPr>
        <w:t>Digital Health</w:t>
      </w:r>
      <w:r>
        <w:rPr>
          <w:color w:val="222222"/>
          <w:highlight w:val="white"/>
        </w:rPr>
        <w:t xml:space="preserve">, </w:t>
      </w:r>
      <w:r>
        <w:rPr>
          <w:i/>
          <w:color w:val="222222"/>
          <w:highlight w:val="white"/>
        </w:rPr>
        <w:t>8</w:t>
      </w:r>
      <w:r>
        <w:rPr>
          <w:color w:val="222222"/>
          <w:highlight w:val="white"/>
        </w:rPr>
        <w:t>, p.20552076221081693.</w:t>
      </w:r>
    </w:p>
    <w:p w14:paraId="00000053" w14:textId="46201F79" w:rsidR="007A565F" w:rsidRDefault="00C553F1">
      <w:pPr>
        <w:spacing w:after="200"/>
        <w:rPr>
          <w:color w:val="222222"/>
          <w:highlight w:val="white"/>
        </w:rPr>
      </w:pPr>
      <w:r>
        <w:rPr>
          <w:color w:val="222222"/>
          <w:highlight w:val="white"/>
        </w:rPr>
        <w:t>Seaman, K.L.</w:t>
      </w:r>
      <w:r w:rsidR="00545317">
        <w:rPr>
          <w:color w:val="222222"/>
          <w:highlight w:val="white"/>
        </w:rPr>
        <w:t xml:space="preserve"> (</w:t>
      </w:r>
      <w:r>
        <w:rPr>
          <w:color w:val="222222"/>
          <w:highlight w:val="white"/>
        </w:rPr>
        <w:t>202</w:t>
      </w:r>
      <w:r w:rsidR="00545317">
        <w:rPr>
          <w:color w:val="222222"/>
          <w:highlight w:val="white"/>
        </w:rPr>
        <w:t>1)</w:t>
      </w:r>
      <w:r>
        <w:rPr>
          <w:color w:val="222222"/>
          <w:highlight w:val="white"/>
        </w:rPr>
        <w:t xml:space="preserve"> Transforming routinely collected residential aged care provider data into timely information: Current and future directions. </w:t>
      </w:r>
      <w:r>
        <w:rPr>
          <w:i/>
          <w:color w:val="222222"/>
          <w:highlight w:val="white"/>
        </w:rPr>
        <w:t>Australasian Journal on Ageing</w:t>
      </w:r>
      <w:r>
        <w:rPr>
          <w:color w:val="222222"/>
          <w:highlight w:val="white"/>
        </w:rPr>
        <w:t xml:space="preserve">, </w:t>
      </w:r>
      <w:r>
        <w:rPr>
          <w:i/>
          <w:color w:val="222222"/>
          <w:highlight w:val="white"/>
        </w:rPr>
        <w:t>40</w:t>
      </w:r>
      <w:r>
        <w:rPr>
          <w:color w:val="222222"/>
          <w:highlight w:val="white"/>
        </w:rPr>
        <w:t>(3)</w:t>
      </w:r>
      <w:r>
        <w:rPr>
          <w:color w:val="222222"/>
          <w:highlight w:val="white"/>
        </w:rPr>
        <w:t>, pp.e262-e268.</w:t>
      </w:r>
    </w:p>
    <w:p w14:paraId="00000054" w14:textId="77777777" w:rsidR="007A565F" w:rsidRDefault="007A565F">
      <w:pPr>
        <w:rPr>
          <w:color w:val="222222"/>
          <w:highlight w:val="white"/>
        </w:rPr>
      </w:pPr>
    </w:p>
    <w:p w14:paraId="00000055" w14:textId="77777777" w:rsidR="007A565F" w:rsidRDefault="007A565F">
      <w:pPr>
        <w:rPr>
          <w:color w:val="222222"/>
          <w:highlight w:val="white"/>
        </w:rPr>
      </w:pPr>
    </w:p>
    <w:p w14:paraId="00000056" w14:textId="77777777" w:rsidR="007A565F" w:rsidRDefault="007A565F">
      <w:pPr>
        <w:rPr>
          <w:color w:val="222222"/>
          <w:highlight w:val="white"/>
        </w:rPr>
      </w:pPr>
    </w:p>
    <w:sectPr w:rsidR="007A565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CEDC5" w14:textId="77777777" w:rsidR="00000000" w:rsidRDefault="00C553F1">
      <w:pPr>
        <w:spacing w:line="240" w:lineRule="auto"/>
      </w:pPr>
      <w:r>
        <w:separator/>
      </w:r>
    </w:p>
  </w:endnote>
  <w:endnote w:type="continuationSeparator" w:id="0">
    <w:p w14:paraId="1FA8C0F4" w14:textId="77777777" w:rsidR="00000000" w:rsidRDefault="00C553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FEC9" w14:textId="77777777" w:rsidR="00A00360" w:rsidRDefault="00A003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7" w14:textId="77777777" w:rsidR="007A565F" w:rsidRDefault="00C553F1">
    <w:pPr>
      <w:jc w:val="right"/>
    </w:pPr>
    <w:r>
      <w:fldChar w:fldCharType="begin"/>
    </w:r>
    <w:r>
      <w:instrText>PAGE</w:instrText>
    </w:r>
    <w:r>
      <w:fldChar w:fldCharType="separate"/>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9E2D6" w14:textId="77777777" w:rsidR="00A00360" w:rsidRDefault="00A00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6688E" w14:textId="77777777" w:rsidR="00000000" w:rsidRDefault="00C553F1">
      <w:pPr>
        <w:spacing w:line="240" w:lineRule="auto"/>
      </w:pPr>
      <w:r>
        <w:separator/>
      </w:r>
    </w:p>
  </w:footnote>
  <w:footnote w:type="continuationSeparator" w:id="0">
    <w:p w14:paraId="7C47A9C4" w14:textId="77777777" w:rsidR="00000000" w:rsidRDefault="00C553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2ADC0" w14:textId="77777777" w:rsidR="00A00360" w:rsidRDefault="00A003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1584E" w14:textId="77777777" w:rsidR="00A00360" w:rsidRDefault="00A003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31BC0" w14:textId="77777777" w:rsidR="00A00360" w:rsidRDefault="00A003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5009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B4B0892"/>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D587B83"/>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07139502">
    <w:abstractNumId w:val="0"/>
  </w:num>
  <w:num w:numId="2" w16cid:durableId="1848904197">
    <w:abstractNumId w:val="2"/>
  </w:num>
  <w:num w:numId="3" w16cid:durableId="785587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isplayBackgroundShape/>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65F"/>
    <w:rsid w:val="000C4735"/>
    <w:rsid w:val="00115473"/>
    <w:rsid w:val="002D77A1"/>
    <w:rsid w:val="004E512C"/>
    <w:rsid w:val="00545317"/>
    <w:rsid w:val="005A070B"/>
    <w:rsid w:val="00646BA9"/>
    <w:rsid w:val="007A565F"/>
    <w:rsid w:val="00A00360"/>
    <w:rsid w:val="00C553F1"/>
    <w:rsid w:val="00CB1019"/>
    <w:rsid w:val="00D22B27"/>
    <w:rsid w:val="00D46F33"/>
    <w:rsid w:val="00E72D85"/>
    <w:rsid w:val="00EE5380"/>
    <w:rsid w:val="00FD2FE8"/>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292AC6"/>
  <w15:docId w15:val="{92650B44-1E97-CC40-86DE-8CB404EC7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ko-K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00360"/>
    <w:pPr>
      <w:tabs>
        <w:tab w:val="center" w:pos="4513"/>
        <w:tab w:val="right" w:pos="9026"/>
      </w:tabs>
      <w:spacing w:line="240" w:lineRule="auto"/>
    </w:pPr>
  </w:style>
  <w:style w:type="character" w:customStyle="1" w:styleId="HeaderChar">
    <w:name w:val="Header Char"/>
    <w:basedOn w:val="DefaultParagraphFont"/>
    <w:link w:val="Header"/>
    <w:uiPriority w:val="99"/>
    <w:rsid w:val="00A00360"/>
  </w:style>
  <w:style w:type="paragraph" w:styleId="Footer">
    <w:name w:val="footer"/>
    <w:basedOn w:val="Normal"/>
    <w:link w:val="FooterChar"/>
    <w:uiPriority w:val="99"/>
    <w:unhideWhenUsed/>
    <w:rsid w:val="00A00360"/>
    <w:pPr>
      <w:tabs>
        <w:tab w:val="center" w:pos="4513"/>
        <w:tab w:val="right" w:pos="9026"/>
      </w:tabs>
      <w:spacing w:line="240" w:lineRule="auto"/>
    </w:pPr>
  </w:style>
  <w:style w:type="character" w:customStyle="1" w:styleId="FooterChar">
    <w:name w:val="Footer Char"/>
    <w:basedOn w:val="DefaultParagraphFont"/>
    <w:link w:val="Footer"/>
    <w:uiPriority w:val="99"/>
    <w:rsid w:val="00A00360"/>
  </w:style>
  <w:style w:type="character" w:styleId="Hyperlink">
    <w:name w:val="Hyperlink"/>
    <w:basedOn w:val="DefaultParagraphFont"/>
    <w:uiPriority w:val="99"/>
    <w:unhideWhenUsed/>
    <w:rsid w:val="00CB1019"/>
    <w:rPr>
      <w:color w:val="0000FF" w:themeColor="hyperlink"/>
      <w:u w:val="single"/>
    </w:rPr>
  </w:style>
  <w:style w:type="character" w:styleId="UnresolvedMention">
    <w:name w:val="Unresolved Mention"/>
    <w:basedOn w:val="DefaultParagraphFont"/>
    <w:uiPriority w:val="99"/>
    <w:semiHidden/>
    <w:unhideWhenUsed/>
    <w:rsid w:val="00CB10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criticalcare.theclinics.com/article/S0749-0704(19)30031-4/fulltex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2573</Words>
  <Characters>14672</Characters>
  <Application>Microsoft Office Word</Application>
  <DocSecurity>0</DocSecurity>
  <Lines>122</Lines>
  <Paragraphs>34</Paragraphs>
  <ScaleCrop>false</ScaleCrop>
  <Company/>
  <LinksUpToDate>false</LinksUpToDate>
  <CharactersWithSpaces>17211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 Marco</cp:lastModifiedBy>
  <cp:revision>2</cp:revision>
  <dcterms:created xsi:type="dcterms:W3CDTF">2023-05-02T16:38:00Z</dcterms:created>
  <dcterms:modified xsi:type="dcterms:W3CDTF">2023-05-02T16:38:00Z</dcterms:modified>
</cp:coreProperties>
</file>