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DA26C89">
      <w:pPr>
        <w:spacing w:line="963" w:lineRule="exact"/>
      </w:pPr>
      <w:r>
        <w:rPr>
          <w:position w:val="-19"/>
        </w:rPr>
        <w:drawing>
          <wp:inline distT="0" distB="0" distL="0" distR="0">
            <wp:extent cx="1810385" cy="611505"/>
            <wp:effectExtent l="0" t="0" r="3175" b="13335"/>
            <wp:docPr id="4" name="IM 4"/>
            <wp:cNvGraphicFramePr/>
            <a:graphic xmlns:a="http://schemas.openxmlformats.org/drawingml/2006/main">
              <a:graphicData uri="http://schemas.openxmlformats.org/drawingml/2006/picture">
                <pic:pic xmlns:pic="http://schemas.openxmlformats.org/drawingml/2006/picture">
                  <pic:nvPicPr>
                    <pic:cNvPr id="4" name="IM 4"/>
                    <pic:cNvPicPr/>
                  </pic:nvPicPr>
                  <pic:blipFill>
                    <a:blip r:embed="rId8"/>
                    <a:stretch>
                      <a:fillRect/>
                    </a:stretch>
                  </pic:blipFill>
                  <pic:spPr>
                    <a:xfrm>
                      <a:off x="0" y="0"/>
                      <a:ext cx="1810511" cy="611570"/>
                    </a:xfrm>
                    <a:prstGeom prst="rect">
                      <a:avLst/>
                    </a:prstGeom>
                  </pic:spPr>
                </pic:pic>
              </a:graphicData>
            </a:graphic>
          </wp:inline>
        </w:drawing>
      </w:r>
    </w:p>
    <w:p w14:paraId="22807BC7">
      <w:pPr>
        <w:pStyle w:val="11"/>
        <w:spacing w:before="153" w:line="196" w:lineRule="auto"/>
        <w:jc w:val="right"/>
        <w:rPr>
          <w:sz w:val="28"/>
          <w:szCs w:val="28"/>
        </w:rPr>
      </w:pPr>
      <w:r>
        <w:rPr>
          <w:b/>
          <w:bCs/>
          <w:spacing w:val="-1"/>
          <w:sz w:val="28"/>
          <w:szCs w:val="28"/>
        </w:rPr>
        <w:t>APPENDIX GA36c</w:t>
      </w:r>
    </w:p>
    <w:p w14:paraId="7F55899C">
      <w:pPr>
        <w:spacing w:line="233" w:lineRule="exact"/>
      </w:pPr>
    </w:p>
    <w:tbl>
      <w:tblPr>
        <w:tblStyle w:val="43"/>
        <w:tblW w:w="9930" w:type="dxa"/>
        <w:tblInd w:w="393" w:type="dxa"/>
        <w:tblBorders>
          <w:top w:val="single" w:color="000000" w:sz="2" w:space="0"/>
          <w:left w:val="single" w:color="000000" w:sz="2" w:space="0"/>
          <w:bottom w:val="single" w:color="000000" w:sz="2" w:space="0"/>
          <w:right w:val="single" w:color="000000" w:sz="2" w:space="0"/>
          <w:insideH w:val="none" w:color="auto" w:sz="0" w:space="0"/>
          <w:insideV w:val="none" w:color="auto" w:sz="0" w:space="0"/>
        </w:tblBorders>
        <w:shd w:val="clear" w:color="auto" w:fill="C0C0C0"/>
        <w:tblLayout w:type="fixed"/>
        <w:tblCellMar>
          <w:top w:w="0" w:type="dxa"/>
          <w:left w:w="0" w:type="dxa"/>
          <w:bottom w:w="0" w:type="dxa"/>
          <w:right w:w="0" w:type="dxa"/>
        </w:tblCellMar>
      </w:tblPr>
      <w:tblGrid>
        <w:gridCol w:w="9930"/>
      </w:tblGrid>
      <w:tr w14:paraId="4CF26B4E">
        <w:tblPrEx>
          <w:tblBorders>
            <w:top w:val="single" w:color="000000" w:sz="2" w:space="0"/>
            <w:left w:val="single" w:color="000000" w:sz="2" w:space="0"/>
            <w:bottom w:val="single" w:color="000000" w:sz="2" w:space="0"/>
            <w:right w:val="single" w:color="000000" w:sz="2" w:space="0"/>
            <w:insideH w:val="none" w:color="auto" w:sz="0" w:space="0"/>
            <w:insideV w:val="none" w:color="auto" w:sz="0" w:space="0"/>
          </w:tblBorders>
          <w:shd w:val="clear" w:color="auto" w:fill="C0C0C0"/>
          <w:tblCellMar>
            <w:top w:w="0" w:type="dxa"/>
            <w:left w:w="0" w:type="dxa"/>
            <w:bottom w:w="0" w:type="dxa"/>
            <w:right w:w="0" w:type="dxa"/>
          </w:tblCellMar>
        </w:tblPrEx>
        <w:trPr>
          <w:trHeight w:val="710" w:hRule="atLeast"/>
        </w:trPr>
        <w:tc>
          <w:tcPr>
            <w:tcW w:w="9930" w:type="dxa"/>
            <w:shd w:val="clear" w:color="auto" w:fill="C0C0C0"/>
            <w:vAlign w:val="top"/>
          </w:tcPr>
          <w:p w14:paraId="1FDE469D">
            <w:pPr>
              <w:pStyle w:val="42"/>
              <w:spacing w:before="205" w:line="196" w:lineRule="auto"/>
              <w:ind w:left="979"/>
              <w:rPr>
                <w:sz w:val="40"/>
                <w:szCs w:val="40"/>
              </w:rPr>
            </w:pPr>
            <w:r>
              <w:rPr>
                <w:b/>
                <w:bCs/>
                <w:spacing w:val="-1"/>
                <w:sz w:val="40"/>
                <w:szCs w:val="40"/>
              </w:rPr>
              <w:t>LEVEL 6 ASSESSMENT SPECIFICATION</w:t>
            </w:r>
            <w:r>
              <w:rPr>
                <w:b/>
                <w:bCs/>
                <w:spacing w:val="35"/>
                <w:sz w:val="40"/>
                <w:szCs w:val="40"/>
              </w:rPr>
              <w:t xml:space="preserve"> </w:t>
            </w:r>
            <w:r>
              <w:rPr>
                <w:b/>
                <w:bCs/>
                <w:spacing w:val="-1"/>
                <w:sz w:val="40"/>
                <w:szCs w:val="40"/>
              </w:rPr>
              <w:t>1</w:t>
            </w:r>
          </w:p>
        </w:tc>
      </w:tr>
    </w:tbl>
    <w:p w14:paraId="04D96EA7">
      <w:pPr>
        <w:spacing w:before="125"/>
      </w:pPr>
    </w:p>
    <w:tbl>
      <w:tblPr>
        <w:tblStyle w:val="43"/>
        <w:tblW w:w="9930" w:type="dxa"/>
        <w:tblInd w:w="393"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0" w:type="dxa"/>
          <w:bottom w:w="0" w:type="dxa"/>
          <w:right w:w="0" w:type="dxa"/>
        </w:tblCellMar>
      </w:tblPr>
      <w:tblGrid>
        <w:gridCol w:w="2099"/>
        <w:gridCol w:w="3292"/>
        <w:gridCol w:w="2267"/>
        <w:gridCol w:w="2272"/>
      </w:tblGrid>
      <w:tr w14:paraId="061712A5">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503" w:hRule="atLeast"/>
        </w:trPr>
        <w:tc>
          <w:tcPr>
            <w:tcW w:w="2099" w:type="dxa"/>
            <w:shd w:val="clear" w:color="auto" w:fill="D9D9D9"/>
            <w:vAlign w:val="top"/>
          </w:tcPr>
          <w:p w14:paraId="32F53992">
            <w:pPr>
              <w:pStyle w:val="42"/>
              <w:spacing w:before="165" w:line="238" w:lineRule="auto"/>
              <w:ind w:left="115"/>
            </w:pPr>
            <w:r>
              <w:rPr>
                <w:b/>
                <w:bCs/>
                <w:spacing w:val="-2"/>
              </w:rPr>
              <w:t>Student</w:t>
            </w:r>
            <w:r>
              <w:rPr>
                <w:b/>
                <w:bCs/>
                <w:spacing w:val="17"/>
              </w:rPr>
              <w:t xml:space="preserve"> </w:t>
            </w:r>
            <w:r>
              <w:rPr>
                <w:b/>
                <w:bCs/>
                <w:spacing w:val="-2"/>
              </w:rPr>
              <w:t>name:</w:t>
            </w:r>
          </w:p>
        </w:tc>
        <w:tc>
          <w:tcPr>
            <w:tcW w:w="3292" w:type="dxa"/>
            <w:vAlign w:val="top"/>
          </w:tcPr>
          <w:p w14:paraId="171D44E9">
            <w:pPr>
              <w:pStyle w:val="42"/>
              <w:rPr>
                <w:rFonts w:hint="default" w:eastAsia="宋体"/>
                <w:sz w:val="21"/>
                <w:lang w:val="en-US" w:eastAsia="zh-CN"/>
              </w:rPr>
            </w:pPr>
            <w:r>
              <w:rPr>
                <w:rFonts w:hint="eastAsia" w:eastAsia="宋体"/>
                <w:sz w:val="21"/>
                <w:lang w:val="en-US" w:eastAsia="zh-CN"/>
              </w:rPr>
              <w:t>Xiaoyu Sun</w:t>
            </w:r>
          </w:p>
        </w:tc>
        <w:tc>
          <w:tcPr>
            <w:tcW w:w="2267" w:type="dxa"/>
            <w:shd w:val="clear" w:color="auto" w:fill="D9D9D9"/>
            <w:vAlign w:val="top"/>
          </w:tcPr>
          <w:p w14:paraId="31619415">
            <w:pPr>
              <w:pStyle w:val="42"/>
              <w:spacing w:before="165" w:line="238" w:lineRule="auto"/>
              <w:ind w:left="114"/>
            </w:pPr>
            <w:r>
              <w:rPr>
                <w:b/>
                <w:bCs/>
                <w:spacing w:val="-3"/>
              </w:rPr>
              <w:t>Student</w:t>
            </w:r>
            <w:r>
              <w:rPr>
                <w:b/>
                <w:bCs/>
                <w:spacing w:val="27"/>
                <w:w w:val="101"/>
              </w:rPr>
              <w:t xml:space="preserve"> </w:t>
            </w:r>
            <w:r>
              <w:rPr>
                <w:b/>
                <w:bCs/>
                <w:spacing w:val="-3"/>
              </w:rPr>
              <w:t>ID</w:t>
            </w:r>
            <w:r>
              <w:rPr>
                <w:b/>
                <w:bCs/>
                <w:spacing w:val="16"/>
                <w:w w:val="101"/>
              </w:rPr>
              <w:t xml:space="preserve"> </w:t>
            </w:r>
            <w:r>
              <w:rPr>
                <w:b/>
                <w:bCs/>
                <w:spacing w:val="-3"/>
              </w:rPr>
              <w:t>number:</w:t>
            </w:r>
          </w:p>
        </w:tc>
        <w:tc>
          <w:tcPr>
            <w:tcW w:w="2272" w:type="dxa"/>
            <w:vAlign w:val="top"/>
          </w:tcPr>
          <w:p w14:paraId="3B2C9F97">
            <w:pPr>
              <w:pStyle w:val="42"/>
              <w:rPr>
                <w:rFonts w:hint="default" w:eastAsia="宋体"/>
                <w:sz w:val="21"/>
                <w:lang w:val="en-US" w:eastAsia="zh-CN"/>
              </w:rPr>
            </w:pPr>
            <w:r>
              <w:rPr>
                <w:rFonts w:hint="eastAsia" w:eastAsia="宋体"/>
                <w:sz w:val="21"/>
                <w:lang w:val="en-US" w:eastAsia="zh-CN"/>
              </w:rPr>
              <w:t>2503344</w:t>
            </w:r>
          </w:p>
        </w:tc>
      </w:tr>
      <w:tr w14:paraId="538245D1">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496" w:hRule="atLeast"/>
        </w:trPr>
        <w:tc>
          <w:tcPr>
            <w:tcW w:w="2099" w:type="dxa"/>
            <w:shd w:val="clear" w:color="auto" w:fill="D9D9D9"/>
            <w:vAlign w:val="top"/>
          </w:tcPr>
          <w:p w14:paraId="153D5803">
            <w:pPr>
              <w:pStyle w:val="42"/>
              <w:spacing w:before="161" w:line="197" w:lineRule="auto"/>
              <w:ind w:left="123"/>
            </w:pPr>
            <w:r>
              <w:rPr>
                <w:b/>
                <w:bCs/>
                <w:spacing w:val="-2"/>
              </w:rPr>
              <w:t>Programme:</w:t>
            </w:r>
          </w:p>
        </w:tc>
        <w:tc>
          <w:tcPr>
            <w:tcW w:w="7831" w:type="dxa"/>
            <w:gridSpan w:val="3"/>
            <w:vAlign w:val="top"/>
          </w:tcPr>
          <w:p w14:paraId="4F24D654">
            <w:pPr>
              <w:pStyle w:val="42"/>
              <w:spacing w:before="161" w:line="197" w:lineRule="auto"/>
              <w:ind w:left="118"/>
            </w:pPr>
            <w:r>
              <w:rPr>
                <w:b/>
                <w:bCs/>
                <w:spacing w:val="-1"/>
              </w:rPr>
              <w:t>Business Management</w:t>
            </w:r>
            <w:r>
              <w:rPr>
                <w:b/>
                <w:bCs/>
                <w:spacing w:val="16"/>
                <w:w w:val="101"/>
              </w:rPr>
              <w:t xml:space="preserve"> </w:t>
            </w:r>
            <w:r>
              <w:rPr>
                <w:b/>
                <w:bCs/>
                <w:spacing w:val="-1"/>
              </w:rPr>
              <w:t>Portfo</w:t>
            </w:r>
            <w:r>
              <w:rPr>
                <w:b/>
                <w:bCs/>
                <w:spacing w:val="-2"/>
              </w:rPr>
              <w:t>lio</w:t>
            </w:r>
          </w:p>
        </w:tc>
      </w:tr>
      <w:tr w14:paraId="2C2FBF1C">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499" w:hRule="atLeast"/>
        </w:trPr>
        <w:tc>
          <w:tcPr>
            <w:tcW w:w="2099" w:type="dxa"/>
            <w:shd w:val="clear" w:color="auto" w:fill="D9D9D9"/>
            <w:vAlign w:val="top"/>
          </w:tcPr>
          <w:p w14:paraId="431D6DDB">
            <w:pPr>
              <w:pStyle w:val="42"/>
              <w:spacing w:before="167" w:line="194" w:lineRule="auto"/>
              <w:ind w:left="123"/>
            </w:pPr>
            <w:r>
              <w:rPr>
                <w:b/>
                <w:bCs/>
                <w:spacing w:val="-2"/>
              </w:rPr>
              <w:t>Module:</w:t>
            </w:r>
          </w:p>
        </w:tc>
        <w:tc>
          <w:tcPr>
            <w:tcW w:w="7831" w:type="dxa"/>
            <w:gridSpan w:val="3"/>
            <w:vAlign w:val="top"/>
          </w:tcPr>
          <w:p w14:paraId="22FECE18">
            <w:pPr>
              <w:pStyle w:val="42"/>
              <w:spacing w:before="165" w:line="238" w:lineRule="auto"/>
              <w:ind w:left="117"/>
            </w:pPr>
            <w:r>
              <w:rPr>
                <w:b/>
                <w:bCs/>
                <w:spacing w:val="-1"/>
              </w:rPr>
              <w:t>International</w:t>
            </w:r>
            <w:r>
              <w:rPr>
                <w:b/>
                <w:bCs/>
                <w:spacing w:val="22"/>
                <w:w w:val="101"/>
              </w:rPr>
              <w:t xml:space="preserve"> </w:t>
            </w:r>
            <w:r>
              <w:rPr>
                <w:b/>
                <w:bCs/>
                <w:spacing w:val="-1"/>
              </w:rPr>
              <w:t>Business Communication</w:t>
            </w:r>
          </w:p>
        </w:tc>
      </w:tr>
      <w:tr w14:paraId="265138B7">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762" w:hRule="atLeast"/>
        </w:trPr>
        <w:tc>
          <w:tcPr>
            <w:tcW w:w="2099" w:type="dxa"/>
            <w:shd w:val="clear" w:color="auto" w:fill="D9D9D9"/>
            <w:vAlign w:val="top"/>
          </w:tcPr>
          <w:p w14:paraId="5A7934AF">
            <w:pPr>
              <w:pStyle w:val="42"/>
              <w:spacing w:before="162" w:line="238" w:lineRule="auto"/>
              <w:ind w:left="123"/>
            </w:pPr>
            <w:r>
              <w:rPr>
                <w:b/>
                <w:bCs/>
                <w:spacing w:val="-2"/>
              </w:rPr>
              <w:t>Module code:</w:t>
            </w:r>
          </w:p>
        </w:tc>
        <w:tc>
          <w:tcPr>
            <w:tcW w:w="3292" w:type="dxa"/>
            <w:vAlign w:val="top"/>
          </w:tcPr>
          <w:p w14:paraId="730A5CB9">
            <w:pPr>
              <w:pStyle w:val="42"/>
              <w:spacing w:before="164" w:line="195" w:lineRule="auto"/>
              <w:ind w:left="118"/>
            </w:pPr>
            <w:r>
              <w:rPr>
                <w:b/>
                <w:bCs/>
                <w:spacing w:val="-2"/>
              </w:rPr>
              <w:t>BMBM6021</w:t>
            </w:r>
          </w:p>
        </w:tc>
        <w:tc>
          <w:tcPr>
            <w:tcW w:w="2267" w:type="dxa"/>
            <w:shd w:val="clear" w:color="auto" w:fill="D9D9D9"/>
            <w:vAlign w:val="top"/>
          </w:tcPr>
          <w:p w14:paraId="02089CDC">
            <w:pPr>
              <w:pStyle w:val="42"/>
              <w:spacing w:before="43" w:line="224" w:lineRule="auto"/>
              <w:ind w:left="106" w:right="101" w:firstLine="10"/>
              <w:jc w:val="both"/>
            </w:pPr>
            <w:r>
              <w:rPr>
                <w:b/>
                <w:bCs/>
                <w:spacing w:val="-1"/>
              </w:rPr>
              <w:t>Contribution</w:t>
            </w:r>
            <w:r>
              <w:rPr>
                <w:b/>
                <w:bCs/>
                <w:spacing w:val="5"/>
              </w:rPr>
              <w:t xml:space="preserve">        </w:t>
            </w:r>
            <w:r>
              <w:rPr>
                <w:b/>
                <w:bCs/>
                <w:spacing w:val="-1"/>
              </w:rPr>
              <w:t>to</w:t>
            </w:r>
            <w:r>
              <w:rPr>
                <w:b/>
                <w:bCs/>
              </w:rPr>
              <w:t xml:space="preserve"> </w:t>
            </w:r>
            <w:r>
              <w:rPr>
                <w:b/>
                <w:bCs/>
                <w:spacing w:val="-1"/>
              </w:rPr>
              <w:t>Overall         Module</w:t>
            </w:r>
            <w:r>
              <w:rPr>
                <w:b/>
                <w:bCs/>
                <w:spacing w:val="8"/>
              </w:rPr>
              <w:t xml:space="preserve"> </w:t>
            </w:r>
            <w:r>
              <w:rPr>
                <w:b/>
                <w:bCs/>
              </w:rPr>
              <w:t>Assessment (%):</w:t>
            </w:r>
          </w:p>
        </w:tc>
        <w:tc>
          <w:tcPr>
            <w:tcW w:w="2272" w:type="dxa"/>
            <w:vAlign w:val="top"/>
          </w:tcPr>
          <w:p w14:paraId="3CE7F666">
            <w:pPr>
              <w:pStyle w:val="42"/>
              <w:spacing w:before="162" w:line="197" w:lineRule="auto"/>
              <w:ind w:left="116"/>
            </w:pPr>
            <w:r>
              <w:rPr>
                <w:b/>
                <w:bCs/>
                <w:spacing w:val="-2"/>
              </w:rPr>
              <w:t>50%</w:t>
            </w:r>
          </w:p>
        </w:tc>
      </w:tr>
      <w:tr w14:paraId="2F775341">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499" w:hRule="atLeast"/>
        </w:trPr>
        <w:tc>
          <w:tcPr>
            <w:tcW w:w="2099" w:type="dxa"/>
            <w:shd w:val="clear" w:color="auto" w:fill="D9D9D9"/>
            <w:vAlign w:val="top"/>
          </w:tcPr>
          <w:p w14:paraId="2D844A13">
            <w:pPr>
              <w:pStyle w:val="42"/>
              <w:spacing w:before="169" w:line="193" w:lineRule="auto"/>
              <w:ind w:left="124"/>
            </w:pPr>
            <w:r>
              <w:rPr>
                <w:b/>
                <w:bCs/>
                <w:spacing w:val="-2"/>
              </w:rPr>
              <w:t>Lecturer:</w:t>
            </w:r>
          </w:p>
        </w:tc>
        <w:tc>
          <w:tcPr>
            <w:tcW w:w="3292" w:type="dxa"/>
            <w:vAlign w:val="top"/>
          </w:tcPr>
          <w:p w14:paraId="162F19E7">
            <w:pPr>
              <w:pStyle w:val="42"/>
              <w:spacing w:before="165" w:line="197" w:lineRule="auto"/>
              <w:ind w:left="105"/>
            </w:pPr>
            <w:r>
              <w:rPr>
                <w:b/>
                <w:bCs/>
                <w:spacing w:val="-1"/>
              </w:rPr>
              <w:t>Jaliya de</w:t>
            </w:r>
            <w:r>
              <w:rPr>
                <w:b/>
                <w:bCs/>
                <w:spacing w:val="11"/>
              </w:rPr>
              <w:t xml:space="preserve"> </w:t>
            </w:r>
            <w:r>
              <w:rPr>
                <w:b/>
                <w:bCs/>
                <w:spacing w:val="-1"/>
              </w:rPr>
              <w:t>Silva</w:t>
            </w:r>
          </w:p>
        </w:tc>
        <w:tc>
          <w:tcPr>
            <w:tcW w:w="2267" w:type="dxa"/>
            <w:shd w:val="clear" w:color="auto" w:fill="D9D9D9"/>
            <w:vAlign w:val="top"/>
          </w:tcPr>
          <w:p w14:paraId="2562FB1B">
            <w:pPr>
              <w:pStyle w:val="42"/>
              <w:spacing w:before="166" w:line="238" w:lineRule="auto"/>
              <w:ind w:left="121"/>
            </w:pPr>
            <w:r>
              <w:rPr>
                <w:b/>
                <w:bCs/>
                <w:spacing w:val="-1"/>
              </w:rPr>
              <w:t>Internal Verifier:</w:t>
            </w:r>
          </w:p>
        </w:tc>
        <w:tc>
          <w:tcPr>
            <w:tcW w:w="2272" w:type="dxa"/>
            <w:vAlign w:val="top"/>
          </w:tcPr>
          <w:p w14:paraId="000B3CBE">
            <w:pPr>
              <w:pStyle w:val="42"/>
              <w:spacing w:before="165" w:line="197" w:lineRule="auto"/>
              <w:ind w:left="123"/>
            </w:pPr>
            <w:r>
              <w:rPr>
                <w:b/>
                <w:bCs/>
                <w:spacing w:val="-1"/>
              </w:rPr>
              <w:t>Robyn Griffiths</w:t>
            </w:r>
          </w:p>
        </w:tc>
      </w:tr>
      <w:tr w14:paraId="0C15D87E">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751" w:hRule="atLeast"/>
        </w:trPr>
        <w:tc>
          <w:tcPr>
            <w:tcW w:w="2099" w:type="dxa"/>
            <w:shd w:val="clear" w:color="auto" w:fill="D9D9D9"/>
            <w:vAlign w:val="top"/>
          </w:tcPr>
          <w:p w14:paraId="6E2D510B">
            <w:pPr>
              <w:pStyle w:val="42"/>
              <w:spacing w:before="163" w:line="197" w:lineRule="auto"/>
              <w:ind w:left="107"/>
            </w:pPr>
            <w:r>
              <w:rPr>
                <w:b/>
                <w:bCs/>
              </w:rPr>
              <w:t>Assignment</w:t>
            </w:r>
            <w:r>
              <w:rPr>
                <w:b/>
                <w:bCs/>
                <w:spacing w:val="1"/>
              </w:rPr>
              <w:t xml:space="preserve"> </w:t>
            </w:r>
            <w:r>
              <w:rPr>
                <w:b/>
                <w:bCs/>
              </w:rPr>
              <w:t>Title</w:t>
            </w:r>
            <w:r>
              <w:rPr>
                <w:b/>
                <w:bCs/>
                <w:spacing w:val="1"/>
              </w:rPr>
              <w:t>:</w:t>
            </w:r>
          </w:p>
        </w:tc>
        <w:tc>
          <w:tcPr>
            <w:tcW w:w="3292" w:type="dxa"/>
            <w:vAlign w:val="top"/>
          </w:tcPr>
          <w:p w14:paraId="051AC184">
            <w:pPr>
              <w:pStyle w:val="42"/>
              <w:spacing w:before="163"/>
              <w:ind w:left="109" w:right="106" w:firstLine="7"/>
            </w:pPr>
            <w:r>
              <w:rPr>
                <w:b/>
                <w:bCs/>
                <w:spacing w:val="-1"/>
              </w:rPr>
              <w:t>Intercultural</w:t>
            </w:r>
            <w:r>
              <w:rPr>
                <w:b/>
                <w:bCs/>
                <w:spacing w:val="16"/>
              </w:rPr>
              <w:t xml:space="preserve">  </w:t>
            </w:r>
            <w:r>
              <w:rPr>
                <w:b/>
                <w:bCs/>
                <w:spacing w:val="-1"/>
              </w:rPr>
              <w:t>Communication</w:t>
            </w:r>
            <w:r>
              <w:rPr>
                <w:b/>
                <w:bCs/>
              </w:rPr>
              <w:t xml:space="preserve"> </w:t>
            </w:r>
            <w:r>
              <w:rPr>
                <w:b/>
                <w:bCs/>
                <w:spacing w:val="-2"/>
              </w:rPr>
              <w:t>and</w:t>
            </w:r>
            <w:r>
              <w:rPr>
                <w:b/>
                <w:bCs/>
                <w:spacing w:val="13"/>
              </w:rPr>
              <w:t xml:space="preserve"> </w:t>
            </w:r>
            <w:r>
              <w:rPr>
                <w:b/>
                <w:bCs/>
                <w:spacing w:val="-2"/>
              </w:rPr>
              <w:t>Culture</w:t>
            </w:r>
          </w:p>
        </w:tc>
        <w:tc>
          <w:tcPr>
            <w:tcW w:w="2267" w:type="dxa"/>
            <w:shd w:val="clear" w:color="auto" w:fill="D9D9D9"/>
            <w:vAlign w:val="top"/>
          </w:tcPr>
          <w:p w14:paraId="756F5B10">
            <w:pPr>
              <w:pStyle w:val="42"/>
              <w:spacing w:before="163" w:line="197" w:lineRule="auto"/>
              <w:ind w:left="106"/>
            </w:pPr>
            <w:r>
              <w:rPr>
                <w:b/>
                <w:bCs/>
                <w:spacing w:val="-1"/>
              </w:rPr>
              <w:t>Word     count     (or</w:t>
            </w:r>
          </w:p>
          <w:p w14:paraId="52B3E049">
            <w:pPr>
              <w:pStyle w:val="42"/>
              <w:spacing w:before="46" w:line="197" w:lineRule="auto"/>
              <w:ind w:left="113"/>
            </w:pPr>
            <w:r>
              <w:rPr>
                <w:b/>
                <w:bCs/>
                <w:spacing w:val="-1"/>
              </w:rPr>
              <w:t>equivalent):</w:t>
            </w:r>
          </w:p>
        </w:tc>
        <w:tc>
          <w:tcPr>
            <w:tcW w:w="2272" w:type="dxa"/>
            <w:vAlign w:val="top"/>
          </w:tcPr>
          <w:p w14:paraId="623227E5">
            <w:pPr>
              <w:pStyle w:val="42"/>
              <w:spacing w:before="163" w:line="238" w:lineRule="auto"/>
              <w:ind w:left="112"/>
            </w:pPr>
            <w:r>
              <w:rPr>
                <w:b/>
                <w:bCs/>
                <w:spacing w:val="-1"/>
              </w:rPr>
              <w:t>2500 words</w:t>
            </w:r>
          </w:p>
        </w:tc>
      </w:tr>
      <w:tr w14:paraId="2F645F9E">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1003" w:hRule="atLeast"/>
        </w:trPr>
        <w:tc>
          <w:tcPr>
            <w:tcW w:w="2099" w:type="dxa"/>
            <w:shd w:val="clear" w:color="auto" w:fill="D9D9D9"/>
            <w:vAlign w:val="top"/>
          </w:tcPr>
          <w:p w14:paraId="1DFBC432">
            <w:pPr>
              <w:pStyle w:val="42"/>
              <w:spacing w:before="164" w:line="257" w:lineRule="auto"/>
              <w:ind w:left="116" w:right="735" w:hanging="1"/>
            </w:pPr>
            <w:r>
              <w:rPr>
                <w:b/>
                <w:bCs/>
                <w:spacing w:val="-1"/>
              </w:rPr>
              <w:t>Submission</w:t>
            </w:r>
            <w:r>
              <w:rPr>
                <w:b/>
                <w:bCs/>
                <w:spacing w:val="5"/>
              </w:rPr>
              <w:t xml:space="preserve"> </w:t>
            </w:r>
            <w:r>
              <w:rPr>
                <w:b/>
                <w:bCs/>
                <w:spacing w:val="-1"/>
              </w:rPr>
              <w:t>deadline:</w:t>
            </w:r>
          </w:p>
        </w:tc>
        <w:tc>
          <w:tcPr>
            <w:tcW w:w="3292" w:type="dxa"/>
            <w:vAlign w:val="top"/>
          </w:tcPr>
          <w:p w14:paraId="47E38884">
            <w:pPr>
              <w:pStyle w:val="42"/>
              <w:spacing w:before="144" w:line="215" w:lineRule="auto"/>
              <w:ind w:left="119"/>
            </w:pPr>
            <w:r>
              <w:rPr>
                <w:b/>
                <w:bCs/>
                <w:spacing w:val="-2"/>
              </w:rPr>
              <w:t>14</w:t>
            </w:r>
            <w:r>
              <w:rPr>
                <w:b/>
                <w:bCs/>
                <w:spacing w:val="-2"/>
                <w:position w:val="7"/>
                <w:sz w:val="13"/>
                <w:szCs w:val="13"/>
              </w:rPr>
              <w:t>th</w:t>
            </w:r>
            <w:r>
              <w:rPr>
                <w:b/>
                <w:bCs/>
                <w:spacing w:val="28"/>
                <w:w w:val="102"/>
                <w:position w:val="7"/>
                <w:sz w:val="13"/>
                <w:szCs w:val="13"/>
              </w:rPr>
              <w:t xml:space="preserve"> </w:t>
            </w:r>
            <w:r>
              <w:rPr>
                <w:b/>
                <w:bCs/>
                <w:spacing w:val="-2"/>
              </w:rPr>
              <w:t>November 2025</w:t>
            </w:r>
          </w:p>
        </w:tc>
        <w:tc>
          <w:tcPr>
            <w:tcW w:w="2267" w:type="dxa"/>
            <w:shd w:val="clear" w:color="auto" w:fill="D9D9D9"/>
            <w:vAlign w:val="top"/>
          </w:tcPr>
          <w:p w14:paraId="20E61C88">
            <w:pPr>
              <w:pStyle w:val="42"/>
              <w:spacing w:before="164" w:line="239" w:lineRule="auto"/>
              <w:ind w:left="115" w:right="96" w:firstLine="6"/>
              <w:jc w:val="both"/>
            </w:pPr>
            <w:r>
              <w:rPr>
                <w:b/>
                <w:bCs/>
                <w:spacing w:val="-3"/>
              </w:rPr>
              <w:t>Return</w:t>
            </w:r>
            <w:r>
              <w:rPr>
                <w:b/>
                <w:bCs/>
                <w:spacing w:val="10"/>
              </w:rPr>
              <w:t xml:space="preserve">     </w:t>
            </w:r>
            <w:r>
              <w:rPr>
                <w:b/>
                <w:bCs/>
                <w:spacing w:val="-3"/>
              </w:rPr>
              <w:t>date</w:t>
            </w:r>
            <w:r>
              <w:rPr>
                <w:b/>
                <w:bCs/>
                <w:spacing w:val="9"/>
              </w:rPr>
              <w:t xml:space="preserve">     </w:t>
            </w:r>
            <w:r>
              <w:rPr>
                <w:b/>
                <w:bCs/>
                <w:spacing w:val="-3"/>
              </w:rPr>
              <w:t>of</w:t>
            </w:r>
            <w:r>
              <w:rPr>
                <w:b/>
                <w:bCs/>
                <w:spacing w:val="2"/>
              </w:rPr>
              <w:t xml:space="preserve"> </w:t>
            </w:r>
            <w:r>
              <w:rPr>
                <w:b/>
                <w:bCs/>
                <w:spacing w:val="-2"/>
              </w:rPr>
              <w:t>provisional    marks</w:t>
            </w:r>
            <w:r>
              <w:rPr>
                <w:b/>
                <w:bCs/>
                <w:spacing w:val="17"/>
              </w:rPr>
              <w:t xml:space="preserve"> </w:t>
            </w:r>
            <w:r>
              <w:rPr>
                <w:b/>
                <w:bCs/>
                <w:spacing w:val="-1"/>
              </w:rPr>
              <w:t>&amp; written feedback:</w:t>
            </w:r>
          </w:p>
        </w:tc>
        <w:tc>
          <w:tcPr>
            <w:tcW w:w="2272" w:type="dxa"/>
            <w:vAlign w:val="top"/>
          </w:tcPr>
          <w:p w14:paraId="23DF7D75">
            <w:pPr>
              <w:pStyle w:val="42"/>
              <w:spacing w:before="144" w:line="215" w:lineRule="auto"/>
              <w:ind w:left="124"/>
            </w:pPr>
            <w:r>
              <w:rPr>
                <w:b/>
                <w:bCs/>
                <w:spacing w:val="-1"/>
              </w:rPr>
              <w:t>12</w:t>
            </w:r>
            <w:r>
              <w:rPr>
                <w:b/>
                <w:bCs/>
                <w:spacing w:val="-1"/>
                <w:position w:val="7"/>
                <w:sz w:val="13"/>
                <w:szCs w:val="13"/>
              </w:rPr>
              <w:t xml:space="preserve">th  </w:t>
            </w:r>
            <w:r>
              <w:rPr>
                <w:b/>
                <w:bCs/>
                <w:spacing w:val="-1"/>
              </w:rPr>
              <w:t>December 2025</w:t>
            </w:r>
          </w:p>
        </w:tc>
      </w:tr>
      <w:tr w14:paraId="26E9E743">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2641" w:hRule="atLeast"/>
        </w:trPr>
        <w:tc>
          <w:tcPr>
            <w:tcW w:w="2099" w:type="dxa"/>
            <w:shd w:val="clear" w:color="auto" w:fill="D9D9D9"/>
            <w:vAlign w:val="top"/>
          </w:tcPr>
          <w:p w14:paraId="4117B8C7">
            <w:pPr>
              <w:pStyle w:val="42"/>
              <w:spacing w:before="166" w:line="255" w:lineRule="auto"/>
              <w:ind w:left="120" w:right="735" w:hanging="5"/>
            </w:pPr>
            <w:r>
              <w:rPr>
                <w:b/>
                <w:bCs/>
                <w:spacing w:val="-1"/>
              </w:rPr>
              <w:t>Submission</w:t>
            </w:r>
            <w:r>
              <w:rPr>
                <w:b/>
                <w:bCs/>
                <w:spacing w:val="5"/>
              </w:rPr>
              <w:t xml:space="preserve"> </w:t>
            </w:r>
            <w:r>
              <w:rPr>
                <w:b/>
                <w:bCs/>
                <w:spacing w:val="-2"/>
              </w:rPr>
              <w:t>method:</w:t>
            </w:r>
          </w:p>
        </w:tc>
        <w:tc>
          <w:tcPr>
            <w:tcW w:w="7831" w:type="dxa"/>
            <w:gridSpan w:val="3"/>
            <w:vAlign w:val="top"/>
          </w:tcPr>
          <w:p w14:paraId="6B32B935">
            <w:pPr>
              <w:pStyle w:val="42"/>
              <w:spacing w:before="48" w:line="225" w:lineRule="auto"/>
              <w:ind w:left="107" w:right="193" w:hanging="5"/>
            </w:pPr>
            <w:r>
              <w:t>All written assessmen</w:t>
            </w:r>
            <w:r>
              <w:rPr>
                <w:spacing w:val="-1"/>
              </w:rPr>
              <w:t>ts, where</w:t>
            </w:r>
            <w:r>
              <w:rPr>
                <w:spacing w:val="15"/>
              </w:rPr>
              <w:t xml:space="preserve"> </w:t>
            </w:r>
            <w:r>
              <w:rPr>
                <w:spacing w:val="-1"/>
              </w:rPr>
              <w:t>practical and possible,</w:t>
            </w:r>
            <w:r>
              <w:rPr>
                <w:spacing w:val="16"/>
                <w:w w:val="101"/>
              </w:rPr>
              <w:t xml:space="preserve"> </w:t>
            </w:r>
            <w:r>
              <w:rPr>
                <w:spacing w:val="-1"/>
              </w:rPr>
              <w:t>must</w:t>
            </w:r>
            <w:r>
              <w:rPr>
                <w:spacing w:val="16"/>
              </w:rPr>
              <w:t xml:space="preserve"> </w:t>
            </w:r>
            <w:r>
              <w:rPr>
                <w:spacing w:val="-1"/>
              </w:rPr>
              <w:t>be submitted via</w:t>
            </w:r>
            <w:r>
              <w:t xml:space="preserve">  </w:t>
            </w:r>
            <w:r>
              <w:rPr>
                <w:spacing w:val="-1"/>
              </w:rPr>
              <w:t>Turnitin</w:t>
            </w:r>
            <w:r>
              <w:rPr>
                <w:spacing w:val="14"/>
              </w:rPr>
              <w:t xml:space="preserve"> </w:t>
            </w:r>
            <w:r>
              <w:rPr>
                <w:spacing w:val="-1"/>
              </w:rPr>
              <w:t>unless otherwise</w:t>
            </w:r>
            <w:r>
              <w:rPr>
                <w:spacing w:val="15"/>
              </w:rPr>
              <w:t xml:space="preserve"> </w:t>
            </w:r>
            <w:r>
              <w:rPr>
                <w:spacing w:val="-1"/>
              </w:rPr>
              <w:t xml:space="preserve">instructed </w:t>
            </w:r>
            <w:r>
              <w:rPr>
                <w:spacing w:val="-2"/>
              </w:rPr>
              <w:t>by the</w:t>
            </w:r>
            <w:r>
              <w:rPr>
                <w:spacing w:val="16"/>
                <w:w w:val="101"/>
              </w:rPr>
              <w:t xml:space="preserve"> </w:t>
            </w:r>
            <w:r>
              <w:rPr>
                <w:spacing w:val="-2"/>
              </w:rPr>
              <w:t>Lecturer. (Please</w:t>
            </w:r>
            <w:r>
              <w:rPr>
                <w:spacing w:val="17"/>
              </w:rPr>
              <w:t xml:space="preserve"> </w:t>
            </w:r>
            <w:r>
              <w:rPr>
                <w:spacing w:val="-2"/>
              </w:rPr>
              <w:t>DO</w:t>
            </w:r>
            <w:r>
              <w:rPr>
                <w:spacing w:val="19"/>
              </w:rPr>
              <w:t xml:space="preserve"> </w:t>
            </w:r>
            <w:r>
              <w:rPr>
                <w:spacing w:val="-2"/>
              </w:rPr>
              <w:t>NOT</w:t>
            </w:r>
            <w:r>
              <w:rPr>
                <w:spacing w:val="17"/>
                <w:w w:val="101"/>
              </w:rPr>
              <w:t xml:space="preserve"> </w:t>
            </w:r>
            <w:r>
              <w:rPr>
                <w:spacing w:val="-2"/>
              </w:rPr>
              <w:t>put this</w:t>
            </w:r>
            <w:r>
              <w:t xml:space="preserve"> assessment specification into Turnitin o</w:t>
            </w:r>
            <w:r>
              <w:rPr>
                <w:spacing w:val="-1"/>
              </w:rPr>
              <w:t>r it will</w:t>
            </w:r>
            <w:r>
              <w:rPr>
                <w:spacing w:val="15"/>
              </w:rPr>
              <w:t xml:space="preserve"> </w:t>
            </w:r>
            <w:r>
              <w:rPr>
                <w:spacing w:val="-1"/>
              </w:rPr>
              <w:t>match</w:t>
            </w:r>
            <w:r>
              <w:rPr>
                <w:spacing w:val="16"/>
              </w:rPr>
              <w:t xml:space="preserve"> </w:t>
            </w:r>
            <w:r>
              <w:rPr>
                <w:spacing w:val="-1"/>
              </w:rPr>
              <w:t>many similarities with</w:t>
            </w:r>
          </w:p>
          <w:p w14:paraId="5460EE00">
            <w:pPr>
              <w:pStyle w:val="42"/>
              <w:spacing w:before="44" w:line="199" w:lineRule="auto"/>
              <w:ind w:left="109"/>
            </w:pPr>
            <w:r>
              <w:t>other students’ submi</w:t>
            </w:r>
            <w:r>
              <w:rPr>
                <w:spacing w:val="-1"/>
              </w:rPr>
              <w:t>ssions.)</w:t>
            </w:r>
          </w:p>
          <w:p w14:paraId="4AEF1FBD">
            <w:pPr>
              <w:pStyle w:val="42"/>
              <w:spacing w:before="161" w:line="197" w:lineRule="auto"/>
              <w:ind w:left="102"/>
            </w:pPr>
            <w:r>
              <w:rPr>
                <w:b/>
                <w:bCs/>
              </w:rPr>
              <w:t>Alternative submission method (if applicable):</w:t>
            </w:r>
          </w:p>
          <w:p w14:paraId="339C6D8D">
            <w:pPr>
              <w:pStyle w:val="42"/>
              <w:spacing w:before="167" w:line="197" w:lineRule="auto"/>
              <w:ind w:left="119"/>
            </w:pPr>
            <w:r>
              <w:rPr>
                <w:b/>
                <w:bCs/>
                <w:spacing w:val="-2"/>
              </w:rPr>
              <w:t>Late</w:t>
            </w:r>
            <w:r>
              <w:rPr>
                <w:b/>
                <w:bCs/>
                <w:spacing w:val="50"/>
                <w:w w:val="101"/>
              </w:rPr>
              <w:t xml:space="preserve"> </w:t>
            </w:r>
            <w:r>
              <w:rPr>
                <w:b/>
                <w:bCs/>
                <w:spacing w:val="-2"/>
              </w:rPr>
              <w:t>submission</w:t>
            </w:r>
            <w:r>
              <w:rPr>
                <w:b/>
                <w:bCs/>
                <w:spacing w:val="49"/>
                <w:w w:val="101"/>
              </w:rPr>
              <w:t xml:space="preserve"> </w:t>
            </w:r>
            <w:r>
              <w:rPr>
                <w:b/>
                <w:bCs/>
                <w:spacing w:val="-2"/>
              </w:rPr>
              <w:t>of</w:t>
            </w:r>
            <w:r>
              <w:rPr>
                <w:b/>
                <w:bCs/>
                <w:spacing w:val="39"/>
              </w:rPr>
              <w:t xml:space="preserve"> </w:t>
            </w:r>
            <w:r>
              <w:rPr>
                <w:b/>
                <w:bCs/>
                <w:spacing w:val="-2"/>
              </w:rPr>
              <w:t>the</w:t>
            </w:r>
            <w:r>
              <w:rPr>
                <w:b/>
                <w:bCs/>
                <w:spacing w:val="49"/>
                <w:w w:val="101"/>
              </w:rPr>
              <w:t xml:space="preserve"> </w:t>
            </w:r>
            <w:r>
              <w:rPr>
                <w:b/>
                <w:bCs/>
                <w:spacing w:val="-2"/>
              </w:rPr>
              <w:t>assessment</w:t>
            </w:r>
            <w:r>
              <w:rPr>
                <w:b/>
                <w:bCs/>
                <w:spacing w:val="38"/>
                <w:w w:val="101"/>
              </w:rPr>
              <w:t xml:space="preserve"> </w:t>
            </w:r>
            <w:r>
              <w:rPr>
                <w:b/>
                <w:bCs/>
                <w:spacing w:val="-2"/>
              </w:rPr>
              <w:t>will</w:t>
            </w:r>
            <w:r>
              <w:rPr>
                <w:b/>
                <w:bCs/>
                <w:spacing w:val="57"/>
              </w:rPr>
              <w:t xml:space="preserve"> </w:t>
            </w:r>
            <w:r>
              <w:rPr>
                <w:b/>
                <w:bCs/>
                <w:spacing w:val="-2"/>
              </w:rPr>
              <w:t>result</w:t>
            </w:r>
            <w:r>
              <w:rPr>
                <w:b/>
                <w:bCs/>
                <w:spacing w:val="56"/>
                <w:w w:val="101"/>
              </w:rPr>
              <w:t xml:space="preserve"> </w:t>
            </w:r>
            <w:r>
              <w:rPr>
                <w:b/>
                <w:bCs/>
                <w:spacing w:val="-2"/>
              </w:rPr>
              <w:t>in</w:t>
            </w:r>
            <w:r>
              <w:rPr>
                <w:b/>
                <w:bCs/>
                <w:spacing w:val="49"/>
                <w:w w:val="101"/>
              </w:rPr>
              <w:t xml:space="preserve"> </w:t>
            </w:r>
            <w:r>
              <w:rPr>
                <w:b/>
                <w:bCs/>
                <w:spacing w:val="-2"/>
              </w:rPr>
              <w:t>a</w:t>
            </w:r>
            <w:r>
              <w:rPr>
                <w:b/>
                <w:bCs/>
                <w:spacing w:val="57"/>
              </w:rPr>
              <w:t xml:space="preserve"> </w:t>
            </w:r>
            <w:r>
              <w:rPr>
                <w:b/>
                <w:bCs/>
                <w:spacing w:val="-2"/>
              </w:rPr>
              <w:t>late</w:t>
            </w:r>
            <w:r>
              <w:rPr>
                <w:b/>
                <w:bCs/>
                <w:spacing w:val="57"/>
              </w:rPr>
              <w:t xml:space="preserve"> </w:t>
            </w:r>
            <w:r>
              <w:rPr>
                <w:b/>
                <w:bCs/>
                <w:spacing w:val="-2"/>
              </w:rPr>
              <w:t>penalty</w:t>
            </w:r>
            <w:r>
              <w:rPr>
                <w:b/>
                <w:bCs/>
                <w:spacing w:val="50"/>
              </w:rPr>
              <w:t xml:space="preserve"> </w:t>
            </w:r>
            <w:r>
              <w:rPr>
                <w:b/>
                <w:bCs/>
                <w:spacing w:val="-2"/>
              </w:rPr>
              <w:t>mark.</w:t>
            </w:r>
          </w:p>
          <w:p w14:paraId="20DF8A77">
            <w:pPr>
              <w:pStyle w:val="42"/>
              <w:spacing w:before="46" w:line="226" w:lineRule="auto"/>
              <w:ind w:left="109" w:right="109" w:firstLine="9"/>
              <w:jc w:val="both"/>
            </w:pPr>
            <w:r>
              <w:rPr>
                <w:spacing w:val="-2"/>
              </w:rPr>
              <w:t>Penalties</w:t>
            </w:r>
            <w:r>
              <w:rPr>
                <w:spacing w:val="36"/>
                <w:w w:val="101"/>
              </w:rPr>
              <w:t xml:space="preserve"> </w:t>
            </w:r>
            <w:r>
              <w:rPr>
                <w:spacing w:val="-2"/>
              </w:rPr>
              <w:t>for</w:t>
            </w:r>
            <w:r>
              <w:rPr>
                <w:spacing w:val="39"/>
              </w:rPr>
              <w:t xml:space="preserve"> </w:t>
            </w:r>
            <w:r>
              <w:rPr>
                <w:spacing w:val="-2"/>
              </w:rPr>
              <w:t>late</w:t>
            </w:r>
            <w:r>
              <w:rPr>
                <w:spacing w:val="32"/>
              </w:rPr>
              <w:t xml:space="preserve"> </w:t>
            </w:r>
            <w:r>
              <w:rPr>
                <w:spacing w:val="-2"/>
              </w:rPr>
              <w:t>submission:</w:t>
            </w:r>
            <w:r>
              <w:rPr>
                <w:spacing w:val="45"/>
                <w:w w:val="101"/>
              </w:rPr>
              <w:t xml:space="preserve"> </w:t>
            </w:r>
            <w:r>
              <w:rPr>
                <w:spacing w:val="-2"/>
              </w:rPr>
              <w:t>Up</w:t>
            </w:r>
            <w:r>
              <w:rPr>
                <w:spacing w:val="28"/>
                <w:w w:val="101"/>
              </w:rPr>
              <w:t xml:space="preserve"> </w:t>
            </w:r>
            <w:r>
              <w:rPr>
                <w:spacing w:val="-2"/>
              </w:rPr>
              <w:t>to</w:t>
            </w:r>
            <w:r>
              <w:rPr>
                <w:spacing w:val="32"/>
              </w:rPr>
              <w:t xml:space="preserve"> </w:t>
            </w:r>
            <w:r>
              <w:rPr>
                <w:spacing w:val="-2"/>
              </w:rPr>
              <w:t>one</w:t>
            </w:r>
            <w:r>
              <w:rPr>
                <w:spacing w:val="25"/>
              </w:rPr>
              <w:t xml:space="preserve"> </w:t>
            </w:r>
            <w:r>
              <w:rPr>
                <w:spacing w:val="-2"/>
              </w:rPr>
              <w:t>week</w:t>
            </w:r>
            <w:r>
              <w:rPr>
                <w:spacing w:val="44"/>
              </w:rPr>
              <w:t xml:space="preserve"> </w:t>
            </w:r>
            <w:r>
              <w:rPr>
                <w:spacing w:val="-2"/>
              </w:rPr>
              <w:t>late,</w:t>
            </w:r>
            <w:r>
              <w:rPr>
                <w:spacing w:val="40"/>
                <w:w w:val="101"/>
              </w:rPr>
              <w:t xml:space="preserve"> </w:t>
            </w:r>
            <w:r>
              <w:rPr>
                <w:spacing w:val="-2"/>
              </w:rPr>
              <w:t>maximum</w:t>
            </w:r>
            <w:r>
              <w:rPr>
                <w:spacing w:val="37"/>
                <w:w w:val="101"/>
              </w:rPr>
              <w:t xml:space="preserve"> </w:t>
            </w:r>
            <w:r>
              <w:rPr>
                <w:spacing w:val="-2"/>
              </w:rPr>
              <w:t>mark</w:t>
            </w:r>
            <w:r>
              <w:rPr>
                <w:spacing w:val="34"/>
                <w:w w:val="101"/>
              </w:rPr>
              <w:t xml:space="preserve"> </w:t>
            </w:r>
            <w:r>
              <w:rPr>
                <w:spacing w:val="-2"/>
              </w:rPr>
              <w:t>of</w:t>
            </w:r>
            <w:r>
              <w:rPr>
                <w:spacing w:val="21"/>
              </w:rPr>
              <w:t xml:space="preserve"> </w:t>
            </w:r>
            <w:r>
              <w:rPr>
                <w:spacing w:val="-2"/>
              </w:rPr>
              <w:t>40%.</w:t>
            </w:r>
            <w:r>
              <w:t xml:space="preserve"> </w:t>
            </w:r>
            <w:r>
              <w:rPr>
                <w:spacing w:val="-2"/>
              </w:rPr>
              <w:t>Over</w:t>
            </w:r>
            <w:r>
              <w:rPr>
                <w:spacing w:val="61"/>
              </w:rPr>
              <w:t xml:space="preserve"> </w:t>
            </w:r>
            <w:r>
              <w:rPr>
                <w:spacing w:val="-2"/>
              </w:rPr>
              <w:t>one</w:t>
            </w:r>
            <w:r>
              <w:rPr>
                <w:spacing w:val="40"/>
              </w:rPr>
              <w:t xml:space="preserve"> </w:t>
            </w:r>
            <w:r>
              <w:rPr>
                <w:spacing w:val="-2"/>
              </w:rPr>
              <w:t>week</w:t>
            </w:r>
            <w:r>
              <w:rPr>
                <w:spacing w:val="56"/>
              </w:rPr>
              <w:t xml:space="preserve"> </w:t>
            </w:r>
            <w:r>
              <w:rPr>
                <w:spacing w:val="-2"/>
              </w:rPr>
              <w:t>late,</w:t>
            </w:r>
            <w:r>
              <w:rPr>
                <w:spacing w:val="50"/>
              </w:rPr>
              <w:t xml:space="preserve"> </w:t>
            </w:r>
            <w:r>
              <w:rPr>
                <w:spacing w:val="-2"/>
              </w:rPr>
              <w:t>0%.   Only  the  Extenuating  Circumstances</w:t>
            </w:r>
            <w:r>
              <w:rPr>
                <w:spacing w:val="56"/>
              </w:rPr>
              <w:t xml:space="preserve"> </w:t>
            </w:r>
            <w:r>
              <w:rPr>
                <w:spacing w:val="-2"/>
              </w:rPr>
              <w:t>Panel</w:t>
            </w:r>
            <w:r>
              <w:rPr>
                <w:spacing w:val="53"/>
              </w:rPr>
              <w:t xml:space="preserve"> </w:t>
            </w:r>
            <w:r>
              <w:rPr>
                <w:spacing w:val="-2"/>
              </w:rPr>
              <w:t>may</w:t>
            </w:r>
            <w:r>
              <w:t xml:space="preserve"> </w:t>
            </w:r>
            <w:r>
              <w:rPr>
                <w:spacing w:val="-1"/>
              </w:rPr>
              <w:t>approve a change to submission</w:t>
            </w:r>
            <w:r>
              <w:rPr>
                <w:spacing w:val="26"/>
                <w:w w:val="101"/>
              </w:rPr>
              <w:t xml:space="preserve"> </w:t>
            </w:r>
            <w:r>
              <w:rPr>
                <w:spacing w:val="-1"/>
              </w:rPr>
              <w:t>dates.</w:t>
            </w:r>
          </w:p>
        </w:tc>
      </w:tr>
      <w:tr w14:paraId="62275C91">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1262" w:hRule="atLeast"/>
        </w:trPr>
        <w:tc>
          <w:tcPr>
            <w:tcW w:w="2099" w:type="dxa"/>
            <w:shd w:val="clear" w:color="auto" w:fill="D9D9D9"/>
            <w:vAlign w:val="top"/>
          </w:tcPr>
          <w:p w14:paraId="3C50FDE3">
            <w:pPr>
              <w:pStyle w:val="42"/>
              <w:spacing w:before="168" w:line="194" w:lineRule="auto"/>
              <w:ind w:left="107"/>
            </w:pPr>
            <w:r>
              <w:rPr>
                <w:b/>
                <w:bCs/>
                <w:spacing w:val="-1"/>
              </w:rPr>
              <w:t>Academic</w:t>
            </w:r>
          </w:p>
          <w:p w14:paraId="63EFC87E">
            <w:pPr>
              <w:pStyle w:val="42"/>
              <w:spacing w:before="46" w:line="197" w:lineRule="auto"/>
              <w:ind w:left="123"/>
            </w:pPr>
            <w:r>
              <w:rPr>
                <w:b/>
                <w:bCs/>
                <w:spacing w:val="-2"/>
              </w:rPr>
              <w:t>honesty /</w:t>
            </w:r>
          </w:p>
          <w:p w14:paraId="2474CA28">
            <w:pPr>
              <w:pStyle w:val="42"/>
              <w:spacing w:before="44" w:line="197" w:lineRule="auto"/>
              <w:ind w:left="122"/>
            </w:pPr>
            <w:r>
              <w:rPr>
                <w:b/>
                <w:bCs/>
                <w:spacing w:val="-2"/>
              </w:rPr>
              <w:t>referencing:</w:t>
            </w:r>
          </w:p>
        </w:tc>
        <w:tc>
          <w:tcPr>
            <w:tcW w:w="7831" w:type="dxa"/>
            <w:gridSpan w:val="3"/>
            <w:vAlign w:val="top"/>
          </w:tcPr>
          <w:p w14:paraId="0679667B">
            <w:pPr>
              <w:pStyle w:val="42"/>
              <w:spacing w:before="166" w:line="230" w:lineRule="auto"/>
              <w:ind w:left="105" w:right="111" w:hanging="3"/>
              <w:jc w:val="both"/>
            </w:pPr>
            <w:r>
              <w:rPr>
                <w:spacing w:val="-1"/>
              </w:rPr>
              <w:t>Academic</w:t>
            </w:r>
            <w:r>
              <w:rPr>
                <w:spacing w:val="24"/>
                <w:w w:val="101"/>
              </w:rPr>
              <w:t xml:space="preserve"> </w:t>
            </w:r>
            <w:r>
              <w:rPr>
                <w:spacing w:val="-1"/>
              </w:rPr>
              <w:t>honesty</w:t>
            </w:r>
            <w:r>
              <w:rPr>
                <w:spacing w:val="23"/>
              </w:rPr>
              <w:t xml:space="preserve"> </w:t>
            </w:r>
            <w:r>
              <w:rPr>
                <w:spacing w:val="-1"/>
              </w:rPr>
              <w:t>is</w:t>
            </w:r>
            <w:r>
              <w:rPr>
                <w:spacing w:val="25"/>
              </w:rPr>
              <w:t xml:space="preserve"> </w:t>
            </w:r>
            <w:r>
              <w:rPr>
                <w:spacing w:val="-1"/>
              </w:rPr>
              <w:t>required.</w:t>
            </w:r>
            <w:r>
              <w:rPr>
                <w:spacing w:val="32"/>
              </w:rPr>
              <w:t xml:space="preserve"> </w:t>
            </w:r>
            <w:r>
              <w:rPr>
                <w:spacing w:val="-1"/>
              </w:rPr>
              <w:t>In the</w:t>
            </w:r>
            <w:r>
              <w:rPr>
                <w:spacing w:val="22"/>
              </w:rPr>
              <w:t xml:space="preserve"> </w:t>
            </w:r>
            <w:r>
              <w:rPr>
                <w:spacing w:val="-1"/>
              </w:rPr>
              <w:t>main</w:t>
            </w:r>
            <w:r>
              <w:rPr>
                <w:spacing w:val="24"/>
                <w:w w:val="101"/>
              </w:rPr>
              <w:t xml:space="preserve"> </w:t>
            </w:r>
            <w:r>
              <w:rPr>
                <w:spacing w:val="-1"/>
              </w:rPr>
              <w:t>body</w:t>
            </w:r>
            <w:r>
              <w:rPr>
                <w:spacing w:val="17"/>
                <w:w w:val="101"/>
              </w:rPr>
              <w:t xml:space="preserve"> </w:t>
            </w:r>
            <w:r>
              <w:rPr>
                <w:spacing w:val="-1"/>
              </w:rPr>
              <w:t>of you</w:t>
            </w:r>
            <w:r>
              <w:rPr>
                <w:spacing w:val="-2"/>
              </w:rPr>
              <w:t>r</w:t>
            </w:r>
            <w:r>
              <w:rPr>
                <w:spacing w:val="15"/>
              </w:rPr>
              <w:t xml:space="preserve"> </w:t>
            </w:r>
            <w:r>
              <w:rPr>
                <w:spacing w:val="-2"/>
              </w:rPr>
              <w:t>submission you</w:t>
            </w:r>
            <w:r>
              <w:rPr>
                <w:spacing w:val="24"/>
                <w:w w:val="101"/>
              </w:rPr>
              <w:t xml:space="preserve"> </w:t>
            </w:r>
            <w:r>
              <w:rPr>
                <w:spacing w:val="-2"/>
              </w:rPr>
              <w:t>must</w:t>
            </w:r>
            <w:r>
              <w:t xml:space="preserve"> </w:t>
            </w:r>
            <w:r>
              <w:rPr>
                <w:spacing w:val="-1"/>
              </w:rPr>
              <w:t>give credit to auth</w:t>
            </w:r>
            <w:r>
              <w:rPr>
                <w:spacing w:val="-2"/>
              </w:rPr>
              <w:t>ors on</w:t>
            </w:r>
            <w:r>
              <w:rPr>
                <w:spacing w:val="-13"/>
              </w:rPr>
              <w:t xml:space="preserve"> </w:t>
            </w:r>
            <w:r>
              <w:rPr>
                <w:spacing w:val="-2"/>
              </w:rPr>
              <w:t>whose research and ideas your work is based. Append</w:t>
            </w:r>
            <w:r>
              <w:t xml:space="preserve"> </w:t>
            </w:r>
            <w:r>
              <w:rPr>
                <w:spacing w:val="-1"/>
              </w:rPr>
              <w:t>to</w:t>
            </w:r>
            <w:r>
              <w:rPr>
                <w:spacing w:val="19"/>
              </w:rPr>
              <w:t xml:space="preserve"> </w:t>
            </w:r>
            <w:r>
              <w:rPr>
                <w:spacing w:val="-1"/>
              </w:rPr>
              <w:t>your</w:t>
            </w:r>
            <w:r>
              <w:rPr>
                <w:spacing w:val="20"/>
              </w:rPr>
              <w:t xml:space="preserve"> </w:t>
            </w:r>
            <w:r>
              <w:rPr>
                <w:spacing w:val="-1"/>
              </w:rPr>
              <w:t>submission</w:t>
            </w:r>
            <w:r>
              <w:rPr>
                <w:spacing w:val="22"/>
                <w:w w:val="101"/>
              </w:rPr>
              <w:t xml:space="preserve"> </w:t>
            </w:r>
            <w:r>
              <w:rPr>
                <w:spacing w:val="-1"/>
              </w:rPr>
              <w:t>a</w:t>
            </w:r>
            <w:r>
              <w:rPr>
                <w:spacing w:val="27"/>
              </w:rPr>
              <w:t xml:space="preserve"> </w:t>
            </w:r>
            <w:r>
              <w:rPr>
                <w:spacing w:val="-1"/>
              </w:rPr>
              <w:t>reference</w:t>
            </w:r>
            <w:r>
              <w:rPr>
                <w:spacing w:val="29"/>
              </w:rPr>
              <w:t xml:space="preserve"> </w:t>
            </w:r>
            <w:r>
              <w:rPr>
                <w:spacing w:val="-1"/>
              </w:rPr>
              <w:t>list</w:t>
            </w:r>
            <w:r>
              <w:rPr>
                <w:spacing w:val="18"/>
              </w:rPr>
              <w:t xml:space="preserve"> </w:t>
            </w:r>
            <w:r>
              <w:rPr>
                <w:spacing w:val="-1"/>
              </w:rPr>
              <w:t>that</w:t>
            </w:r>
            <w:r>
              <w:rPr>
                <w:spacing w:val="28"/>
                <w:w w:val="101"/>
              </w:rPr>
              <w:t xml:space="preserve"> </w:t>
            </w:r>
            <w:r>
              <w:rPr>
                <w:spacing w:val="-1"/>
              </w:rPr>
              <w:t>i</w:t>
            </w:r>
            <w:r>
              <w:rPr>
                <w:spacing w:val="-2"/>
              </w:rPr>
              <w:t>ndicates</w:t>
            </w:r>
            <w:r>
              <w:rPr>
                <w:spacing w:val="17"/>
              </w:rPr>
              <w:t xml:space="preserve"> </w:t>
            </w:r>
            <w:r>
              <w:rPr>
                <w:spacing w:val="-2"/>
              </w:rPr>
              <w:t>the</w:t>
            </w:r>
            <w:r>
              <w:rPr>
                <w:spacing w:val="29"/>
                <w:w w:val="101"/>
              </w:rPr>
              <w:t xml:space="preserve"> </w:t>
            </w:r>
            <w:r>
              <w:rPr>
                <w:spacing w:val="-2"/>
              </w:rPr>
              <w:t>books,</w:t>
            </w:r>
            <w:r>
              <w:rPr>
                <w:spacing w:val="22"/>
              </w:rPr>
              <w:t xml:space="preserve"> </w:t>
            </w:r>
            <w:r>
              <w:rPr>
                <w:spacing w:val="-2"/>
              </w:rPr>
              <w:t>articles,</w:t>
            </w:r>
            <w:r>
              <w:rPr>
                <w:spacing w:val="24"/>
              </w:rPr>
              <w:t xml:space="preserve"> </w:t>
            </w:r>
            <w:r>
              <w:rPr>
                <w:spacing w:val="-2"/>
              </w:rPr>
              <w:t>etc.</w:t>
            </w:r>
            <w:r>
              <w:rPr>
                <w:spacing w:val="16"/>
              </w:rPr>
              <w:t xml:space="preserve"> </w:t>
            </w:r>
            <w:r>
              <w:rPr>
                <w:spacing w:val="-2"/>
              </w:rPr>
              <w:t>that</w:t>
            </w:r>
            <w:r>
              <w:t xml:space="preserve"> </w:t>
            </w:r>
            <w:r>
              <w:rPr>
                <w:spacing w:val="-1"/>
              </w:rPr>
              <w:t>you</w:t>
            </w:r>
            <w:r>
              <w:rPr>
                <w:spacing w:val="31"/>
              </w:rPr>
              <w:t xml:space="preserve"> </w:t>
            </w:r>
            <w:r>
              <w:rPr>
                <w:spacing w:val="-1"/>
              </w:rPr>
              <w:t>have</w:t>
            </w:r>
            <w:r>
              <w:rPr>
                <w:spacing w:val="15"/>
                <w:w w:val="101"/>
              </w:rPr>
              <w:t xml:space="preserve"> </w:t>
            </w:r>
            <w:r>
              <w:rPr>
                <w:spacing w:val="-1"/>
              </w:rPr>
              <w:t>used, cited or quoted</w:t>
            </w:r>
            <w:r>
              <w:rPr>
                <w:spacing w:val="15"/>
              </w:rPr>
              <w:t xml:space="preserve"> </w:t>
            </w:r>
            <w:r>
              <w:rPr>
                <w:spacing w:val="-1"/>
              </w:rPr>
              <w:t>in order to complete this assessment.</w:t>
            </w:r>
          </w:p>
        </w:tc>
      </w:tr>
    </w:tbl>
    <w:p w14:paraId="7F040387">
      <w:pPr>
        <w:spacing w:before="11"/>
      </w:pPr>
    </w:p>
    <w:p w14:paraId="171392CB">
      <w:pPr>
        <w:spacing w:before="10"/>
      </w:pPr>
    </w:p>
    <w:tbl>
      <w:tblPr>
        <w:tblStyle w:val="43"/>
        <w:tblW w:w="9753" w:type="dxa"/>
        <w:tblInd w:w="350" w:type="dxa"/>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Layout w:type="fixed"/>
        <w:tblCellMar>
          <w:top w:w="0" w:type="dxa"/>
          <w:left w:w="0" w:type="dxa"/>
          <w:bottom w:w="0" w:type="dxa"/>
          <w:right w:w="0" w:type="dxa"/>
        </w:tblCellMar>
      </w:tblPr>
      <w:tblGrid>
        <w:gridCol w:w="9753"/>
      </w:tblGrid>
      <w:tr w14:paraId="0785B7F8">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514" w:hRule="atLeast"/>
        </w:trPr>
        <w:tc>
          <w:tcPr>
            <w:tcW w:w="9753" w:type="dxa"/>
            <w:shd w:val="clear" w:color="auto" w:fill="E5E5E5"/>
            <w:vAlign w:val="top"/>
          </w:tcPr>
          <w:p w14:paraId="7FB69C1A">
            <w:pPr>
              <w:pStyle w:val="42"/>
              <w:spacing w:before="44" w:line="218" w:lineRule="auto"/>
              <w:ind w:left="119" w:right="6741" w:firstLine="4"/>
            </w:pPr>
            <w:r>
              <w:rPr>
                <w:b/>
                <w:bCs/>
                <w:spacing w:val="-2"/>
              </w:rPr>
              <w:t>Module</w:t>
            </w:r>
            <w:r>
              <w:rPr>
                <w:b/>
                <w:bCs/>
                <w:spacing w:val="31"/>
              </w:rPr>
              <w:t xml:space="preserve"> </w:t>
            </w:r>
            <w:r>
              <w:rPr>
                <w:b/>
                <w:bCs/>
                <w:spacing w:val="-2"/>
              </w:rPr>
              <w:t>Learning Outcomes</w:t>
            </w:r>
            <w:r>
              <w:rPr>
                <w:b/>
                <w:bCs/>
              </w:rPr>
              <w:t xml:space="preserve"> </w:t>
            </w:r>
            <w:r>
              <w:rPr>
                <w:b/>
                <w:bCs/>
                <w:spacing w:val="-1"/>
              </w:rPr>
              <w:t>(from module syllabus)</w:t>
            </w:r>
          </w:p>
        </w:tc>
      </w:tr>
      <w:tr w14:paraId="717F532F">
        <w:tblPrEx>
          <w:tblBorders>
            <w:top w:val="single" w:color="000000" w:sz="2" w:space="0"/>
            <w:left w:val="single" w:color="000000" w:sz="2" w:space="0"/>
            <w:bottom w:val="single" w:color="000000" w:sz="2" w:space="0"/>
            <w:right w:val="single" w:color="000000" w:sz="2" w:space="0"/>
            <w:insideH w:val="single" w:color="000000" w:sz="2" w:space="0"/>
            <w:insideV w:val="single" w:color="000000" w:sz="2" w:space="0"/>
          </w:tblBorders>
          <w:tblCellMar>
            <w:top w:w="0" w:type="dxa"/>
            <w:left w:w="0" w:type="dxa"/>
            <w:bottom w:w="0" w:type="dxa"/>
            <w:right w:w="0" w:type="dxa"/>
          </w:tblCellMar>
        </w:tblPrEx>
        <w:trPr>
          <w:trHeight w:val="1537" w:hRule="atLeast"/>
        </w:trPr>
        <w:tc>
          <w:tcPr>
            <w:tcW w:w="9753" w:type="dxa"/>
            <w:vAlign w:val="top"/>
          </w:tcPr>
          <w:p w14:paraId="1D6BE8FA">
            <w:pPr>
              <w:pStyle w:val="42"/>
              <w:spacing w:before="178" w:line="204" w:lineRule="auto"/>
              <w:ind w:left="1544" w:right="1866" w:hanging="561"/>
            </w:pPr>
            <w:r>
              <w:rPr>
                <w:rFonts w:ascii="微软雅黑" w:hAnsi="微软雅黑" w:eastAsia="微软雅黑" w:cs="微软雅黑"/>
                <w:spacing w:val="-1"/>
              </w:rPr>
              <w:t xml:space="preserve">●       </w:t>
            </w:r>
            <w:r>
              <w:rPr>
                <w:spacing w:val="-1"/>
              </w:rPr>
              <w:t>Demonstrate a systematic</w:t>
            </w:r>
            <w:r>
              <w:rPr>
                <w:spacing w:val="16"/>
              </w:rPr>
              <w:t xml:space="preserve"> </w:t>
            </w:r>
            <w:r>
              <w:rPr>
                <w:spacing w:val="-1"/>
              </w:rPr>
              <w:t>understanding,</w:t>
            </w:r>
            <w:r>
              <w:rPr>
                <w:spacing w:val="14"/>
              </w:rPr>
              <w:t xml:space="preserve"> </w:t>
            </w:r>
            <w:r>
              <w:rPr>
                <w:spacing w:val="-1"/>
              </w:rPr>
              <w:t>includ</w:t>
            </w:r>
            <w:r>
              <w:rPr>
                <w:spacing w:val="-2"/>
              </w:rPr>
              <w:t>ing</w:t>
            </w:r>
            <w:r>
              <w:rPr>
                <w:spacing w:val="8"/>
              </w:rPr>
              <w:t xml:space="preserve"> </w:t>
            </w:r>
            <w:r>
              <w:rPr>
                <w:spacing w:val="-2"/>
              </w:rPr>
              <w:t>acquisition</w:t>
            </w:r>
            <w:r>
              <w:rPr>
                <w:spacing w:val="8"/>
              </w:rPr>
              <w:t xml:space="preserve"> </w:t>
            </w:r>
            <w:r>
              <w:rPr>
                <w:spacing w:val="-2"/>
              </w:rPr>
              <w:t>of</w:t>
            </w:r>
            <w:r>
              <w:t xml:space="preserve"> coherent and detailed knowledge of intercultur</w:t>
            </w:r>
            <w:r>
              <w:rPr>
                <w:spacing w:val="-1"/>
              </w:rPr>
              <w:t>al</w:t>
            </w:r>
            <w:r>
              <w:rPr>
                <w:spacing w:val="9"/>
              </w:rPr>
              <w:t xml:space="preserve"> </w:t>
            </w:r>
            <w:r>
              <w:rPr>
                <w:spacing w:val="-1"/>
              </w:rPr>
              <w:t>communication</w:t>
            </w:r>
            <w:r>
              <w:t xml:space="preserve">   </w:t>
            </w:r>
            <w:r>
              <w:rPr>
                <w:spacing w:val="-1"/>
              </w:rPr>
              <w:t>theories</w:t>
            </w:r>
          </w:p>
          <w:p w14:paraId="1DC313C8">
            <w:pPr>
              <w:pStyle w:val="42"/>
              <w:spacing w:before="141" w:line="167" w:lineRule="auto"/>
              <w:ind w:left="981"/>
            </w:pPr>
            <w:r>
              <w:rPr>
                <w:rFonts w:ascii="微软雅黑" w:hAnsi="微软雅黑" w:eastAsia="微软雅黑" w:cs="微软雅黑"/>
                <w:spacing w:val="-1"/>
              </w:rPr>
              <w:t xml:space="preserve">●       </w:t>
            </w:r>
            <w:r>
              <w:rPr>
                <w:spacing w:val="-1"/>
              </w:rPr>
              <w:t>Evaluate and</w:t>
            </w:r>
            <w:r>
              <w:rPr>
                <w:spacing w:val="16"/>
              </w:rPr>
              <w:t xml:space="preserve"> </w:t>
            </w:r>
            <w:r>
              <w:rPr>
                <w:spacing w:val="-1"/>
              </w:rPr>
              <w:t>interpret divergent</w:t>
            </w:r>
            <w:r>
              <w:rPr>
                <w:spacing w:val="14"/>
              </w:rPr>
              <w:t xml:space="preserve"> </w:t>
            </w:r>
            <w:r>
              <w:rPr>
                <w:spacing w:val="-1"/>
              </w:rPr>
              <w:t>international</w:t>
            </w:r>
            <w:r>
              <w:rPr>
                <w:spacing w:val="9"/>
              </w:rPr>
              <w:t xml:space="preserve"> </w:t>
            </w:r>
            <w:r>
              <w:rPr>
                <w:spacing w:val="-1"/>
              </w:rPr>
              <w:t>c</w:t>
            </w:r>
            <w:r>
              <w:rPr>
                <w:spacing w:val="-2"/>
              </w:rPr>
              <w:t>ultures</w:t>
            </w:r>
            <w:r>
              <w:rPr>
                <w:spacing w:val="1"/>
              </w:rPr>
              <w:t xml:space="preserve"> </w:t>
            </w:r>
            <w:r>
              <w:rPr>
                <w:spacing w:val="-2"/>
              </w:rPr>
              <w:t>within</w:t>
            </w:r>
            <w:r>
              <w:rPr>
                <w:spacing w:val="11"/>
              </w:rPr>
              <w:t xml:space="preserve"> </w:t>
            </w:r>
            <w:r>
              <w:rPr>
                <w:spacing w:val="-2"/>
              </w:rPr>
              <w:t>business</w:t>
            </w:r>
          </w:p>
        </w:tc>
      </w:tr>
    </w:tbl>
    <w:p w14:paraId="0FAD27F9">
      <w:pPr>
        <w:rPr>
          <w:sz w:val="21"/>
          <w:szCs w:val="21"/>
        </w:rPr>
        <w:sectPr>
          <w:footerReference r:id="rId5" w:type="default"/>
          <w:pgSz w:w="11895" w:h="16834"/>
          <w:pgMar w:top="798" w:right="720" w:bottom="822" w:left="720" w:header="0" w:footer="640" w:gutter="0"/>
          <w:cols w:space="720" w:num="1"/>
        </w:sectPr>
      </w:pPr>
    </w:p>
    <w:p w14:paraId="4FD27085">
      <w:pPr>
        <w:spacing w:before="199" w:line="963" w:lineRule="exact"/>
      </w:pPr>
      <w:r>
        <w:rPr>
          <w:position w:val="-19"/>
        </w:rPr>
        <w:drawing>
          <wp:inline distT="0" distB="0" distL="0" distR="0">
            <wp:extent cx="1810385" cy="611505"/>
            <wp:effectExtent l="0" t="0" r="3175" b="13335"/>
            <wp:docPr id="2" name="IM 2"/>
            <wp:cNvGraphicFramePr/>
            <a:graphic xmlns:a="http://schemas.openxmlformats.org/drawingml/2006/main">
              <a:graphicData uri="http://schemas.openxmlformats.org/drawingml/2006/picture">
                <pic:pic xmlns:pic="http://schemas.openxmlformats.org/drawingml/2006/picture">
                  <pic:nvPicPr>
                    <pic:cNvPr id="2" name="IM 2"/>
                    <pic:cNvPicPr/>
                  </pic:nvPicPr>
                  <pic:blipFill>
                    <a:blip r:embed="rId8"/>
                    <a:stretch>
                      <a:fillRect/>
                    </a:stretch>
                  </pic:blipFill>
                  <pic:spPr>
                    <a:xfrm>
                      <a:off x="0" y="0"/>
                      <a:ext cx="1810511" cy="611570"/>
                    </a:xfrm>
                    <a:prstGeom prst="rect">
                      <a:avLst/>
                    </a:prstGeom>
                  </pic:spPr>
                </pic:pic>
              </a:graphicData>
            </a:graphic>
          </wp:inline>
        </w:drawing>
      </w:r>
    </w:p>
    <w:p w14:paraId="3EB52AB3">
      <w:pPr>
        <w:pStyle w:val="11"/>
        <w:spacing w:line="398" w:lineRule="auto"/>
        <w:rPr>
          <w:sz w:val="21"/>
        </w:rPr>
      </w:pPr>
    </w:p>
    <w:p w14:paraId="328BD1A0">
      <w:pPr>
        <w:pStyle w:val="11"/>
        <w:spacing w:before="201" w:line="196" w:lineRule="auto"/>
        <w:jc w:val="right"/>
        <w:rPr>
          <w:sz w:val="21"/>
        </w:rPr>
      </w:pPr>
      <w:r>
        <w:rPr>
          <w:spacing w:val="-6"/>
        </w:rPr>
        <w:t>Business</w:t>
      </w:r>
      <w:r>
        <w:rPr>
          <w:spacing w:val="55"/>
        </w:rPr>
        <w:t xml:space="preserve"> </w:t>
      </w:r>
      <w:r>
        <w:rPr>
          <w:spacing w:val="-6"/>
        </w:rPr>
        <w:t>Management</w:t>
      </w:r>
      <w:r>
        <w:rPr>
          <w:spacing w:val="54"/>
        </w:rPr>
        <w:t xml:space="preserve"> </w:t>
      </w:r>
      <w:r>
        <w:rPr>
          <w:spacing w:val="-6"/>
        </w:rPr>
        <w:t>Portfolio</w:t>
      </w:r>
    </w:p>
    <w:p w14:paraId="6C3CF2DB">
      <w:pPr>
        <w:pStyle w:val="11"/>
        <w:spacing w:line="312" w:lineRule="auto"/>
        <w:rPr>
          <w:sz w:val="21"/>
        </w:rPr>
      </w:pPr>
    </w:p>
    <w:p w14:paraId="5B170913">
      <w:pPr>
        <w:pStyle w:val="11"/>
        <w:spacing w:before="201" w:line="194" w:lineRule="auto"/>
        <w:ind w:left="1936"/>
        <w:outlineLvl w:val="0"/>
      </w:pPr>
      <w:r>
        <w:rPr>
          <w:b/>
          <w:bCs/>
          <w:spacing w:val="-7"/>
        </w:rPr>
        <w:t>Module</w:t>
      </w:r>
      <w:r>
        <w:rPr>
          <w:b/>
          <w:bCs/>
          <w:spacing w:val="54"/>
        </w:rPr>
        <w:t xml:space="preserve"> </w:t>
      </w:r>
      <w:r>
        <w:rPr>
          <w:b/>
          <w:bCs/>
          <w:spacing w:val="-7"/>
        </w:rPr>
        <w:t>Handbook:</w:t>
      </w:r>
    </w:p>
    <w:p w14:paraId="5C3D3B0B">
      <w:pPr>
        <w:pStyle w:val="11"/>
        <w:spacing w:before="155" w:line="194" w:lineRule="auto"/>
        <w:ind w:left="3258"/>
      </w:pPr>
      <w:r>
        <w:rPr>
          <w:spacing w:val="-7"/>
        </w:rPr>
        <w:t>BMBM6021</w:t>
      </w:r>
    </w:p>
    <w:p w14:paraId="1E3AC658">
      <w:pPr>
        <w:pStyle w:val="11"/>
        <w:spacing w:line="309" w:lineRule="auto"/>
        <w:rPr>
          <w:sz w:val="21"/>
        </w:rPr>
      </w:pPr>
    </w:p>
    <w:p w14:paraId="7B8ECA70">
      <w:pPr>
        <w:pStyle w:val="11"/>
        <w:spacing w:before="201" w:line="238" w:lineRule="auto"/>
        <w:ind w:left="1656"/>
      </w:pPr>
      <w:r>
        <w:rPr>
          <w:spacing w:val="-6"/>
        </w:rPr>
        <w:t>International</w:t>
      </w:r>
      <w:r>
        <w:rPr>
          <w:spacing w:val="66"/>
        </w:rPr>
        <w:t xml:space="preserve"> </w:t>
      </w:r>
      <w:r>
        <w:rPr>
          <w:spacing w:val="-6"/>
        </w:rPr>
        <w:t>Business</w:t>
      </w:r>
    </w:p>
    <w:p w14:paraId="098785BE">
      <w:pPr>
        <w:pStyle w:val="11"/>
        <w:spacing w:before="8" w:line="196" w:lineRule="auto"/>
        <w:ind w:left="2640"/>
        <w:rPr>
          <w:sz w:val="21"/>
        </w:rPr>
      </w:pPr>
      <w:r>
        <w:rPr>
          <w:spacing w:val="-3"/>
        </w:rPr>
        <w:t>Communication</w:t>
      </w:r>
    </w:p>
    <w:p w14:paraId="4D170C2E">
      <w:pPr>
        <w:pStyle w:val="11"/>
        <w:spacing w:before="201" w:line="238" w:lineRule="auto"/>
        <w:ind w:left="25"/>
        <w:rPr>
          <w:sz w:val="21"/>
        </w:rPr>
      </w:pPr>
      <w:r>
        <w:rPr>
          <w:b/>
          <w:bCs/>
          <w:spacing w:val="-4"/>
        </w:rPr>
        <w:t>Semester</w:t>
      </w:r>
      <w:r>
        <w:rPr>
          <w:b/>
          <w:bCs/>
          <w:spacing w:val="65"/>
        </w:rPr>
        <w:t xml:space="preserve"> </w:t>
      </w:r>
      <w:r>
        <w:rPr>
          <w:b/>
          <w:bCs/>
          <w:spacing w:val="-4"/>
        </w:rPr>
        <w:t xml:space="preserve">1: </w:t>
      </w:r>
      <w:r>
        <w:rPr>
          <w:spacing w:val="-4"/>
        </w:rPr>
        <w:t>2025 / 2026</w:t>
      </w:r>
    </w:p>
    <w:p w14:paraId="39EDFBEE">
      <w:pPr>
        <w:pStyle w:val="11"/>
        <w:spacing w:before="202" w:line="196" w:lineRule="auto"/>
        <w:ind w:left="50"/>
      </w:pPr>
      <w:r>
        <w:rPr>
          <w:b/>
          <w:bCs/>
          <w:spacing w:val="-5"/>
        </w:rPr>
        <w:t>Module</w:t>
      </w:r>
      <w:r>
        <w:rPr>
          <w:b/>
          <w:bCs/>
          <w:spacing w:val="59"/>
        </w:rPr>
        <w:t xml:space="preserve"> </w:t>
      </w:r>
      <w:r>
        <w:rPr>
          <w:b/>
          <w:bCs/>
          <w:spacing w:val="-5"/>
        </w:rPr>
        <w:t xml:space="preserve">Lead: </w:t>
      </w:r>
      <w:r>
        <w:rPr>
          <w:spacing w:val="-5"/>
        </w:rPr>
        <w:t>Jaliya de</w:t>
      </w:r>
      <w:r>
        <w:rPr>
          <w:spacing w:val="32"/>
        </w:rPr>
        <w:t xml:space="preserve"> </w:t>
      </w:r>
      <w:r>
        <w:rPr>
          <w:spacing w:val="-5"/>
        </w:rPr>
        <w:t>Silva</w:t>
      </w:r>
    </w:p>
    <w:p w14:paraId="7D9D1AA2">
      <w:pPr>
        <w:spacing w:line="480" w:lineRule="auto"/>
        <w:jc w:val="both"/>
        <w:rPr>
          <w:rFonts w:ascii="Times New Roman" w:hAnsi="Times New Roman" w:cs="Times New Roman"/>
          <w:b/>
          <w:bCs/>
          <w:sz w:val="28"/>
          <w:szCs w:val="28"/>
        </w:rPr>
        <w:sectPr>
          <w:footerReference r:id="rId6" w:type="default"/>
          <w:pgSz w:w="11906" w:h="16838"/>
          <w:pgMar w:top="1440" w:right="1800" w:bottom="1440" w:left="1800" w:header="851" w:footer="992" w:gutter="0"/>
          <w:cols w:space="425" w:num="1"/>
          <w:docGrid w:type="lines" w:linePitch="312" w:charSpace="0"/>
        </w:sectPr>
      </w:pPr>
    </w:p>
    <w:p w14:paraId="41796ACE">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Executive Summary</w:t>
      </w:r>
    </w:p>
    <w:p w14:paraId="6A0340E4">
      <w:pPr>
        <w:spacing w:line="480" w:lineRule="auto"/>
        <w:jc w:val="both"/>
        <w:rPr>
          <w:rFonts w:ascii="Times New Roman" w:hAnsi="Times New Roman" w:cs="Times New Roman"/>
          <w:sz w:val="24"/>
        </w:rPr>
      </w:pPr>
      <w:r>
        <w:rPr>
          <w:rFonts w:hint="eastAsia" w:ascii="Times New Roman" w:hAnsi="Times New Roman" w:cs="Times New Roman"/>
          <w:sz w:val="24"/>
        </w:rPr>
        <w:t>This report examines the intercultural communication between the United Kingdom (UK) and China, reviewing how the differences in culture affect the collaboration of different businesses. Hofstede (2010), Hall (1976), Trompenaars and Hampden-Turner (2020) and the theory of cultural intelligence (Earley and Ang, 2003) are used to review strategies that will enable British retailers to develop strong relationships in China. Case studies of Burberry, Marks &amp; Spencer, Tesco and HSBC show how an awareness of culture will aid success. Recommending that trust, a sense of empathy, a long-term orientation will enhance relationships.</w:t>
      </w:r>
    </w:p>
    <w:p w14:paraId="19DD65CA">
      <w:pPr>
        <w:spacing w:line="480" w:lineRule="auto"/>
        <w:jc w:val="both"/>
        <w:rPr>
          <w:rFonts w:ascii="Times New Roman" w:hAnsi="Times New Roman" w:cs="Times New Roman"/>
          <w:sz w:val="24"/>
        </w:rPr>
      </w:pPr>
    </w:p>
    <w:p w14:paraId="5D96ACA1">
      <w:pPr>
        <w:spacing w:line="480" w:lineRule="auto"/>
        <w:jc w:val="both"/>
        <w:rPr>
          <w:rFonts w:ascii="Times New Roman" w:hAnsi="Times New Roman" w:cs="Times New Roman"/>
          <w:b/>
          <w:bCs/>
          <w:sz w:val="28"/>
          <w:szCs w:val="28"/>
        </w:rPr>
      </w:pPr>
    </w:p>
    <w:p w14:paraId="786989CE">
      <w:pPr>
        <w:widowControl/>
        <w:rPr>
          <w:rFonts w:ascii="Times New Roman" w:hAnsi="Times New Roman" w:cs="Times New Roman"/>
          <w:b/>
          <w:bCs/>
          <w:sz w:val="28"/>
          <w:szCs w:val="28"/>
        </w:rPr>
      </w:pPr>
      <w:r>
        <w:rPr>
          <w:rFonts w:ascii="Times New Roman" w:hAnsi="Times New Roman" w:cs="Times New Roman"/>
          <w:b/>
          <w:bCs/>
          <w:sz w:val="28"/>
          <w:szCs w:val="28"/>
        </w:rPr>
        <w:br w:type="page"/>
      </w:r>
    </w:p>
    <w:sdt>
      <w:sdtPr>
        <w:rPr>
          <w:rFonts w:asciiTheme="minorHAnsi" w:hAnsiTheme="minorHAnsi" w:eastAsiaTheme="minorEastAsia" w:cstheme="minorBidi"/>
          <w:color w:val="auto"/>
          <w:kern w:val="2"/>
          <w:sz w:val="22"/>
          <w:szCs w:val="24"/>
          <w:lang w:val="zh-CN"/>
          <w14:ligatures w14:val="standardContextual"/>
        </w:rPr>
        <w:id w:val="1030148120"/>
        <w:docPartObj>
          <w:docPartGallery w:val="Table of Contents"/>
          <w:docPartUnique/>
        </w:docPartObj>
      </w:sdtPr>
      <w:sdtEndPr>
        <w:rPr>
          <w:rFonts w:asciiTheme="minorHAnsi" w:hAnsiTheme="minorHAnsi" w:eastAsiaTheme="minorEastAsia" w:cstheme="minorBidi"/>
          <w:b/>
          <w:bCs/>
          <w:color w:val="auto"/>
          <w:kern w:val="2"/>
          <w:sz w:val="22"/>
          <w:szCs w:val="24"/>
          <w:lang w:val="zh-CN"/>
          <w14:ligatures w14:val="standardContextual"/>
        </w:rPr>
      </w:sdtEndPr>
      <w:sdtContent>
        <w:p w14:paraId="03D8A491">
          <w:pPr>
            <w:pStyle w:val="41"/>
            <w:ind w:firstLine="2420" w:firstLineChars="1100"/>
            <w:rPr>
              <w:rFonts w:hint="eastAsia"/>
              <w:color w:val="000000" w:themeColor="text1"/>
              <w14:textFill>
                <w14:solidFill>
                  <w14:schemeClr w14:val="tx1"/>
                </w14:solidFill>
              </w14:textFill>
            </w:rPr>
          </w:pPr>
          <w:r>
            <w:rPr>
              <w:rFonts w:hint="eastAsia"/>
              <w:color w:val="000000" w:themeColor="text1"/>
              <w14:textFill>
                <w14:solidFill>
                  <w14:schemeClr w14:val="tx1"/>
                </w14:solidFill>
              </w14:textFill>
            </w:rPr>
            <w:t>Content</w:t>
          </w:r>
        </w:p>
        <w:p w14:paraId="292E048D">
          <w:pPr>
            <w:pStyle w:val="15"/>
            <w:tabs>
              <w:tab w:val="right" w:leader="dot" w:pos="8296"/>
            </w:tabs>
            <w:rPr>
              <w:rFonts w:hint="eastAsia" w:cstheme="minorBidi"/>
              <w:kern w:val="2"/>
              <w:szCs w:val="24"/>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"_Toc213451295" </w:instrText>
          </w:r>
          <w:r>
            <w:fldChar w:fldCharType="separate"/>
          </w:r>
          <w:r>
            <w:rPr>
              <w:rStyle w:val="21"/>
              <w:rFonts w:ascii="Times New Roman" w:hAnsi="Times New Roman"/>
            </w:rPr>
            <w:t>1. Introduction</w:t>
          </w:r>
          <w:r>
            <w:tab/>
          </w:r>
          <w:r>
            <w:fldChar w:fldCharType="begin"/>
          </w:r>
          <w:r>
            <w:instrText xml:space="preserve"> PAGEREF _Toc213451295 \h </w:instrText>
          </w:r>
          <w:r>
            <w:fldChar w:fldCharType="separate"/>
          </w:r>
          <w:r>
            <w:t>3</w:t>
          </w:r>
          <w:r>
            <w:fldChar w:fldCharType="end"/>
          </w:r>
          <w:r>
            <w:fldChar w:fldCharType="end"/>
          </w:r>
        </w:p>
        <w:p w14:paraId="65715FB3">
          <w:pPr>
            <w:pStyle w:val="15"/>
            <w:tabs>
              <w:tab w:val="right" w:leader="dot" w:pos="8296"/>
            </w:tabs>
            <w:rPr>
              <w:rFonts w:hint="eastAsia" w:cstheme="minorBidi"/>
              <w:kern w:val="2"/>
              <w:szCs w:val="24"/>
              <w14:ligatures w14:val="standardContextual"/>
            </w:rPr>
          </w:pPr>
          <w:r>
            <w:fldChar w:fldCharType="begin"/>
          </w:r>
          <w:r>
            <w:instrText xml:space="preserve"> HYPERLINK \l "_Toc213451296" </w:instrText>
          </w:r>
          <w:r>
            <w:fldChar w:fldCharType="separate"/>
          </w:r>
          <w:r>
            <w:rPr>
              <w:rStyle w:val="21"/>
              <w:rFonts w:ascii="Times New Roman" w:hAnsi="Times New Roman"/>
            </w:rPr>
            <w:t>2. Theoretical Framework</w:t>
          </w:r>
          <w:r>
            <w:tab/>
          </w:r>
          <w:r>
            <w:fldChar w:fldCharType="begin"/>
          </w:r>
          <w:r>
            <w:instrText xml:space="preserve"> PAGEREF _Toc213451296 \h </w:instrText>
          </w:r>
          <w:r>
            <w:fldChar w:fldCharType="separate"/>
          </w:r>
          <w:r>
            <w:t>4</w:t>
          </w:r>
          <w:r>
            <w:fldChar w:fldCharType="end"/>
          </w:r>
          <w:r>
            <w:fldChar w:fldCharType="end"/>
          </w:r>
        </w:p>
        <w:p w14:paraId="497144FF">
          <w:pPr>
            <w:pStyle w:val="17"/>
            <w:tabs>
              <w:tab w:val="right" w:leader="dot" w:pos="8296"/>
            </w:tabs>
            <w:rPr>
              <w:rFonts w:hint="eastAsia" w:cstheme="minorBidi"/>
              <w:kern w:val="2"/>
              <w:szCs w:val="24"/>
              <w14:ligatures w14:val="standardContextual"/>
            </w:rPr>
          </w:pPr>
          <w:r>
            <w:fldChar w:fldCharType="begin"/>
          </w:r>
          <w:r>
            <w:instrText xml:space="preserve"> HYPERLINK \l "_Toc213451297" </w:instrText>
          </w:r>
          <w:r>
            <w:fldChar w:fldCharType="separate"/>
          </w:r>
          <w:r>
            <w:rPr>
              <w:rStyle w:val="21"/>
              <w:rFonts w:ascii="Times New Roman" w:hAnsi="Times New Roman"/>
            </w:rPr>
            <w:t>2.1 Hofstede’s Cultural Dimensions</w:t>
          </w:r>
          <w:r>
            <w:tab/>
          </w:r>
          <w:r>
            <w:fldChar w:fldCharType="begin"/>
          </w:r>
          <w:r>
            <w:instrText xml:space="preserve"> PAGEREF _Toc213451297 \h </w:instrText>
          </w:r>
          <w:r>
            <w:fldChar w:fldCharType="separate"/>
          </w:r>
          <w:r>
            <w:t>4</w:t>
          </w:r>
          <w:r>
            <w:fldChar w:fldCharType="end"/>
          </w:r>
          <w:r>
            <w:fldChar w:fldCharType="end"/>
          </w:r>
        </w:p>
        <w:p w14:paraId="1970C4DA">
          <w:pPr>
            <w:pStyle w:val="17"/>
            <w:tabs>
              <w:tab w:val="right" w:leader="dot" w:pos="8296"/>
            </w:tabs>
            <w:rPr>
              <w:rFonts w:hint="eastAsia" w:cstheme="minorBidi"/>
              <w:kern w:val="2"/>
              <w:szCs w:val="24"/>
              <w14:ligatures w14:val="standardContextual"/>
            </w:rPr>
          </w:pPr>
          <w:r>
            <w:fldChar w:fldCharType="begin"/>
          </w:r>
          <w:r>
            <w:instrText xml:space="preserve"> HYPERLINK \l "_Toc213451298" </w:instrText>
          </w:r>
          <w:r>
            <w:fldChar w:fldCharType="separate"/>
          </w:r>
          <w:r>
            <w:rPr>
              <w:rStyle w:val="21"/>
              <w:rFonts w:ascii="Times New Roman" w:hAnsi="Times New Roman"/>
            </w:rPr>
            <w:t>2.2 Hall’s High and Low Context Theory</w:t>
          </w:r>
          <w:r>
            <w:tab/>
          </w:r>
          <w:r>
            <w:fldChar w:fldCharType="begin"/>
          </w:r>
          <w:r>
            <w:instrText xml:space="preserve"> PAGEREF _Toc213451298 \h </w:instrText>
          </w:r>
          <w:r>
            <w:fldChar w:fldCharType="separate"/>
          </w:r>
          <w:r>
            <w:t>4</w:t>
          </w:r>
          <w:r>
            <w:fldChar w:fldCharType="end"/>
          </w:r>
          <w:r>
            <w:fldChar w:fldCharType="end"/>
          </w:r>
        </w:p>
        <w:p w14:paraId="163CAD59">
          <w:pPr>
            <w:pStyle w:val="17"/>
            <w:tabs>
              <w:tab w:val="right" w:leader="dot" w:pos="8296"/>
            </w:tabs>
            <w:rPr>
              <w:rFonts w:hint="eastAsia" w:cstheme="minorBidi"/>
              <w:kern w:val="2"/>
              <w:szCs w:val="24"/>
              <w14:ligatures w14:val="standardContextual"/>
            </w:rPr>
          </w:pPr>
          <w:r>
            <w:fldChar w:fldCharType="begin"/>
          </w:r>
          <w:r>
            <w:instrText xml:space="preserve"> HYPERLINK \l "_Toc213451299" </w:instrText>
          </w:r>
          <w:r>
            <w:fldChar w:fldCharType="separate"/>
          </w:r>
          <w:r>
            <w:rPr>
              <w:rStyle w:val="21"/>
              <w:rFonts w:ascii="Times New Roman" w:hAnsi="Times New Roman"/>
            </w:rPr>
            <w:t>2.3 Trompenaars’ Seven Dimensions</w:t>
          </w:r>
          <w:r>
            <w:tab/>
          </w:r>
          <w:r>
            <w:fldChar w:fldCharType="begin"/>
          </w:r>
          <w:r>
            <w:instrText xml:space="preserve"> PAGEREF _Toc213451299 \h </w:instrText>
          </w:r>
          <w:r>
            <w:fldChar w:fldCharType="separate"/>
          </w:r>
          <w:r>
            <w:t>4</w:t>
          </w:r>
          <w:r>
            <w:fldChar w:fldCharType="end"/>
          </w:r>
          <w:r>
            <w:fldChar w:fldCharType="end"/>
          </w:r>
        </w:p>
        <w:p w14:paraId="30D2F41E">
          <w:pPr>
            <w:pStyle w:val="17"/>
            <w:tabs>
              <w:tab w:val="right" w:leader="dot" w:pos="8296"/>
            </w:tabs>
            <w:rPr>
              <w:rFonts w:hint="eastAsia" w:cstheme="minorBidi"/>
              <w:kern w:val="2"/>
              <w:szCs w:val="24"/>
              <w14:ligatures w14:val="standardContextual"/>
            </w:rPr>
          </w:pPr>
          <w:r>
            <w:fldChar w:fldCharType="begin"/>
          </w:r>
          <w:r>
            <w:instrText xml:space="preserve"> HYPERLINK \l "_Toc213451300" </w:instrText>
          </w:r>
          <w:r>
            <w:fldChar w:fldCharType="separate"/>
          </w:r>
          <w:r>
            <w:rPr>
              <w:rStyle w:val="21"/>
              <w:rFonts w:ascii="Times New Roman" w:hAnsi="Times New Roman"/>
            </w:rPr>
            <w:t>2.4 Cultural Intelligence (CQ)</w:t>
          </w:r>
          <w:r>
            <w:tab/>
          </w:r>
          <w:r>
            <w:fldChar w:fldCharType="begin"/>
          </w:r>
          <w:r>
            <w:instrText xml:space="preserve"> PAGEREF _Toc213451300 \h </w:instrText>
          </w:r>
          <w:r>
            <w:fldChar w:fldCharType="separate"/>
          </w:r>
          <w:r>
            <w:t>5</w:t>
          </w:r>
          <w:r>
            <w:fldChar w:fldCharType="end"/>
          </w:r>
          <w:r>
            <w:fldChar w:fldCharType="end"/>
          </w:r>
        </w:p>
        <w:p w14:paraId="27EBF300">
          <w:pPr>
            <w:pStyle w:val="15"/>
            <w:tabs>
              <w:tab w:val="right" w:leader="dot" w:pos="8296"/>
            </w:tabs>
            <w:rPr>
              <w:rFonts w:hint="eastAsia" w:cstheme="minorBidi"/>
              <w:kern w:val="2"/>
              <w:szCs w:val="24"/>
              <w14:ligatures w14:val="standardContextual"/>
            </w:rPr>
          </w:pPr>
          <w:r>
            <w:fldChar w:fldCharType="begin"/>
          </w:r>
          <w:r>
            <w:instrText xml:space="preserve"> HYPERLINK \l "_Toc213451301" </w:instrText>
          </w:r>
          <w:r>
            <w:fldChar w:fldCharType="separate"/>
          </w:r>
          <w:r>
            <w:rPr>
              <w:rStyle w:val="21"/>
              <w:rFonts w:ascii="Times New Roman" w:hAnsi="Times New Roman"/>
            </w:rPr>
            <w:t>3. Cultural Comparison: The UK and China</w:t>
          </w:r>
          <w:r>
            <w:tab/>
          </w:r>
          <w:r>
            <w:fldChar w:fldCharType="begin"/>
          </w:r>
          <w:r>
            <w:instrText xml:space="preserve"> PAGEREF _Toc213451301 \h </w:instrText>
          </w:r>
          <w:r>
            <w:fldChar w:fldCharType="separate"/>
          </w:r>
          <w:r>
            <w:t>6</w:t>
          </w:r>
          <w:r>
            <w:fldChar w:fldCharType="end"/>
          </w:r>
          <w:r>
            <w:fldChar w:fldCharType="end"/>
          </w:r>
        </w:p>
        <w:p w14:paraId="21D60126">
          <w:pPr>
            <w:pStyle w:val="15"/>
            <w:tabs>
              <w:tab w:val="right" w:leader="dot" w:pos="8296"/>
            </w:tabs>
            <w:rPr>
              <w:rFonts w:hint="eastAsia" w:cstheme="minorBidi"/>
              <w:kern w:val="2"/>
              <w:szCs w:val="24"/>
              <w14:ligatures w14:val="standardContextual"/>
            </w:rPr>
          </w:pPr>
          <w:r>
            <w:fldChar w:fldCharType="begin"/>
          </w:r>
          <w:r>
            <w:instrText xml:space="preserve"> HYPERLINK \l "_Toc213451302" </w:instrText>
          </w:r>
          <w:r>
            <w:fldChar w:fldCharType="separate"/>
          </w:r>
          <w:r>
            <w:rPr>
              <w:rStyle w:val="21"/>
              <w:rFonts w:ascii="Times New Roman" w:hAnsi="Times New Roman"/>
            </w:rPr>
            <w:t>4. Communication and Relationship-Building Skills</w:t>
          </w:r>
          <w:r>
            <w:tab/>
          </w:r>
          <w:r>
            <w:fldChar w:fldCharType="begin"/>
          </w:r>
          <w:r>
            <w:instrText xml:space="preserve"> PAGEREF _Toc213451302 \h </w:instrText>
          </w:r>
          <w:r>
            <w:fldChar w:fldCharType="separate"/>
          </w:r>
          <w:r>
            <w:t>8</w:t>
          </w:r>
          <w:r>
            <w:fldChar w:fldCharType="end"/>
          </w:r>
          <w:r>
            <w:fldChar w:fldCharType="end"/>
          </w:r>
        </w:p>
        <w:p w14:paraId="29F6C07C">
          <w:pPr>
            <w:pStyle w:val="15"/>
            <w:tabs>
              <w:tab w:val="right" w:leader="dot" w:pos="8296"/>
            </w:tabs>
            <w:rPr>
              <w:rFonts w:hint="eastAsia" w:cstheme="minorBidi"/>
              <w:kern w:val="2"/>
              <w:szCs w:val="24"/>
              <w14:ligatures w14:val="standardContextual"/>
            </w:rPr>
          </w:pPr>
          <w:r>
            <w:fldChar w:fldCharType="begin"/>
          </w:r>
          <w:r>
            <w:instrText xml:space="preserve"> HYPERLINK \l "_Toc213451303" </w:instrText>
          </w:r>
          <w:r>
            <w:fldChar w:fldCharType="separate"/>
          </w:r>
          <w:r>
            <w:rPr>
              <w:rStyle w:val="21"/>
              <w:rFonts w:ascii="Times New Roman" w:hAnsi="Times New Roman"/>
            </w:rPr>
            <w:t>5. Causes of Communication Failures</w:t>
          </w:r>
          <w:r>
            <w:tab/>
          </w:r>
          <w:r>
            <w:fldChar w:fldCharType="begin"/>
          </w:r>
          <w:r>
            <w:instrText xml:space="preserve"> PAGEREF _Toc213451303 \h </w:instrText>
          </w:r>
          <w:r>
            <w:fldChar w:fldCharType="separate"/>
          </w:r>
          <w:r>
            <w:t>9</w:t>
          </w:r>
          <w:r>
            <w:fldChar w:fldCharType="end"/>
          </w:r>
          <w:r>
            <w:fldChar w:fldCharType="end"/>
          </w:r>
        </w:p>
        <w:p w14:paraId="7A4318EE">
          <w:pPr>
            <w:pStyle w:val="15"/>
            <w:tabs>
              <w:tab w:val="right" w:leader="dot" w:pos="8296"/>
            </w:tabs>
            <w:rPr>
              <w:rFonts w:hint="eastAsia" w:cstheme="minorBidi"/>
              <w:kern w:val="2"/>
              <w:szCs w:val="24"/>
              <w14:ligatures w14:val="standardContextual"/>
            </w:rPr>
          </w:pPr>
          <w:r>
            <w:fldChar w:fldCharType="begin"/>
          </w:r>
          <w:r>
            <w:instrText xml:space="preserve"> HYPERLINK \l "_Toc213451304" </w:instrText>
          </w:r>
          <w:r>
            <w:fldChar w:fldCharType="separate"/>
          </w:r>
          <w:r>
            <w:rPr>
              <w:rStyle w:val="21"/>
              <w:rFonts w:ascii="Times New Roman" w:hAnsi="Times New Roman"/>
            </w:rPr>
            <w:t>6. Strategies and Recommendations</w:t>
          </w:r>
          <w:r>
            <w:tab/>
          </w:r>
          <w:r>
            <w:fldChar w:fldCharType="begin"/>
          </w:r>
          <w:r>
            <w:instrText xml:space="preserve"> PAGEREF _Toc213451304 \h </w:instrText>
          </w:r>
          <w:r>
            <w:fldChar w:fldCharType="separate"/>
          </w:r>
          <w:r>
            <w:t>10</w:t>
          </w:r>
          <w:r>
            <w:fldChar w:fldCharType="end"/>
          </w:r>
          <w:r>
            <w:fldChar w:fldCharType="end"/>
          </w:r>
        </w:p>
        <w:p w14:paraId="7B205207">
          <w:pPr>
            <w:pStyle w:val="15"/>
            <w:tabs>
              <w:tab w:val="right" w:leader="dot" w:pos="8296"/>
            </w:tabs>
            <w:rPr>
              <w:rFonts w:hint="eastAsia" w:cstheme="minorBidi"/>
              <w:kern w:val="2"/>
              <w:szCs w:val="24"/>
              <w14:ligatures w14:val="standardContextual"/>
            </w:rPr>
          </w:pPr>
          <w:r>
            <w:fldChar w:fldCharType="begin"/>
          </w:r>
          <w:r>
            <w:instrText xml:space="preserve"> HYPERLINK \l "_Toc213451305" </w:instrText>
          </w:r>
          <w:r>
            <w:fldChar w:fldCharType="separate"/>
          </w:r>
          <w:r>
            <w:rPr>
              <w:rStyle w:val="21"/>
              <w:rFonts w:ascii="Times New Roman" w:hAnsi="Times New Roman"/>
            </w:rPr>
            <w:t>7. Critical Discussion: Lessons for Future Managers</w:t>
          </w:r>
          <w:r>
            <w:tab/>
          </w:r>
          <w:r>
            <w:fldChar w:fldCharType="begin"/>
          </w:r>
          <w:r>
            <w:instrText xml:space="preserve"> PAGEREF _Toc213451305 \h </w:instrText>
          </w:r>
          <w:r>
            <w:fldChar w:fldCharType="separate"/>
          </w:r>
          <w:r>
            <w:t>11</w:t>
          </w:r>
          <w:r>
            <w:fldChar w:fldCharType="end"/>
          </w:r>
          <w:r>
            <w:fldChar w:fldCharType="end"/>
          </w:r>
        </w:p>
        <w:p w14:paraId="21F7C238">
          <w:pPr>
            <w:pStyle w:val="17"/>
            <w:tabs>
              <w:tab w:val="right" w:leader="dot" w:pos="8296"/>
            </w:tabs>
            <w:rPr>
              <w:rFonts w:hint="eastAsia" w:cstheme="minorBidi"/>
              <w:kern w:val="2"/>
              <w:szCs w:val="24"/>
              <w14:ligatures w14:val="standardContextual"/>
            </w:rPr>
          </w:pPr>
          <w:r>
            <w:fldChar w:fldCharType="begin"/>
          </w:r>
          <w:r>
            <w:instrText xml:space="preserve"> HYPERLINK \l "_Toc213451306" </w:instrText>
          </w:r>
          <w:r>
            <w:fldChar w:fldCharType="separate"/>
          </w:r>
          <w:r>
            <w:rPr>
              <w:rStyle w:val="21"/>
              <w:rFonts w:ascii="Times New Roman" w:hAnsi="Times New Roman"/>
            </w:rPr>
            <w:t>7.1 Intercultural Leadership in the Digital Era</w:t>
          </w:r>
          <w:r>
            <w:tab/>
          </w:r>
          <w:r>
            <w:fldChar w:fldCharType="begin"/>
          </w:r>
          <w:r>
            <w:instrText xml:space="preserve"> PAGEREF _Toc213451306 \h </w:instrText>
          </w:r>
          <w:r>
            <w:fldChar w:fldCharType="separate"/>
          </w:r>
          <w:r>
            <w:t>12</w:t>
          </w:r>
          <w:r>
            <w:fldChar w:fldCharType="end"/>
          </w:r>
          <w:r>
            <w:fldChar w:fldCharType="end"/>
          </w:r>
        </w:p>
        <w:p w14:paraId="38E29292">
          <w:pPr>
            <w:pStyle w:val="15"/>
            <w:tabs>
              <w:tab w:val="right" w:leader="dot" w:pos="8296"/>
            </w:tabs>
            <w:rPr>
              <w:rFonts w:hint="eastAsia" w:cstheme="minorBidi"/>
              <w:kern w:val="2"/>
              <w:szCs w:val="24"/>
              <w14:ligatures w14:val="standardContextual"/>
            </w:rPr>
          </w:pPr>
          <w:r>
            <w:fldChar w:fldCharType="begin"/>
          </w:r>
          <w:r>
            <w:instrText xml:space="preserve"> HYPERLINK \l "_Toc213451307" </w:instrText>
          </w:r>
          <w:r>
            <w:fldChar w:fldCharType="separate"/>
          </w:r>
          <w:r>
            <w:rPr>
              <w:rStyle w:val="21"/>
              <w:rFonts w:ascii="Times New Roman" w:hAnsi="Times New Roman"/>
            </w:rPr>
            <w:t>8. Conclusion</w:t>
          </w:r>
          <w:r>
            <w:tab/>
          </w:r>
          <w:r>
            <w:fldChar w:fldCharType="begin"/>
          </w:r>
          <w:r>
            <w:instrText xml:space="preserve"> PAGEREF _Toc213451307 \h </w:instrText>
          </w:r>
          <w:r>
            <w:fldChar w:fldCharType="separate"/>
          </w:r>
          <w:r>
            <w:t>13</w:t>
          </w:r>
          <w:r>
            <w:fldChar w:fldCharType="end"/>
          </w:r>
          <w:r>
            <w:fldChar w:fldCharType="end"/>
          </w:r>
        </w:p>
        <w:p w14:paraId="671DB5AA">
          <w:pPr>
            <w:pStyle w:val="15"/>
            <w:tabs>
              <w:tab w:val="right" w:leader="dot" w:pos="8296"/>
            </w:tabs>
            <w:rPr>
              <w:rFonts w:hint="eastAsia" w:cstheme="minorBidi"/>
              <w:kern w:val="2"/>
              <w:szCs w:val="24"/>
              <w14:ligatures w14:val="standardContextual"/>
            </w:rPr>
          </w:pPr>
          <w:r>
            <w:fldChar w:fldCharType="begin"/>
          </w:r>
          <w:r>
            <w:instrText xml:space="preserve"> HYPERLINK \l "_Toc213451308" </w:instrText>
          </w:r>
          <w:r>
            <w:fldChar w:fldCharType="separate"/>
          </w:r>
          <w:r>
            <w:rPr>
              <w:rStyle w:val="21"/>
              <w:rFonts w:ascii="Times New Roman" w:hAnsi="Times New Roman"/>
            </w:rPr>
            <w:t>9. References</w:t>
          </w:r>
          <w:r>
            <w:tab/>
          </w:r>
          <w:r>
            <w:fldChar w:fldCharType="begin"/>
          </w:r>
          <w:r>
            <w:instrText xml:space="preserve"> PAGEREF _Toc213451308 \h </w:instrText>
          </w:r>
          <w:r>
            <w:fldChar w:fldCharType="separate"/>
          </w:r>
          <w:r>
            <w:t>14</w:t>
          </w:r>
          <w:r>
            <w:fldChar w:fldCharType="end"/>
          </w:r>
          <w:r>
            <w:fldChar w:fldCharType="end"/>
          </w:r>
        </w:p>
        <w:p w14:paraId="79CF37A9">
          <w:pPr>
            <w:rPr>
              <w:rFonts w:hint="eastAsia"/>
            </w:rPr>
          </w:pPr>
          <w:r>
            <w:rPr>
              <w:color w:val="000000" w:themeColor="text1"/>
              <w:lang w:val="zh-CN"/>
              <w14:textFill>
                <w14:solidFill>
                  <w14:schemeClr w14:val="tx1"/>
                </w14:solidFill>
              </w14:textFill>
            </w:rPr>
            <w:fldChar w:fldCharType="end"/>
          </w:r>
        </w:p>
      </w:sdtContent>
    </w:sdt>
    <w:p w14:paraId="1D9746BB">
      <w:pPr>
        <w:spacing w:line="480" w:lineRule="auto"/>
        <w:jc w:val="both"/>
        <w:rPr>
          <w:rFonts w:ascii="Times New Roman" w:hAnsi="Times New Roman" w:cs="Times New Roman"/>
          <w:b/>
          <w:bCs/>
          <w:sz w:val="28"/>
          <w:szCs w:val="28"/>
        </w:rPr>
      </w:pPr>
    </w:p>
    <w:p w14:paraId="4F8142FB">
      <w:pPr>
        <w:widowControl/>
        <w:rPr>
          <w:rFonts w:ascii="Times New Roman" w:hAnsi="Times New Roman" w:cs="Times New Roman"/>
          <w:b/>
          <w:bCs/>
          <w:sz w:val="28"/>
          <w:szCs w:val="28"/>
        </w:rPr>
      </w:pPr>
      <w:r>
        <w:rPr>
          <w:rFonts w:ascii="Times New Roman" w:hAnsi="Times New Roman" w:cs="Times New Roman"/>
          <w:b/>
          <w:bCs/>
          <w:sz w:val="28"/>
          <w:szCs w:val="28"/>
        </w:rPr>
        <w:br w:type="page"/>
      </w:r>
    </w:p>
    <w:p w14:paraId="2CF3893A">
      <w:pPr>
        <w:pStyle w:val="2"/>
        <w:rPr>
          <w:rFonts w:ascii="Times New Roman" w:hAnsi="Times New Roman" w:cs="Times New Roman"/>
          <w:b/>
          <w:bCs/>
          <w:color w:val="000000" w:themeColor="text1"/>
          <w:sz w:val="28"/>
          <w:szCs w:val="28"/>
          <w14:textFill>
            <w14:solidFill>
              <w14:schemeClr w14:val="tx1"/>
            </w14:solidFill>
          </w14:textFill>
        </w:rPr>
      </w:pPr>
      <w:bookmarkStart w:id="0" w:name="_Toc213451295"/>
      <w:r>
        <w:rPr>
          <w:rFonts w:ascii="Times New Roman" w:hAnsi="Times New Roman" w:cs="Times New Roman"/>
          <w:b/>
          <w:bCs/>
          <w:color w:val="000000" w:themeColor="text1"/>
          <w:sz w:val="28"/>
          <w:szCs w:val="28"/>
          <w14:textFill>
            <w14:solidFill>
              <w14:schemeClr w14:val="tx1"/>
            </w14:solidFill>
          </w14:textFill>
        </w:rPr>
        <w:t>1. Introduction</w:t>
      </w:r>
      <w:bookmarkEnd w:id="0"/>
    </w:p>
    <w:p w14:paraId="15E43B15">
      <w:pPr>
        <w:widowControl/>
        <w:spacing w:line="480" w:lineRule="auto"/>
        <w:jc w:val="left"/>
        <w:rPr>
          <w:rFonts w:ascii="Times New Roman" w:hAnsi="Times New Roman" w:cs="Times New Roman"/>
          <w:sz w:val="24"/>
        </w:rPr>
      </w:pPr>
      <w:r>
        <w:rPr>
          <w:rFonts w:hint="eastAsia" w:ascii="Times New Roman" w:hAnsi="Times New Roman" w:eastAsia="宋体" w:cs="Times New Roman"/>
          <w:kern w:val="0"/>
          <w:sz w:val="24"/>
          <w:lang w:bidi="ar"/>
        </w:rPr>
        <w:t xml:space="preserve">Intercultural competence is what makes businesses successful in other countries (Meyer 2017). For British retailers entering China, where the market for bilateral trade in goods exceeds £100 billion (UK Department for Business and Trade 2024), effective cross-cultural communication is critical. British communication is all about clarity and directness (Czinkota et al. 2021). The opposite is true for the Chinese business culture, which values relational harmony and implicit understanding (Chen </w:t>
      </w:r>
      <w:bookmarkStart w:id="14" w:name="_GoBack"/>
      <w:bookmarkEnd w:id="14"/>
      <w:r>
        <w:rPr>
          <w:rFonts w:hint="eastAsia" w:ascii="Times New Roman" w:hAnsi="Times New Roman" w:eastAsia="宋体" w:cs="Times New Roman"/>
          <w:kern w:val="0"/>
          <w:sz w:val="24"/>
          <w:lang w:bidi="ar"/>
        </w:rPr>
        <w:t>2011). Misinterpreting these norms is likely to endanger negotiations.</w:t>
      </w:r>
    </w:p>
    <w:p w14:paraId="6FBB5344">
      <w:pPr>
        <w:spacing w:line="480" w:lineRule="auto"/>
        <w:rPr>
          <w:rFonts w:ascii="Times New Roman" w:hAnsi="Times New Roman" w:eastAsia="宋体" w:cs="Times New Roman"/>
          <w:kern w:val="0"/>
          <w:sz w:val="24"/>
          <w:lang w:bidi="ar"/>
        </w:rPr>
      </w:pPr>
      <w:r>
        <w:rPr>
          <w:rFonts w:ascii="Times New Roman" w:hAnsi="Times New Roman" w:eastAsia="宋体" w:cs="Times New Roman"/>
          <w:kern w:val="0"/>
          <w:sz w:val="24"/>
          <w:lang w:bidi="ar"/>
        </w:rPr>
        <w:t>The Chinese market is also defined by digital ecosystems such as Alibaba and JD.com (Zhang and Wang, 2020). These platforms blur social and business interactions; Therefore, foreign companies must combine cultural sensitivity with data-driven adaptability. In China, where collectivism is highly valued, British individualism may fail because public identity can influence consumers' responses. When you combine cultural awareness with digital literacy, you can ensure effectiveness in all situations.</w:t>
      </w:r>
    </w:p>
    <w:p w14:paraId="00765237">
      <w:pPr>
        <w:spacing w:line="480" w:lineRule="auto"/>
        <w:rPr>
          <w:rFonts w:ascii="Times New Roman" w:hAnsi="Times New Roman" w:cs="Times New Roman"/>
          <w:sz w:val="24"/>
        </w:rPr>
      </w:pPr>
      <w:r>
        <w:rPr>
          <w:rFonts w:ascii="Times New Roman" w:hAnsi="Times New Roman" w:eastAsia="宋体" w:cs="Times New Roman"/>
          <w:kern w:val="0"/>
          <w:sz w:val="24"/>
          <w:lang w:bidi="ar"/>
        </w:rPr>
        <w:t>This report applies leading cross-cultural theories to the Anglo-Chinese context, analyzes real business cases, and proposes practical strategies for sustainable partnerships based on trust, patience and respect.</w:t>
      </w:r>
    </w:p>
    <w:p w14:paraId="563CBADB">
      <w:pPr>
        <w:spacing w:line="480" w:lineRule="auto"/>
        <w:jc w:val="both"/>
        <w:rPr>
          <w:rFonts w:ascii="Times New Roman" w:hAnsi="Times New Roman" w:cs="Times New Roman"/>
          <w:sz w:val="24"/>
        </w:rPr>
      </w:pPr>
    </w:p>
    <w:p w14:paraId="72D94A35">
      <w:pPr>
        <w:pStyle w:val="2"/>
        <w:rPr>
          <w:rFonts w:ascii="Times New Roman" w:hAnsi="Times New Roman" w:cs="Times New Roman"/>
          <w:b/>
          <w:bCs/>
          <w:color w:val="000000" w:themeColor="text1"/>
          <w:sz w:val="28"/>
          <w:szCs w:val="28"/>
          <w14:textFill>
            <w14:solidFill>
              <w14:schemeClr w14:val="tx1"/>
            </w14:solidFill>
          </w14:textFill>
        </w:rPr>
      </w:pPr>
      <w:bookmarkStart w:id="1" w:name="_Toc213451296"/>
      <w:r>
        <w:rPr>
          <w:rFonts w:ascii="Times New Roman" w:hAnsi="Times New Roman" w:cs="Times New Roman"/>
          <w:b/>
          <w:bCs/>
          <w:color w:val="000000" w:themeColor="text1"/>
          <w:sz w:val="28"/>
          <w:szCs w:val="28"/>
          <w14:textFill>
            <w14:solidFill>
              <w14:schemeClr w14:val="tx1"/>
            </w14:solidFill>
          </w14:textFill>
        </w:rPr>
        <w:t>2. Theoretical Framework</w:t>
      </w:r>
      <w:bookmarkEnd w:id="1"/>
    </w:p>
    <w:p w14:paraId="1500D914">
      <w:pPr>
        <w:pStyle w:val="3"/>
        <w:rPr>
          <w:rFonts w:ascii="Times New Roman" w:hAnsi="Times New Roman" w:cs="Times New Roman"/>
          <w:b/>
          <w:bCs/>
          <w:color w:val="000000" w:themeColor="text1"/>
          <w:sz w:val="28"/>
          <w:szCs w:val="28"/>
          <w14:textFill>
            <w14:solidFill>
              <w14:schemeClr w14:val="tx1"/>
            </w14:solidFill>
          </w14:textFill>
        </w:rPr>
      </w:pPr>
      <w:bookmarkStart w:id="2" w:name="_Toc213451297"/>
      <w:r>
        <w:rPr>
          <w:rFonts w:ascii="Times New Roman" w:hAnsi="Times New Roman" w:cs="Times New Roman"/>
          <w:b/>
          <w:bCs/>
          <w:color w:val="000000" w:themeColor="text1"/>
          <w:sz w:val="28"/>
          <w:szCs w:val="28"/>
          <w14:textFill>
            <w14:solidFill>
              <w14:schemeClr w14:val="tx1"/>
            </w14:solidFill>
          </w14:textFill>
        </w:rPr>
        <w:t>2.1 Hofstede’s Cultural Dimensions</w:t>
      </w:r>
      <w:bookmarkEnd w:id="2"/>
    </w:p>
    <w:p w14:paraId="5C9497A0">
      <w:pPr>
        <w:spacing w:line="480" w:lineRule="auto"/>
        <w:rPr>
          <w:rFonts w:ascii="Times New Roman" w:hAnsi="Times New Roman" w:cs="Times New Roman"/>
          <w:sz w:val="24"/>
        </w:rPr>
      </w:pPr>
      <w:bookmarkStart w:id="3" w:name="_Toc213451298"/>
      <w:r>
        <w:rPr>
          <w:rFonts w:ascii="Times New Roman" w:hAnsi="Times New Roman" w:cs="Times New Roman"/>
          <w:sz w:val="24"/>
        </w:rPr>
        <w:t>Hofstede (2010) identified six dimensions to explain the values in the workplace. The United Kingdom is a country with a high degree of individualism and a low power distance. China is a place of collectivism and hierarchy (Fang, 2012). British administrators advocate open debate. Subordinates in China obey the authority of their superiors. Silence may be misunderstood as a lack of interest, thereby undermining communication (Meyer, 2014).</w:t>
      </w:r>
    </w:p>
    <w:p w14:paraId="4B89BA47">
      <w:pPr>
        <w:spacing w:line="480" w:lineRule="auto"/>
        <w:rPr>
          <w:rFonts w:ascii="Times New Roman" w:hAnsi="Times New Roman" w:cs="Times New Roman"/>
          <w:sz w:val="24"/>
        </w:rPr>
      </w:pPr>
      <w:r>
        <w:rPr>
          <w:rFonts w:ascii="Times New Roman" w:hAnsi="Times New Roman" w:cs="Times New Roman"/>
          <w:sz w:val="24"/>
        </w:rPr>
        <w:t xml:space="preserve">These insights extend to leadership structures: In a culture of high-power distance, employees expect formality. The British concept of equality may have no meaning for local teams. </w:t>
      </w:r>
      <w:r>
        <w:rPr>
          <w:rFonts w:hint="eastAsia" w:ascii="Times New Roman" w:hAnsi="Times New Roman" w:cs="Times New Roman"/>
          <w:sz w:val="24"/>
        </w:rPr>
        <w:t>Effective management means fostering teamwork while respecting authority (Luthans and Doh, 2020). The Chinese independence in groups has been possible through the development of long-term orientation. This has been made possible by persistence and consistency (Zhang and Zhou, 2019). The failure of Tesco in China exemplifies the price paid for such ignorance (Child and Rodrigues, 2005).</w:t>
      </w:r>
    </w:p>
    <w:p w14:paraId="7DBC17DF">
      <w:pPr>
        <w:pStyle w:val="3"/>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2.2 Hall’s High and Low Context Theory</w:t>
      </w:r>
      <w:bookmarkEnd w:id="3"/>
    </w:p>
    <w:p w14:paraId="33ECBD4C">
      <w:pPr>
        <w:spacing w:line="480" w:lineRule="auto"/>
        <w:jc w:val="both"/>
        <w:rPr>
          <w:rFonts w:ascii="Times New Roman" w:hAnsi="Times New Roman" w:cs="Times New Roman"/>
          <w:sz w:val="24"/>
        </w:rPr>
      </w:pPr>
      <w:r>
        <w:rPr>
          <w:rFonts w:ascii="Times New Roman" w:hAnsi="Times New Roman" w:cs="Times New Roman"/>
          <w:sz w:val="24"/>
        </w:rPr>
        <w:t xml:space="preserve">Hall (1976) categorised cultures by reliance on context. The UK is low-context, valuing explicit information; China is high-context, where tone and relationships convey meaning (Gudykunst, 2003). </w:t>
      </w:r>
      <w:r>
        <w:rPr>
          <w:rFonts w:hint="eastAsia" w:ascii="Times New Roman" w:hAnsi="Times New Roman" w:cs="Times New Roman"/>
          <w:sz w:val="24"/>
        </w:rPr>
        <w:t>Expressions lik</w:t>
      </w:r>
      <w:r>
        <w:rPr>
          <w:rFonts w:ascii="Times New Roman" w:hAnsi="Times New Roman" w:cs="Times New Roman"/>
          <w:sz w:val="24"/>
        </w:rPr>
        <w:t>e “we will consider it” co</w:t>
      </w:r>
      <w:r>
        <w:rPr>
          <w:rFonts w:hint="eastAsia" w:ascii="Times New Roman" w:hAnsi="Times New Roman" w:cs="Times New Roman"/>
          <w:sz w:val="24"/>
        </w:rPr>
        <w:t>uld politely decline a proposal—British partners often misinterpret this (Meyer, 2017). Recognizing indirect signals and silence as modes of communication enhances negotiation outcomes.</w:t>
      </w:r>
    </w:p>
    <w:p w14:paraId="1C26ED0B">
      <w:pPr>
        <w:pStyle w:val="3"/>
        <w:rPr>
          <w:rFonts w:ascii="Times New Roman" w:hAnsi="Times New Roman" w:cs="Times New Roman"/>
          <w:b/>
          <w:bCs/>
          <w:color w:val="000000" w:themeColor="text1"/>
          <w:sz w:val="24"/>
          <w:szCs w:val="24"/>
          <w14:textFill>
            <w14:solidFill>
              <w14:schemeClr w14:val="tx1"/>
            </w14:solidFill>
          </w14:textFill>
        </w:rPr>
      </w:pPr>
      <w:bookmarkStart w:id="4" w:name="_Toc213451299"/>
      <w:r>
        <w:rPr>
          <w:rFonts w:ascii="Times New Roman" w:hAnsi="Times New Roman" w:cs="Times New Roman"/>
          <w:b/>
          <w:bCs/>
          <w:color w:val="000000" w:themeColor="text1"/>
          <w:sz w:val="24"/>
          <w:szCs w:val="24"/>
          <w14:textFill>
            <w14:solidFill>
              <w14:schemeClr w14:val="tx1"/>
            </w14:solidFill>
          </w14:textFill>
        </w:rPr>
        <w:t>2.3 Trompenaars’ Seven Dimensions</w:t>
      </w:r>
      <w:bookmarkEnd w:id="4"/>
    </w:p>
    <w:p w14:paraId="1C609012">
      <w:pPr>
        <w:spacing w:line="480" w:lineRule="auto"/>
        <w:jc w:val="both"/>
        <w:rPr>
          <w:rFonts w:ascii="Times New Roman" w:hAnsi="Times New Roman" w:cs="Times New Roman"/>
          <w:sz w:val="24"/>
        </w:rPr>
      </w:pPr>
      <w:r>
        <w:rPr>
          <w:rFonts w:hint="eastAsia" w:ascii="Times New Roman" w:hAnsi="Times New Roman" w:cs="Times New Roman"/>
          <w:sz w:val="24"/>
        </w:rPr>
        <w:t>Trompenaars and Hampden-Turner (2020) have identified seven cultural dimensions. The UK looks towards universalism and achievement; China tilts towards particularism and ascription (Lewis, 2010). In China, trust is built on personal relationships (guanxi) rather than formal contracts (Fang, 2012). British negotiators must take time for social intercourse before entering into negotiations.</w:t>
      </w:r>
    </w:p>
    <w:p w14:paraId="3F83CA8C">
      <w:pPr>
        <w:spacing w:line="480" w:lineRule="auto"/>
        <w:rPr>
          <w:rFonts w:ascii="Times New Roman" w:hAnsi="Times New Roman" w:cs="Times New Roman"/>
          <w:sz w:val="24"/>
        </w:rPr>
      </w:pPr>
      <w:r>
        <w:rPr>
          <w:rFonts w:hint="eastAsia" w:ascii="Times New Roman" w:hAnsi="Times New Roman" w:cs="Times New Roman"/>
          <w:sz w:val="24"/>
        </w:rPr>
        <w:t>While Trompenaars' model provides insight into the dynamics of relationships, scholars warn that overall behavior may be simplified by classifying countries (Beamer and Varner, 2008). Culture evolves according to influences of media and economic reform throughout the world which means that young Chinese professionals are not fully geared to adhering to traditional values such as collectivism and hierarchy.</w:t>
      </w:r>
      <w:r>
        <w:rPr>
          <w:rFonts w:ascii="Times New Roman" w:hAnsi="Times New Roman" w:cs="Times New Roman"/>
          <w:sz w:val="24"/>
        </w:rPr>
        <w:t xml:space="preserve"> </w:t>
      </w:r>
      <w:r>
        <w:rPr>
          <w:rFonts w:hint="eastAsia" w:ascii="Times New Roman" w:hAnsi="Times New Roman" w:cs="Times New Roman"/>
          <w:sz w:val="24"/>
        </w:rPr>
        <w:t>In addition, Hall’s (1976) high-context and low-context theories, although innovative at the time of writing, are prior to the digital age. Nowadays, cross-cultural communication tends to be conducted on social media sites, where the non-verbal signs require textual representations (Wang and Li, 2022). British managers relying on old paradigms enfranchise the rapidity and fluidity with which cultural norms are adapted. Thus cross-cultural training has to utilise theory along with continuous eye and self-observation to adapt to the global digital context.</w:t>
      </w:r>
    </w:p>
    <w:p w14:paraId="3DFE25B1">
      <w:pPr>
        <w:spacing w:line="480" w:lineRule="auto"/>
        <w:jc w:val="both"/>
        <w:rPr>
          <w:rFonts w:ascii="Times New Roman" w:hAnsi="Times New Roman" w:cs="Times New Roman"/>
          <w:sz w:val="24"/>
        </w:rPr>
      </w:pPr>
    </w:p>
    <w:p w14:paraId="59F8C00E">
      <w:pPr>
        <w:pStyle w:val="3"/>
        <w:rPr>
          <w:rFonts w:ascii="Times New Roman" w:hAnsi="Times New Roman" w:cs="Times New Roman"/>
          <w:b/>
          <w:bCs/>
          <w:color w:val="000000" w:themeColor="text1"/>
          <w:sz w:val="24"/>
          <w:szCs w:val="24"/>
          <w14:textFill>
            <w14:solidFill>
              <w14:schemeClr w14:val="tx1"/>
            </w14:solidFill>
          </w14:textFill>
        </w:rPr>
      </w:pPr>
      <w:bookmarkStart w:id="5" w:name="_Toc213451300"/>
      <w:r>
        <w:rPr>
          <w:rFonts w:ascii="Times New Roman" w:hAnsi="Times New Roman" w:cs="Times New Roman"/>
          <w:b/>
          <w:bCs/>
          <w:color w:val="000000" w:themeColor="text1"/>
          <w:sz w:val="24"/>
          <w:szCs w:val="24"/>
          <w14:textFill>
            <w14:solidFill>
              <w14:schemeClr w14:val="tx1"/>
            </w14:solidFill>
          </w14:textFill>
        </w:rPr>
        <w:t>2.4 Cultural Intelligence (CQ)</w:t>
      </w:r>
      <w:bookmarkEnd w:id="5"/>
    </w:p>
    <w:p w14:paraId="36ECC13D">
      <w:pPr>
        <w:widowControl/>
        <w:spacing w:line="480" w:lineRule="auto"/>
        <w:jc w:val="both"/>
        <w:rPr>
          <w:rFonts w:ascii="Times New Roman" w:hAnsi="Times New Roman" w:cs="Times New Roman"/>
          <w:sz w:val="24"/>
        </w:rPr>
      </w:pPr>
      <w:r>
        <w:rPr>
          <w:rFonts w:ascii="Times New Roman" w:hAnsi="Times New Roman" w:eastAsia="宋体" w:cs="Times New Roman"/>
          <w:kern w:val="0"/>
          <w:sz w:val="24"/>
          <w:lang w:bidi="ar"/>
        </w:rPr>
        <w:t>Earley and Ang (2003) define CQ as the capability to function effectively across cultures. It integrates knowledge, motivation, and behavioural flexibility (Ng et al., 2012). Managers with high CQ can accurately understand strange behaviours and change how they talk to people in a way that shows they care. HSBC’s leadership programmes use simulations to strengthen CQ, improving cooperation (Meyer, 2014). Embedding CQ into corporate training institutionalises intercultural competence (Luthans and Doh, 2020).</w:t>
      </w:r>
    </w:p>
    <w:p w14:paraId="33BE0712">
      <w:pPr>
        <w:spacing w:line="480" w:lineRule="auto"/>
        <w:jc w:val="both"/>
        <w:rPr>
          <w:rFonts w:ascii="Times New Roman" w:hAnsi="Times New Roman" w:cs="Times New Roman"/>
          <w:sz w:val="24"/>
        </w:rPr>
      </w:pPr>
      <w:r>
        <w:rPr>
          <w:rFonts w:ascii="Times New Roman" w:hAnsi="Times New Roman" w:cs="Times New Roman"/>
          <w:sz w:val="24"/>
        </w:rPr>
        <w:t xml:space="preserve">While Hofstede’s model remains widely used, it has been criticised for cultural determinism and for being based on outdated data from multinational employees (McSweeney, 2002). Contemporary research stresses that culture is dynamic and multidimensional. British managers therefore need to treat these frameworks as starting points rather than rigid rules. </w:t>
      </w:r>
      <w:r>
        <w:rPr>
          <w:rFonts w:hint="eastAsia" w:ascii="Times New Roman" w:hAnsi="Times New Roman" w:cs="Times New Roman"/>
          <w:sz w:val="24"/>
        </w:rPr>
        <w:t>The synthesis of Hofstede’s static values on the one hand, and the adaptability of behaviour proposed in Cultural Intelligence (Earley and Ang, 2003) on the other, provides an overall approach to management in China. CQ enables individuals to react to developing situations in business rather than typecasting cultural behaviour.</w:t>
      </w:r>
    </w:p>
    <w:p w14:paraId="1C220313">
      <w:pPr>
        <w:spacing w:line="480" w:lineRule="auto"/>
        <w:jc w:val="both"/>
        <w:rPr>
          <w:rFonts w:ascii="Times New Roman" w:hAnsi="Times New Roman" w:cs="Times New Roman"/>
          <w:sz w:val="24"/>
        </w:rPr>
      </w:pPr>
    </w:p>
    <w:p w14:paraId="5FDCB8F5">
      <w:pPr>
        <w:pStyle w:val="2"/>
        <w:rPr>
          <w:rFonts w:ascii="Times New Roman" w:hAnsi="Times New Roman" w:cs="Times New Roman"/>
          <w:b/>
          <w:bCs/>
          <w:color w:val="000000" w:themeColor="text1"/>
          <w:sz w:val="28"/>
          <w:szCs w:val="28"/>
          <w14:textFill>
            <w14:solidFill>
              <w14:schemeClr w14:val="tx1"/>
            </w14:solidFill>
          </w14:textFill>
        </w:rPr>
      </w:pPr>
      <w:bookmarkStart w:id="6" w:name="_Toc213451301"/>
      <w:r>
        <w:rPr>
          <w:rFonts w:ascii="Times New Roman" w:hAnsi="Times New Roman" w:cs="Times New Roman"/>
          <w:b/>
          <w:bCs/>
          <w:color w:val="000000" w:themeColor="text1"/>
          <w:sz w:val="28"/>
          <w:szCs w:val="28"/>
          <w14:textFill>
            <w14:solidFill>
              <w14:schemeClr w14:val="tx1"/>
            </w14:solidFill>
          </w14:textFill>
        </w:rPr>
        <w:t>3. Cultural Comparison: The UK and China</w:t>
      </w:r>
      <w:bookmarkEnd w:id="6"/>
    </w:p>
    <w:p w14:paraId="5845918B">
      <w:pPr>
        <w:widowControl/>
        <w:spacing w:line="480" w:lineRule="auto"/>
        <w:rPr>
          <w:rFonts w:ascii="Times New Roman" w:hAnsi="Times New Roman" w:cs="Times New Roman"/>
          <w:sz w:val="24"/>
        </w:rPr>
      </w:pPr>
      <w:r>
        <w:rPr>
          <w:rFonts w:hint="eastAsia" w:ascii="Times New Roman" w:hAnsi="Times New Roman" w:eastAsia="宋体" w:cs="Times New Roman"/>
          <w:kern w:val="0"/>
          <w:sz w:val="24"/>
          <w:lang w:bidi="ar"/>
        </w:rPr>
        <w:t>Cultural differences influence every business transaction. British communication is more explicit and efficiency-oriented, while Chinese communication is more relational and harmony-seeking (Hall, 1976; Chen, 2011). Cooperation is frequently difficult if there are differences in hierarchy, time, and trust (Hofstede Insights, 2023).</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hint="eastAsia" w:ascii="Times New Roman" w:hAnsi="Times New Roman" w:eastAsia="宋体" w:cs="Times New Roman"/>
          <w:kern w:val="0"/>
          <w:sz w:val="24"/>
          <w:lang w:bidi="ar"/>
        </w:rPr>
        <w:t>Burberry is illustrative of this adaptation: it married global identity with local flavour via its celebrations of Lunar New Year and the use of Chinese symbolism in its promotional campaigns (Zhou and Wong, 2021). Marks and Spencer failed initially because of poor localising, but adjusted subsequently by means of bilingual management (Child and Rodrigues, 2005).</w:t>
      </w:r>
      <w:r>
        <w:rPr>
          <w:rFonts w:ascii="Times New Roman" w:hAnsi="Times New Roman" w:eastAsia="宋体" w:cs="Times New Roman"/>
          <w:kern w:val="0"/>
          <w:sz w:val="24"/>
          <w:lang w:bidi="ar"/>
        </w:rPr>
        <w:t xml:space="preserve"> </w:t>
      </w:r>
      <w:r>
        <w:rPr>
          <w:rFonts w:hint="eastAsia" w:ascii="Times New Roman" w:hAnsi="Times New Roman" w:eastAsia="宋体" w:cs="Times New Roman"/>
          <w:kern w:val="0"/>
          <w:sz w:val="24"/>
          <w:lang w:bidi="ar"/>
        </w:rPr>
        <w:t>The rapid success of Tesco, which never practiced guanxi, indicates the extreme importance of relationships (Fang, 2012). Unilever also built common workshops in which British managers learnt indirect communication which Chinese staff practised being open (Lewis, 2010). This cross learning reduced friction and improved productivity.</w:t>
      </w:r>
      <w:r>
        <w:rPr>
          <w:rFonts w:hint="eastAsia" w:ascii="Times New Roman" w:hAnsi="Times New Roman" w:cs="Times New Roman"/>
          <w:sz w:val="24"/>
        </w:rPr>
        <w:t>It is thus evident that in effective communication with regard to China we need more than a translation of the language; we need a translation of culture, in which the message produces harmony with the moral and social preconceptions of society.</w:t>
      </w:r>
    </w:p>
    <w:p w14:paraId="7FED6EE3">
      <w:pPr>
        <w:widowControl/>
        <w:spacing w:line="480" w:lineRule="auto"/>
        <w:rPr>
          <w:rFonts w:hint="eastAsia"/>
        </w:rPr>
      </w:pPr>
      <w:r>
        <w:rPr>
          <w:rFonts w:hint="eastAsia" w:ascii="Times New Roman" w:hAnsi="Times New Roman" w:eastAsia="宋体" w:cs="Times New Roman"/>
          <w:kern w:val="0"/>
          <w:sz w:val="24"/>
          <w:lang w:bidi="ar"/>
        </w:rPr>
        <w:t>Strategically, the growing interests of British and Chinese enterprises in the aspects of responsibility and of sustainability in business communications increase in interest. Burberry’s recent “Regeneration Project” held in China linked the messages of ecology with those of harmony and balance in Confucianism (Zhou and Wong, 2021). The success of this campaign revealed not only a fit with aesthetics, but with morality as well, since ecological protection was presented in the context of a common virtue rather than an individual sin.</w:t>
      </w:r>
      <w:r>
        <w:rPr>
          <w:rFonts w:ascii="Times New Roman" w:hAnsi="Times New Roman" w:eastAsia="宋体" w:cs="Times New Roman"/>
          <w:kern w:val="0"/>
          <w:sz w:val="24"/>
          <w:lang w:bidi="ar"/>
        </w:rPr>
        <w:t xml:space="preserve"> </w:t>
      </w:r>
      <w:r>
        <w:rPr>
          <w:rFonts w:hint="eastAsia" w:ascii="Times New Roman" w:hAnsi="Times New Roman" w:eastAsia="宋体" w:cs="Times New Roman"/>
          <w:kern w:val="0"/>
          <w:sz w:val="24"/>
          <w:lang w:bidi="ar"/>
        </w:rPr>
        <w:t>Likewise, the joint initiative by Unilever and Alibaba to reduce plastic consumption has shown how partnerships between multinationals can take the Western discourse on sustainability and marry it to a Chinese communitarian ethical outlook (Liu and Chen, 2023). Thus, British retailers should ensure that their environmental communications bear the local ethical frame. This will legitimize their brands and attract the growing number of socially conscious Chinese consumers. This combination of cultural, ethical and commercial dimensions creates a new form of intercultural engagement.</w:t>
      </w:r>
    </w:p>
    <w:p w14:paraId="52C40229">
      <w:pPr>
        <w:spacing w:line="480" w:lineRule="auto"/>
        <w:jc w:val="both"/>
        <w:rPr>
          <w:rFonts w:ascii="Times New Roman" w:hAnsi="Times New Roman" w:cs="Times New Roman"/>
          <w:sz w:val="24"/>
        </w:rPr>
      </w:pPr>
    </w:p>
    <w:p w14:paraId="4493B6EF">
      <w:pPr>
        <w:pStyle w:val="2"/>
        <w:rPr>
          <w:rFonts w:ascii="Times New Roman" w:hAnsi="Times New Roman" w:cs="Times New Roman"/>
          <w:b/>
          <w:bCs/>
          <w:color w:val="000000" w:themeColor="text1"/>
          <w:sz w:val="28"/>
          <w:szCs w:val="28"/>
          <w14:textFill>
            <w14:solidFill>
              <w14:schemeClr w14:val="tx1"/>
            </w14:solidFill>
          </w14:textFill>
        </w:rPr>
      </w:pPr>
      <w:bookmarkStart w:id="7" w:name="_Toc213451302"/>
      <w:r>
        <w:rPr>
          <w:rFonts w:ascii="Times New Roman" w:hAnsi="Times New Roman" w:cs="Times New Roman"/>
          <w:b/>
          <w:bCs/>
          <w:color w:val="000000" w:themeColor="text1"/>
          <w:sz w:val="28"/>
          <w:szCs w:val="28"/>
          <w14:textFill>
            <w14:solidFill>
              <w14:schemeClr w14:val="tx1"/>
            </w14:solidFill>
          </w14:textFill>
        </w:rPr>
        <w:t>4. Communication and Relationship-Building Skills</w:t>
      </w:r>
      <w:bookmarkEnd w:id="7"/>
    </w:p>
    <w:p w14:paraId="71DDD912">
      <w:pPr>
        <w:spacing w:line="480" w:lineRule="auto"/>
        <w:jc w:val="both"/>
        <w:rPr>
          <w:rFonts w:ascii="Times New Roman" w:hAnsi="Times New Roman" w:cs="Times New Roman"/>
          <w:sz w:val="24"/>
        </w:rPr>
      </w:pPr>
      <w:r>
        <w:rPr>
          <w:rFonts w:hint="eastAsia" w:ascii="Times New Roman" w:hAnsi="Times New Roman" w:cs="Times New Roman"/>
          <w:sz w:val="24"/>
        </w:rPr>
        <w:t>Trust anchors the business relationship (Meyer, 2017). Partnerships are formed through the interaction of the two parties, rather than through law (Chen, 2011). British companies must show their sincerity through informal socialising and regular interaction.</w:t>
      </w:r>
    </w:p>
    <w:p w14:paraId="66DD771B">
      <w:pPr>
        <w:widowControl/>
        <w:spacing w:line="480" w:lineRule="auto"/>
        <w:rPr>
          <w:rFonts w:ascii="Times New Roman" w:hAnsi="Times New Roman" w:eastAsia="宋体" w:cs="Times New Roman"/>
          <w:kern w:val="0"/>
          <w:sz w:val="24"/>
          <w:lang w:bidi="ar"/>
        </w:rPr>
      </w:pPr>
      <w:r>
        <w:rPr>
          <w:rFonts w:hint="eastAsia" w:ascii="Times New Roman" w:hAnsi="Times New Roman" w:eastAsia="宋体" w:cs="Times New Roman"/>
          <w:kern w:val="0"/>
          <w:sz w:val="24"/>
          <w:lang w:bidi="ar"/>
        </w:rPr>
        <w:t>The ability to adapt verbally and non-verbally is invaluable. British humor and matter-of-factness are less useful in formal settings (Gudykunst, 2003). Meyer (2014) says that Chinese communication depends on tone of voice, the use of pauses and metaphors. To interpret silence as respect rather than disagreement reduces the risk of misunderstanding. Giving presents shows thoughtfulness, provided they are acceptable (Lewis, 2010). British tea and stationery are examples of small gifts with a symbolic significance of goodwill. Things like clocks are unlucky and should be avoided (Chen, 2011). Naturally, the encouragement to save face is still potent. Disagreement in public breaks trust (Meyer, 2017). Private, positive reinforcement is still important.</w:t>
      </w:r>
    </w:p>
    <w:p w14:paraId="592F327B">
      <w:pPr>
        <w:widowControl/>
        <w:spacing w:line="480" w:lineRule="auto"/>
        <w:rPr>
          <w:rFonts w:ascii="Times New Roman" w:hAnsi="Times New Roman" w:cs="Times New Roman"/>
          <w:sz w:val="24"/>
        </w:rPr>
      </w:pPr>
      <w:r>
        <w:rPr>
          <w:rFonts w:ascii="Times New Roman" w:hAnsi="Times New Roman" w:eastAsia="宋体" w:cs="Times New Roman"/>
          <w:kern w:val="0"/>
          <w:sz w:val="24"/>
          <w:lang w:bidi="ar"/>
        </w:rPr>
        <w:br w:type="textWrapping"/>
      </w:r>
      <w:r>
        <w:rPr>
          <w:rFonts w:hint="eastAsia" w:ascii="Times New Roman" w:hAnsi="Times New Roman" w:eastAsia="宋体" w:cs="Times New Roman"/>
          <w:kern w:val="0"/>
          <w:sz w:val="24"/>
          <w:lang w:bidi="ar"/>
        </w:rPr>
        <w:t>It is also easier to understand what men and women of all ages expect from each other (Zhang and Wang, 2020). In China, the young people at work have usually had their education in the West. They like to talk freely. The elders of the senior management favour a hierarchy. Adaptability to different audiences is a further indication of cross-cultural agility (Ting-Toomey, 2015). Adapting to other cultures not only lessens misapprehensions, but also indicates respect, and consequently the building up of trust can take place, even in the Chinese market.</w:t>
      </w:r>
    </w:p>
    <w:p w14:paraId="02B07333">
      <w:pPr>
        <w:spacing w:line="480" w:lineRule="auto"/>
        <w:jc w:val="both"/>
        <w:rPr>
          <w:rFonts w:ascii="Times New Roman" w:hAnsi="Times New Roman" w:cs="Times New Roman"/>
          <w:sz w:val="24"/>
        </w:rPr>
      </w:pPr>
      <w:r>
        <w:rPr>
          <w:rFonts w:hint="eastAsia" w:ascii="Times New Roman" w:hAnsi="Times New Roman" w:cs="Times New Roman"/>
          <w:sz w:val="24"/>
        </w:rPr>
        <w:t xml:space="preserve">Another area of communication is the increasing amount of digital interaction that is going on. Social media and instant messaging are blurring the lines of professionalism (Zhang and Wang, 2020). Managing business contacts through WeChat instead of email now requires a knowledge of etiquette and response times. British managers should also remember that informal communications present problems of hierarchy and trust. Too direct or too frequent message sending may appear rude. Culturing digital diplomacy has become an integral part of </w:t>
      </w:r>
      <w:r>
        <w:rPr>
          <w:rFonts w:ascii="Times New Roman" w:hAnsi="Times New Roman" w:cs="Times New Roman"/>
          <w:sz w:val="24"/>
        </w:rPr>
        <w:t>cross-cultural</w:t>
      </w:r>
      <w:r>
        <w:rPr>
          <w:rFonts w:hint="eastAsia" w:ascii="Times New Roman" w:hAnsi="Times New Roman" w:cs="Times New Roman"/>
          <w:sz w:val="24"/>
        </w:rPr>
        <w:t xml:space="preserve"> capability, ensuring that both offline and online community relationships are respected.</w:t>
      </w:r>
    </w:p>
    <w:p w14:paraId="46402F30">
      <w:pPr>
        <w:spacing w:line="480" w:lineRule="auto"/>
        <w:jc w:val="both"/>
        <w:rPr>
          <w:rFonts w:ascii="Times New Roman" w:hAnsi="Times New Roman" w:cs="Times New Roman"/>
          <w:sz w:val="24"/>
        </w:rPr>
      </w:pPr>
    </w:p>
    <w:p w14:paraId="275F1F1B">
      <w:pPr>
        <w:pStyle w:val="2"/>
        <w:rPr>
          <w:rFonts w:ascii="Times New Roman" w:hAnsi="Times New Roman" w:cs="Times New Roman"/>
          <w:b/>
          <w:bCs/>
          <w:color w:val="000000" w:themeColor="text1"/>
          <w:sz w:val="28"/>
          <w:szCs w:val="28"/>
          <w14:textFill>
            <w14:solidFill>
              <w14:schemeClr w14:val="tx1"/>
            </w14:solidFill>
          </w14:textFill>
        </w:rPr>
      </w:pPr>
      <w:bookmarkStart w:id="8" w:name="_Toc213451303"/>
      <w:r>
        <w:rPr>
          <w:rFonts w:ascii="Times New Roman" w:hAnsi="Times New Roman" w:cs="Times New Roman"/>
          <w:b/>
          <w:bCs/>
          <w:color w:val="000000" w:themeColor="text1"/>
          <w:sz w:val="28"/>
          <w:szCs w:val="28"/>
          <w14:textFill>
            <w14:solidFill>
              <w14:schemeClr w14:val="tx1"/>
            </w14:solidFill>
          </w14:textFill>
        </w:rPr>
        <w:t>5. Causes of Communication Failures</w:t>
      </w:r>
      <w:bookmarkEnd w:id="8"/>
    </w:p>
    <w:p w14:paraId="0739110D">
      <w:pPr>
        <w:spacing w:line="480" w:lineRule="auto"/>
        <w:rPr>
          <w:rFonts w:ascii="Times New Roman" w:hAnsi="Times New Roman" w:cs="Times New Roman"/>
          <w:sz w:val="24"/>
        </w:rPr>
      </w:pPr>
      <w:r>
        <w:rPr>
          <w:rFonts w:hint="eastAsia" w:ascii="Times New Roman" w:hAnsi="Times New Roman" w:cs="Times New Roman"/>
          <w:sz w:val="24"/>
        </w:rPr>
        <w:t>Within Sino-British business relations, there are often barriers related to misperceptions of language, culture, nationalism and time differences (Ting-Toomey, 2015). Details are important for Chinese partners and this may be seen as rigid by the British in terms of their simplistic expression (Fang, 2012). On the other hand, the British manager who expects a straightforward exchange of words, may find that this implicit form of communication is seen as a change of topic (Meyer, 2017).</w:t>
      </w:r>
      <w:r>
        <w:rPr>
          <w:rFonts w:hint="eastAsia"/>
        </w:rPr>
        <w:t xml:space="preserve"> </w:t>
      </w:r>
      <w:r>
        <w:rPr>
          <w:rFonts w:hint="eastAsia" w:ascii="Times New Roman" w:hAnsi="Times New Roman" w:cs="Times New Roman"/>
          <w:sz w:val="24"/>
        </w:rPr>
        <w:t>The variations in language used exacerbate the problems in a different way. Those with a fluent grasp of the English language can interpret idiomatic expressions in different ways which may cause unintended offence (Ngetal., 2012). The speed at which decisions are made can cause problems in another way—British companies have a value for efficiency, while Chinese teams value agreement (Hofstede, 2010).</w:t>
      </w:r>
      <w:r>
        <w:rPr>
          <w:rFonts w:ascii="Times New Roman" w:hAnsi="Times New Roman" w:eastAsia="宋体" w:cs="Times New Roman"/>
          <w:kern w:val="0"/>
          <w:sz w:val="24"/>
          <w:lang w:bidi="ar"/>
        </w:rPr>
        <w:t xml:space="preserve"> </w:t>
      </w:r>
      <w:r>
        <w:rPr>
          <w:rFonts w:hint="eastAsia" w:ascii="Times New Roman" w:hAnsi="Times New Roman" w:eastAsia="宋体" w:cs="Times New Roman"/>
          <w:kern w:val="0"/>
          <w:sz w:val="24"/>
          <w:lang w:bidi="ar"/>
        </w:rPr>
        <w:t>Tesco’s insistence on speedy results was in opposition to the Chinese attitude towards patience and hierarchy (Child and Rodrigues,2005).</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hint="eastAsia" w:ascii="Times New Roman" w:hAnsi="Times New Roman" w:eastAsia="宋体" w:cs="Times New Roman"/>
          <w:kern w:val="0"/>
          <w:sz w:val="24"/>
          <w:lang w:bidi="ar"/>
        </w:rPr>
        <w:t>Furthermore, ethnocentric attitudes may put Chinese collaborators in opposition to the accepted notion that western standards of communicating are "standard" (Chen,2011). The lack of pre-departure cultural training often means that expatriate staff are not aware of local etiquette or negotiation rituals (Luthans and Doh, 2020).</w:t>
      </w:r>
    </w:p>
    <w:p w14:paraId="334FC2B7">
      <w:pPr>
        <w:pStyle w:val="2"/>
        <w:rPr>
          <w:rFonts w:ascii="Times New Roman" w:hAnsi="Times New Roman" w:cs="Times New Roman"/>
          <w:b/>
          <w:bCs/>
          <w:color w:val="000000" w:themeColor="text1"/>
          <w:sz w:val="28"/>
          <w:szCs w:val="28"/>
          <w14:textFill>
            <w14:solidFill>
              <w14:schemeClr w14:val="tx1"/>
            </w14:solidFill>
          </w14:textFill>
        </w:rPr>
      </w:pPr>
      <w:bookmarkStart w:id="9" w:name="_Toc213451304"/>
      <w:r>
        <w:rPr>
          <w:rFonts w:ascii="Times New Roman" w:hAnsi="Times New Roman" w:cs="Times New Roman"/>
          <w:b/>
          <w:bCs/>
          <w:color w:val="000000" w:themeColor="text1"/>
          <w:sz w:val="28"/>
          <w:szCs w:val="28"/>
          <w14:textFill>
            <w14:solidFill>
              <w14:schemeClr w14:val="tx1"/>
            </w14:solidFill>
          </w14:textFill>
        </w:rPr>
        <w:t>6. Strategies and Recommendations</w:t>
      </w:r>
      <w:bookmarkEnd w:id="9"/>
    </w:p>
    <w:p w14:paraId="15EDB9A7">
      <w:pPr>
        <w:widowControl/>
        <w:spacing w:line="480" w:lineRule="auto"/>
        <w:rPr>
          <w:rFonts w:ascii="Times New Roman" w:hAnsi="Times New Roman" w:cs="Times New Roman"/>
          <w:sz w:val="24"/>
        </w:rPr>
      </w:pPr>
      <w:r>
        <w:rPr>
          <w:rFonts w:hint="eastAsia" w:ascii="Times New Roman" w:hAnsi="Times New Roman" w:eastAsia="宋体" w:cs="Times New Roman"/>
          <w:kern w:val="0"/>
          <w:sz w:val="24"/>
          <w:lang w:bidi="ar"/>
        </w:rPr>
        <w:t>British companies can improve their intercultural skills by using structured programs that connect practice and theory (Luthans and Doh, 2020; Meyer, 2014).</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t xml:space="preserve">Training in Cultural Awareness: </w:t>
      </w:r>
      <w:r>
        <w:rPr>
          <w:rFonts w:hint="eastAsia" w:ascii="Times New Roman" w:hAnsi="Times New Roman" w:eastAsia="宋体" w:cs="Times New Roman"/>
          <w:kern w:val="0"/>
          <w:sz w:val="24"/>
          <w:lang w:bidi="ar"/>
        </w:rPr>
        <w:t>All employees should attend obligatory workshops on Chinese cultural values, basic language skills, and non-verbal etiquette (Ng et al., 2012)</w:t>
      </w:r>
      <w:r>
        <w:rPr>
          <w:rFonts w:ascii="Times New Roman" w:hAnsi="Times New Roman" w:eastAsia="宋体" w:cs="Times New Roman"/>
          <w:kern w:val="0"/>
          <w:sz w:val="24"/>
          <w:lang w:bidi="ar"/>
        </w:rPr>
        <w:t>.</w:t>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t xml:space="preserve">Adaptive Communication: </w:t>
      </w:r>
      <w:r>
        <w:rPr>
          <w:rFonts w:hint="eastAsia" w:ascii="Times New Roman" w:hAnsi="Times New Roman" w:eastAsia="宋体" w:cs="Times New Roman"/>
          <w:kern w:val="0"/>
          <w:sz w:val="24"/>
          <w:lang w:bidi="ar"/>
        </w:rPr>
        <w:t>The British clarity must be balanced with subtlety in communications with the Chinese. Written contracts must be supplemented by discussions that are relationship based (Hall, 1976).</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t xml:space="preserve">Relationship-Oriented Networking: </w:t>
      </w:r>
      <w:r>
        <w:rPr>
          <w:rFonts w:hint="eastAsia" w:ascii="Times New Roman" w:hAnsi="Times New Roman" w:eastAsia="宋体" w:cs="Times New Roman"/>
          <w:kern w:val="0"/>
          <w:sz w:val="24"/>
          <w:lang w:bidi="ar"/>
        </w:rPr>
        <w:t>Personal visits, social events, and entertainment help sustain contact with others, build guanxi, and show commitment to the relationship and the business (Chen, 2011).</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t xml:space="preserve">Using Cultural Intermediaries: </w:t>
      </w:r>
      <w:r>
        <w:rPr>
          <w:rFonts w:hint="eastAsia" w:ascii="Times New Roman" w:hAnsi="Times New Roman" w:eastAsia="宋体" w:cs="Times New Roman"/>
          <w:kern w:val="0"/>
          <w:sz w:val="24"/>
          <w:lang w:bidi="ar"/>
        </w:rPr>
        <w:t>Using bilingual staff who understand both cultures can reduce misunderstandings and translation errors, (Lewis, 2010) be.</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t xml:space="preserve">Patience and Long-Term Vision: </w:t>
      </w:r>
      <w:r>
        <w:rPr>
          <w:rFonts w:hint="eastAsia" w:ascii="Times New Roman" w:hAnsi="Times New Roman" w:eastAsia="宋体" w:cs="Times New Roman"/>
          <w:kern w:val="0"/>
          <w:sz w:val="24"/>
          <w:lang w:bidi="ar"/>
        </w:rPr>
        <w:t>Chinese measure the loyalty of their partners by how constant they are. Being opportunistic in the short term weakens trust (Hofstede, 2010).</w:t>
      </w:r>
      <w:r>
        <w:rPr>
          <w:rFonts w:ascii="Times New Roman" w:hAnsi="Times New Roman" w:eastAsia="宋体" w:cs="Times New Roman"/>
          <w:kern w:val="0"/>
          <w:sz w:val="24"/>
          <w:lang w:bidi="ar"/>
        </w:rPr>
        <w:t xml:space="preserve"> </w:t>
      </w:r>
      <w:r>
        <w:rPr>
          <w:rFonts w:ascii="Times New Roman" w:hAnsi="Times New Roman" w:eastAsia="宋体" w:cs="Times New Roman"/>
          <w:kern w:val="0"/>
          <w:sz w:val="24"/>
          <w:lang w:bidi="ar"/>
        </w:rPr>
        <w:br w:type="textWrapping"/>
      </w:r>
      <w:r>
        <w:rPr>
          <w:rFonts w:ascii="Times New Roman" w:hAnsi="Times New Roman" w:eastAsia="宋体" w:cs="Times New Roman"/>
          <w:kern w:val="0"/>
          <w:sz w:val="24"/>
          <w:lang w:bidi="ar"/>
        </w:rPr>
        <w:t>Making Cultural Competence a Part of Business:</w:t>
      </w:r>
      <w:r>
        <w:rPr>
          <w:rFonts w:hint="eastAsia"/>
        </w:rPr>
        <w:t xml:space="preserve"> </w:t>
      </w:r>
      <w:r>
        <w:rPr>
          <w:rFonts w:hint="eastAsia" w:ascii="Times New Roman" w:hAnsi="Times New Roman" w:eastAsia="宋体" w:cs="Times New Roman"/>
          <w:kern w:val="0"/>
          <w:sz w:val="24"/>
          <w:lang w:bidi="ar"/>
        </w:rPr>
        <w:t>Firms like Burberry and HSBC make cultural intelligence part of their leadership development, which keeps everyone alert (Fan, 2020).</w:t>
      </w:r>
    </w:p>
    <w:p w14:paraId="5BF806F8">
      <w:pPr>
        <w:spacing w:line="480" w:lineRule="auto"/>
        <w:jc w:val="both"/>
        <w:rPr>
          <w:rFonts w:ascii="Times New Roman" w:hAnsi="Times New Roman" w:cs="Times New Roman"/>
          <w:sz w:val="24"/>
        </w:rPr>
      </w:pPr>
      <w:r>
        <w:rPr>
          <w:rFonts w:ascii="Times New Roman" w:hAnsi="Times New Roman" w:cs="Times New Roman"/>
          <w:sz w:val="24"/>
        </w:rPr>
        <w:t xml:space="preserve">Continuous Reflection: </w:t>
      </w:r>
      <w:r>
        <w:rPr>
          <w:rFonts w:hint="eastAsia" w:ascii="Times New Roman" w:hAnsi="Times New Roman" w:cs="Times New Roman"/>
          <w:sz w:val="24"/>
        </w:rPr>
        <w:t>Utilising reflective models like Gibbs (1988) allows employees to evaluate their intercultural experiences critically and develop their capabilities.</w:t>
      </w:r>
    </w:p>
    <w:p w14:paraId="553046FD">
      <w:pPr>
        <w:spacing w:line="480" w:lineRule="auto"/>
        <w:jc w:val="both"/>
        <w:rPr>
          <w:rFonts w:ascii="Times New Roman" w:hAnsi="Times New Roman" w:cs="Times New Roman"/>
          <w:sz w:val="24"/>
        </w:rPr>
      </w:pPr>
      <w:r>
        <w:rPr>
          <w:rFonts w:ascii="Times New Roman" w:hAnsi="Times New Roman" w:cs="Times New Roman"/>
          <w:sz w:val="24"/>
        </w:rPr>
        <w:t>Additionally, organisations should integrate cultural competence into corporate policy. Partnerships with local universities or chambers of commerce can establish mentoring schemes that promote mutual learning (Zhang and Wang, 2020). These institutional efforts reinforce a culture of inclusion and adaptability.</w:t>
      </w:r>
    </w:p>
    <w:p w14:paraId="38202B28">
      <w:pPr>
        <w:spacing w:line="480" w:lineRule="auto"/>
        <w:jc w:val="both"/>
        <w:rPr>
          <w:rFonts w:ascii="Times New Roman" w:hAnsi="Times New Roman" w:cs="Times New Roman"/>
          <w:sz w:val="24"/>
        </w:rPr>
      </w:pPr>
    </w:p>
    <w:p w14:paraId="45246FCD">
      <w:pPr>
        <w:pStyle w:val="2"/>
        <w:rPr>
          <w:rFonts w:ascii="Times New Roman" w:hAnsi="Times New Roman" w:cs="Times New Roman"/>
          <w:b/>
          <w:bCs/>
          <w:color w:val="000000" w:themeColor="text1"/>
          <w:sz w:val="28"/>
          <w:szCs w:val="28"/>
          <w14:textFill>
            <w14:solidFill>
              <w14:schemeClr w14:val="tx1"/>
            </w14:solidFill>
          </w14:textFill>
        </w:rPr>
      </w:pPr>
      <w:bookmarkStart w:id="10" w:name="_Toc213451305"/>
      <w:r>
        <w:rPr>
          <w:rFonts w:ascii="Times New Roman" w:hAnsi="Times New Roman" w:cs="Times New Roman"/>
          <w:b/>
          <w:bCs/>
          <w:color w:val="000000" w:themeColor="text1"/>
          <w:sz w:val="28"/>
          <w:szCs w:val="28"/>
          <w14:textFill>
            <w14:solidFill>
              <w14:schemeClr w14:val="tx1"/>
            </w14:solidFill>
          </w14:textFill>
        </w:rPr>
        <w:t>7. Critical Discussion: Lessons for Future Managers</w:t>
      </w:r>
      <w:bookmarkEnd w:id="10"/>
    </w:p>
    <w:p w14:paraId="21E1F63F">
      <w:pPr>
        <w:spacing w:line="480" w:lineRule="auto"/>
        <w:jc w:val="both"/>
        <w:rPr>
          <w:rFonts w:ascii="Times New Roman" w:hAnsi="Times New Roman" w:cs="Times New Roman"/>
          <w:sz w:val="24"/>
        </w:rPr>
      </w:pPr>
      <w:r>
        <w:rPr>
          <w:rFonts w:hint="eastAsia" w:ascii="Times New Roman" w:hAnsi="Times New Roman" w:cs="Times New Roman"/>
          <w:sz w:val="24"/>
        </w:rPr>
        <w:t>Intercultural competence consists of more than an understanding of theories, but rather represents a flexible mentality (Earley and Ang, 2003). World-wide executives must marry world-wide standards with local adaptation (Meyer, 2014). They should consider diversity as the inexhaustible resource inherent from which to derive creativity and innovation (Ting-Toomey, 2015).</w:t>
      </w:r>
    </w:p>
    <w:p w14:paraId="74B0A281">
      <w:pPr>
        <w:spacing w:line="480" w:lineRule="auto"/>
        <w:rPr>
          <w:rFonts w:ascii="Times New Roman" w:hAnsi="Times New Roman" w:cs="Times New Roman"/>
          <w:sz w:val="24"/>
        </w:rPr>
      </w:pPr>
      <w:r>
        <w:rPr>
          <w:rFonts w:hint="eastAsia" w:ascii="Times New Roman" w:hAnsi="Times New Roman" w:cs="Times New Roman"/>
          <w:sz w:val="24"/>
        </w:rPr>
        <w:t xml:space="preserve">Digital transformation brings both opportunities and challenges. Technology-enhanced forms of communication such as Zoom and </w:t>
      </w:r>
      <w:r>
        <w:rPr>
          <w:rFonts w:ascii="Times New Roman" w:hAnsi="Times New Roman" w:cs="Times New Roman"/>
          <w:sz w:val="24"/>
        </w:rPr>
        <w:t>WeChat</w:t>
      </w:r>
      <w:r>
        <w:rPr>
          <w:rFonts w:hint="eastAsia" w:ascii="Times New Roman" w:hAnsi="Times New Roman" w:cs="Times New Roman"/>
          <w:sz w:val="24"/>
        </w:rPr>
        <w:t xml:space="preserve"> lessen geographical boundaries but do not allow for </w:t>
      </w:r>
      <w:r>
        <w:rPr>
          <w:rFonts w:ascii="Times New Roman" w:hAnsi="Times New Roman" w:cs="Times New Roman"/>
          <w:sz w:val="24"/>
        </w:rPr>
        <w:t>nonverbal</w:t>
      </w:r>
      <w:r>
        <w:rPr>
          <w:rFonts w:hint="eastAsia" w:ascii="Times New Roman" w:hAnsi="Times New Roman" w:cs="Times New Roman"/>
          <w:sz w:val="24"/>
        </w:rPr>
        <w:t xml:space="preserve"> interpretations (Ng et al., 2012). Therefore Managers must employ empathy in communication online, ensuring that clarity and precision are used. Individuals with a high level of cultural intelligence (CQ) develop the ability to adjust the intonation of their language, the rhythm and feedback of conversations in an online environment (Earley and Ang, 2003).</w:t>
      </w:r>
    </w:p>
    <w:p w14:paraId="375723FA">
      <w:pPr>
        <w:spacing w:line="480" w:lineRule="auto"/>
        <w:rPr>
          <w:rFonts w:ascii="Times New Roman" w:hAnsi="Times New Roman" w:cs="Times New Roman"/>
          <w:sz w:val="24"/>
        </w:rPr>
      </w:pPr>
      <w:r>
        <w:rPr>
          <w:rFonts w:hint="eastAsia" w:ascii="Times New Roman" w:hAnsi="Times New Roman" w:eastAsia="宋体" w:cs="Times New Roman"/>
          <w:kern w:val="0"/>
          <w:sz w:val="24"/>
          <w:lang w:bidi="ar"/>
        </w:rPr>
        <w:t>Moreover, future managers should recognize ethical and social responsibilities in international cooperation (Luthans and Doh, 2020). Understanding if the cultural differences are consistent with the principles underlining corporate social responsibility (CSR), contributes to the reputation of the brand (Fan, 2020). Cross-cultural competence should therefore be the goal of professionals throughout their lives, rather than just what they acquire during a training course.</w:t>
      </w:r>
    </w:p>
    <w:p w14:paraId="250C0411">
      <w:pPr>
        <w:spacing w:line="480" w:lineRule="auto"/>
        <w:rPr>
          <w:rFonts w:hint="eastAsia"/>
        </w:rPr>
      </w:pPr>
      <w:r>
        <w:rPr>
          <w:rFonts w:hint="eastAsia" w:ascii="Times New Roman" w:hAnsi="Times New Roman" w:cs="Times New Roman"/>
          <w:sz w:val="24"/>
        </w:rPr>
        <w:t>Another challenge facing future managers will be the replacement of the labour force in China. The human resources of Generation Z are very much dedicated to self -expression and innovation of values that have been associated with Western cultures in the past (Huang and Wei, 2023). Such generational consonances require managers to satisfy twin cultural prescriptions: to show regard for the traditional hierarchical arrangements but also create room for creativity. British organisations can offer flat structures for young Chinese workers, but still have to demonstrate respect for senior authority in formal situations.</w:t>
      </w:r>
      <w:r>
        <w:rPr>
          <w:rFonts w:ascii="Times New Roman" w:hAnsi="Times New Roman" w:eastAsia="宋体" w:cs="Times New Roman"/>
          <w:kern w:val="0"/>
          <w:sz w:val="24"/>
          <w:lang w:bidi="ar"/>
        </w:rPr>
        <w:t xml:space="preserve"> Also, intercultural leadership now includes knowing how remote work and hybrid teams affect people's minds, since cultural cues are less clear. Investing in emotional intelligence and digital literacy thus enhances conventional cross-cultural frameworks.</w:t>
      </w:r>
    </w:p>
    <w:p w14:paraId="5904B646">
      <w:pPr>
        <w:spacing w:line="480" w:lineRule="auto"/>
        <w:jc w:val="both"/>
        <w:rPr>
          <w:rFonts w:ascii="Times New Roman" w:hAnsi="Times New Roman" w:cs="Times New Roman"/>
          <w:sz w:val="24"/>
        </w:rPr>
      </w:pPr>
    </w:p>
    <w:p w14:paraId="24D17AD1">
      <w:pPr>
        <w:pStyle w:val="3"/>
        <w:rPr>
          <w:rFonts w:ascii="Times New Roman" w:hAnsi="Times New Roman" w:cs="Times New Roman"/>
          <w:b/>
          <w:bCs/>
          <w:color w:val="000000" w:themeColor="text1"/>
          <w:sz w:val="24"/>
          <w:szCs w:val="24"/>
          <w14:textFill>
            <w14:solidFill>
              <w14:schemeClr w14:val="tx1"/>
            </w14:solidFill>
          </w14:textFill>
        </w:rPr>
      </w:pPr>
      <w:bookmarkStart w:id="11" w:name="_Toc213451306"/>
      <w:r>
        <w:rPr>
          <w:rFonts w:ascii="Times New Roman" w:hAnsi="Times New Roman" w:cs="Times New Roman"/>
          <w:b/>
          <w:bCs/>
          <w:color w:val="000000" w:themeColor="text1"/>
          <w:sz w:val="24"/>
          <w:szCs w:val="24"/>
          <w14:textFill>
            <w14:solidFill>
              <w14:schemeClr w14:val="tx1"/>
            </w14:solidFill>
          </w14:textFill>
        </w:rPr>
        <w:t>7.1 Intercultural Leadership in the Digital Era</w:t>
      </w:r>
      <w:bookmarkEnd w:id="11"/>
    </w:p>
    <w:p w14:paraId="1361602C">
      <w:pPr>
        <w:widowControl/>
        <w:spacing w:line="480" w:lineRule="auto"/>
        <w:rPr>
          <w:rFonts w:hint="eastAsia"/>
        </w:rPr>
      </w:pPr>
      <w:r>
        <w:rPr>
          <w:rFonts w:ascii="Times New Roman" w:hAnsi="Times New Roman" w:eastAsia="宋体" w:cs="Times New Roman"/>
          <w:kern w:val="0"/>
          <w:sz w:val="24"/>
          <w:lang w:bidi="ar"/>
        </w:rPr>
        <w:t>Artificial intelligence, automation, and remote collaboration have changed the way leaders from different cultures work together (Huang and Wei, 2023). Digital environments make it harder to be close to people in person, but they make it more important to be understanding and trusting. British managers who lead Chinese teams online need to learn how to read between the lines in written language, emoticons, and the timing of responses, all of which show respect and hierarchy in digital communication. Artificial intelligence tools like translation algorithms can assist but also risk oversimplifying context or tone (Zhang and Wang, 2020). Managers must therefore combine technological proficiency with cultural sensitivity.</w:t>
      </w:r>
    </w:p>
    <w:p w14:paraId="19B32CF6">
      <w:pPr>
        <w:spacing w:line="480" w:lineRule="auto"/>
        <w:jc w:val="both"/>
        <w:rPr>
          <w:rFonts w:ascii="Times New Roman" w:hAnsi="Times New Roman" w:cs="Times New Roman"/>
          <w:sz w:val="24"/>
        </w:rPr>
      </w:pPr>
    </w:p>
    <w:p w14:paraId="09D09CF5">
      <w:pPr>
        <w:spacing w:line="480" w:lineRule="auto"/>
        <w:jc w:val="both"/>
        <w:rPr>
          <w:rFonts w:ascii="Times New Roman" w:hAnsi="Times New Roman" w:cs="Times New Roman"/>
          <w:sz w:val="24"/>
        </w:rPr>
      </w:pPr>
      <w:r>
        <w:rPr>
          <w:rFonts w:hint="eastAsia" w:ascii="Times New Roman" w:hAnsi="Times New Roman" w:cs="Times New Roman"/>
          <w:sz w:val="24"/>
        </w:rPr>
        <w:t>However, while the UK and China have different concerns in relation to data privacy and digital governance. While the west stresses the importance of openness in consent, China views security and efficiency as higher priorities (Fan, 2020). These differences in regulatory practices must be understood for the purpose of protecting reputation and mutual respect. Future cross-cultural leaders will have to solve problems of language and of ethics, as well as of management techniques on the Internet.</w:t>
      </w:r>
    </w:p>
    <w:p w14:paraId="23221056">
      <w:pPr>
        <w:pStyle w:val="2"/>
        <w:rPr>
          <w:rFonts w:ascii="Times New Roman" w:hAnsi="Times New Roman" w:cs="Times New Roman"/>
          <w:b/>
          <w:bCs/>
          <w:color w:val="000000" w:themeColor="text1"/>
          <w:sz w:val="28"/>
          <w:szCs w:val="28"/>
          <w14:textFill>
            <w14:solidFill>
              <w14:schemeClr w14:val="tx1"/>
            </w14:solidFill>
          </w14:textFill>
        </w:rPr>
      </w:pPr>
      <w:bookmarkStart w:id="12" w:name="_Toc213451307"/>
      <w:r>
        <w:rPr>
          <w:rFonts w:ascii="Times New Roman" w:hAnsi="Times New Roman" w:cs="Times New Roman"/>
          <w:b/>
          <w:bCs/>
          <w:color w:val="000000" w:themeColor="text1"/>
          <w:sz w:val="28"/>
          <w:szCs w:val="28"/>
          <w14:textFill>
            <w14:solidFill>
              <w14:schemeClr w14:val="tx1"/>
            </w14:solidFill>
          </w14:textFill>
        </w:rPr>
        <w:t>8. Conclusion</w:t>
      </w:r>
      <w:bookmarkEnd w:id="12"/>
    </w:p>
    <w:p w14:paraId="6CD988F5">
      <w:pPr>
        <w:spacing w:line="480" w:lineRule="auto"/>
        <w:jc w:val="both"/>
        <w:rPr>
          <w:rFonts w:ascii="Times New Roman" w:hAnsi="Times New Roman" w:cs="Times New Roman"/>
          <w:sz w:val="24"/>
        </w:rPr>
      </w:pPr>
      <w:r>
        <w:rPr>
          <w:rFonts w:hint="eastAsia" w:ascii="Times New Roman" w:hAnsi="Times New Roman" w:cs="Times New Roman"/>
          <w:sz w:val="24"/>
        </w:rPr>
        <w:t>The matrix also denotes the relationship of growth between culture, technology and sustainable development in international management. In the case of British retail and service organisations, therefore, doing business in China is not merely a question of adapting marketing as an approach to the market place, but is an ethical approach and one involving technical efficiency. Co-operation between the governments and universities of both countries might lead to the initiation of joint research and exchange projects and cultural wisdom and sustainable innovation might be the outcome of this.</w:t>
      </w:r>
    </w:p>
    <w:p w14:paraId="70681769">
      <w:pPr>
        <w:widowControl/>
        <w:spacing w:line="480" w:lineRule="auto"/>
        <w:rPr>
          <w:rFonts w:ascii="Times New Roman" w:hAnsi="Times New Roman" w:cs="Times New Roman"/>
          <w:sz w:val="24"/>
        </w:rPr>
      </w:pPr>
      <w:r>
        <w:rPr>
          <w:rFonts w:hint="eastAsia" w:ascii="Times New Roman" w:hAnsi="Times New Roman" w:cs="Times New Roman"/>
          <w:sz w:val="24"/>
        </w:rPr>
        <w:t>This expanded discussion emphasizes that the dynamics of Sino-British exchanges are dynamic, along with the technological, generational and social changes. As the Chinese economy continues to open and diversify, British companies will encounter a partner who is maturing and whose aim is to possess global professionalism and cultural sensitivity. The ability to view change from different cultural perspectives is an important factor in distinguishing between passive adaptation and active leadership. The theory itself does not guarantee results. They must be reflexively applied in each new case.</w:t>
      </w:r>
    </w:p>
    <w:p w14:paraId="64571373">
      <w:pPr>
        <w:widowControl/>
        <w:spacing w:line="480" w:lineRule="auto"/>
        <w:rPr>
          <w:rFonts w:ascii="Times New Roman" w:hAnsi="Times New Roman" w:eastAsia="宋体" w:cs="Times New Roman"/>
          <w:kern w:val="0"/>
          <w:sz w:val="24"/>
          <w:lang w:bidi="ar"/>
        </w:rPr>
      </w:pPr>
      <w:r>
        <w:rPr>
          <w:rFonts w:ascii="Times New Roman" w:hAnsi="Times New Roman" w:cs="Times New Roman"/>
          <w:sz w:val="24"/>
        </w:rPr>
        <w:t>The conclusion of this report is that cross-cultural exchanges between China and the UK are influenced by values, hierarchical systems and different relationship patterns.</w:t>
      </w:r>
      <w:r>
        <w:rPr>
          <w:rFonts w:ascii="Times New Roman" w:hAnsi="Times New Roman" w:eastAsia="宋体" w:cs="Times New Roman"/>
          <w:kern w:val="0"/>
          <w:sz w:val="24"/>
          <w:lang w:bidi="ar"/>
        </w:rPr>
        <w:t xml:space="preserve"> Hofstede's, Hall's, and Trompenaars' frameworks assist in deciphering these differences, whereas Cultural Intelligence (CQ) offers a contemporary perspective for practical adaptation. </w:t>
      </w:r>
      <w:r>
        <w:rPr>
          <w:rFonts w:ascii="Times New Roman" w:hAnsi="Times New Roman" w:eastAsia="宋体" w:cs="Times New Roman"/>
          <w:kern w:val="0"/>
          <w:sz w:val="24"/>
          <w:lang w:bidi="ar"/>
        </w:rPr>
        <w:br w:type="textWrapping"/>
      </w:r>
      <w:r>
        <w:rPr>
          <w:rFonts w:ascii="Times New Roman" w:hAnsi="Times New Roman" w:cs="Times New Roman"/>
          <w:sz w:val="24"/>
        </w:rPr>
        <w:t>Case studies of Burberry, Marks &amp; Spencer, Tesco and HSBC show that if one wants to succeed, managers need to understand different cultures, be patient and adjust strategies according to different markets.</w:t>
      </w:r>
      <w:r>
        <w:rPr>
          <w:rFonts w:ascii="Times New Roman" w:hAnsi="Times New Roman" w:eastAsia="宋体" w:cs="Times New Roman"/>
          <w:kern w:val="0"/>
          <w:sz w:val="24"/>
          <w:lang w:bidi="ar"/>
        </w:rPr>
        <w:t xml:space="preserve"> Misunderstandings usually arise when British companies impose Western expectations without taking into account China's relationship norms.</w:t>
      </w:r>
    </w:p>
    <w:p w14:paraId="7B9209CD">
      <w:pPr>
        <w:widowControl/>
        <w:spacing w:line="480" w:lineRule="auto"/>
        <w:rPr>
          <w:rFonts w:hint="eastAsia"/>
        </w:rPr>
      </w:pPr>
      <w:r>
        <w:rPr>
          <w:rFonts w:hint="eastAsia" w:ascii="Times New Roman" w:hAnsi="Times New Roman" w:eastAsia="宋体" w:cs="Times New Roman"/>
          <w:kern w:val="0"/>
          <w:sz w:val="24"/>
          <w:lang w:bidi="ar"/>
        </w:rPr>
        <w:t>The lessons learned from the Sino-British cooperation can be expended to the whole world, that viewing cultural diversity as a positive rather than a negative will give a greater resilience and innovation. The advantage of growing technology gives a better response in the working environment to any enterprise. Empathy, respect and adaptability are very important in longer term effectiveness in any international relationships (Meyer, 2017).</w:t>
      </w:r>
    </w:p>
    <w:p w14:paraId="2C8EF44F">
      <w:pPr>
        <w:widowControl/>
        <w:rPr>
          <w:rFonts w:hint="eastAsia"/>
        </w:rPr>
      </w:pPr>
      <w:r>
        <w:br w:type="page"/>
      </w:r>
    </w:p>
    <w:p w14:paraId="033F57D7">
      <w:pPr>
        <w:pStyle w:val="2"/>
        <w:rPr>
          <w:rFonts w:ascii="Times New Roman" w:hAnsi="Times New Roman" w:cs="Times New Roman"/>
          <w:b/>
          <w:bCs/>
          <w:color w:val="000000" w:themeColor="text1"/>
          <w:sz w:val="28"/>
          <w:szCs w:val="28"/>
          <w14:textFill>
            <w14:solidFill>
              <w14:schemeClr w14:val="tx1"/>
            </w14:solidFill>
          </w14:textFill>
        </w:rPr>
      </w:pPr>
      <w:bookmarkStart w:id="13" w:name="_Toc213451308"/>
      <w:r>
        <w:rPr>
          <w:rFonts w:ascii="Times New Roman" w:hAnsi="Times New Roman" w:cs="Times New Roman"/>
          <w:b/>
          <w:bCs/>
          <w:color w:val="000000" w:themeColor="text1"/>
          <w:sz w:val="28"/>
          <w:szCs w:val="28"/>
          <w14:textFill>
            <w14:solidFill>
              <w14:schemeClr w14:val="tx1"/>
            </w14:solidFill>
          </w14:textFill>
        </w:rPr>
        <w:t>9. References</w:t>
      </w:r>
      <w:bookmarkEnd w:id="13"/>
    </w:p>
    <w:p w14:paraId="30197E1E">
      <w:pPr>
        <w:rPr>
          <w:rFonts w:hint="eastAsia"/>
        </w:rPr>
      </w:pPr>
      <w:r>
        <w:t xml:space="preserve">Chen, G. (2011) </w:t>
      </w:r>
      <w:r>
        <w:rPr>
          <w:i/>
          <w:iCs/>
        </w:rPr>
        <w:t>Foundations of Intercultural Communication</w:t>
      </w:r>
      <w:r>
        <w:t>. Beijing: Foreign Language Teaching Press.</w:t>
      </w:r>
      <w:r>
        <w:br w:type="textWrapping"/>
      </w:r>
      <w:r>
        <w:t xml:space="preserve">Child, J. and Rodrigues, S. (2005) ‘The Internationalization of Chinese Firms: A Case for Theoretical Extension?’, </w:t>
      </w:r>
      <w:r>
        <w:rPr>
          <w:i/>
          <w:iCs/>
        </w:rPr>
        <w:t>Management and Organization Review</w:t>
      </w:r>
      <w:r>
        <w:t>, 1(3), pp. 381–410.</w:t>
      </w:r>
      <w:r>
        <w:br w:type="textWrapping"/>
      </w:r>
      <w:r>
        <w:t xml:space="preserve">Czinkota, M.R., Ronkainen, I.A. and Gupta, S. (2021) </w:t>
      </w:r>
      <w:r>
        <w:rPr>
          <w:i/>
          <w:iCs/>
        </w:rPr>
        <w:t>International Business</w:t>
      </w:r>
      <w:r>
        <w:t>. 9th ed. Cambridge University Press.</w:t>
      </w:r>
      <w:r>
        <w:br w:type="textWrapping"/>
      </w:r>
      <w:r>
        <w:t xml:space="preserve">Earley, P.C. and Ang, S. (2003) </w:t>
      </w:r>
      <w:r>
        <w:rPr>
          <w:i/>
          <w:iCs/>
        </w:rPr>
        <w:t>Cultural Intelligence: Individual Interactions Across Cultures</w:t>
      </w:r>
      <w:r>
        <w:t>. Stanford: Stanford University Press.</w:t>
      </w:r>
      <w:r>
        <w:br w:type="textWrapping"/>
      </w:r>
      <w:r>
        <w:t xml:space="preserve">Fan, Y. (2020) ‘Globalisation, Branding, and Cultural Identity: A Case Study of HSBC in China’, </w:t>
      </w:r>
      <w:r>
        <w:rPr>
          <w:i/>
          <w:iCs/>
        </w:rPr>
        <w:t>Journal of Brand Management</w:t>
      </w:r>
      <w:r>
        <w:t>, 27(6), pp. 621–637.</w:t>
      </w:r>
      <w:r>
        <w:br w:type="textWrapping"/>
      </w:r>
      <w:r>
        <w:t xml:space="preserve">Fang, T. (2012) </w:t>
      </w:r>
      <w:r>
        <w:rPr>
          <w:i/>
          <w:iCs/>
        </w:rPr>
        <w:t>Yin Yang: A New Perspective on Culture</w:t>
      </w:r>
      <w:r>
        <w:t>. London: Routledge.</w:t>
      </w:r>
      <w:r>
        <w:br w:type="textWrapping"/>
      </w:r>
      <w:r>
        <w:t xml:space="preserve">Gibbs, G. (1988) </w:t>
      </w:r>
      <w:r>
        <w:rPr>
          <w:i/>
          <w:iCs/>
        </w:rPr>
        <w:t>Learning by Doing: A Guide to Teaching and Learning Methods</w:t>
      </w:r>
      <w:r>
        <w:t>. Oxford: Oxford Polytechnic.</w:t>
      </w:r>
      <w:r>
        <w:br w:type="textWrapping"/>
      </w:r>
      <w:r>
        <w:t xml:space="preserve">Gudykunst, W.B. (2003) </w:t>
      </w:r>
      <w:r>
        <w:rPr>
          <w:i/>
          <w:iCs/>
        </w:rPr>
        <w:t>Cross-Cultural and Intercultural Communication</w:t>
      </w:r>
      <w:r>
        <w:t>. Thousand Oaks, CA: Sage.</w:t>
      </w:r>
      <w:r>
        <w:br w:type="textWrapping"/>
      </w:r>
      <w:r>
        <w:t xml:space="preserve">Hall, E.T. (1976) </w:t>
      </w:r>
      <w:r>
        <w:rPr>
          <w:i/>
          <w:iCs/>
        </w:rPr>
        <w:t>Beyond Culture</w:t>
      </w:r>
      <w:r>
        <w:t>. New York: Anchor Books.</w:t>
      </w:r>
      <w:r>
        <w:br w:type="textWrapping"/>
      </w:r>
      <w:r>
        <w:t xml:space="preserve">Hofstede, G. (2010) </w:t>
      </w:r>
      <w:r>
        <w:rPr>
          <w:i/>
          <w:iCs/>
        </w:rPr>
        <w:t>Cultures and Organizations: Software of the Mind</w:t>
      </w:r>
      <w:r>
        <w:t>. 3rd ed. New York: McGraw-Hill.</w:t>
      </w:r>
      <w:r>
        <w:br w:type="textWrapping"/>
      </w:r>
      <w:r>
        <w:t xml:space="preserve">Hofstede Insights (2023) </w:t>
      </w:r>
      <w:r>
        <w:rPr>
          <w:i/>
          <w:iCs/>
        </w:rPr>
        <w:t>Country Comparison: UK and China</w:t>
      </w:r>
      <w:r>
        <w:t xml:space="preserve">. Available at: </w:t>
      </w:r>
      <w:r>
        <w:fldChar w:fldCharType="begin"/>
      </w:r>
      <w:r>
        <w:instrText xml:space="preserve"> HYPERLINK "https://www.hofstede-insights.com" \t "_new" </w:instrText>
      </w:r>
      <w:r>
        <w:fldChar w:fldCharType="separate"/>
      </w:r>
      <w:r>
        <w:rPr>
          <w:rStyle w:val="21"/>
        </w:rPr>
        <w:t>https://www.hofstede-insights.com</w:t>
      </w:r>
      <w:r>
        <w:rPr>
          <w:rStyle w:val="21"/>
        </w:rPr>
        <w:fldChar w:fldCharType="end"/>
      </w:r>
      <w:r>
        <w:t xml:space="preserve"> (Accessed: 5 November 2025).</w:t>
      </w:r>
      <w:r>
        <w:br w:type="textWrapping"/>
      </w:r>
      <w:r>
        <w:t xml:space="preserve">Lewis, R.D. (2010) </w:t>
      </w:r>
      <w:r>
        <w:rPr>
          <w:i/>
          <w:iCs/>
        </w:rPr>
        <w:t>When Cultures Collide: Leading Across Cultures</w:t>
      </w:r>
      <w:r>
        <w:t>. 3rd ed. Boston: Nicholas Brealey Publishing.</w:t>
      </w:r>
      <w:r>
        <w:br w:type="textWrapping"/>
      </w:r>
      <w:r>
        <w:t xml:space="preserve">Luthans, F. and Doh, J.P. (2020) </w:t>
      </w:r>
      <w:r>
        <w:rPr>
          <w:i/>
          <w:iCs/>
        </w:rPr>
        <w:t>International Management: Culture, Strategy, and Behavior</w:t>
      </w:r>
      <w:r>
        <w:t>. 11th ed. New York: McGraw-Hill.</w:t>
      </w:r>
      <w:r>
        <w:br w:type="textWrapping"/>
      </w:r>
      <w:r>
        <w:t xml:space="preserve">Meyer, E. (2014) </w:t>
      </w:r>
      <w:r>
        <w:rPr>
          <w:i/>
          <w:iCs/>
        </w:rPr>
        <w:t>The Culture Map: Breaking Through the Invisible Boundaries of Global Business</w:t>
      </w:r>
      <w:r>
        <w:t>. New York: PublicAffairs.</w:t>
      </w:r>
      <w:r>
        <w:br w:type="textWrapping"/>
      </w:r>
      <w:r>
        <w:t xml:space="preserve">Meyer, E. (2017) ‘Being the Boss in Brussels, Boston, and Beijing’, </w:t>
      </w:r>
      <w:r>
        <w:rPr>
          <w:i/>
          <w:iCs/>
        </w:rPr>
        <w:t>Harvard Business Review</w:t>
      </w:r>
      <w:r>
        <w:t>, July.</w:t>
      </w:r>
      <w:r>
        <w:br w:type="textWrapping"/>
      </w:r>
      <w:r>
        <w:t xml:space="preserve">Ng, K.Y., Van Dyne, L. and Ang, S. (2012) ‘Cultural Intelligence: A Review, Reflections, and Recommendations for Future Research’, </w:t>
      </w:r>
      <w:r>
        <w:rPr>
          <w:i/>
          <w:iCs/>
        </w:rPr>
        <w:t>Conducting Multinational Research Projects</w:t>
      </w:r>
      <w:r>
        <w:t>, 10(2), pp. 29–58.</w:t>
      </w:r>
      <w:r>
        <w:br w:type="textWrapping"/>
      </w:r>
      <w:r>
        <w:t xml:space="preserve">Ting-Toomey, S. (2015) </w:t>
      </w:r>
      <w:r>
        <w:rPr>
          <w:i/>
          <w:iCs/>
        </w:rPr>
        <w:t>Understanding Intercultural Communication</w:t>
      </w:r>
      <w:r>
        <w:t>. 2nd ed. Oxford: Oxford University Press.</w:t>
      </w:r>
      <w:r>
        <w:br w:type="textWrapping"/>
      </w:r>
      <w:r>
        <w:t xml:space="preserve">Trompenaars, F. and Hampden-Turner, C. (2020) </w:t>
      </w:r>
      <w:r>
        <w:rPr>
          <w:i/>
          <w:iCs/>
        </w:rPr>
        <w:t>Riding the Waves of Culture: Understanding Diversity in Global Business</w:t>
      </w:r>
      <w:r>
        <w:t>. 4th ed. New York: McGraw-Hill.</w:t>
      </w:r>
      <w:r>
        <w:br w:type="textWrapping"/>
      </w:r>
      <w:r>
        <w:t xml:space="preserve">UK Department for Business and Trade (2024) </w:t>
      </w:r>
      <w:r>
        <w:rPr>
          <w:i/>
          <w:iCs/>
        </w:rPr>
        <w:t>UK–China Trade Relations Report</w:t>
      </w:r>
      <w:r>
        <w:t>. London: GOV.UK.</w:t>
      </w:r>
      <w:r>
        <w:br w:type="textWrapping"/>
      </w:r>
      <w:r>
        <w:t xml:space="preserve">Zhang, L. and Zhou, W. (2019) ‘The Impact of Long-Term Orientation on Business Negotiation Styles in China’, </w:t>
      </w:r>
      <w:r>
        <w:rPr>
          <w:i/>
          <w:iCs/>
        </w:rPr>
        <w:t>Asia Pacific Journal of Management</w:t>
      </w:r>
      <w:r>
        <w:t>, 36(2), pp. 459–480.</w:t>
      </w:r>
      <w:r>
        <w:br w:type="textWrapping"/>
      </w:r>
      <w:r>
        <w:t xml:space="preserve">Zhang, Y. and Wang, H. (2020) ‘Digital Transformation and Consumer Culture in China’, </w:t>
      </w:r>
      <w:r>
        <w:rPr>
          <w:i/>
          <w:iCs/>
        </w:rPr>
        <w:t>Journal of International Business Studies</w:t>
      </w:r>
      <w:r>
        <w:t>, 51(5), pp. 902–918.</w:t>
      </w:r>
      <w:r>
        <w:br w:type="textWrapping"/>
      </w:r>
      <w:r>
        <w:t xml:space="preserve">Zhou, L. and Wong, A. (2021) ‘Cultural Adaptation in Global Luxury Branding: The Case of Burberry in China’, </w:t>
      </w:r>
      <w:r>
        <w:rPr>
          <w:i/>
          <w:iCs/>
        </w:rPr>
        <w:t>International Marketing Review</w:t>
      </w:r>
      <w:r>
        <w:t>, 38(4), pp. 713–735.</w:t>
      </w:r>
      <w:r>
        <w:br w:type="textWrapping"/>
      </w:r>
      <w:r>
        <w:t xml:space="preserve">International Journal of Business Communication (2023) Available at: </w:t>
      </w:r>
      <w:r>
        <w:fldChar w:fldCharType="begin"/>
      </w:r>
      <w:r>
        <w:instrText xml:space="preserve"> HYPERLINK "https://journals.sagepub.com/home/job" \t "_new" </w:instrText>
      </w:r>
      <w:r>
        <w:fldChar w:fldCharType="separate"/>
      </w:r>
      <w:r>
        <w:rPr>
          <w:rStyle w:val="21"/>
        </w:rPr>
        <w:t>https://journals.sagepub.com/home/job</w:t>
      </w:r>
      <w:r>
        <w:rPr>
          <w:rStyle w:val="21"/>
        </w:rPr>
        <w:fldChar w:fldCharType="end"/>
      </w:r>
      <w:r>
        <w:t xml:space="preserve"> (Accessed: 5 November 2025).</w:t>
      </w:r>
      <w:r>
        <w:br w:type="textWrapping"/>
      </w:r>
      <w:r>
        <w:t xml:space="preserve">Hall, E.T. and Hall, M.R. (1990) </w:t>
      </w:r>
      <w:r>
        <w:rPr>
          <w:i/>
          <w:iCs/>
        </w:rPr>
        <w:t>Understanding Cultural Differences: Germans, French and Americans</w:t>
      </w:r>
      <w:r>
        <w:t>. Yarmouth, ME: Intercultural Press.</w:t>
      </w:r>
      <w:r>
        <w:br w:type="textWrapping"/>
      </w:r>
      <w:r>
        <w:t xml:space="preserve">Beamer, L. and Varner, I. (2008) </w:t>
      </w:r>
      <w:r>
        <w:rPr>
          <w:i/>
          <w:iCs/>
        </w:rPr>
        <w:t>Intercultural Communication in the Global Workplace</w:t>
      </w:r>
      <w:r>
        <w:t>. 4th ed. Boston: McGraw-Hill.</w:t>
      </w:r>
      <w:r>
        <w:br w:type="textWrapping"/>
      </w:r>
      <w:r>
        <w:t xml:space="preserve">Chen, X. and Li, J. (2022) ‘Leadership Adaptation in Sino-British Joint Ventures’, </w:t>
      </w:r>
      <w:r>
        <w:rPr>
          <w:i/>
          <w:iCs/>
        </w:rPr>
        <w:t>International Journal of Cross Cultural Management</w:t>
      </w:r>
      <w:r>
        <w:t>, 22(1), pp. 34–56.</w:t>
      </w:r>
      <w:r>
        <w:br w:type="textWrapping"/>
      </w:r>
      <w:r>
        <w:t xml:space="preserve">Morrison, T. (2019) </w:t>
      </w:r>
      <w:r>
        <w:rPr>
          <w:i/>
          <w:iCs/>
        </w:rPr>
        <w:t>Kiss, Bow, or Shake Hands: Doing Business in More Than 60 Countries</w:t>
      </w:r>
      <w:r>
        <w:t>. 3rd ed. Avon, MA: Adams Media.</w:t>
      </w:r>
    </w:p>
    <w:p w14:paraId="5D08026A">
      <w:pPr>
        <w:rPr>
          <w:rFonts w:hint="eastAsia"/>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8AAD448">
    <w:pPr>
      <w:spacing w:line="188" w:lineRule="auto"/>
      <w:ind w:left="4727"/>
      <w:rPr>
        <w:rFonts w:ascii="Times New Roman" w:hAnsi="Times New Roman" w:eastAsia="Times New Roman" w:cs="Times New Roman"/>
        <w:sz w:val="19"/>
        <w:szCs w:val="19"/>
      </w:rPr>
    </w:pPr>
    <w:r>
      <w:rPr>
        <w:rFonts w:ascii="Times New Roman" w:hAnsi="Times New Roman" w:eastAsia="Times New Roman" w:cs="Times New Roman"/>
        <w:sz w:val="19"/>
        <w:szCs w:val="19"/>
      </w:rPr>
      <w:t>Page</w:t>
    </w:r>
    <w:r>
      <w:rPr>
        <w:rFonts w:ascii="Times New Roman" w:hAnsi="Times New Roman" w:eastAsia="Times New Roman" w:cs="Times New Roman"/>
        <w:spacing w:val="11"/>
        <w:sz w:val="19"/>
        <w:szCs w:val="19"/>
      </w:rPr>
      <w:t xml:space="preserve"> </w:t>
    </w:r>
    <w:r>
      <w:rPr>
        <w:rFonts w:ascii="Times New Roman" w:hAnsi="Times New Roman" w:eastAsia="Times New Roman" w:cs="Times New Roman"/>
        <w:b/>
        <w:bCs/>
        <w:spacing w:val="13"/>
        <w:sz w:val="19"/>
        <w:szCs w:val="19"/>
      </w:rPr>
      <w:t>6</w:t>
    </w:r>
    <w:r>
      <w:rPr>
        <w:rFonts w:ascii="Times New Roman" w:hAnsi="Times New Roman" w:eastAsia="Times New Roman" w:cs="Times New Roman"/>
        <w:b/>
        <w:bCs/>
        <w:spacing w:val="11"/>
        <w:sz w:val="19"/>
        <w:szCs w:val="19"/>
      </w:rPr>
      <w:t xml:space="preserve"> </w:t>
    </w:r>
    <w:r>
      <w:rPr>
        <w:rFonts w:ascii="Times New Roman" w:hAnsi="Times New Roman" w:eastAsia="Times New Roman" w:cs="Times New Roman"/>
        <w:sz w:val="19"/>
        <w:szCs w:val="19"/>
      </w:rPr>
      <w:t>of</w:t>
    </w:r>
    <w:r>
      <w:rPr>
        <w:rFonts w:ascii="Times New Roman" w:hAnsi="Times New Roman" w:eastAsia="Times New Roman" w:cs="Times New Roman"/>
        <w:spacing w:val="-14"/>
        <w:sz w:val="19"/>
        <w:szCs w:val="19"/>
      </w:rPr>
      <w:t xml:space="preserve"> </w:t>
    </w:r>
    <w:r>
      <w:rPr>
        <w:rFonts w:ascii="Times New Roman" w:hAnsi="Times New Roman" w:eastAsia="Times New Roman" w:cs="Times New Roman"/>
        <w:b/>
        <w:bCs/>
        <w:spacing w:val="13"/>
        <w:sz w:val="19"/>
        <w:szCs w:val="19"/>
      </w:rPr>
      <w:t>21</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1D7D7F6">
    <w:pPr>
      <w:pStyle w:val="1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4787951">
                          <w:pPr>
                            <w:pStyle w:val="1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04787951">
                    <w:pPr>
                      <w:pStyle w:val="1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832"/>
    <w:rsid w:val="00091FE0"/>
    <w:rsid w:val="00105832"/>
    <w:rsid w:val="001B3587"/>
    <w:rsid w:val="002029B3"/>
    <w:rsid w:val="002920AB"/>
    <w:rsid w:val="005454D2"/>
    <w:rsid w:val="006039E8"/>
    <w:rsid w:val="006429D9"/>
    <w:rsid w:val="006B798D"/>
    <w:rsid w:val="00891C49"/>
    <w:rsid w:val="009D4463"/>
    <w:rsid w:val="00AC3B6D"/>
    <w:rsid w:val="00C107DC"/>
    <w:rsid w:val="00CA21A6"/>
    <w:rsid w:val="00EE467F"/>
    <w:rsid w:val="00EF09BD"/>
    <w:rsid w:val="15D25253"/>
    <w:rsid w:val="2AEB06E4"/>
    <w:rsid w:val="2D0B4074"/>
    <w:rsid w:val="30DF20B0"/>
    <w:rsid w:val="348A313D"/>
    <w:rsid w:val="48DF447A"/>
    <w:rsid w:val="50EF15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2"/>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3"/>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24"/>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5"/>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6"/>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27"/>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28"/>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20">
    <w:name w:val="Default Paragraph Font"/>
    <w:semiHidden/>
    <w:unhideWhenUsed/>
    <w:qFormat/>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11">
    <w:name w:val="Body Text"/>
    <w:basedOn w:val="1"/>
    <w:semiHidden/>
    <w:qFormat/>
    <w:uiPriority w:val="0"/>
    <w:rPr>
      <w:rFonts w:ascii="Arial" w:hAnsi="Arial" w:eastAsia="Arial" w:cs="Arial"/>
      <w:sz w:val="70"/>
      <w:szCs w:val="70"/>
      <w:lang w:val="en-US" w:eastAsia="en-US" w:bidi="ar-SA"/>
    </w:rPr>
  </w:style>
  <w:style w:type="paragraph" w:styleId="12">
    <w:name w:val="toc 3"/>
    <w:basedOn w:val="1"/>
    <w:next w:val="1"/>
    <w:autoRedefine/>
    <w:unhideWhenUsed/>
    <w:qFormat/>
    <w:uiPriority w:val="39"/>
    <w:pPr>
      <w:widowControl/>
      <w:spacing w:after="100" w:line="259" w:lineRule="auto"/>
      <w:ind w:left="440"/>
    </w:pPr>
    <w:rPr>
      <w:rFonts w:cs="Times New Roman"/>
      <w:kern w:val="0"/>
      <w:szCs w:val="22"/>
      <w14:ligatures w14:val="none"/>
    </w:rPr>
  </w:style>
  <w:style w:type="paragraph" w:styleId="13">
    <w:name w:val="footer"/>
    <w:basedOn w:val="1"/>
    <w:semiHidden/>
    <w:unhideWhenUsed/>
    <w:qFormat/>
    <w:uiPriority w:val="99"/>
    <w:pPr>
      <w:tabs>
        <w:tab w:val="center" w:pos="4153"/>
        <w:tab w:val="right" w:pos="8306"/>
      </w:tabs>
      <w:snapToGrid w:val="0"/>
      <w:jc w:val="left"/>
    </w:pPr>
    <w:rPr>
      <w:sz w:val="18"/>
    </w:rPr>
  </w:style>
  <w:style w:type="paragraph" w:styleId="14">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5">
    <w:name w:val="toc 1"/>
    <w:basedOn w:val="1"/>
    <w:next w:val="1"/>
    <w:autoRedefine/>
    <w:unhideWhenUsed/>
    <w:qFormat/>
    <w:uiPriority w:val="39"/>
    <w:pPr>
      <w:widowControl/>
      <w:spacing w:after="100" w:line="259" w:lineRule="auto"/>
    </w:pPr>
    <w:rPr>
      <w:rFonts w:cs="Times New Roman"/>
      <w:kern w:val="0"/>
      <w:szCs w:val="22"/>
      <w14:ligatures w14:val="none"/>
    </w:rPr>
  </w:style>
  <w:style w:type="paragraph" w:styleId="16">
    <w:name w:val="Subtitle"/>
    <w:basedOn w:val="1"/>
    <w:next w:val="1"/>
    <w:link w:val="32"/>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oc 2"/>
    <w:basedOn w:val="1"/>
    <w:next w:val="1"/>
    <w:autoRedefine/>
    <w:unhideWhenUsed/>
    <w:qFormat/>
    <w:uiPriority w:val="39"/>
    <w:pPr>
      <w:widowControl/>
      <w:spacing w:after="100" w:line="259" w:lineRule="auto"/>
      <w:ind w:left="220"/>
    </w:pPr>
    <w:rPr>
      <w:rFonts w:cs="Times New Roman"/>
      <w:kern w:val="0"/>
      <w:szCs w:val="22"/>
      <w14:ligatures w14:val="none"/>
    </w:rPr>
  </w:style>
  <w:style w:type="paragraph" w:styleId="18">
    <w:name w:val="Title"/>
    <w:basedOn w:val="1"/>
    <w:next w:val="1"/>
    <w:link w:val="31"/>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21">
    <w:name w:val="Hyperlink"/>
    <w:basedOn w:val="20"/>
    <w:unhideWhenUsed/>
    <w:qFormat/>
    <w:uiPriority w:val="99"/>
    <w:rPr>
      <w:color w:val="467886" w:themeColor="hyperlink"/>
      <w:u w:val="single"/>
      <w14:textFill>
        <w14:solidFill>
          <w14:schemeClr w14:val="hlink"/>
        </w14:solidFill>
      </w14:textFill>
    </w:rPr>
  </w:style>
  <w:style w:type="character" w:customStyle="1" w:styleId="22">
    <w:name w:val="标题 1 字符"/>
    <w:basedOn w:val="20"/>
    <w:link w:val="2"/>
    <w:qFormat/>
    <w:uiPriority w:val="9"/>
    <w:rPr>
      <w:rFonts w:asciiTheme="majorHAnsi" w:hAnsiTheme="majorHAnsi" w:eastAsiaTheme="majorEastAsia" w:cstheme="majorBidi"/>
      <w:color w:val="104862" w:themeColor="accent1" w:themeShade="BF"/>
      <w:sz w:val="48"/>
      <w:szCs w:val="48"/>
    </w:rPr>
  </w:style>
  <w:style w:type="character" w:customStyle="1" w:styleId="23">
    <w:name w:val="标题 2 字符"/>
    <w:basedOn w:val="20"/>
    <w:link w:val="3"/>
    <w:qFormat/>
    <w:uiPriority w:val="9"/>
    <w:rPr>
      <w:rFonts w:asciiTheme="majorHAnsi" w:hAnsiTheme="majorHAnsi" w:eastAsiaTheme="majorEastAsia" w:cstheme="majorBidi"/>
      <w:color w:val="104862" w:themeColor="accent1" w:themeShade="BF"/>
      <w:sz w:val="40"/>
      <w:szCs w:val="40"/>
    </w:rPr>
  </w:style>
  <w:style w:type="character" w:customStyle="1" w:styleId="24">
    <w:name w:val="标题 3 字符"/>
    <w:basedOn w:val="20"/>
    <w:link w:val="4"/>
    <w:semiHidden/>
    <w:qFormat/>
    <w:uiPriority w:val="9"/>
    <w:rPr>
      <w:rFonts w:asciiTheme="majorHAnsi" w:hAnsiTheme="majorHAnsi" w:eastAsiaTheme="majorEastAsia" w:cstheme="majorBidi"/>
      <w:color w:val="104862" w:themeColor="accent1" w:themeShade="BF"/>
      <w:sz w:val="32"/>
      <w:szCs w:val="32"/>
    </w:rPr>
  </w:style>
  <w:style w:type="character" w:customStyle="1" w:styleId="25">
    <w:name w:val="标题 4 字符"/>
    <w:basedOn w:val="20"/>
    <w:link w:val="5"/>
    <w:semiHidden/>
    <w:qFormat/>
    <w:uiPriority w:val="9"/>
    <w:rPr>
      <w:rFonts w:cstheme="majorBidi"/>
      <w:color w:val="104862" w:themeColor="accent1" w:themeShade="BF"/>
      <w:sz w:val="28"/>
      <w:szCs w:val="28"/>
    </w:rPr>
  </w:style>
  <w:style w:type="character" w:customStyle="1" w:styleId="26">
    <w:name w:val="标题 5 字符"/>
    <w:basedOn w:val="20"/>
    <w:link w:val="6"/>
    <w:semiHidden/>
    <w:qFormat/>
    <w:uiPriority w:val="9"/>
    <w:rPr>
      <w:rFonts w:cstheme="majorBidi"/>
      <w:color w:val="104862" w:themeColor="accent1" w:themeShade="BF"/>
      <w:sz w:val="24"/>
    </w:rPr>
  </w:style>
  <w:style w:type="character" w:customStyle="1" w:styleId="27">
    <w:name w:val="标题 6 字符"/>
    <w:basedOn w:val="20"/>
    <w:link w:val="7"/>
    <w:semiHidden/>
    <w:qFormat/>
    <w:uiPriority w:val="9"/>
    <w:rPr>
      <w:rFonts w:cstheme="majorBidi"/>
      <w:b/>
      <w:bCs/>
      <w:color w:val="104862" w:themeColor="accent1" w:themeShade="BF"/>
    </w:rPr>
  </w:style>
  <w:style w:type="character" w:customStyle="1" w:styleId="28">
    <w:name w:val="标题 7 字符"/>
    <w:basedOn w:val="20"/>
    <w:link w:val="8"/>
    <w:semiHidden/>
    <w:qFormat/>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9">
    <w:name w:val="标题 8 字符"/>
    <w:basedOn w:val="20"/>
    <w:link w:val="9"/>
    <w:semiHidden/>
    <w:qFormat/>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0">
    <w:name w:val="标题 9 字符"/>
    <w:basedOn w:val="20"/>
    <w:link w:val="10"/>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标题 字符"/>
    <w:basedOn w:val="20"/>
    <w:link w:val="18"/>
    <w:qFormat/>
    <w:uiPriority w:val="10"/>
    <w:rPr>
      <w:rFonts w:asciiTheme="majorHAnsi" w:hAnsiTheme="majorHAnsi" w:eastAsiaTheme="majorEastAsia" w:cstheme="majorBidi"/>
      <w:spacing w:val="-10"/>
      <w:kern w:val="28"/>
      <w:sz w:val="56"/>
      <w:szCs w:val="56"/>
    </w:rPr>
  </w:style>
  <w:style w:type="character" w:customStyle="1" w:styleId="32">
    <w:name w:val="副标题 字符"/>
    <w:basedOn w:val="20"/>
    <w:link w:val="16"/>
    <w:qFormat/>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引用 字符"/>
    <w:basedOn w:val="20"/>
    <w:link w:val="33"/>
    <w:qFormat/>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明显强调1"/>
    <w:basedOn w:val="20"/>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明显引用 字符"/>
    <w:basedOn w:val="20"/>
    <w:link w:val="37"/>
    <w:qFormat/>
    <w:uiPriority w:val="30"/>
    <w:rPr>
      <w:i/>
      <w:iCs/>
      <w:color w:val="104862" w:themeColor="accent1" w:themeShade="BF"/>
    </w:rPr>
  </w:style>
  <w:style w:type="character" w:customStyle="1" w:styleId="39">
    <w:name w:val="明显参考1"/>
    <w:basedOn w:val="20"/>
    <w:qFormat/>
    <w:uiPriority w:val="32"/>
    <w:rPr>
      <w:b/>
      <w:bCs/>
      <w:smallCaps/>
      <w:color w:val="104862" w:themeColor="accent1" w:themeShade="BF"/>
      <w:spacing w:val="5"/>
    </w:rPr>
  </w:style>
  <w:style w:type="character" w:customStyle="1" w:styleId="40">
    <w:name w:val="未处理的提及1"/>
    <w:basedOn w:val="20"/>
    <w:semiHidden/>
    <w:unhideWhenUsed/>
    <w:qFormat/>
    <w:uiPriority w:val="99"/>
    <w:rPr>
      <w:color w:val="605E5C"/>
      <w:shd w:val="clear" w:color="auto" w:fill="E1DFDD"/>
    </w:rPr>
  </w:style>
  <w:style w:type="paragraph" w:customStyle="1" w:styleId="41">
    <w:name w:val="TOC 标题1"/>
    <w:basedOn w:val="2"/>
    <w:next w:val="1"/>
    <w:unhideWhenUsed/>
    <w:qFormat/>
    <w:uiPriority w:val="39"/>
    <w:pPr>
      <w:widowControl/>
      <w:spacing w:before="240" w:after="0" w:line="259" w:lineRule="auto"/>
      <w:outlineLvl w:val="9"/>
    </w:pPr>
    <w:rPr>
      <w:kern w:val="0"/>
      <w:sz w:val="32"/>
      <w:szCs w:val="32"/>
      <w14:ligatures w14:val="none"/>
    </w:rPr>
  </w:style>
  <w:style w:type="paragraph" w:customStyle="1" w:styleId="42">
    <w:name w:val="Table Text"/>
    <w:basedOn w:val="1"/>
    <w:semiHidden/>
    <w:qFormat/>
    <w:uiPriority w:val="0"/>
    <w:rPr>
      <w:rFonts w:ascii="Arial" w:hAnsi="Arial" w:eastAsia="Arial" w:cs="Arial"/>
      <w:sz w:val="22"/>
      <w:szCs w:val="22"/>
      <w:lang w:val="en-US" w:eastAsia="en-US" w:bidi="ar-SA"/>
    </w:rPr>
  </w:style>
  <w:style w:type="table" w:customStyle="1" w:styleId="43">
    <w:name w:val="Table Normal"/>
    <w:semiHidden/>
    <w:unhideWhenUsed/>
    <w:qFormat/>
    <w:uiPriority w:val="0"/>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EF3BA5C-5536-4B40-A9CB-71CEC8101F88}">
  <ds:schemaRefs/>
</ds:datastoreItem>
</file>

<file path=docProps/app.xml><?xml version="1.0" encoding="utf-8"?>
<Properties xmlns="http://schemas.openxmlformats.org/officeDocument/2006/extended-properties" xmlns:vt="http://schemas.openxmlformats.org/officeDocument/2006/docPropsVTypes">
  <Template>Normal</Template>
  <Pages>20</Pages>
  <Words>3413</Words>
  <Characters>20498</Characters>
  <Lines>382</Lines>
  <Paragraphs>76</Paragraphs>
  <TotalTime>3</TotalTime>
  <ScaleCrop>false</ScaleCrop>
  <LinksUpToDate>false</LinksUpToDate>
  <CharactersWithSpaces>23796</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2025-11-07T22:38:00Z</dcterms:created>
  <dc:creator>Xiaoyu Sun (2503344)</dc:creator>
  <cp:lastModifiedBy>微信用户</cp:lastModifiedBy>
  <dcterms:modified xsi:type="dcterms:W3CDTF">2025-11-14T16:03:51Z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eyJoZGlkIjoiNjZlZDFhZjk3ODY4ZTFmMGNmNDg5YjQyZGEwZTQ1ZmUiLCJ1c2VySWQiOiIxMjg0MTUzNjE2In0=</vt:lpwstr>
  </property>
  <property fmtid="{D5CDD505-2E9C-101B-9397-08002B2CF9AE}" pid="3" name="KSOProductBuildVer">
    <vt:lpwstr>2052-12.1.0.23542</vt:lpwstr>
  </property>
  <property fmtid="{D5CDD505-2E9C-101B-9397-08002B2CF9AE}" pid="4" name="ICV">
    <vt:lpwstr>05BC3B9F6753476CBFAF19F66089BF03_13</vt:lpwstr>
  </property>
</Properties>
</file>