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3F33B" w14:textId="7BB5EE08" w:rsidR="00A54539" w:rsidRDefault="00A54539" w:rsidP="0031304A">
      <w:pPr>
        <w:spacing w:before="100" w:beforeAutospacing="1" w:after="100" w:afterAutospacing="1" w:line="240" w:lineRule="auto"/>
        <w:outlineLvl w:val="0"/>
        <w:rPr>
          <w:rFonts w:ascii="Arial" w:eastAsia="Times New Roman" w:hAnsi="Arial" w:cs="Arial"/>
          <w:b/>
          <w:bCs/>
          <w:kern w:val="36"/>
          <w:sz w:val="22"/>
          <w:szCs w:val="22"/>
          <w14:ligatures w14:val="none"/>
        </w:rPr>
      </w:pPr>
      <w:r w:rsidRPr="00BA5105">
        <w:rPr>
          <w:rFonts w:ascii="Arial" w:eastAsia="Times New Roman" w:hAnsi="Arial" w:cs="Arial"/>
          <w:b/>
          <w:bCs/>
          <w:kern w:val="36"/>
          <w:sz w:val="22"/>
          <w:szCs w:val="22"/>
          <w14:ligatures w14:val="none"/>
        </w:rPr>
        <w:t>Case Study Report – Type 2 Diabetes Mellitus</w:t>
      </w:r>
    </w:p>
    <w:p w14:paraId="1111350F" w14:textId="77777777" w:rsidR="0031304A" w:rsidRPr="0031304A" w:rsidRDefault="0031304A" w:rsidP="0031304A">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37170024"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Student Name: Norin Mahmood</w:t>
      </w:r>
    </w:p>
    <w:p w14:paraId="086D3987" w14:textId="5CAA7F8C"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 xml:space="preserve">Student Number: </w:t>
      </w:r>
      <w:r w:rsidR="00DD4F0D" w:rsidRPr="00BA5105">
        <w:rPr>
          <w:rFonts w:ascii="Arial" w:hAnsi="Arial" w:cs="Arial"/>
          <w:kern w:val="0"/>
          <w:sz w:val="22"/>
          <w:szCs w:val="22"/>
          <w14:ligatures w14:val="none"/>
        </w:rPr>
        <w:t>2411895</w:t>
      </w:r>
    </w:p>
    <w:p w14:paraId="6144985A" w14:textId="3CEEC8AC"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 xml:space="preserve">Module Code: </w:t>
      </w:r>
      <w:r w:rsidR="00E0440C" w:rsidRPr="00781740">
        <w:rPr>
          <w:rFonts w:ascii="Arial" w:hAnsi="Arial" w:cs="Arial"/>
          <w:bCs/>
          <w:sz w:val="22"/>
          <w:szCs w:val="22"/>
        </w:rPr>
        <w:t>BMHP5023</w:t>
      </w:r>
    </w:p>
    <w:p w14:paraId="1F95AA43"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Module Title: Professional Development within Health and Social Care</w:t>
      </w:r>
    </w:p>
    <w:p w14:paraId="4BB17F97" w14:textId="18E45866" w:rsidR="00A54539" w:rsidRPr="008D4163"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 xml:space="preserve">Word Count: </w:t>
      </w:r>
      <w:r w:rsidR="008D4163">
        <w:rPr>
          <w:rFonts w:ascii="Arial" w:hAnsi="Arial" w:cs="Arial"/>
          <w:kern w:val="0"/>
          <w:sz w:val="22"/>
          <w:szCs w:val="22"/>
          <w14:ligatures w14:val="none"/>
        </w:rPr>
        <w:t>1,950</w:t>
      </w:r>
    </w:p>
    <w:p w14:paraId="7378A6FC" w14:textId="77777777" w:rsidR="00A54539" w:rsidRPr="00BA5105" w:rsidRDefault="00A54539" w:rsidP="00A54539">
      <w:pPr>
        <w:spacing w:after="0" w:line="240" w:lineRule="auto"/>
        <w:rPr>
          <w:rFonts w:ascii="Arial" w:eastAsia="Times New Roman" w:hAnsi="Arial" w:cs="Arial"/>
          <w:kern w:val="0"/>
          <w:sz w:val="22"/>
          <w:szCs w:val="22"/>
          <w14:ligatures w14:val="none"/>
        </w:rPr>
      </w:pPr>
      <w:r w:rsidRPr="00BA5105">
        <w:rPr>
          <w:rFonts w:ascii="Arial" w:eastAsia="Times New Roman" w:hAnsi="Arial" w:cs="Arial"/>
          <w:noProof/>
          <w:kern w:val="0"/>
          <w:sz w:val="22"/>
          <w:szCs w:val="22"/>
          <w14:ligatures w14:val="none"/>
        </w:rPr>
        <mc:AlternateContent>
          <mc:Choice Requires="wps">
            <w:drawing>
              <wp:inline distT="0" distB="0" distL="0" distR="0" wp14:anchorId="51F5FF56" wp14:editId="6551622D">
                <wp:extent cx="5731510" cy="1270"/>
                <wp:effectExtent l="0" t="31750" r="0" b="36830"/>
                <wp:docPr id="484274351"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27CDF18"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6AAF74C" w14:textId="77777777" w:rsidR="00A54539" w:rsidRPr="00BA5105" w:rsidRDefault="00A54539" w:rsidP="00A54539">
      <w:pPr>
        <w:spacing w:before="100" w:beforeAutospacing="1" w:after="100" w:afterAutospacing="1" w:line="240" w:lineRule="auto"/>
        <w:outlineLvl w:val="1"/>
        <w:rPr>
          <w:rFonts w:ascii="Arial" w:hAnsi="Arial" w:cs="Arial"/>
          <w:b/>
          <w:bCs/>
          <w:kern w:val="0"/>
          <w:sz w:val="22"/>
          <w:szCs w:val="22"/>
          <w14:ligatures w14:val="none"/>
        </w:rPr>
      </w:pPr>
      <w:r w:rsidRPr="00BA5105">
        <w:rPr>
          <w:rFonts w:ascii="Arial" w:eastAsia="Times New Roman" w:hAnsi="Arial" w:cs="Arial"/>
          <w:b/>
          <w:bCs/>
          <w:kern w:val="0"/>
          <w:sz w:val="22"/>
          <w:szCs w:val="22"/>
          <w14:ligatures w14:val="none"/>
        </w:rPr>
        <w:t>Introduction</w:t>
      </w:r>
    </w:p>
    <w:p w14:paraId="17DE1214"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3D68394C"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The practice nurse in a local GP surgery has observed a steady increase in the number of patients diagnosed with diabetes. Many of these individuals require further education to understand their condition and to make lifestyle adjustments that support effective self-management. Diabetes mellitus is a long-term metabolic disorder characterised by persistent hyperglycaemia due to defects in insulin secretion, insulin action, or both. There are two primary types: Type 1 diabetes, which is autoimmune in nature and results in an absolute insulin deficiency, and Type 2 diabetes, which accounts for around 90% of all cases and is associated with insulin resistance and impaired insulin secretion (Diabetes UK, 2023).</w:t>
      </w:r>
    </w:p>
    <w:p w14:paraId="626ADCA4"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389F7D15"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 xml:space="preserve">Type 2 diabetes (T2DM) is strongly linked to lifestyle and environmental factors. The main risk factors include obesity, sedentary lifestyle, poor diet high in saturated fats and sugars, family history, increasing age, and certain ethnic backgrounds such as South Asian and African-Caribbean populations (NHS, 2024). Other contributing risks include hypertension, </w:t>
      </w:r>
      <w:proofErr w:type="spellStart"/>
      <w:r w:rsidRPr="00BA5105">
        <w:rPr>
          <w:rFonts w:ascii="Arial" w:hAnsi="Arial" w:cs="Arial"/>
          <w:kern w:val="0"/>
          <w:sz w:val="22"/>
          <w:szCs w:val="22"/>
          <w14:ligatures w14:val="none"/>
        </w:rPr>
        <w:t>dyslipidaemia</w:t>
      </w:r>
      <w:proofErr w:type="spellEnd"/>
      <w:r w:rsidRPr="00BA5105">
        <w:rPr>
          <w:rFonts w:ascii="Arial" w:hAnsi="Arial" w:cs="Arial"/>
          <w:kern w:val="0"/>
          <w:sz w:val="22"/>
          <w:szCs w:val="22"/>
          <w14:ligatures w14:val="none"/>
        </w:rPr>
        <w:t>, and smoking. If left unmanaged, Type 2 diabetes can lead to severe complications such as cardiovascular disease, kidney damage, neuropathy, and retinopathy. In the context of general practice, the nurse plays a crucial role in early detection, education, and supporting patients to modify behaviours to maintain safe blood glucose levels (NICE, 2022).</w:t>
      </w:r>
    </w:p>
    <w:p w14:paraId="598E71FC"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48B7A4D7"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To illustrate, this report considers a typical patient—Mr Jones, a 52-year-old office worker recently diagnosed with Type 2 diabetes following a routine health check. He presents with a body mass index (BMI) of 32 kg/m², limited physical activity, and a diet high in processed carbohydrates. Like many patients, Mr Jones has minimal understanding of how his daily choices impact his blood glucose levels and overall health. This case study aims to provide information the practice nurse could use to educate such patients about diabetes, its physiological basis, and practical steps for effective self-management.</w:t>
      </w:r>
    </w:p>
    <w:p w14:paraId="483BB335" w14:textId="77777777" w:rsidR="00A54539" w:rsidRPr="00BA5105" w:rsidRDefault="00A54539" w:rsidP="00A54539">
      <w:pPr>
        <w:spacing w:after="0" w:line="240" w:lineRule="auto"/>
        <w:rPr>
          <w:rFonts w:ascii="Arial" w:eastAsia="Times New Roman" w:hAnsi="Arial" w:cs="Arial"/>
          <w:kern w:val="0"/>
          <w:sz w:val="22"/>
          <w:szCs w:val="22"/>
          <w14:ligatures w14:val="none"/>
        </w:rPr>
      </w:pPr>
      <w:r w:rsidRPr="00BA5105">
        <w:rPr>
          <w:rFonts w:ascii="Arial" w:eastAsia="Times New Roman" w:hAnsi="Arial" w:cs="Arial"/>
          <w:noProof/>
          <w:kern w:val="0"/>
          <w:sz w:val="22"/>
          <w:szCs w:val="22"/>
          <w14:ligatures w14:val="none"/>
        </w:rPr>
        <mc:AlternateContent>
          <mc:Choice Requires="wps">
            <w:drawing>
              <wp:inline distT="0" distB="0" distL="0" distR="0" wp14:anchorId="7E3053AD" wp14:editId="1F07134E">
                <wp:extent cx="5731510" cy="1270"/>
                <wp:effectExtent l="0" t="31750" r="0" b="36830"/>
                <wp:docPr id="1956397195"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16C11A9"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556CFB2" w14:textId="77777777" w:rsidR="00A54539" w:rsidRPr="00BA5105" w:rsidRDefault="00A54539" w:rsidP="00A54539">
      <w:pPr>
        <w:spacing w:before="100" w:beforeAutospacing="1" w:after="100" w:afterAutospacing="1" w:line="240" w:lineRule="auto"/>
        <w:outlineLvl w:val="1"/>
        <w:rPr>
          <w:rFonts w:ascii="Arial" w:hAnsi="Arial" w:cs="Arial"/>
          <w:b/>
          <w:bCs/>
          <w:kern w:val="0"/>
          <w:sz w:val="22"/>
          <w:szCs w:val="22"/>
          <w14:ligatures w14:val="none"/>
        </w:rPr>
      </w:pPr>
      <w:r w:rsidRPr="00BA5105">
        <w:rPr>
          <w:rFonts w:ascii="Arial" w:eastAsia="Times New Roman" w:hAnsi="Arial" w:cs="Arial"/>
          <w:b/>
          <w:bCs/>
          <w:kern w:val="0"/>
          <w:sz w:val="22"/>
          <w:szCs w:val="22"/>
          <w14:ligatures w14:val="none"/>
        </w:rPr>
        <w:t>Regulation of Blood Sugar Levels</w:t>
      </w:r>
    </w:p>
    <w:p w14:paraId="5E6AB887"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3F35FD37"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 xml:space="preserve">Blood glucose regulation is essential for maintaining energy supply and preventing cellular damage. In healthy individuals, homeostasis is maintained primarily by the pancreas, liver, and peripheral tissues. After food intake, blood glucose levels rise, stimulating the β-cells of the pancreatic islets of </w:t>
      </w:r>
      <w:proofErr w:type="spellStart"/>
      <w:r w:rsidRPr="00BA5105">
        <w:rPr>
          <w:rFonts w:ascii="Arial" w:hAnsi="Arial" w:cs="Arial"/>
          <w:kern w:val="0"/>
          <w:sz w:val="22"/>
          <w:szCs w:val="22"/>
          <w14:ligatures w14:val="none"/>
        </w:rPr>
        <w:t>Langerhans</w:t>
      </w:r>
      <w:proofErr w:type="spellEnd"/>
      <w:r w:rsidRPr="00BA5105">
        <w:rPr>
          <w:rFonts w:ascii="Arial" w:hAnsi="Arial" w:cs="Arial"/>
          <w:kern w:val="0"/>
          <w:sz w:val="22"/>
          <w:szCs w:val="22"/>
          <w14:ligatures w14:val="none"/>
        </w:rPr>
        <w:t xml:space="preserve"> to secrete insulin. Insulin promotes glucose uptake by muscle and adipose cells through glucose transporter type 4 (GLUT4) and encourages glycogen synthesis in the liver (</w:t>
      </w:r>
      <w:proofErr w:type="spellStart"/>
      <w:r w:rsidRPr="00BA5105">
        <w:rPr>
          <w:rFonts w:ascii="Arial" w:hAnsi="Arial" w:cs="Arial"/>
          <w:kern w:val="0"/>
          <w:sz w:val="22"/>
          <w:szCs w:val="22"/>
          <w14:ligatures w14:val="none"/>
        </w:rPr>
        <w:t>Guyton</w:t>
      </w:r>
      <w:proofErr w:type="spellEnd"/>
      <w:r w:rsidRPr="00BA5105">
        <w:rPr>
          <w:rFonts w:ascii="Arial" w:hAnsi="Arial" w:cs="Arial"/>
          <w:kern w:val="0"/>
          <w:sz w:val="22"/>
          <w:szCs w:val="22"/>
          <w14:ligatures w14:val="none"/>
        </w:rPr>
        <w:t xml:space="preserve"> and Hall, 2020).</w:t>
      </w:r>
    </w:p>
    <w:p w14:paraId="15400F95"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55A2907C"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When glucose levels fall between meals or during physical activity, the α-cells of the pancreas release glucagon. Glucagon acts on the liver to convert stored glycogen into glucose (</w:t>
      </w:r>
      <w:proofErr w:type="spellStart"/>
      <w:r w:rsidRPr="00BA5105">
        <w:rPr>
          <w:rFonts w:ascii="Arial" w:hAnsi="Arial" w:cs="Arial"/>
          <w:kern w:val="0"/>
          <w:sz w:val="22"/>
          <w:szCs w:val="22"/>
          <w14:ligatures w14:val="none"/>
        </w:rPr>
        <w:t>glycogenolysis</w:t>
      </w:r>
      <w:proofErr w:type="spellEnd"/>
      <w:r w:rsidRPr="00BA5105">
        <w:rPr>
          <w:rFonts w:ascii="Arial" w:hAnsi="Arial" w:cs="Arial"/>
          <w:kern w:val="0"/>
          <w:sz w:val="22"/>
          <w:szCs w:val="22"/>
          <w14:ligatures w14:val="none"/>
        </w:rPr>
        <w:t xml:space="preserve">) and to generate new glucose through </w:t>
      </w:r>
      <w:proofErr w:type="spellStart"/>
      <w:r w:rsidRPr="00BA5105">
        <w:rPr>
          <w:rFonts w:ascii="Arial" w:hAnsi="Arial" w:cs="Arial"/>
          <w:kern w:val="0"/>
          <w:sz w:val="22"/>
          <w:szCs w:val="22"/>
          <w14:ligatures w14:val="none"/>
        </w:rPr>
        <w:t>gluconeogenesis</w:t>
      </w:r>
      <w:proofErr w:type="spellEnd"/>
      <w:r w:rsidRPr="00BA5105">
        <w:rPr>
          <w:rFonts w:ascii="Arial" w:hAnsi="Arial" w:cs="Arial"/>
          <w:kern w:val="0"/>
          <w:sz w:val="22"/>
          <w:szCs w:val="22"/>
          <w14:ligatures w14:val="none"/>
        </w:rPr>
        <w:t>, releasing it into the bloodstream to restore normal levels. Adrenaline and cortisol can also raise glucose levels during stress or illness.</w:t>
      </w:r>
    </w:p>
    <w:p w14:paraId="588DB837"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4FE107A5"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In Type 2 diabetes, insulin resistance means cells become less responsive to insulin. The pancreas compensates by producing more insulin, but over time β-cell fatigue develops, leading to inadequate insulin secretion. The result is chronic hyperglycaemia. This imbalance causes symptoms such as fatigue, polyuria, and blurred vision, and over years, it contributes to vascular and nerve damage (Sherwood, 2019).</w:t>
      </w:r>
    </w:p>
    <w:p w14:paraId="06EF33D7"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21A46BFD"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 xml:space="preserve">Maintaining blood glucose between approximately 4–7 </w:t>
      </w:r>
      <w:proofErr w:type="spellStart"/>
      <w:r w:rsidRPr="00BA5105">
        <w:rPr>
          <w:rFonts w:ascii="Arial" w:hAnsi="Arial" w:cs="Arial"/>
          <w:kern w:val="0"/>
          <w:sz w:val="22"/>
          <w:szCs w:val="22"/>
          <w14:ligatures w14:val="none"/>
        </w:rPr>
        <w:t>mmol</w:t>
      </w:r>
      <w:proofErr w:type="spellEnd"/>
      <w:r w:rsidRPr="00BA5105">
        <w:rPr>
          <w:rFonts w:ascii="Arial" w:hAnsi="Arial" w:cs="Arial"/>
          <w:kern w:val="0"/>
          <w:sz w:val="22"/>
          <w:szCs w:val="22"/>
          <w14:ligatures w14:val="none"/>
        </w:rPr>
        <w:t>/L before meals is vital. The practice nurse can help patients understand that consistent monitoring, medication adherence, and dietary adjustments all work together to preserve this range and prevent complications.</w:t>
      </w:r>
    </w:p>
    <w:p w14:paraId="3BCF9B2F" w14:textId="77777777" w:rsidR="00A54539" w:rsidRPr="00BA5105" w:rsidRDefault="00A54539" w:rsidP="00A54539">
      <w:pPr>
        <w:spacing w:after="0" w:line="240" w:lineRule="auto"/>
        <w:rPr>
          <w:rFonts w:ascii="Arial" w:eastAsia="Times New Roman" w:hAnsi="Arial" w:cs="Arial"/>
          <w:kern w:val="0"/>
          <w:sz w:val="22"/>
          <w:szCs w:val="22"/>
          <w14:ligatures w14:val="none"/>
        </w:rPr>
      </w:pPr>
      <w:r w:rsidRPr="00BA5105">
        <w:rPr>
          <w:rFonts w:ascii="Arial" w:eastAsia="Times New Roman" w:hAnsi="Arial" w:cs="Arial"/>
          <w:noProof/>
          <w:kern w:val="0"/>
          <w:sz w:val="22"/>
          <w:szCs w:val="22"/>
          <w14:ligatures w14:val="none"/>
        </w:rPr>
        <mc:AlternateContent>
          <mc:Choice Requires="wps">
            <w:drawing>
              <wp:inline distT="0" distB="0" distL="0" distR="0" wp14:anchorId="6D7C49C3" wp14:editId="5426A10B">
                <wp:extent cx="5731510" cy="1270"/>
                <wp:effectExtent l="0" t="31750" r="0" b="36830"/>
                <wp:docPr id="1972350034"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AF854FC"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6811E7C" w14:textId="77777777" w:rsidR="00A54539" w:rsidRPr="00BA5105" w:rsidRDefault="00A54539" w:rsidP="00A54539">
      <w:pPr>
        <w:spacing w:before="100" w:beforeAutospacing="1" w:after="100" w:afterAutospacing="1" w:line="240" w:lineRule="auto"/>
        <w:outlineLvl w:val="1"/>
        <w:rPr>
          <w:rFonts w:ascii="Arial" w:hAnsi="Arial" w:cs="Arial"/>
          <w:b/>
          <w:bCs/>
          <w:kern w:val="0"/>
          <w:sz w:val="22"/>
          <w:szCs w:val="22"/>
          <w14:ligatures w14:val="none"/>
        </w:rPr>
      </w:pPr>
      <w:r w:rsidRPr="00BA5105">
        <w:rPr>
          <w:rFonts w:ascii="Arial" w:eastAsia="Times New Roman" w:hAnsi="Arial" w:cs="Arial"/>
          <w:b/>
          <w:bCs/>
          <w:kern w:val="0"/>
          <w:sz w:val="22"/>
          <w:szCs w:val="22"/>
          <w14:ligatures w14:val="none"/>
        </w:rPr>
        <w:t>Cellular Energy and the Role of Oxygen and Glucose</w:t>
      </w:r>
    </w:p>
    <w:p w14:paraId="427B4EAB"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0F85C4E0"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Energy production occurs through cellular respiration, in which glucose and oxygen are essential substrates. Inside cells, glucose undergoes glycolysis in the cytoplasm, forming pyruvate and generating small amounts of adenosine triphosphate (ATP). Pyruvate then enters mitochondria, where it is converted into acetyl-CoA and fed into the Krebs (citric acid) cycle.</w:t>
      </w:r>
    </w:p>
    <w:p w14:paraId="19DE752F"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06423B35"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The cycle produces reducing molecules (NADH and FADH</w:t>
      </w:r>
      <w:r w:rsidRPr="00BA5105">
        <w:rPr>
          <w:rFonts w:ascii="Cambria Math" w:hAnsi="Cambria Math" w:cs="Cambria Math"/>
          <w:kern w:val="0"/>
          <w:sz w:val="22"/>
          <w:szCs w:val="22"/>
          <w14:ligatures w14:val="none"/>
        </w:rPr>
        <w:t>₂</w:t>
      </w:r>
      <w:r w:rsidRPr="00BA5105">
        <w:rPr>
          <w:rFonts w:ascii="Arial" w:hAnsi="Arial" w:cs="Arial"/>
          <w:kern w:val="0"/>
          <w:sz w:val="22"/>
          <w:szCs w:val="22"/>
          <w14:ligatures w14:val="none"/>
        </w:rPr>
        <w:t>), which transfer electrons through the electron transport chain. Oxygen acts as the final electron acceptor, forming water and releasing energy used to generate large amounts of ATP (</w:t>
      </w:r>
      <w:proofErr w:type="spellStart"/>
      <w:r w:rsidRPr="00BA5105">
        <w:rPr>
          <w:rFonts w:ascii="Arial" w:hAnsi="Arial" w:cs="Arial"/>
          <w:kern w:val="0"/>
          <w:sz w:val="22"/>
          <w:szCs w:val="22"/>
          <w14:ligatures w14:val="none"/>
        </w:rPr>
        <w:t>Marieb</w:t>
      </w:r>
      <w:proofErr w:type="spellEnd"/>
      <w:r w:rsidRPr="00BA5105">
        <w:rPr>
          <w:rFonts w:ascii="Arial" w:hAnsi="Arial" w:cs="Arial"/>
          <w:kern w:val="0"/>
          <w:sz w:val="22"/>
          <w:szCs w:val="22"/>
          <w14:ligatures w14:val="none"/>
        </w:rPr>
        <w:t xml:space="preserve"> and </w:t>
      </w:r>
      <w:proofErr w:type="spellStart"/>
      <w:r w:rsidRPr="00BA5105">
        <w:rPr>
          <w:rFonts w:ascii="Arial" w:hAnsi="Arial" w:cs="Arial"/>
          <w:kern w:val="0"/>
          <w:sz w:val="22"/>
          <w:szCs w:val="22"/>
          <w14:ligatures w14:val="none"/>
        </w:rPr>
        <w:t>Hoehn</w:t>
      </w:r>
      <w:proofErr w:type="spellEnd"/>
      <w:r w:rsidRPr="00BA5105">
        <w:rPr>
          <w:rFonts w:ascii="Arial" w:hAnsi="Arial" w:cs="Arial"/>
          <w:kern w:val="0"/>
          <w:sz w:val="22"/>
          <w:szCs w:val="22"/>
          <w14:ligatures w14:val="none"/>
        </w:rPr>
        <w:t>, 2019). Without sufficient insulin, glucose cannot efficiently enter cells, forcing the body to break down fats for energy, producing ketones. In uncontrolled diabetes, excess ketones lead to metabolic acidosis, which can be life-threatening.</w:t>
      </w:r>
    </w:p>
    <w:p w14:paraId="35E61D65"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58028DEC"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This knowledge helps patients like Mr Jones understand why maintaining stable glucose levels is essential for every body system—from muscle function to brain activity—and why both diet and medication are necessary to support normal energy production.</w:t>
      </w:r>
    </w:p>
    <w:p w14:paraId="750B7597" w14:textId="77777777" w:rsidR="00A54539" w:rsidRPr="00BA5105" w:rsidRDefault="00A54539" w:rsidP="00A54539">
      <w:pPr>
        <w:spacing w:after="0" w:line="240" w:lineRule="auto"/>
        <w:rPr>
          <w:rFonts w:ascii="Arial" w:eastAsia="Times New Roman" w:hAnsi="Arial" w:cs="Arial"/>
          <w:kern w:val="0"/>
          <w:sz w:val="22"/>
          <w:szCs w:val="22"/>
          <w14:ligatures w14:val="none"/>
        </w:rPr>
      </w:pPr>
      <w:r w:rsidRPr="00BA5105">
        <w:rPr>
          <w:rFonts w:ascii="Arial" w:eastAsia="Times New Roman" w:hAnsi="Arial" w:cs="Arial"/>
          <w:noProof/>
          <w:kern w:val="0"/>
          <w:sz w:val="22"/>
          <w:szCs w:val="22"/>
          <w14:ligatures w14:val="none"/>
        </w:rPr>
        <mc:AlternateContent>
          <mc:Choice Requires="wps">
            <w:drawing>
              <wp:inline distT="0" distB="0" distL="0" distR="0" wp14:anchorId="68FD0FB7" wp14:editId="4F50CED3">
                <wp:extent cx="5731510" cy="1270"/>
                <wp:effectExtent l="0" t="31750" r="0" b="36830"/>
                <wp:docPr id="70355727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6B227EC"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3AB2069" w14:textId="77777777" w:rsidR="00A54539" w:rsidRPr="00BA5105" w:rsidRDefault="00A54539" w:rsidP="00A54539">
      <w:pPr>
        <w:spacing w:before="100" w:beforeAutospacing="1" w:after="100" w:afterAutospacing="1" w:line="240" w:lineRule="auto"/>
        <w:outlineLvl w:val="1"/>
        <w:rPr>
          <w:rFonts w:ascii="Arial" w:hAnsi="Arial" w:cs="Arial"/>
          <w:b/>
          <w:bCs/>
          <w:kern w:val="0"/>
          <w:sz w:val="22"/>
          <w:szCs w:val="22"/>
          <w14:ligatures w14:val="none"/>
        </w:rPr>
      </w:pPr>
      <w:r w:rsidRPr="00BA5105">
        <w:rPr>
          <w:rFonts w:ascii="Arial" w:eastAsia="Times New Roman" w:hAnsi="Arial" w:cs="Arial"/>
          <w:b/>
          <w:bCs/>
          <w:kern w:val="0"/>
          <w:sz w:val="22"/>
          <w:szCs w:val="22"/>
          <w14:ligatures w14:val="none"/>
        </w:rPr>
        <w:t>Monitoring and Recording Blood Sugar Levels</w:t>
      </w:r>
    </w:p>
    <w:p w14:paraId="67072E0A"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197E23EE"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Accurate monitoring of blood glucose is a cornerstone of diabetes self-management. The practice nurse educates patients about self-monitoring of blood glucose (SMBG) and helps them interpret results. Tracking enables patients to see how meals, exercise, stress, and medication affect their readings. Patterns can then guide behavioural and treatment changes.</w:t>
      </w:r>
    </w:p>
    <w:p w14:paraId="17352353"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6C98F407"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 xml:space="preserve">Technological advances such as continuous glucose monitors (CGM) and flash glucose sensors provide detailed trends of glucose fluctuations, alerting users to hypo- or hyperglycaemia. According to the NHS (2024), these tools improve </w:t>
      </w:r>
      <w:proofErr w:type="spellStart"/>
      <w:r w:rsidRPr="00BA5105">
        <w:rPr>
          <w:rFonts w:ascii="Arial" w:hAnsi="Arial" w:cs="Arial"/>
          <w:kern w:val="0"/>
          <w:sz w:val="22"/>
          <w:szCs w:val="22"/>
          <w14:ligatures w14:val="none"/>
        </w:rPr>
        <w:t>glycaemic</w:t>
      </w:r>
      <w:proofErr w:type="spellEnd"/>
      <w:r w:rsidRPr="00BA5105">
        <w:rPr>
          <w:rFonts w:ascii="Arial" w:hAnsi="Arial" w:cs="Arial"/>
          <w:kern w:val="0"/>
          <w:sz w:val="22"/>
          <w:szCs w:val="22"/>
          <w14:ligatures w14:val="none"/>
        </w:rPr>
        <w:t xml:space="preserve"> control and quality of life when used alongside structured education. However, simple capillary finger-prick testing remains valuable and accessible for many.</w:t>
      </w:r>
    </w:p>
    <w:p w14:paraId="42D69852"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3D9E4B4B"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 xml:space="preserve">Regular recording—whether in a diary or app—also allows the nurse and GP to review trends during consultations, identify problem areas, and adjust care plans. Long-term control is measured by </w:t>
      </w:r>
      <w:proofErr w:type="spellStart"/>
      <w:r w:rsidRPr="00BA5105">
        <w:rPr>
          <w:rFonts w:ascii="Arial" w:hAnsi="Arial" w:cs="Arial"/>
          <w:kern w:val="0"/>
          <w:sz w:val="22"/>
          <w:szCs w:val="22"/>
          <w14:ligatures w14:val="none"/>
        </w:rPr>
        <w:t>glycated</w:t>
      </w:r>
      <w:proofErr w:type="spellEnd"/>
      <w:r w:rsidRPr="00BA5105">
        <w:rPr>
          <w:rFonts w:ascii="Arial" w:hAnsi="Arial" w:cs="Arial"/>
          <w:kern w:val="0"/>
          <w:sz w:val="22"/>
          <w:szCs w:val="22"/>
          <w14:ligatures w14:val="none"/>
        </w:rPr>
        <w:t xml:space="preserve"> haemoglobin (HbA1c), which reflects average blood glucose levels over the previous two to three months. NICE (2022) recommends individualised HbA1c targets, often ≤48 </w:t>
      </w:r>
      <w:proofErr w:type="spellStart"/>
      <w:r w:rsidRPr="00BA5105">
        <w:rPr>
          <w:rFonts w:ascii="Arial" w:hAnsi="Arial" w:cs="Arial"/>
          <w:kern w:val="0"/>
          <w:sz w:val="22"/>
          <w:szCs w:val="22"/>
          <w14:ligatures w14:val="none"/>
        </w:rPr>
        <w:t>mmol</w:t>
      </w:r>
      <w:proofErr w:type="spellEnd"/>
      <w:r w:rsidRPr="00BA5105">
        <w:rPr>
          <w:rFonts w:ascii="Arial" w:hAnsi="Arial" w:cs="Arial"/>
          <w:kern w:val="0"/>
          <w:sz w:val="22"/>
          <w:szCs w:val="22"/>
          <w14:ligatures w14:val="none"/>
        </w:rPr>
        <w:t>/mol for most adults.</w:t>
      </w:r>
    </w:p>
    <w:p w14:paraId="7CBB5D5A"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3AF92F1F"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For Mr Jones, the nurse could demonstrate how keeping a daily log of glucose readings, meal times, and activities allows him to connect cause and effect—for instance, noting that high-carbohydrate breakfasts raise his readings or that evening walks lower them. This data empowers patients to take ownership of their condition.</w:t>
      </w:r>
    </w:p>
    <w:p w14:paraId="0491819F" w14:textId="77777777" w:rsidR="00A54539" w:rsidRPr="00BA5105" w:rsidRDefault="00A54539" w:rsidP="00A54539">
      <w:pPr>
        <w:spacing w:after="0" w:line="240" w:lineRule="auto"/>
        <w:rPr>
          <w:rFonts w:ascii="Arial" w:eastAsia="Times New Roman" w:hAnsi="Arial" w:cs="Arial"/>
          <w:kern w:val="0"/>
          <w:sz w:val="22"/>
          <w:szCs w:val="22"/>
          <w14:ligatures w14:val="none"/>
        </w:rPr>
      </w:pPr>
      <w:r w:rsidRPr="00BA5105">
        <w:rPr>
          <w:rFonts w:ascii="Arial" w:eastAsia="Times New Roman" w:hAnsi="Arial" w:cs="Arial"/>
          <w:noProof/>
          <w:kern w:val="0"/>
          <w:sz w:val="22"/>
          <w:szCs w:val="22"/>
          <w14:ligatures w14:val="none"/>
        </w:rPr>
        <mc:AlternateContent>
          <mc:Choice Requires="wps">
            <w:drawing>
              <wp:inline distT="0" distB="0" distL="0" distR="0" wp14:anchorId="6A1B4B58" wp14:editId="34264EE1">
                <wp:extent cx="5731510" cy="1270"/>
                <wp:effectExtent l="0" t="31750" r="0" b="36830"/>
                <wp:docPr id="1654763307"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1FA3805"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D265D91" w14:textId="77777777" w:rsidR="00A54539" w:rsidRPr="00BA5105" w:rsidRDefault="00A54539" w:rsidP="00A54539">
      <w:pPr>
        <w:spacing w:before="100" w:beforeAutospacing="1" w:after="100" w:afterAutospacing="1" w:line="240" w:lineRule="auto"/>
        <w:outlineLvl w:val="1"/>
        <w:rPr>
          <w:rFonts w:ascii="Arial" w:hAnsi="Arial" w:cs="Arial"/>
          <w:b/>
          <w:bCs/>
          <w:kern w:val="0"/>
          <w:sz w:val="22"/>
          <w:szCs w:val="22"/>
          <w14:ligatures w14:val="none"/>
        </w:rPr>
      </w:pPr>
      <w:r w:rsidRPr="00BA5105">
        <w:rPr>
          <w:rFonts w:ascii="Arial" w:eastAsia="Times New Roman" w:hAnsi="Arial" w:cs="Arial"/>
          <w:b/>
          <w:bCs/>
          <w:kern w:val="0"/>
          <w:sz w:val="22"/>
          <w:szCs w:val="22"/>
          <w14:ligatures w14:val="none"/>
        </w:rPr>
        <w:t>Physiological Effects of Uncontrolled Blood Sugar</w:t>
      </w:r>
    </w:p>
    <w:p w14:paraId="23E07558"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7502797F"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 xml:space="preserve">Persistent hyperglycaemia triggers a cascade of harmful effects throughout the body. Excess glucose binds to proteins and lipids, forming advanced </w:t>
      </w:r>
      <w:proofErr w:type="spellStart"/>
      <w:r w:rsidRPr="00BA5105">
        <w:rPr>
          <w:rFonts w:ascii="Arial" w:hAnsi="Arial" w:cs="Arial"/>
          <w:kern w:val="0"/>
          <w:sz w:val="22"/>
          <w:szCs w:val="22"/>
          <w14:ligatures w14:val="none"/>
        </w:rPr>
        <w:t>glycation</w:t>
      </w:r>
      <w:proofErr w:type="spellEnd"/>
      <w:r w:rsidRPr="00BA5105">
        <w:rPr>
          <w:rFonts w:ascii="Arial" w:hAnsi="Arial" w:cs="Arial"/>
          <w:kern w:val="0"/>
          <w:sz w:val="22"/>
          <w:szCs w:val="22"/>
          <w14:ligatures w14:val="none"/>
        </w:rPr>
        <w:t xml:space="preserve"> end-products (AGEs) that damage blood vessels and tissues (Waugh and Grant, 2018). Microvascular complications include diabetic retinopathy, </w:t>
      </w:r>
      <w:proofErr w:type="spellStart"/>
      <w:r w:rsidRPr="00BA5105">
        <w:rPr>
          <w:rFonts w:ascii="Arial" w:hAnsi="Arial" w:cs="Arial"/>
          <w:kern w:val="0"/>
          <w:sz w:val="22"/>
          <w:szCs w:val="22"/>
          <w14:ligatures w14:val="none"/>
        </w:rPr>
        <w:t>nephropathy</w:t>
      </w:r>
      <w:proofErr w:type="spellEnd"/>
      <w:r w:rsidRPr="00BA5105">
        <w:rPr>
          <w:rFonts w:ascii="Arial" w:hAnsi="Arial" w:cs="Arial"/>
          <w:kern w:val="0"/>
          <w:sz w:val="22"/>
          <w:szCs w:val="22"/>
          <w14:ligatures w14:val="none"/>
        </w:rPr>
        <w:t xml:space="preserve">, and neuropathy, while </w:t>
      </w:r>
      <w:proofErr w:type="spellStart"/>
      <w:r w:rsidRPr="00BA5105">
        <w:rPr>
          <w:rFonts w:ascii="Arial" w:hAnsi="Arial" w:cs="Arial"/>
          <w:kern w:val="0"/>
          <w:sz w:val="22"/>
          <w:szCs w:val="22"/>
          <w14:ligatures w14:val="none"/>
        </w:rPr>
        <w:t>macrovascular</w:t>
      </w:r>
      <w:proofErr w:type="spellEnd"/>
      <w:r w:rsidRPr="00BA5105">
        <w:rPr>
          <w:rFonts w:ascii="Arial" w:hAnsi="Arial" w:cs="Arial"/>
          <w:kern w:val="0"/>
          <w:sz w:val="22"/>
          <w:szCs w:val="22"/>
          <w14:ligatures w14:val="none"/>
        </w:rPr>
        <w:t xml:space="preserve"> complications involve heart disease, stroke, and peripheral vascular disease (Public Health England, 2022).</w:t>
      </w:r>
    </w:p>
    <w:p w14:paraId="7AFBF6BE"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2F35CFBC"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Monitoring helps detect issues early—regular eye screenings, foot checks, and renal tests allow prompt intervention. For example, a patient whose HbA1c rises steadily despite lifestyle efforts might need medication adjustments or referral to a diabetes specialist nurse. Ongoing recording and communication with the healthcare team are therefore vital for safety and prevention.</w:t>
      </w:r>
    </w:p>
    <w:p w14:paraId="3E6F2AC0" w14:textId="77777777" w:rsidR="00A54539" w:rsidRPr="00BA5105" w:rsidRDefault="00A54539" w:rsidP="00A54539">
      <w:pPr>
        <w:spacing w:after="0" w:line="240" w:lineRule="auto"/>
        <w:rPr>
          <w:rFonts w:ascii="Arial" w:eastAsia="Times New Roman" w:hAnsi="Arial" w:cs="Arial"/>
          <w:kern w:val="0"/>
          <w:sz w:val="22"/>
          <w:szCs w:val="22"/>
          <w14:ligatures w14:val="none"/>
        </w:rPr>
      </w:pPr>
      <w:r w:rsidRPr="00BA5105">
        <w:rPr>
          <w:rFonts w:ascii="Arial" w:eastAsia="Times New Roman" w:hAnsi="Arial" w:cs="Arial"/>
          <w:noProof/>
          <w:kern w:val="0"/>
          <w:sz w:val="22"/>
          <w:szCs w:val="22"/>
          <w14:ligatures w14:val="none"/>
        </w:rPr>
        <mc:AlternateContent>
          <mc:Choice Requires="wps">
            <w:drawing>
              <wp:inline distT="0" distB="0" distL="0" distR="0" wp14:anchorId="3CACD465" wp14:editId="4D5D0B8B">
                <wp:extent cx="5731510" cy="1270"/>
                <wp:effectExtent l="0" t="31750" r="0" b="36830"/>
                <wp:docPr id="413622648"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5DDD0F1"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9C7DE38" w14:textId="77777777" w:rsidR="00A54539" w:rsidRPr="00BA5105" w:rsidRDefault="00A54539" w:rsidP="00A54539">
      <w:pPr>
        <w:spacing w:before="100" w:beforeAutospacing="1" w:after="100" w:afterAutospacing="1" w:line="240" w:lineRule="auto"/>
        <w:outlineLvl w:val="1"/>
        <w:rPr>
          <w:rFonts w:ascii="Arial" w:hAnsi="Arial" w:cs="Arial"/>
          <w:b/>
          <w:bCs/>
          <w:kern w:val="0"/>
          <w:sz w:val="22"/>
          <w:szCs w:val="22"/>
          <w14:ligatures w14:val="none"/>
        </w:rPr>
      </w:pPr>
      <w:r w:rsidRPr="00BA5105">
        <w:rPr>
          <w:rFonts w:ascii="Arial" w:eastAsia="Times New Roman" w:hAnsi="Arial" w:cs="Arial"/>
          <w:b/>
          <w:bCs/>
          <w:kern w:val="0"/>
          <w:sz w:val="22"/>
          <w:szCs w:val="22"/>
          <w14:ligatures w14:val="none"/>
        </w:rPr>
        <w:t>Lifestyle Modifications and Evidence-Based Recommendations</w:t>
      </w:r>
    </w:p>
    <w:p w14:paraId="13A4D55A"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35998A5B"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Lifestyle change remains the most powerful tool for managing Type 2 diabetes. The practice nurse’s role is to support achievable goals and sustain motivation through education and encouragement.</w:t>
      </w:r>
    </w:p>
    <w:p w14:paraId="5E5D826C"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4461605F" w14:textId="77777777" w:rsidR="00A54539" w:rsidRPr="00BA5105" w:rsidRDefault="00A54539" w:rsidP="00A54539">
      <w:pPr>
        <w:spacing w:before="100" w:beforeAutospacing="1" w:after="100" w:afterAutospacing="1" w:line="240" w:lineRule="auto"/>
        <w:outlineLvl w:val="2"/>
        <w:rPr>
          <w:rFonts w:ascii="Arial" w:eastAsia="Times New Roman" w:hAnsi="Arial" w:cs="Arial"/>
          <w:b/>
          <w:bCs/>
          <w:kern w:val="0"/>
          <w:sz w:val="22"/>
          <w:szCs w:val="22"/>
          <w14:ligatures w14:val="none"/>
        </w:rPr>
      </w:pPr>
      <w:r w:rsidRPr="00BA5105">
        <w:rPr>
          <w:rFonts w:ascii="Arial" w:eastAsia="Times New Roman" w:hAnsi="Arial" w:cs="Arial"/>
          <w:b/>
          <w:bCs/>
          <w:kern w:val="0"/>
          <w:sz w:val="22"/>
          <w:szCs w:val="22"/>
          <w14:ligatures w14:val="none"/>
        </w:rPr>
        <w:t>1. Nutrition</w:t>
      </w:r>
    </w:p>
    <w:p w14:paraId="66BAEF01"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2C6FF90B"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 xml:space="preserve">Adopting a balanced, </w:t>
      </w:r>
      <w:proofErr w:type="spellStart"/>
      <w:r w:rsidRPr="00BA5105">
        <w:rPr>
          <w:rFonts w:ascii="Arial" w:hAnsi="Arial" w:cs="Arial"/>
          <w:kern w:val="0"/>
          <w:sz w:val="22"/>
          <w:szCs w:val="22"/>
          <w14:ligatures w14:val="none"/>
        </w:rPr>
        <w:t>lower-glycaemic-index</w:t>
      </w:r>
      <w:proofErr w:type="spellEnd"/>
      <w:r w:rsidRPr="00BA5105">
        <w:rPr>
          <w:rFonts w:ascii="Arial" w:hAnsi="Arial" w:cs="Arial"/>
          <w:kern w:val="0"/>
          <w:sz w:val="22"/>
          <w:szCs w:val="22"/>
          <w14:ligatures w14:val="none"/>
        </w:rPr>
        <w:t xml:space="preserve"> diet rich in whole grains, vegetables, lean proteins, and unsaturated fats can improve glucose control and promote weight loss. Reducing portion sizes and limiting sugary drinks or processed foods are simple yet effective strategies (Diabetes UK, 2023). Structured education programmes such as DESMOND (Diabetes Education and Self-Management for Ongoing and Newly Diagnosed) have proven to improve dietary habits and HbA1c outcomes. The nurse can provide tailored meal plans or refer patients to a dietitian for specialist support.</w:t>
      </w:r>
    </w:p>
    <w:p w14:paraId="5EB1E240"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6941A77C" w14:textId="77777777" w:rsidR="00A54539" w:rsidRPr="00BA5105" w:rsidRDefault="00A54539" w:rsidP="00A54539">
      <w:pPr>
        <w:spacing w:before="100" w:beforeAutospacing="1" w:after="100" w:afterAutospacing="1" w:line="240" w:lineRule="auto"/>
        <w:outlineLvl w:val="2"/>
        <w:rPr>
          <w:rFonts w:ascii="Arial" w:eastAsia="Times New Roman" w:hAnsi="Arial" w:cs="Arial"/>
          <w:b/>
          <w:bCs/>
          <w:kern w:val="0"/>
          <w:sz w:val="22"/>
          <w:szCs w:val="22"/>
          <w14:ligatures w14:val="none"/>
        </w:rPr>
      </w:pPr>
      <w:r w:rsidRPr="00BA5105">
        <w:rPr>
          <w:rFonts w:ascii="Arial" w:eastAsia="Times New Roman" w:hAnsi="Arial" w:cs="Arial"/>
          <w:b/>
          <w:bCs/>
          <w:kern w:val="0"/>
          <w:sz w:val="22"/>
          <w:szCs w:val="22"/>
          <w14:ligatures w14:val="none"/>
        </w:rPr>
        <w:t>2. Physical Activity</w:t>
      </w:r>
    </w:p>
    <w:p w14:paraId="16C33204"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5962817E"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Exercise increases insulin sensitivity and enhances glucose uptake by muscles independent of insulin. The NHS (2024) recommends at least 150 minutes of moderate-intensity activity weekly, such as brisk walking, swimming, or cycling, plus resistance training twice weekly. The practice nurse can help patients like Mr Jones set realistic targets—for instance, starting with 10-minute walks after meals and gradually building duration.</w:t>
      </w:r>
    </w:p>
    <w:p w14:paraId="330EA7E6"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544BF653" w14:textId="77777777" w:rsidR="00A54539" w:rsidRPr="00BA5105" w:rsidRDefault="00A54539" w:rsidP="00A54539">
      <w:pPr>
        <w:spacing w:before="100" w:beforeAutospacing="1" w:after="100" w:afterAutospacing="1" w:line="240" w:lineRule="auto"/>
        <w:outlineLvl w:val="2"/>
        <w:rPr>
          <w:rFonts w:ascii="Arial" w:eastAsia="Times New Roman" w:hAnsi="Arial" w:cs="Arial"/>
          <w:b/>
          <w:bCs/>
          <w:kern w:val="0"/>
          <w:sz w:val="22"/>
          <w:szCs w:val="22"/>
          <w14:ligatures w14:val="none"/>
        </w:rPr>
      </w:pPr>
      <w:r w:rsidRPr="00BA5105">
        <w:rPr>
          <w:rFonts w:ascii="Arial" w:eastAsia="Times New Roman" w:hAnsi="Arial" w:cs="Arial"/>
          <w:b/>
          <w:bCs/>
          <w:kern w:val="0"/>
          <w:sz w:val="22"/>
          <w:szCs w:val="22"/>
          <w14:ligatures w14:val="none"/>
        </w:rPr>
        <w:t>3. Weight Management</w:t>
      </w:r>
    </w:p>
    <w:p w14:paraId="0135AAD8"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02E7C809"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Weight loss of 5–10% of body weight significantly improves metabolic outcomes (NICE, 2022). For some, referral to the NHS Diabetes Prevention Programme or community weight-management groups is beneficial. The nurse can track weight, waist circumference, and BMI at each review, reinforcing progress and providing accountability.</w:t>
      </w:r>
    </w:p>
    <w:p w14:paraId="10F1B127"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2325E6C4" w14:textId="77777777" w:rsidR="00A54539" w:rsidRPr="00BA5105" w:rsidRDefault="00A54539" w:rsidP="00A54539">
      <w:pPr>
        <w:spacing w:before="100" w:beforeAutospacing="1" w:after="100" w:afterAutospacing="1" w:line="240" w:lineRule="auto"/>
        <w:outlineLvl w:val="2"/>
        <w:rPr>
          <w:rFonts w:ascii="Arial" w:eastAsia="Times New Roman" w:hAnsi="Arial" w:cs="Arial"/>
          <w:b/>
          <w:bCs/>
          <w:kern w:val="0"/>
          <w:sz w:val="22"/>
          <w:szCs w:val="22"/>
          <w14:ligatures w14:val="none"/>
        </w:rPr>
      </w:pPr>
      <w:r w:rsidRPr="00BA5105">
        <w:rPr>
          <w:rFonts w:ascii="Arial" w:eastAsia="Times New Roman" w:hAnsi="Arial" w:cs="Arial"/>
          <w:b/>
          <w:bCs/>
          <w:kern w:val="0"/>
          <w:sz w:val="22"/>
          <w:szCs w:val="22"/>
          <w14:ligatures w14:val="none"/>
        </w:rPr>
        <w:t>4. Smoking Cessation and Alcohol Awareness</w:t>
      </w:r>
    </w:p>
    <w:p w14:paraId="0012C43D"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6AFEF784"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Smoking increases cardiovascular risk and impairs circulation, compounding diabetes complications. The nurse should provide brief advice, nicotine-replacement options, and referral to local cessation services. Alcohol can cause unpredictable fluctuations in blood glucose, so patients should be counselled on safe limits and the importance of eating before drinking.</w:t>
      </w:r>
    </w:p>
    <w:p w14:paraId="526A709C"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586F04E2" w14:textId="77777777" w:rsidR="00A54539" w:rsidRPr="00BA5105" w:rsidRDefault="00A54539" w:rsidP="00A54539">
      <w:pPr>
        <w:spacing w:before="100" w:beforeAutospacing="1" w:after="100" w:afterAutospacing="1" w:line="240" w:lineRule="auto"/>
        <w:outlineLvl w:val="2"/>
        <w:rPr>
          <w:rFonts w:ascii="Arial" w:eastAsia="Times New Roman" w:hAnsi="Arial" w:cs="Arial"/>
          <w:b/>
          <w:bCs/>
          <w:kern w:val="0"/>
          <w:sz w:val="22"/>
          <w:szCs w:val="22"/>
          <w14:ligatures w14:val="none"/>
        </w:rPr>
      </w:pPr>
      <w:r w:rsidRPr="00BA5105">
        <w:rPr>
          <w:rFonts w:ascii="Arial" w:eastAsia="Times New Roman" w:hAnsi="Arial" w:cs="Arial"/>
          <w:b/>
          <w:bCs/>
          <w:kern w:val="0"/>
          <w:sz w:val="22"/>
          <w:szCs w:val="22"/>
          <w14:ligatures w14:val="none"/>
        </w:rPr>
        <w:t>5. Stress and Sleep</w:t>
      </w:r>
    </w:p>
    <w:p w14:paraId="361B47BD"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4F9BFE3E"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Chronic stress elevates cortisol and adrenaline, hormones that raise glucose levels. The nurse can promote relaxation strategies such as breathing exercises, mindfulness, or community well-being classes. Poor sleep is also associated with insulin resistance; encouraging consistent sleep patterns supports better control (Sherwood, 2019).</w:t>
      </w:r>
    </w:p>
    <w:p w14:paraId="2E756F89"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6A449A88" w14:textId="77777777" w:rsidR="00A54539" w:rsidRPr="00BA5105" w:rsidRDefault="00A54539" w:rsidP="00A54539">
      <w:pPr>
        <w:spacing w:before="100" w:beforeAutospacing="1" w:after="100" w:afterAutospacing="1" w:line="240" w:lineRule="auto"/>
        <w:outlineLvl w:val="2"/>
        <w:rPr>
          <w:rFonts w:ascii="Arial" w:eastAsia="Times New Roman" w:hAnsi="Arial" w:cs="Arial"/>
          <w:b/>
          <w:bCs/>
          <w:kern w:val="0"/>
          <w:sz w:val="22"/>
          <w:szCs w:val="22"/>
          <w14:ligatures w14:val="none"/>
        </w:rPr>
      </w:pPr>
      <w:r w:rsidRPr="00BA5105">
        <w:rPr>
          <w:rFonts w:ascii="Arial" w:eastAsia="Times New Roman" w:hAnsi="Arial" w:cs="Arial"/>
          <w:b/>
          <w:bCs/>
          <w:kern w:val="0"/>
          <w:sz w:val="22"/>
          <w:szCs w:val="22"/>
          <w14:ligatures w14:val="none"/>
        </w:rPr>
        <w:t>6. Education and Self-Empowerment</w:t>
      </w:r>
    </w:p>
    <w:p w14:paraId="64E94359"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63C99568"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Structured education is proven to enhance self-management confidence. The nurse can deliver sessions covering insulin administration, hypoglycaemia recognition, foot care, and reading food labels. Using motivational interviewing techniques, nurses help patients set SMART goals (Specific, Measurable, Achievable, Realistic, Time-bound), fostering ownership and adherence (NHS England, 2023).</w:t>
      </w:r>
    </w:p>
    <w:p w14:paraId="47759C16"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05F1C1A7" w14:textId="77777777" w:rsidR="00A54539" w:rsidRPr="00BA5105" w:rsidRDefault="00A54539" w:rsidP="00A54539">
      <w:pPr>
        <w:spacing w:before="100" w:beforeAutospacing="1" w:after="100" w:afterAutospacing="1" w:line="240" w:lineRule="auto"/>
        <w:outlineLvl w:val="2"/>
        <w:rPr>
          <w:rFonts w:ascii="Arial" w:eastAsia="Times New Roman" w:hAnsi="Arial" w:cs="Arial"/>
          <w:b/>
          <w:bCs/>
          <w:kern w:val="0"/>
          <w:sz w:val="22"/>
          <w:szCs w:val="22"/>
          <w14:ligatures w14:val="none"/>
        </w:rPr>
      </w:pPr>
      <w:r w:rsidRPr="00BA5105">
        <w:rPr>
          <w:rFonts w:ascii="Arial" w:eastAsia="Times New Roman" w:hAnsi="Arial" w:cs="Arial"/>
          <w:b/>
          <w:bCs/>
          <w:kern w:val="0"/>
          <w:sz w:val="22"/>
          <w:szCs w:val="22"/>
          <w14:ligatures w14:val="none"/>
        </w:rPr>
        <w:t>7. Medication and Technology</w:t>
      </w:r>
    </w:p>
    <w:p w14:paraId="269EC5FD"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341E35BB"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 xml:space="preserve">When lifestyle measures alone are insufficient, oral </w:t>
      </w:r>
      <w:proofErr w:type="spellStart"/>
      <w:r w:rsidRPr="00BA5105">
        <w:rPr>
          <w:rFonts w:ascii="Arial" w:hAnsi="Arial" w:cs="Arial"/>
          <w:kern w:val="0"/>
          <w:sz w:val="22"/>
          <w:szCs w:val="22"/>
          <w14:ligatures w14:val="none"/>
        </w:rPr>
        <w:t>antidiabetic</w:t>
      </w:r>
      <w:proofErr w:type="spellEnd"/>
      <w:r w:rsidRPr="00BA5105">
        <w:rPr>
          <w:rFonts w:ascii="Arial" w:hAnsi="Arial" w:cs="Arial"/>
          <w:kern w:val="0"/>
          <w:sz w:val="22"/>
          <w:szCs w:val="22"/>
          <w14:ligatures w14:val="none"/>
        </w:rPr>
        <w:t xml:space="preserve"> drugs such as metformin are prescribed to reduce hepatic glucose production and improve insulin sensitivity. Newer classes like SGLT2 inhibitors and GLP-1 receptor agonists also offer cardiovascular benefits (NICE, 2022). The nurse ensures patients understand dosing, timing, and side effects while checking concordance during reviews. In some cases, technology such as flash glucose monitors may assist in motivating behaviour change by visualising progress.</w:t>
      </w:r>
    </w:p>
    <w:p w14:paraId="060010F7" w14:textId="77777777" w:rsidR="00A54539" w:rsidRPr="00BA5105" w:rsidRDefault="00A54539" w:rsidP="00A54539">
      <w:pPr>
        <w:spacing w:after="0" w:line="240" w:lineRule="auto"/>
        <w:rPr>
          <w:rFonts w:ascii="Arial" w:eastAsia="Times New Roman" w:hAnsi="Arial" w:cs="Arial"/>
          <w:kern w:val="0"/>
          <w:sz w:val="22"/>
          <w:szCs w:val="22"/>
          <w14:ligatures w14:val="none"/>
        </w:rPr>
      </w:pPr>
      <w:r w:rsidRPr="00BA5105">
        <w:rPr>
          <w:rFonts w:ascii="Arial" w:eastAsia="Times New Roman" w:hAnsi="Arial" w:cs="Arial"/>
          <w:noProof/>
          <w:kern w:val="0"/>
          <w:sz w:val="22"/>
          <w:szCs w:val="22"/>
          <w14:ligatures w14:val="none"/>
        </w:rPr>
        <mc:AlternateContent>
          <mc:Choice Requires="wps">
            <w:drawing>
              <wp:inline distT="0" distB="0" distL="0" distR="0" wp14:anchorId="0590C012" wp14:editId="1D252D96">
                <wp:extent cx="5731510" cy="1270"/>
                <wp:effectExtent l="0" t="31750" r="0" b="36830"/>
                <wp:docPr id="908960561"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FB531EC"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B9798E4" w14:textId="77777777" w:rsidR="00A54539" w:rsidRPr="00BA5105" w:rsidRDefault="00A54539" w:rsidP="00A54539">
      <w:pPr>
        <w:spacing w:before="100" w:beforeAutospacing="1" w:after="100" w:afterAutospacing="1" w:line="240" w:lineRule="auto"/>
        <w:outlineLvl w:val="1"/>
        <w:rPr>
          <w:rFonts w:ascii="Arial" w:hAnsi="Arial" w:cs="Arial"/>
          <w:b/>
          <w:bCs/>
          <w:kern w:val="0"/>
          <w:sz w:val="22"/>
          <w:szCs w:val="22"/>
          <w14:ligatures w14:val="none"/>
        </w:rPr>
      </w:pPr>
      <w:r w:rsidRPr="00BA5105">
        <w:rPr>
          <w:rFonts w:ascii="Arial" w:eastAsia="Times New Roman" w:hAnsi="Arial" w:cs="Arial"/>
          <w:b/>
          <w:bCs/>
          <w:kern w:val="0"/>
          <w:sz w:val="22"/>
          <w:szCs w:val="22"/>
          <w14:ligatures w14:val="none"/>
        </w:rPr>
        <w:t>Role of the Practice Nurse in Ongoing Care</w:t>
      </w:r>
    </w:p>
    <w:p w14:paraId="11D12F68"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211474B0"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 xml:space="preserve">The practice nurse is central to coordinating care for diabetic patients. Their responsibilities include performing annual reviews, blood pressure and foot assessments, urine and blood tests, and reinforcing education at every contact. They act as the patient’s first point of contact for advice and play a key role in multidisciplinary collaboration with GPs, </w:t>
      </w:r>
      <w:proofErr w:type="spellStart"/>
      <w:r w:rsidRPr="00BA5105">
        <w:rPr>
          <w:rFonts w:ascii="Arial" w:hAnsi="Arial" w:cs="Arial"/>
          <w:kern w:val="0"/>
          <w:sz w:val="22"/>
          <w:szCs w:val="22"/>
          <w14:ligatures w14:val="none"/>
        </w:rPr>
        <w:t>dietitians</w:t>
      </w:r>
      <w:proofErr w:type="spellEnd"/>
      <w:r w:rsidRPr="00BA5105">
        <w:rPr>
          <w:rFonts w:ascii="Arial" w:hAnsi="Arial" w:cs="Arial"/>
          <w:kern w:val="0"/>
          <w:sz w:val="22"/>
          <w:szCs w:val="22"/>
          <w14:ligatures w14:val="none"/>
        </w:rPr>
        <w:t>, and podiatrists.</w:t>
      </w:r>
    </w:p>
    <w:p w14:paraId="28CD377D"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63D68F0C"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For instance, the nurse ensures Mr Jones receives his nine essential care checks annually, supports attendance at group sessions, and monitors his blood pressure and cholesterol. They also record data for national audits, helping the practice evaluate outcomes and identify areas for improvement. This proactive, evidence-based approach ensures consistency with national priorities for diabetes management.</w:t>
      </w:r>
    </w:p>
    <w:p w14:paraId="393ABAFE" w14:textId="77777777" w:rsidR="00A54539" w:rsidRPr="00BA5105" w:rsidRDefault="00A54539" w:rsidP="00A54539">
      <w:pPr>
        <w:spacing w:after="0" w:line="240" w:lineRule="auto"/>
        <w:rPr>
          <w:rFonts w:ascii="Arial" w:eastAsia="Times New Roman" w:hAnsi="Arial" w:cs="Arial"/>
          <w:kern w:val="0"/>
          <w:sz w:val="22"/>
          <w:szCs w:val="22"/>
          <w14:ligatures w14:val="none"/>
        </w:rPr>
      </w:pPr>
      <w:r w:rsidRPr="00BA5105">
        <w:rPr>
          <w:rFonts w:ascii="Arial" w:eastAsia="Times New Roman" w:hAnsi="Arial" w:cs="Arial"/>
          <w:noProof/>
          <w:kern w:val="0"/>
          <w:sz w:val="22"/>
          <w:szCs w:val="22"/>
          <w14:ligatures w14:val="none"/>
        </w:rPr>
        <mc:AlternateContent>
          <mc:Choice Requires="wps">
            <w:drawing>
              <wp:inline distT="0" distB="0" distL="0" distR="0" wp14:anchorId="36528C10" wp14:editId="17D420F9">
                <wp:extent cx="5731510" cy="1270"/>
                <wp:effectExtent l="0" t="31750" r="0" b="36830"/>
                <wp:docPr id="50447859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33E23BD"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D2470E0" w14:textId="77777777" w:rsidR="00A54539" w:rsidRPr="00BA5105" w:rsidRDefault="00A54539" w:rsidP="00A54539">
      <w:pPr>
        <w:spacing w:before="100" w:beforeAutospacing="1" w:after="100" w:afterAutospacing="1" w:line="240" w:lineRule="auto"/>
        <w:outlineLvl w:val="1"/>
        <w:rPr>
          <w:rFonts w:ascii="Arial" w:hAnsi="Arial" w:cs="Arial"/>
          <w:b/>
          <w:bCs/>
          <w:kern w:val="0"/>
          <w:sz w:val="22"/>
          <w:szCs w:val="22"/>
          <w14:ligatures w14:val="none"/>
        </w:rPr>
      </w:pPr>
      <w:r w:rsidRPr="00BA5105">
        <w:rPr>
          <w:rFonts w:ascii="Arial" w:eastAsia="Times New Roman" w:hAnsi="Arial" w:cs="Arial"/>
          <w:b/>
          <w:bCs/>
          <w:kern w:val="0"/>
          <w:sz w:val="22"/>
          <w:szCs w:val="22"/>
          <w14:ligatures w14:val="none"/>
        </w:rPr>
        <w:t>Conclusion</w:t>
      </w:r>
    </w:p>
    <w:p w14:paraId="1A0B099C"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347C5D0B"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Type 2 diabetes is a major and growing public-health issue in the UK, with lifestyle factors playing a significant role in its onset and progression. The practice nurse’s educational and supportive role within primary care is fundamental in helping patients like Mr Jones understand their condition and make sustainable changes.</w:t>
      </w:r>
    </w:p>
    <w:p w14:paraId="220A51C1"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00EF1C07"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By explaining the body’s regulation of blood glucose, the process of cellular energy production, and the importance of monitoring, patients are empowered to take control of their health. Evidence shows that self-management—through healthy eating, physical activity, weight control, smoking cessation, and medication adherence—can markedly reduce complications and improve quality of life.</w:t>
      </w:r>
    </w:p>
    <w:p w14:paraId="7012F3E2"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22231FEA"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Through ongoing support, structured education, and partnership working, practice nurses can ensure patients engage meaningfully with their care plans and maintain stable blood glucose levels, ultimately reducing the burden of diabetes on individuals and healthcare services alike.</w:t>
      </w:r>
    </w:p>
    <w:p w14:paraId="388C07C9" w14:textId="77777777" w:rsidR="00A54539" w:rsidRPr="00BA5105" w:rsidRDefault="00A54539" w:rsidP="00A54539">
      <w:pPr>
        <w:spacing w:after="0" w:line="240" w:lineRule="auto"/>
        <w:rPr>
          <w:rFonts w:ascii="Arial" w:eastAsia="Times New Roman" w:hAnsi="Arial" w:cs="Arial"/>
          <w:kern w:val="0"/>
          <w:sz w:val="22"/>
          <w:szCs w:val="22"/>
          <w14:ligatures w14:val="none"/>
        </w:rPr>
      </w:pPr>
      <w:r w:rsidRPr="00BA5105">
        <w:rPr>
          <w:rFonts w:ascii="Arial" w:eastAsia="Times New Roman" w:hAnsi="Arial" w:cs="Arial"/>
          <w:noProof/>
          <w:kern w:val="0"/>
          <w:sz w:val="22"/>
          <w:szCs w:val="22"/>
          <w14:ligatures w14:val="none"/>
        </w:rPr>
        <mc:AlternateContent>
          <mc:Choice Requires="wps">
            <w:drawing>
              <wp:inline distT="0" distB="0" distL="0" distR="0" wp14:anchorId="4001BE28" wp14:editId="1DE8EC3C">
                <wp:extent cx="5731510" cy="1270"/>
                <wp:effectExtent l="0" t="31750" r="0" b="36830"/>
                <wp:docPr id="9545909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1822E40"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F137133" w14:textId="5BDE8B4E" w:rsidR="00A54539" w:rsidRPr="00BA5105" w:rsidRDefault="00A54539" w:rsidP="00A54539">
      <w:pPr>
        <w:spacing w:before="100" w:beforeAutospacing="1" w:after="100" w:afterAutospacing="1" w:line="240" w:lineRule="auto"/>
        <w:outlineLvl w:val="1"/>
        <w:rPr>
          <w:rFonts w:ascii="Arial" w:hAnsi="Arial" w:cs="Arial"/>
          <w:b/>
          <w:bCs/>
          <w:kern w:val="0"/>
          <w:sz w:val="22"/>
          <w:szCs w:val="22"/>
          <w14:ligatures w14:val="none"/>
        </w:rPr>
      </w:pPr>
      <w:r w:rsidRPr="00BA5105">
        <w:rPr>
          <w:rFonts w:ascii="Arial" w:eastAsia="Times New Roman" w:hAnsi="Arial" w:cs="Arial"/>
          <w:b/>
          <w:bCs/>
          <w:kern w:val="0"/>
          <w:sz w:val="22"/>
          <w:szCs w:val="22"/>
          <w14:ligatures w14:val="none"/>
        </w:rPr>
        <w:t>Reference</w:t>
      </w:r>
      <w:r w:rsidR="00B46C62" w:rsidRPr="00BA5105">
        <w:rPr>
          <w:rFonts w:ascii="Arial" w:eastAsia="Times New Roman" w:hAnsi="Arial" w:cs="Arial"/>
          <w:b/>
          <w:bCs/>
          <w:kern w:val="0"/>
          <w:sz w:val="22"/>
          <w:szCs w:val="22"/>
          <w14:ligatures w14:val="none"/>
        </w:rPr>
        <w:t xml:space="preserve"> list:</w:t>
      </w:r>
    </w:p>
    <w:p w14:paraId="57EAA0CB"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5F2781E8"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American Diabetes Association (ADA). (2022) Standards of medical care in diabetes – 2022. Diabetes Care, 45(</w:t>
      </w:r>
      <w:proofErr w:type="spellStart"/>
      <w:r w:rsidRPr="00BA5105">
        <w:rPr>
          <w:rFonts w:ascii="Arial" w:hAnsi="Arial" w:cs="Arial"/>
          <w:kern w:val="0"/>
          <w:sz w:val="22"/>
          <w:szCs w:val="22"/>
          <w14:ligatures w14:val="none"/>
        </w:rPr>
        <w:t>Suppl</w:t>
      </w:r>
      <w:proofErr w:type="spellEnd"/>
      <w:r w:rsidRPr="00BA5105">
        <w:rPr>
          <w:rFonts w:ascii="Arial" w:hAnsi="Arial" w:cs="Arial"/>
          <w:kern w:val="0"/>
          <w:sz w:val="22"/>
          <w:szCs w:val="22"/>
          <w14:ligatures w14:val="none"/>
        </w:rPr>
        <w:t xml:space="preserve"> 1). Available at: https://diabetesjournals.org (Accessed: 9 November 2025).</w:t>
      </w:r>
    </w:p>
    <w:p w14:paraId="09AF8C48"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2EA56852"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Diabetes UK. (2023) Type 2 diabetes: understanding your condition. Available at: https://www.diabetes.org.uk (Accessed: 9 November 2025).</w:t>
      </w:r>
    </w:p>
    <w:p w14:paraId="1A9FD42E"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009B99A5"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roofErr w:type="spellStart"/>
      <w:r w:rsidRPr="00BA5105">
        <w:rPr>
          <w:rFonts w:ascii="Arial" w:hAnsi="Arial" w:cs="Arial"/>
          <w:kern w:val="0"/>
          <w:sz w:val="22"/>
          <w:szCs w:val="22"/>
          <w14:ligatures w14:val="none"/>
        </w:rPr>
        <w:t>Guyton</w:t>
      </w:r>
      <w:proofErr w:type="spellEnd"/>
      <w:r w:rsidRPr="00BA5105">
        <w:rPr>
          <w:rFonts w:ascii="Arial" w:hAnsi="Arial" w:cs="Arial"/>
          <w:kern w:val="0"/>
          <w:sz w:val="22"/>
          <w:szCs w:val="22"/>
          <w14:ligatures w14:val="none"/>
        </w:rPr>
        <w:t xml:space="preserve">, A.C. and Hall, J.E. (2020) Textbook of medical physiology. 14th </w:t>
      </w:r>
      <w:proofErr w:type="spellStart"/>
      <w:r w:rsidRPr="00BA5105">
        <w:rPr>
          <w:rFonts w:ascii="Arial" w:hAnsi="Arial" w:cs="Arial"/>
          <w:kern w:val="0"/>
          <w:sz w:val="22"/>
          <w:szCs w:val="22"/>
          <w14:ligatures w14:val="none"/>
        </w:rPr>
        <w:t>edn</w:t>
      </w:r>
      <w:proofErr w:type="spellEnd"/>
      <w:r w:rsidRPr="00BA5105">
        <w:rPr>
          <w:rFonts w:ascii="Arial" w:hAnsi="Arial" w:cs="Arial"/>
          <w:kern w:val="0"/>
          <w:sz w:val="22"/>
          <w:szCs w:val="22"/>
          <w14:ligatures w14:val="none"/>
        </w:rPr>
        <w:t>. Philadelphia: Elsevier.</w:t>
      </w:r>
    </w:p>
    <w:p w14:paraId="6C61F381"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04C78E49"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roofErr w:type="spellStart"/>
      <w:r w:rsidRPr="00BA5105">
        <w:rPr>
          <w:rFonts w:ascii="Arial" w:hAnsi="Arial" w:cs="Arial"/>
          <w:kern w:val="0"/>
          <w:sz w:val="22"/>
          <w:szCs w:val="22"/>
          <w14:ligatures w14:val="none"/>
        </w:rPr>
        <w:t>Marieb</w:t>
      </w:r>
      <w:proofErr w:type="spellEnd"/>
      <w:r w:rsidRPr="00BA5105">
        <w:rPr>
          <w:rFonts w:ascii="Arial" w:hAnsi="Arial" w:cs="Arial"/>
          <w:kern w:val="0"/>
          <w:sz w:val="22"/>
          <w:szCs w:val="22"/>
          <w14:ligatures w14:val="none"/>
        </w:rPr>
        <w:t xml:space="preserve">, E.N. and </w:t>
      </w:r>
      <w:proofErr w:type="spellStart"/>
      <w:r w:rsidRPr="00BA5105">
        <w:rPr>
          <w:rFonts w:ascii="Arial" w:hAnsi="Arial" w:cs="Arial"/>
          <w:kern w:val="0"/>
          <w:sz w:val="22"/>
          <w:szCs w:val="22"/>
          <w14:ligatures w14:val="none"/>
        </w:rPr>
        <w:t>Hoehn</w:t>
      </w:r>
      <w:proofErr w:type="spellEnd"/>
      <w:r w:rsidRPr="00BA5105">
        <w:rPr>
          <w:rFonts w:ascii="Arial" w:hAnsi="Arial" w:cs="Arial"/>
          <w:kern w:val="0"/>
          <w:sz w:val="22"/>
          <w:szCs w:val="22"/>
          <w14:ligatures w14:val="none"/>
        </w:rPr>
        <w:t xml:space="preserve">, K. (2019) Human anatomy and physiology. 11th </w:t>
      </w:r>
      <w:proofErr w:type="spellStart"/>
      <w:r w:rsidRPr="00BA5105">
        <w:rPr>
          <w:rFonts w:ascii="Arial" w:hAnsi="Arial" w:cs="Arial"/>
          <w:kern w:val="0"/>
          <w:sz w:val="22"/>
          <w:szCs w:val="22"/>
          <w14:ligatures w14:val="none"/>
        </w:rPr>
        <w:t>edn</w:t>
      </w:r>
      <w:proofErr w:type="spellEnd"/>
      <w:r w:rsidRPr="00BA5105">
        <w:rPr>
          <w:rFonts w:ascii="Arial" w:hAnsi="Arial" w:cs="Arial"/>
          <w:kern w:val="0"/>
          <w:sz w:val="22"/>
          <w:szCs w:val="22"/>
          <w14:ligatures w14:val="none"/>
        </w:rPr>
        <w:t>. Harlow: Pearson Education.</w:t>
      </w:r>
    </w:p>
    <w:p w14:paraId="76AA2D1B"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7991538D"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National Health Service (NHS). (2024) Diabetes – causes, symptoms and treatment. Available at: https://www.nhs.uk/conditions/diabetes/ (Accessed: 9 November 2025).</w:t>
      </w:r>
    </w:p>
    <w:p w14:paraId="573F33E5"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2EB6B2C8"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National Institute for Health and Care Excellence (NICE). (2022; reviewed 2024) Type 2 diabetes in adults: management (NG28). Available at: https://www.nice.org.uk/guidance/ng28 (Accessed: 9 November 2025).</w:t>
      </w:r>
    </w:p>
    <w:p w14:paraId="31F56D49"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2F6E6010"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NHS England. (2023) Healthier You: NHS Diabetes Prevention Programme. Available at: https://www.england.nhs.uk/diabetes/diabetes-prevention/ (Accessed: 9 November 2025).</w:t>
      </w:r>
    </w:p>
    <w:p w14:paraId="386817C9"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0C6548EC"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Public Health England. (2022) Health matters: preventing Type 2 diabetes. GOV.UK. Available at: https://www.gov.uk/government/collections/health-matters (Accessed: 9 November 2025).</w:t>
      </w:r>
    </w:p>
    <w:p w14:paraId="24AB437A"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59486C92"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 xml:space="preserve">Sherwood, L. (2019) Human physiology: from cells to systems. 10th </w:t>
      </w:r>
      <w:proofErr w:type="spellStart"/>
      <w:r w:rsidRPr="00BA5105">
        <w:rPr>
          <w:rFonts w:ascii="Arial" w:hAnsi="Arial" w:cs="Arial"/>
          <w:kern w:val="0"/>
          <w:sz w:val="22"/>
          <w:szCs w:val="22"/>
          <w14:ligatures w14:val="none"/>
        </w:rPr>
        <w:t>edn</w:t>
      </w:r>
      <w:proofErr w:type="spellEnd"/>
      <w:r w:rsidRPr="00BA5105">
        <w:rPr>
          <w:rFonts w:ascii="Arial" w:hAnsi="Arial" w:cs="Arial"/>
          <w:kern w:val="0"/>
          <w:sz w:val="22"/>
          <w:szCs w:val="22"/>
          <w14:ligatures w14:val="none"/>
        </w:rPr>
        <w:t xml:space="preserve">. Boston: </w:t>
      </w:r>
      <w:proofErr w:type="spellStart"/>
      <w:r w:rsidRPr="00BA5105">
        <w:rPr>
          <w:rFonts w:ascii="Arial" w:hAnsi="Arial" w:cs="Arial"/>
          <w:kern w:val="0"/>
          <w:sz w:val="22"/>
          <w:szCs w:val="22"/>
          <w14:ligatures w14:val="none"/>
        </w:rPr>
        <w:t>Cengage</w:t>
      </w:r>
      <w:proofErr w:type="spellEnd"/>
      <w:r w:rsidRPr="00BA5105">
        <w:rPr>
          <w:rFonts w:ascii="Arial" w:hAnsi="Arial" w:cs="Arial"/>
          <w:kern w:val="0"/>
          <w:sz w:val="22"/>
          <w:szCs w:val="22"/>
          <w14:ligatures w14:val="none"/>
        </w:rPr>
        <w:t xml:space="preserve"> Learning.</w:t>
      </w:r>
    </w:p>
    <w:p w14:paraId="4A7A014B"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p>
    <w:p w14:paraId="4590756F" w14:textId="77777777" w:rsidR="00A54539" w:rsidRPr="00BA5105" w:rsidRDefault="00A54539" w:rsidP="00A54539">
      <w:pPr>
        <w:spacing w:before="100" w:beforeAutospacing="1" w:after="100" w:afterAutospacing="1" w:line="240" w:lineRule="auto"/>
        <w:rPr>
          <w:rFonts w:ascii="Arial" w:hAnsi="Arial" w:cs="Arial"/>
          <w:kern w:val="0"/>
          <w:sz w:val="22"/>
          <w:szCs w:val="22"/>
          <w14:ligatures w14:val="none"/>
        </w:rPr>
      </w:pPr>
      <w:r w:rsidRPr="00BA5105">
        <w:rPr>
          <w:rFonts w:ascii="Arial" w:hAnsi="Arial" w:cs="Arial"/>
          <w:kern w:val="0"/>
          <w:sz w:val="22"/>
          <w:szCs w:val="22"/>
          <w14:ligatures w14:val="none"/>
        </w:rPr>
        <w:t xml:space="preserve">Waugh, A. and Grant, A. (2018) Ross and Wilson: anatomy and physiology in health and illness. 13th </w:t>
      </w:r>
      <w:proofErr w:type="spellStart"/>
      <w:r w:rsidRPr="00BA5105">
        <w:rPr>
          <w:rFonts w:ascii="Arial" w:hAnsi="Arial" w:cs="Arial"/>
          <w:kern w:val="0"/>
          <w:sz w:val="22"/>
          <w:szCs w:val="22"/>
          <w14:ligatures w14:val="none"/>
        </w:rPr>
        <w:t>edn</w:t>
      </w:r>
      <w:proofErr w:type="spellEnd"/>
      <w:r w:rsidRPr="00BA5105">
        <w:rPr>
          <w:rFonts w:ascii="Arial" w:hAnsi="Arial" w:cs="Arial"/>
          <w:kern w:val="0"/>
          <w:sz w:val="22"/>
          <w:szCs w:val="22"/>
          <w14:ligatures w14:val="none"/>
        </w:rPr>
        <w:t>. London: Elsevier</w:t>
      </w:r>
    </w:p>
    <w:p w14:paraId="4B9B6726" w14:textId="77777777" w:rsidR="00A54539" w:rsidRPr="00BA5105" w:rsidRDefault="00A54539">
      <w:pPr>
        <w:rPr>
          <w:rFonts w:ascii="Arial" w:hAnsi="Arial" w:cs="Arial"/>
          <w:sz w:val="22"/>
          <w:szCs w:val="22"/>
        </w:rPr>
      </w:pPr>
    </w:p>
    <w:sectPr w:rsidR="00A54539" w:rsidRPr="00BA51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539"/>
    <w:rsid w:val="00231DBD"/>
    <w:rsid w:val="0031304A"/>
    <w:rsid w:val="003D0A41"/>
    <w:rsid w:val="00533636"/>
    <w:rsid w:val="0065538E"/>
    <w:rsid w:val="00683BB9"/>
    <w:rsid w:val="00781740"/>
    <w:rsid w:val="008B6027"/>
    <w:rsid w:val="008D4163"/>
    <w:rsid w:val="00A54539"/>
    <w:rsid w:val="00B46C62"/>
    <w:rsid w:val="00BA5105"/>
    <w:rsid w:val="00DD4F0D"/>
    <w:rsid w:val="00E04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35B342"/>
  <w15:chartTrackingRefBased/>
  <w15:docId w15:val="{D552A27A-3898-6C4D-A48D-78912C31A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45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545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545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5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5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5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5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5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5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5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45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45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5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45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45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5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5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539"/>
    <w:rPr>
      <w:rFonts w:eastAsiaTheme="majorEastAsia" w:cstheme="majorBidi"/>
      <w:color w:val="272727" w:themeColor="text1" w:themeTint="D8"/>
    </w:rPr>
  </w:style>
  <w:style w:type="paragraph" w:styleId="Title">
    <w:name w:val="Title"/>
    <w:basedOn w:val="Normal"/>
    <w:next w:val="Normal"/>
    <w:link w:val="TitleChar"/>
    <w:uiPriority w:val="10"/>
    <w:qFormat/>
    <w:rsid w:val="00A545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5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5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5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539"/>
    <w:pPr>
      <w:spacing w:before="160"/>
      <w:jc w:val="center"/>
    </w:pPr>
    <w:rPr>
      <w:i/>
      <w:iCs/>
      <w:color w:val="404040" w:themeColor="text1" w:themeTint="BF"/>
    </w:rPr>
  </w:style>
  <w:style w:type="character" w:customStyle="1" w:styleId="QuoteChar">
    <w:name w:val="Quote Char"/>
    <w:basedOn w:val="DefaultParagraphFont"/>
    <w:link w:val="Quote"/>
    <w:uiPriority w:val="29"/>
    <w:rsid w:val="00A54539"/>
    <w:rPr>
      <w:i/>
      <w:iCs/>
      <w:color w:val="404040" w:themeColor="text1" w:themeTint="BF"/>
    </w:rPr>
  </w:style>
  <w:style w:type="paragraph" w:styleId="ListParagraph">
    <w:name w:val="List Paragraph"/>
    <w:basedOn w:val="Normal"/>
    <w:uiPriority w:val="34"/>
    <w:qFormat/>
    <w:rsid w:val="00A54539"/>
    <w:pPr>
      <w:ind w:left="720"/>
      <w:contextualSpacing/>
    </w:pPr>
  </w:style>
  <w:style w:type="character" w:styleId="IntenseEmphasis">
    <w:name w:val="Intense Emphasis"/>
    <w:basedOn w:val="DefaultParagraphFont"/>
    <w:uiPriority w:val="21"/>
    <w:qFormat/>
    <w:rsid w:val="00A54539"/>
    <w:rPr>
      <w:i/>
      <w:iCs/>
      <w:color w:val="0F4761" w:themeColor="accent1" w:themeShade="BF"/>
    </w:rPr>
  </w:style>
  <w:style w:type="paragraph" w:styleId="IntenseQuote">
    <w:name w:val="Intense Quote"/>
    <w:basedOn w:val="Normal"/>
    <w:next w:val="Normal"/>
    <w:link w:val="IntenseQuoteChar"/>
    <w:uiPriority w:val="30"/>
    <w:qFormat/>
    <w:rsid w:val="00A545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539"/>
    <w:rPr>
      <w:i/>
      <w:iCs/>
      <w:color w:val="0F4761" w:themeColor="accent1" w:themeShade="BF"/>
    </w:rPr>
  </w:style>
  <w:style w:type="character" w:styleId="IntenseReference">
    <w:name w:val="Intense Reference"/>
    <w:basedOn w:val="DefaultParagraphFont"/>
    <w:uiPriority w:val="32"/>
    <w:qFormat/>
    <w:rsid w:val="00A54539"/>
    <w:rPr>
      <w:b/>
      <w:bCs/>
      <w:smallCaps/>
      <w:color w:val="0F4761" w:themeColor="accent1" w:themeShade="BF"/>
      <w:spacing w:val="5"/>
    </w:rPr>
  </w:style>
  <w:style w:type="character" w:customStyle="1" w:styleId="s1">
    <w:name w:val="s1"/>
    <w:basedOn w:val="DefaultParagraphFont"/>
    <w:rsid w:val="00A54539"/>
  </w:style>
  <w:style w:type="paragraph" w:customStyle="1" w:styleId="p2">
    <w:name w:val="p2"/>
    <w:basedOn w:val="Normal"/>
    <w:rsid w:val="00A5453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A54539"/>
  </w:style>
  <w:style w:type="paragraph" w:customStyle="1" w:styleId="p3">
    <w:name w:val="p3"/>
    <w:basedOn w:val="Normal"/>
    <w:rsid w:val="00A54539"/>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A54539"/>
  </w:style>
  <w:style w:type="character" w:customStyle="1" w:styleId="s4">
    <w:name w:val="s4"/>
    <w:basedOn w:val="DefaultParagraphFont"/>
    <w:rsid w:val="00A545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2130</Words>
  <Characters>12145</Characters>
  <Application>Microsoft Office Word</Application>
  <DocSecurity>0</DocSecurity>
  <Lines>101</Lines>
  <Paragraphs>28</Paragraphs>
  <ScaleCrop>false</ScaleCrop>
  <Company/>
  <LinksUpToDate>false</LinksUpToDate>
  <CharactersWithSpaces>14247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Norin Mahmood (2411895)</dc:creator>
  <cp:keywords/>
  <dc:description/>
  <cp:lastModifiedBy>Norin Mahmood (2411895)</cp:lastModifiedBy>
  <cp:revision>4</cp:revision>
  <dcterms:created xsi:type="dcterms:W3CDTF">2025-11-09T23:34:00Z</dcterms:created>
  <dcterms:modified xsi:type="dcterms:W3CDTF">2025-11-09T23:40:00Z</dcterms:modified>
</cp:coreProperties>
</file>