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A7A82" w14:textId="77777777" w:rsidR="008A76F3" w:rsidRPr="008A76F3" w:rsidRDefault="002C3C29" w:rsidP="00933FAD">
      <w:pPr>
        <w:spacing w:line="360" w:lineRule="auto"/>
        <w:rPr>
          <w:rFonts w:ascii="Arial" w:eastAsia="Times New Roman" w:hAnsi="Arial" w:cs="Arial"/>
          <w:b/>
          <w:bCs/>
          <w:sz w:val="40"/>
          <w:szCs w:val="40"/>
          <w:lang w:eastAsia="en-GB"/>
        </w:rPr>
      </w:pPr>
      <w:r w:rsidRPr="008A76F3">
        <w:rPr>
          <w:rFonts w:ascii="Arial" w:eastAsia="Times New Roman" w:hAnsi="Arial" w:cs="Arial"/>
          <w:b/>
          <w:bCs/>
          <w:sz w:val="40"/>
          <w:szCs w:val="40"/>
          <w:lang w:eastAsia="en-GB"/>
        </w:rPr>
        <w:t xml:space="preserve">Raluca Nicoleta Caruntu </w:t>
      </w:r>
    </w:p>
    <w:p w14:paraId="548F2E25" w14:textId="1DF6B13F" w:rsidR="002C3C29" w:rsidRPr="008A76F3" w:rsidRDefault="008E534D" w:rsidP="00933FAD">
      <w:pPr>
        <w:spacing w:line="360" w:lineRule="auto"/>
        <w:rPr>
          <w:rFonts w:ascii="Arial" w:eastAsia="Times New Roman" w:hAnsi="Arial" w:cs="Arial"/>
          <w:b/>
          <w:bCs/>
          <w:sz w:val="40"/>
          <w:szCs w:val="40"/>
          <w:lang w:eastAsia="en-GB"/>
        </w:rPr>
      </w:pPr>
      <w:r w:rsidRPr="008A76F3">
        <w:rPr>
          <w:rFonts w:ascii="Arial" w:eastAsia="Times New Roman" w:hAnsi="Arial" w:cs="Arial"/>
          <w:b/>
          <w:bCs/>
          <w:sz w:val="40"/>
          <w:szCs w:val="40"/>
          <w:lang w:eastAsia="en-GB"/>
        </w:rPr>
        <w:t>2410738</w:t>
      </w:r>
    </w:p>
    <w:p w14:paraId="4CE8831C" w14:textId="3E217769" w:rsidR="008E534D" w:rsidRPr="008A76F3" w:rsidRDefault="00B54406" w:rsidP="00933FAD">
      <w:pPr>
        <w:spacing w:line="360" w:lineRule="auto"/>
        <w:rPr>
          <w:rFonts w:ascii="Arial" w:eastAsia="Times New Roman" w:hAnsi="Arial" w:cs="Arial"/>
          <w:b/>
          <w:bCs/>
          <w:sz w:val="40"/>
          <w:szCs w:val="40"/>
          <w:lang w:eastAsia="en-GB"/>
        </w:rPr>
      </w:pPr>
      <w:r w:rsidRPr="008A76F3">
        <w:rPr>
          <w:rFonts w:ascii="Arial" w:eastAsia="Times New Roman" w:hAnsi="Arial" w:cs="Arial"/>
          <w:b/>
          <w:bCs/>
          <w:sz w:val="40"/>
          <w:szCs w:val="40"/>
          <w:lang w:eastAsia="en-GB"/>
        </w:rPr>
        <w:t xml:space="preserve">BA (Hons) Leadership and Management Skills for the Workplace   </w:t>
      </w:r>
    </w:p>
    <w:p w14:paraId="261AAE8E" w14:textId="77777777" w:rsidR="008A76F3" w:rsidRPr="008A76F3" w:rsidRDefault="00310846" w:rsidP="00933FAD">
      <w:pPr>
        <w:spacing w:line="360" w:lineRule="auto"/>
        <w:rPr>
          <w:rFonts w:ascii="Arial" w:eastAsia="Times New Roman" w:hAnsi="Arial" w:cs="Arial"/>
          <w:b/>
          <w:bCs/>
          <w:sz w:val="40"/>
          <w:szCs w:val="40"/>
          <w:lang w:eastAsia="en-GB"/>
        </w:rPr>
      </w:pPr>
      <w:r w:rsidRPr="008A76F3">
        <w:rPr>
          <w:rFonts w:ascii="Arial" w:eastAsia="Times New Roman" w:hAnsi="Arial" w:cs="Arial"/>
          <w:b/>
          <w:bCs/>
          <w:sz w:val="40"/>
          <w:szCs w:val="40"/>
          <w:lang w:eastAsia="en-GB"/>
        </w:rPr>
        <w:t>Understanding and Engaging Stakeholders  </w:t>
      </w:r>
    </w:p>
    <w:p w14:paraId="36AD4EED" w14:textId="733A7EAD" w:rsidR="00B54406" w:rsidRPr="008A76F3" w:rsidRDefault="00310846" w:rsidP="00933FAD">
      <w:pPr>
        <w:spacing w:line="360" w:lineRule="auto"/>
        <w:rPr>
          <w:rFonts w:ascii="Arial" w:eastAsia="Times New Roman" w:hAnsi="Arial" w:cs="Arial"/>
          <w:b/>
          <w:bCs/>
          <w:sz w:val="40"/>
          <w:szCs w:val="40"/>
          <w:lang w:eastAsia="en-GB"/>
        </w:rPr>
      </w:pPr>
      <w:r w:rsidRPr="008A76F3">
        <w:rPr>
          <w:rFonts w:ascii="Arial" w:eastAsia="Times New Roman" w:hAnsi="Arial" w:cs="Arial"/>
          <w:b/>
          <w:bCs/>
          <w:sz w:val="40"/>
          <w:szCs w:val="40"/>
          <w:lang w:eastAsia="en-GB"/>
        </w:rPr>
        <w:t> </w:t>
      </w:r>
      <w:r w:rsidR="00B83D09" w:rsidRPr="008A76F3">
        <w:rPr>
          <w:rFonts w:ascii="Arial" w:eastAsia="Times New Roman" w:hAnsi="Arial" w:cs="Arial"/>
          <w:b/>
          <w:bCs/>
          <w:sz w:val="40"/>
          <w:szCs w:val="40"/>
          <w:lang w:eastAsia="en-GB"/>
        </w:rPr>
        <w:t>LCLM5001 </w:t>
      </w:r>
    </w:p>
    <w:p w14:paraId="7CAE227F" w14:textId="6F38D452" w:rsidR="00B83D09" w:rsidRPr="008A76F3" w:rsidRDefault="00CA0CA9" w:rsidP="00933FAD">
      <w:pPr>
        <w:spacing w:line="360" w:lineRule="auto"/>
        <w:rPr>
          <w:rFonts w:ascii="Arial" w:eastAsia="Times New Roman" w:hAnsi="Arial" w:cs="Arial"/>
          <w:b/>
          <w:bCs/>
          <w:sz w:val="40"/>
          <w:szCs w:val="40"/>
          <w:lang w:eastAsia="en-GB"/>
        </w:rPr>
      </w:pPr>
      <w:r w:rsidRPr="008A76F3">
        <w:rPr>
          <w:rFonts w:ascii="Arial" w:eastAsia="Times New Roman" w:hAnsi="Arial" w:cs="Arial"/>
          <w:b/>
          <w:bCs/>
          <w:sz w:val="40"/>
          <w:szCs w:val="40"/>
          <w:lang w:eastAsia="en-GB"/>
        </w:rPr>
        <w:t>Understanding the importance of Stakeholder Engagement in successful commencement and completion of project</w:t>
      </w:r>
    </w:p>
    <w:p w14:paraId="188F9A89" w14:textId="77777777" w:rsidR="002C3C29" w:rsidRDefault="002C3C29" w:rsidP="00933FAD">
      <w:pPr>
        <w:spacing w:line="360" w:lineRule="auto"/>
        <w:rPr>
          <w:rFonts w:ascii="Arial" w:eastAsia="Times New Roman" w:hAnsi="Arial" w:cs="Arial"/>
          <w:b/>
          <w:bCs/>
          <w:sz w:val="32"/>
          <w:szCs w:val="32"/>
          <w:lang w:eastAsia="en-GB"/>
        </w:rPr>
      </w:pPr>
    </w:p>
    <w:p w14:paraId="534DB4A1" w14:textId="77777777" w:rsidR="00F25F90" w:rsidRDefault="00F25F90" w:rsidP="00933FAD">
      <w:pPr>
        <w:spacing w:line="360" w:lineRule="auto"/>
        <w:rPr>
          <w:rFonts w:ascii="Arial" w:eastAsia="Times New Roman" w:hAnsi="Arial" w:cs="Arial"/>
          <w:b/>
          <w:bCs/>
          <w:sz w:val="32"/>
          <w:szCs w:val="32"/>
          <w:lang w:eastAsia="en-GB"/>
        </w:rPr>
      </w:pPr>
    </w:p>
    <w:p w14:paraId="05F514EB" w14:textId="77777777" w:rsidR="00F25F90" w:rsidRDefault="00F25F90" w:rsidP="00933FAD">
      <w:pPr>
        <w:spacing w:line="360" w:lineRule="auto"/>
        <w:rPr>
          <w:rFonts w:ascii="Arial" w:eastAsia="Times New Roman" w:hAnsi="Arial" w:cs="Arial"/>
          <w:b/>
          <w:bCs/>
          <w:sz w:val="32"/>
          <w:szCs w:val="32"/>
          <w:lang w:eastAsia="en-GB"/>
        </w:rPr>
      </w:pPr>
    </w:p>
    <w:p w14:paraId="1F0F68B3" w14:textId="77777777" w:rsidR="00F25F90" w:rsidRDefault="00F25F90" w:rsidP="00933FAD">
      <w:pPr>
        <w:spacing w:line="360" w:lineRule="auto"/>
        <w:rPr>
          <w:rFonts w:ascii="Arial" w:eastAsia="Times New Roman" w:hAnsi="Arial" w:cs="Arial"/>
          <w:b/>
          <w:bCs/>
          <w:sz w:val="32"/>
          <w:szCs w:val="32"/>
          <w:lang w:eastAsia="en-GB"/>
        </w:rPr>
      </w:pPr>
    </w:p>
    <w:p w14:paraId="339661A3" w14:textId="77777777" w:rsidR="00F25F90" w:rsidRDefault="00F25F90" w:rsidP="00933FAD">
      <w:pPr>
        <w:spacing w:line="360" w:lineRule="auto"/>
        <w:rPr>
          <w:rFonts w:ascii="Arial" w:eastAsia="Times New Roman" w:hAnsi="Arial" w:cs="Arial"/>
          <w:b/>
          <w:bCs/>
          <w:sz w:val="32"/>
          <w:szCs w:val="32"/>
          <w:lang w:eastAsia="en-GB"/>
        </w:rPr>
      </w:pPr>
    </w:p>
    <w:p w14:paraId="63C7B64B" w14:textId="77777777" w:rsidR="00F25F90" w:rsidRDefault="00F25F90" w:rsidP="00933FAD">
      <w:pPr>
        <w:spacing w:line="360" w:lineRule="auto"/>
        <w:rPr>
          <w:rFonts w:ascii="Arial" w:eastAsia="Times New Roman" w:hAnsi="Arial" w:cs="Arial"/>
          <w:b/>
          <w:bCs/>
          <w:sz w:val="32"/>
          <w:szCs w:val="32"/>
          <w:lang w:eastAsia="en-GB"/>
        </w:rPr>
      </w:pPr>
    </w:p>
    <w:p w14:paraId="1C7FBAF9" w14:textId="77777777" w:rsidR="00F25F90" w:rsidRDefault="00F25F90" w:rsidP="00933FAD">
      <w:pPr>
        <w:spacing w:line="360" w:lineRule="auto"/>
        <w:rPr>
          <w:rFonts w:ascii="Arial" w:eastAsia="Times New Roman" w:hAnsi="Arial" w:cs="Arial"/>
          <w:b/>
          <w:bCs/>
          <w:sz w:val="32"/>
          <w:szCs w:val="32"/>
          <w:lang w:eastAsia="en-GB"/>
        </w:rPr>
      </w:pPr>
    </w:p>
    <w:p w14:paraId="5D62ACBC" w14:textId="77777777" w:rsidR="00F25F90" w:rsidRDefault="00F25F90" w:rsidP="00933FAD">
      <w:pPr>
        <w:spacing w:line="360" w:lineRule="auto"/>
        <w:rPr>
          <w:rFonts w:ascii="Arial" w:eastAsia="Times New Roman" w:hAnsi="Arial" w:cs="Arial"/>
          <w:b/>
          <w:bCs/>
          <w:sz w:val="32"/>
          <w:szCs w:val="32"/>
          <w:lang w:eastAsia="en-GB"/>
        </w:rPr>
      </w:pPr>
    </w:p>
    <w:p w14:paraId="0FD0C4B3" w14:textId="77777777" w:rsidR="00F25F90" w:rsidRDefault="00F25F90" w:rsidP="00933FAD">
      <w:pPr>
        <w:spacing w:line="360" w:lineRule="auto"/>
        <w:rPr>
          <w:rFonts w:ascii="Arial" w:eastAsia="Times New Roman" w:hAnsi="Arial" w:cs="Arial"/>
          <w:b/>
          <w:bCs/>
          <w:sz w:val="32"/>
          <w:szCs w:val="32"/>
          <w:lang w:eastAsia="en-GB"/>
        </w:rPr>
      </w:pPr>
    </w:p>
    <w:p w14:paraId="6EE7DA73" w14:textId="77777777" w:rsidR="00626572" w:rsidRDefault="00626572" w:rsidP="00933FAD">
      <w:pPr>
        <w:spacing w:line="360" w:lineRule="auto"/>
        <w:rPr>
          <w:rFonts w:ascii="Arial" w:eastAsia="Times New Roman" w:hAnsi="Arial" w:cs="Arial"/>
          <w:b/>
          <w:bCs/>
          <w:sz w:val="32"/>
          <w:szCs w:val="32"/>
          <w:lang w:eastAsia="en-GB"/>
        </w:rPr>
      </w:pPr>
    </w:p>
    <w:p w14:paraId="1D66FBD3" w14:textId="34A3119F" w:rsidR="00933FAD" w:rsidRDefault="00933FAD" w:rsidP="00933FAD">
      <w:pPr>
        <w:spacing w:line="360" w:lineRule="auto"/>
        <w:rPr>
          <w:rFonts w:ascii="Arial" w:eastAsia="Times New Roman" w:hAnsi="Arial" w:cs="Arial"/>
          <w:b/>
          <w:bCs/>
          <w:sz w:val="32"/>
          <w:szCs w:val="32"/>
          <w:lang w:eastAsia="en-GB"/>
        </w:rPr>
      </w:pPr>
      <w:r w:rsidRPr="00933FAD">
        <w:rPr>
          <w:rFonts w:ascii="Arial" w:eastAsia="Times New Roman" w:hAnsi="Arial" w:cs="Arial"/>
          <w:b/>
          <w:bCs/>
          <w:sz w:val="32"/>
          <w:szCs w:val="32"/>
          <w:lang w:eastAsia="en-GB"/>
        </w:rPr>
        <w:lastRenderedPageBreak/>
        <w:t>Understanding and Engaging Stakeholders   </w:t>
      </w:r>
    </w:p>
    <w:p w14:paraId="74619F85" w14:textId="618BF57E" w:rsidR="00933FAD" w:rsidRPr="00626572" w:rsidRDefault="00933FAD" w:rsidP="00933FAD">
      <w:pPr>
        <w:spacing w:line="360" w:lineRule="auto"/>
        <w:rPr>
          <w:rFonts w:ascii="Arial" w:hAnsi="Arial" w:cs="Arial"/>
          <w:b/>
          <w:bCs/>
          <w:sz w:val="32"/>
          <w:szCs w:val="32"/>
        </w:rPr>
      </w:pPr>
      <w:r w:rsidRPr="00626572">
        <w:rPr>
          <w:rFonts w:ascii="Arial" w:eastAsia="Times New Roman" w:hAnsi="Arial" w:cs="Arial"/>
          <w:b/>
          <w:bCs/>
          <w:sz w:val="32"/>
          <w:szCs w:val="32"/>
          <w:lang w:eastAsia="en-GB"/>
        </w:rPr>
        <w:t>Omron Healthcare</w:t>
      </w:r>
    </w:p>
    <w:p w14:paraId="28884FCB" w14:textId="02B5435E" w:rsidR="00142778" w:rsidRPr="00591281" w:rsidRDefault="00591281" w:rsidP="00142778">
      <w:pPr>
        <w:spacing w:line="360" w:lineRule="auto"/>
        <w:rPr>
          <w:rFonts w:ascii="Arial" w:hAnsi="Arial" w:cs="Arial"/>
          <w:b/>
          <w:bCs/>
          <w:sz w:val="28"/>
          <w:szCs w:val="28"/>
        </w:rPr>
      </w:pPr>
      <w:r>
        <w:rPr>
          <w:rFonts w:ascii="Arial" w:hAnsi="Arial" w:cs="Arial"/>
          <w:b/>
          <w:bCs/>
          <w:sz w:val="28"/>
          <w:szCs w:val="28"/>
        </w:rPr>
        <w:t xml:space="preserve">   </w:t>
      </w:r>
      <w:r w:rsidR="00FE5703" w:rsidRPr="00591281">
        <w:rPr>
          <w:rFonts w:ascii="Arial" w:hAnsi="Arial" w:cs="Arial"/>
          <w:b/>
          <w:bCs/>
          <w:sz w:val="28"/>
          <w:szCs w:val="28"/>
        </w:rPr>
        <w:t>1.</w:t>
      </w:r>
      <w:r w:rsidR="00933FAD" w:rsidRPr="00591281">
        <w:rPr>
          <w:rFonts w:ascii="Arial" w:hAnsi="Arial" w:cs="Arial"/>
          <w:b/>
          <w:bCs/>
          <w:sz w:val="28"/>
          <w:szCs w:val="28"/>
        </w:rPr>
        <w:t xml:space="preserve"> Introduction</w:t>
      </w:r>
      <w:r w:rsidR="000C5650" w:rsidRPr="00591281">
        <w:rPr>
          <w:rFonts w:ascii="Arial" w:hAnsi="Arial" w:cs="Arial"/>
          <w:b/>
          <w:bCs/>
          <w:sz w:val="28"/>
          <w:szCs w:val="28"/>
        </w:rPr>
        <w:t xml:space="preserve"> </w:t>
      </w:r>
      <w:r w:rsidR="00052F56" w:rsidRPr="00591281">
        <w:rPr>
          <w:rFonts w:ascii="Arial" w:hAnsi="Arial" w:cs="Arial"/>
          <w:b/>
          <w:bCs/>
          <w:sz w:val="28"/>
          <w:szCs w:val="28"/>
        </w:rPr>
        <w:t xml:space="preserve">: </w:t>
      </w:r>
      <w:r w:rsidR="00142778" w:rsidRPr="00591281">
        <w:rPr>
          <w:rFonts w:ascii="Arial" w:hAnsi="Arial" w:cs="Arial"/>
          <w:b/>
          <w:bCs/>
          <w:sz w:val="28"/>
          <w:szCs w:val="28"/>
        </w:rPr>
        <w:t>Omron Healthcare Company Overview</w:t>
      </w:r>
    </w:p>
    <w:p w14:paraId="495627FD" w14:textId="2F0781F4" w:rsidR="00142778" w:rsidRPr="001D2E3F" w:rsidRDefault="00052F56" w:rsidP="001D2E3F">
      <w:pPr>
        <w:spacing w:line="360" w:lineRule="auto"/>
        <w:rPr>
          <w:rFonts w:ascii="Arial" w:hAnsi="Arial" w:cs="Arial"/>
        </w:rPr>
      </w:pPr>
      <w:r w:rsidRPr="001D2E3F">
        <w:rPr>
          <w:rFonts w:ascii="Arial" w:hAnsi="Arial" w:cs="Arial"/>
        </w:rPr>
        <w:t xml:space="preserve"> </w:t>
      </w:r>
      <w:r w:rsidR="00591281" w:rsidRPr="001D2E3F">
        <w:rPr>
          <w:rFonts w:ascii="Arial" w:hAnsi="Arial" w:cs="Arial"/>
        </w:rPr>
        <w:t xml:space="preserve">  </w:t>
      </w:r>
      <w:r w:rsidRPr="001D2E3F">
        <w:rPr>
          <w:rFonts w:ascii="Arial" w:hAnsi="Arial" w:cs="Arial"/>
        </w:rPr>
        <w:t xml:space="preserve"> </w:t>
      </w:r>
      <w:r w:rsidR="00142778" w:rsidRPr="001D2E3F">
        <w:rPr>
          <w:rFonts w:ascii="Arial" w:hAnsi="Arial" w:cs="Arial"/>
        </w:rPr>
        <w:t>Omron Healthcare is recognised as a global leader in medical technology, specialising in the development of innovative health-monitoring devices that promote preventive healthcare and well-being. Headquartered in Kyoto, Japan, Omron operates in over 110 countries and is widely known for its precision, reliability, and user-friendly design (Omron Healthcare, 2024). Its product portfolio includes blood pressure monitors, thermometers, nebulisers, body composition monitors, and fitness-tracking devices, all designed to help individuals manage their health effectively.</w:t>
      </w:r>
    </w:p>
    <w:p w14:paraId="29B05AFD" w14:textId="1334BAB3" w:rsidR="00FE5703" w:rsidRPr="001D2E3F" w:rsidRDefault="007D603D" w:rsidP="001D2E3F">
      <w:pPr>
        <w:spacing w:line="360" w:lineRule="auto"/>
        <w:rPr>
          <w:rFonts w:ascii="Arial" w:hAnsi="Arial" w:cs="Arial"/>
        </w:rPr>
      </w:pPr>
      <w:r w:rsidRPr="001D2E3F">
        <w:rPr>
          <w:rFonts w:ascii="Arial" w:hAnsi="Arial" w:cs="Arial"/>
        </w:rPr>
        <w:t xml:space="preserve">   </w:t>
      </w:r>
      <w:r w:rsidR="00142778" w:rsidRPr="001D2E3F">
        <w:rPr>
          <w:rFonts w:ascii="Arial" w:hAnsi="Arial" w:cs="Arial"/>
        </w:rPr>
        <w:t xml:space="preserve">In line with its mission “to help people live healthier lives,” Omron continues to invest heavily in research and development to ensure the highest standards of accuracy and consumer convenience (Omron Healthcare Co., Ltd., 2024). The company is currently preparing to launch an innovative wearable device, </w:t>
      </w:r>
      <w:bookmarkStart w:id="0" w:name="_Hlk214362592"/>
      <w:r w:rsidR="00142778" w:rsidRPr="001D2E3F">
        <w:rPr>
          <w:rFonts w:ascii="Arial" w:hAnsi="Arial" w:cs="Arial"/>
        </w:rPr>
        <w:t>the Omron Urban Track Watch</w:t>
      </w:r>
      <w:bookmarkEnd w:id="0"/>
      <w:r w:rsidR="00142778" w:rsidRPr="001D2E3F">
        <w:rPr>
          <w:rFonts w:ascii="Arial" w:hAnsi="Arial" w:cs="Arial"/>
        </w:rPr>
        <w:t>, designed to monitor heart rate, blood oxygen levels (SpO</w:t>
      </w:r>
      <w:r w:rsidR="00142778" w:rsidRPr="001D2E3F">
        <w:rPr>
          <w:rFonts w:ascii="Cambria Math" w:hAnsi="Cambria Math" w:cs="Cambria Math"/>
        </w:rPr>
        <w:t>₂</w:t>
      </w:r>
      <w:r w:rsidR="00142778" w:rsidRPr="001D2E3F">
        <w:rPr>
          <w:rFonts w:ascii="Arial" w:hAnsi="Arial" w:cs="Arial"/>
        </w:rPr>
        <w:t>), and sleep patterns. The smartwatch integrates advanced sensors and synchronises with the Omron Connect mobile application to provide real-time health insights and personalised wellness data.</w:t>
      </w:r>
    </w:p>
    <w:p w14:paraId="31B120C1" w14:textId="0078A6F8" w:rsidR="00142778" w:rsidRPr="001D2E3F" w:rsidRDefault="001D2E3F" w:rsidP="00142778">
      <w:pPr>
        <w:spacing w:line="360" w:lineRule="auto"/>
        <w:rPr>
          <w:rFonts w:ascii="Arial" w:hAnsi="Arial" w:cs="Arial"/>
          <w:b/>
          <w:bCs/>
          <w:sz w:val="28"/>
          <w:szCs w:val="28"/>
        </w:rPr>
      </w:pPr>
      <w:r>
        <w:rPr>
          <w:rFonts w:ascii="Arial" w:hAnsi="Arial" w:cs="Arial"/>
          <w:b/>
          <w:bCs/>
          <w:sz w:val="28"/>
          <w:szCs w:val="28"/>
        </w:rPr>
        <w:t xml:space="preserve">   </w:t>
      </w:r>
      <w:r w:rsidR="00142778" w:rsidRPr="001D2E3F">
        <w:rPr>
          <w:rFonts w:ascii="Arial" w:hAnsi="Arial" w:cs="Arial"/>
          <w:b/>
          <w:bCs/>
          <w:sz w:val="28"/>
          <w:szCs w:val="28"/>
        </w:rPr>
        <w:t>2. SWOT Analysis</w:t>
      </w:r>
    </w:p>
    <w:p w14:paraId="73425DA2" w14:textId="254D8D95" w:rsidR="00142778" w:rsidRPr="00142778" w:rsidRDefault="001D2E3F" w:rsidP="00A37015">
      <w:pPr>
        <w:spacing w:line="360" w:lineRule="auto"/>
        <w:rPr>
          <w:rFonts w:ascii="Arial" w:hAnsi="Arial" w:cs="Arial"/>
        </w:rPr>
      </w:pPr>
      <w:r>
        <w:rPr>
          <w:rFonts w:ascii="Arial" w:hAnsi="Arial" w:cs="Arial"/>
        </w:rPr>
        <w:t xml:space="preserve">   </w:t>
      </w:r>
      <w:r w:rsidR="00142778" w:rsidRPr="00142778">
        <w:rPr>
          <w:rFonts w:ascii="Arial" w:hAnsi="Arial" w:cs="Arial"/>
        </w:rPr>
        <w:t>A SWOT analysis provides a structured overview of Omron Healthcare’s internal capabilities and external environment in relation to the launch of its new wearable health device. The framework identifies the company’s strengths, weaknesses, opportunities, and threats that influence its strategic positioning (Gürel and Tat, 2017).</w:t>
      </w:r>
    </w:p>
    <w:p w14:paraId="540F01AB" w14:textId="2E276587" w:rsidR="00142778" w:rsidRPr="00142778" w:rsidRDefault="00A37015" w:rsidP="00A37015">
      <w:pPr>
        <w:spacing w:line="360" w:lineRule="auto"/>
        <w:rPr>
          <w:rFonts w:ascii="Arial" w:hAnsi="Arial" w:cs="Arial"/>
        </w:rPr>
      </w:pPr>
      <w:r>
        <w:rPr>
          <w:rFonts w:ascii="Arial" w:hAnsi="Arial" w:cs="Arial"/>
          <w:b/>
          <w:bCs/>
          <w:sz w:val="24"/>
          <w:szCs w:val="24"/>
        </w:rPr>
        <w:t xml:space="preserve">   </w:t>
      </w:r>
      <w:r w:rsidR="00142778" w:rsidRPr="00A37015">
        <w:rPr>
          <w:rFonts w:ascii="Arial" w:hAnsi="Arial" w:cs="Arial"/>
          <w:b/>
          <w:bCs/>
          <w:sz w:val="24"/>
          <w:szCs w:val="24"/>
        </w:rPr>
        <w:t>Strengths:</w:t>
      </w:r>
      <w:r w:rsidR="00142778" w:rsidRPr="00A37015">
        <w:rPr>
          <w:rFonts w:ascii="Arial" w:hAnsi="Arial" w:cs="Arial"/>
          <w:sz w:val="24"/>
          <w:szCs w:val="24"/>
        </w:rPr>
        <w:br/>
      </w:r>
      <w:r>
        <w:rPr>
          <w:rFonts w:ascii="Arial" w:hAnsi="Arial" w:cs="Arial"/>
        </w:rPr>
        <w:t xml:space="preserve">   </w:t>
      </w:r>
      <w:r w:rsidR="00142778" w:rsidRPr="00142778">
        <w:rPr>
          <w:rFonts w:ascii="Arial" w:hAnsi="Arial" w:cs="Arial"/>
        </w:rPr>
        <w:t>Omron Healthcare possesses a strong global brand reputation built on decades of innovation in medical technology. Its extensive distribution network and partnerships with healthcare professionals enhance its market presence. Furthermore, Omron’s expertise in developing clinically accurate, user-friendly devices positions it advantageously in the wearable technology sector (Omron Healthcare, 2024).</w:t>
      </w:r>
    </w:p>
    <w:p w14:paraId="5EBFD3A9" w14:textId="6DC660AC" w:rsidR="00142778" w:rsidRPr="00142778" w:rsidRDefault="00A37015" w:rsidP="00142778">
      <w:pPr>
        <w:spacing w:line="360" w:lineRule="auto"/>
        <w:rPr>
          <w:rFonts w:ascii="Arial" w:hAnsi="Arial" w:cs="Arial"/>
        </w:rPr>
      </w:pPr>
      <w:r>
        <w:rPr>
          <w:rFonts w:ascii="Arial" w:hAnsi="Arial" w:cs="Arial"/>
          <w:b/>
          <w:bCs/>
          <w:sz w:val="24"/>
          <w:szCs w:val="24"/>
        </w:rPr>
        <w:t xml:space="preserve">   </w:t>
      </w:r>
      <w:r w:rsidR="00142778" w:rsidRPr="00A37015">
        <w:rPr>
          <w:rFonts w:ascii="Arial" w:hAnsi="Arial" w:cs="Arial"/>
          <w:b/>
          <w:bCs/>
          <w:sz w:val="24"/>
          <w:szCs w:val="24"/>
        </w:rPr>
        <w:t>Weaknesses:</w:t>
      </w:r>
      <w:r w:rsidR="00142778" w:rsidRPr="00A37015">
        <w:rPr>
          <w:rFonts w:ascii="Arial" w:hAnsi="Arial" w:cs="Arial"/>
          <w:sz w:val="24"/>
          <w:szCs w:val="24"/>
        </w:rPr>
        <w:br/>
      </w:r>
      <w:r>
        <w:rPr>
          <w:rFonts w:ascii="Arial" w:hAnsi="Arial" w:cs="Arial"/>
        </w:rPr>
        <w:t xml:space="preserve">   </w:t>
      </w:r>
      <w:r w:rsidR="00142778" w:rsidRPr="00142778">
        <w:rPr>
          <w:rFonts w:ascii="Arial" w:hAnsi="Arial" w:cs="Arial"/>
        </w:rPr>
        <w:t xml:space="preserve">Despite its global presence, Omron faces challenges in differentiating its products within a market dominated by major technology companies such as Apple and Samsung. Its </w:t>
      </w:r>
      <w:r w:rsidR="00142778" w:rsidRPr="00142778">
        <w:rPr>
          <w:rFonts w:ascii="Arial" w:hAnsi="Arial" w:cs="Arial"/>
        </w:rPr>
        <w:lastRenderedPageBreak/>
        <w:t>emphasis on medical-grade products may also limit agility in adapting to consumer-driven digital trends (Statista, 2024).</w:t>
      </w:r>
    </w:p>
    <w:p w14:paraId="0027F2BC" w14:textId="37CD0A5F" w:rsidR="00142778" w:rsidRPr="00142778" w:rsidRDefault="00883086" w:rsidP="00142778">
      <w:pPr>
        <w:spacing w:line="360" w:lineRule="auto"/>
        <w:rPr>
          <w:rFonts w:ascii="Arial" w:hAnsi="Arial" w:cs="Arial"/>
        </w:rPr>
      </w:pPr>
      <w:r>
        <w:rPr>
          <w:rFonts w:ascii="Arial" w:hAnsi="Arial" w:cs="Arial"/>
          <w:b/>
          <w:bCs/>
          <w:sz w:val="24"/>
          <w:szCs w:val="24"/>
        </w:rPr>
        <w:t xml:space="preserve">   </w:t>
      </w:r>
      <w:r w:rsidR="00142778" w:rsidRPr="00883086">
        <w:rPr>
          <w:rFonts w:ascii="Arial" w:hAnsi="Arial" w:cs="Arial"/>
          <w:b/>
          <w:bCs/>
          <w:sz w:val="24"/>
          <w:szCs w:val="24"/>
        </w:rPr>
        <w:t>Opportunities:</w:t>
      </w:r>
      <w:r w:rsidR="00142778" w:rsidRPr="00142778">
        <w:rPr>
          <w:rFonts w:ascii="Arial" w:hAnsi="Arial" w:cs="Arial"/>
        </w:rPr>
        <w:br/>
      </w:r>
      <w:r>
        <w:rPr>
          <w:rFonts w:ascii="Arial" w:hAnsi="Arial" w:cs="Arial"/>
        </w:rPr>
        <w:t xml:space="preserve">   </w:t>
      </w:r>
      <w:r w:rsidR="00142778" w:rsidRPr="00142778">
        <w:rPr>
          <w:rFonts w:ascii="Arial" w:hAnsi="Arial" w:cs="Arial"/>
        </w:rPr>
        <w:t>Rising consumer interest in preventive healthcare and wearable technologies presents growth potential. Integration with mobile applications and cloud-based analytics can further enhance customer engagement and generate new revenue streams through personalised health data insights (Market Research Future, 2024).</w:t>
      </w:r>
    </w:p>
    <w:p w14:paraId="1797BED6" w14:textId="2CC53008" w:rsidR="00142778" w:rsidRPr="00142778" w:rsidRDefault="00883086" w:rsidP="00142778">
      <w:pPr>
        <w:spacing w:line="360" w:lineRule="auto"/>
        <w:rPr>
          <w:rFonts w:ascii="Arial" w:hAnsi="Arial" w:cs="Arial"/>
        </w:rPr>
      </w:pPr>
      <w:r>
        <w:rPr>
          <w:rFonts w:ascii="Arial" w:hAnsi="Arial" w:cs="Arial"/>
          <w:b/>
          <w:bCs/>
          <w:sz w:val="24"/>
          <w:szCs w:val="24"/>
        </w:rPr>
        <w:t xml:space="preserve">   </w:t>
      </w:r>
      <w:r w:rsidR="00142778" w:rsidRPr="00883086">
        <w:rPr>
          <w:rFonts w:ascii="Arial" w:hAnsi="Arial" w:cs="Arial"/>
          <w:b/>
          <w:bCs/>
          <w:sz w:val="24"/>
          <w:szCs w:val="24"/>
        </w:rPr>
        <w:t>Threats:</w:t>
      </w:r>
      <w:r w:rsidR="00142778" w:rsidRPr="00142778">
        <w:rPr>
          <w:rFonts w:ascii="Arial" w:hAnsi="Arial" w:cs="Arial"/>
        </w:rPr>
        <w:br/>
      </w:r>
      <w:r>
        <w:rPr>
          <w:rFonts w:ascii="Arial" w:hAnsi="Arial" w:cs="Arial"/>
        </w:rPr>
        <w:t xml:space="preserve">   </w:t>
      </w:r>
      <w:r w:rsidR="00142778" w:rsidRPr="00142778">
        <w:rPr>
          <w:rFonts w:ascii="Arial" w:hAnsi="Arial" w:cs="Arial"/>
        </w:rPr>
        <w:t>The company faces competitive pressure from established wearable brands and emerging startups. Additionally, regulatory compliance, data security, and global economic instability pose potential risks to profitability (IBISWorld, 2024).</w:t>
      </w:r>
    </w:p>
    <w:p w14:paraId="365DB49A" w14:textId="1F279B8B" w:rsidR="00142778" w:rsidRPr="00D35C38" w:rsidRDefault="00883086" w:rsidP="00D35C38">
      <w:pPr>
        <w:spacing w:line="360" w:lineRule="auto"/>
        <w:rPr>
          <w:rFonts w:ascii="Arial" w:hAnsi="Arial" w:cs="Arial"/>
        </w:rPr>
      </w:pPr>
      <w:r>
        <w:rPr>
          <w:rFonts w:ascii="Arial" w:hAnsi="Arial" w:cs="Arial"/>
        </w:rPr>
        <w:t xml:space="preserve">   </w:t>
      </w:r>
      <w:r w:rsidR="00142778" w:rsidRPr="00142778">
        <w:rPr>
          <w:rFonts w:ascii="Arial" w:hAnsi="Arial" w:cs="Arial"/>
        </w:rPr>
        <w:t xml:space="preserve">Overall, Omron Healthcare’s strong reputation and technological expertise provide a solid </w:t>
      </w:r>
      <w:r w:rsidR="00142778" w:rsidRPr="00D35C38">
        <w:rPr>
          <w:rFonts w:ascii="Arial" w:hAnsi="Arial" w:cs="Arial"/>
        </w:rPr>
        <w:t>foundation to capitalise on market opportunities while strategically mitigating competitive and regulatory threats.</w:t>
      </w:r>
    </w:p>
    <w:p w14:paraId="6E70A662" w14:textId="5798B9E4" w:rsidR="00E54FDA" w:rsidRPr="00C46B4A" w:rsidRDefault="00C46B4A" w:rsidP="00D35C38">
      <w:pPr>
        <w:spacing w:line="360" w:lineRule="auto"/>
        <w:rPr>
          <w:rFonts w:ascii="Arial" w:hAnsi="Arial" w:cs="Arial"/>
          <w:b/>
          <w:bCs/>
          <w:sz w:val="28"/>
          <w:szCs w:val="28"/>
        </w:rPr>
      </w:pPr>
      <w:r>
        <w:rPr>
          <w:rFonts w:ascii="Arial" w:hAnsi="Arial" w:cs="Arial"/>
          <w:b/>
          <w:bCs/>
          <w:sz w:val="28"/>
          <w:szCs w:val="28"/>
        </w:rPr>
        <w:t xml:space="preserve">   </w:t>
      </w:r>
      <w:r w:rsidR="00E54FDA" w:rsidRPr="00C46B4A">
        <w:rPr>
          <w:rFonts w:ascii="Arial" w:hAnsi="Arial" w:cs="Arial"/>
          <w:b/>
          <w:bCs/>
          <w:sz w:val="28"/>
          <w:szCs w:val="28"/>
        </w:rPr>
        <w:t>3. Stakeholder Analysis</w:t>
      </w:r>
    </w:p>
    <w:p w14:paraId="72AC0080" w14:textId="443218AD" w:rsidR="00E54FDA" w:rsidRPr="008D2E71" w:rsidRDefault="00C46B4A" w:rsidP="008D2E71">
      <w:pPr>
        <w:spacing w:line="360" w:lineRule="auto"/>
        <w:rPr>
          <w:rFonts w:ascii="Arial" w:hAnsi="Arial" w:cs="Arial"/>
        </w:rPr>
      </w:pPr>
      <w:r>
        <w:rPr>
          <w:rFonts w:ascii="Arial" w:hAnsi="Arial" w:cs="Arial"/>
        </w:rPr>
        <w:t xml:space="preserve">   </w:t>
      </w:r>
      <w:r w:rsidR="00E54FDA" w:rsidRPr="008D2E71">
        <w:rPr>
          <w:rFonts w:ascii="Arial" w:hAnsi="Arial" w:cs="Arial"/>
        </w:rPr>
        <w:t>Effective stakeholder management is essential to the success of Omron Healthcare’s new</w:t>
      </w:r>
      <w:bookmarkStart w:id="1" w:name="_Hlk214362776"/>
      <w:r w:rsidR="004634AA">
        <w:rPr>
          <w:rFonts w:ascii="Arial" w:hAnsi="Arial" w:cs="Arial"/>
        </w:rPr>
        <w:t xml:space="preserve"> </w:t>
      </w:r>
      <w:r w:rsidR="00071F0F" w:rsidRPr="00071F0F">
        <w:rPr>
          <w:rFonts w:ascii="Arial" w:hAnsi="Arial" w:cs="Arial"/>
        </w:rPr>
        <w:t xml:space="preserve"> Urban Track Watch</w:t>
      </w:r>
      <w:bookmarkEnd w:id="1"/>
      <w:r w:rsidR="00E54FDA" w:rsidRPr="008D2E71">
        <w:rPr>
          <w:rFonts w:ascii="Arial" w:hAnsi="Arial" w:cs="Arial"/>
        </w:rPr>
        <w:t>. Stakeholders are individuals or groups who have an interest or influence in the project’s outcomes (Freeman, 1984). They can be categorised into internal and external stakeholders, each contributing distinct roles, benefits, and challenges.</w:t>
      </w:r>
    </w:p>
    <w:p w14:paraId="2FA0B1B0" w14:textId="3BAC7C7A" w:rsidR="00E54FDA" w:rsidRPr="008D2E71" w:rsidRDefault="006304A3" w:rsidP="008D2E71">
      <w:pPr>
        <w:spacing w:line="360" w:lineRule="auto"/>
        <w:rPr>
          <w:rFonts w:ascii="Arial" w:hAnsi="Arial" w:cs="Arial"/>
        </w:rPr>
      </w:pPr>
      <w:r>
        <w:rPr>
          <w:rFonts w:ascii="Arial" w:hAnsi="Arial" w:cs="Arial"/>
        </w:rPr>
        <w:t xml:space="preserve">   </w:t>
      </w:r>
      <w:r w:rsidR="00E54FDA" w:rsidRPr="006304A3">
        <w:rPr>
          <w:rFonts w:ascii="Arial" w:hAnsi="Arial" w:cs="Arial"/>
          <w:b/>
          <w:bCs/>
        </w:rPr>
        <w:t>Internal stakeholders</w:t>
      </w:r>
      <w:r w:rsidR="00E54FDA" w:rsidRPr="008D2E71">
        <w:rPr>
          <w:rFonts w:ascii="Arial" w:hAnsi="Arial" w:cs="Arial"/>
        </w:rPr>
        <w:t xml:space="preserve"> include employees and departments directly involved in the project’s development and execution. The executive management team provides strategic direction, approves budgets, and ensures that the project aligns with Omron’s long-term mission (Johnson, Scholes and Whittington, 2017). The project manager coordinates activities, manages timelines, and facilitates communication across departments. The product development and engineering teams are responsible for research, design, and testing, ensuring the device meets clinical and consumer standards. Other internal groups such as marketing, sales, finance, and IT support product promotion, financial management, and data integration. These stakeholders bring technical expertise and operational efficiency but may face challenges such as resource limitations and cross-departmental coordination (Omron Healthcare, 2024).</w:t>
      </w:r>
    </w:p>
    <w:p w14:paraId="42CD6941" w14:textId="2F5CCB5F" w:rsidR="00E54FDA" w:rsidRPr="008D2E71" w:rsidRDefault="006304A3" w:rsidP="008D2E71">
      <w:pPr>
        <w:spacing w:line="360" w:lineRule="auto"/>
        <w:rPr>
          <w:rFonts w:ascii="Arial" w:hAnsi="Arial" w:cs="Arial"/>
        </w:rPr>
      </w:pPr>
      <w:r>
        <w:rPr>
          <w:rFonts w:ascii="Arial" w:hAnsi="Arial" w:cs="Arial"/>
        </w:rPr>
        <w:t xml:space="preserve">   </w:t>
      </w:r>
      <w:r w:rsidR="00E54FDA" w:rsidRPr="006304A3">
        <w:rPr>
          <w:rFonts w:ascii="Arial" w:hAnsi="Arial" w:cs="Arial"/>
          <w:b/>
          <w:bCs/>
        </w:rPr>
        <w:t>External stakeholders</w:t>
      </w:r>
      <w:r w:rsidR="00E54FDA" w:rsidRPr="008D2E71">
        <w:rPr>
          <w:rFonts w:ascii="Arial" w:hAnsi="Arial" w:cs="Arial"/>
        </w:rPr>
        <w:t xml:space="preserve"> include those outside the organisation who influence or are affected by the project. Suppliers and manufacturers ensure timely production and quality materials, while healthcare professionals and regulatory authorities validate the product’s </w:t>
      </w:r>
      <w:r w:rsidR="00E54FDA" w:rsidRPr="008D2E71">
        <w:rPr>
          <w:rFonts w:ascii="Arial" w:hAnsi="Arial" w:cs="Arial"/>
        </w:rPr>
        <w:lastRenderedPageBreak/>
        <w:t>safety and compliance (Market Research Future, 2024). Technology partners provide data security and app integration, and consumers represent the end-users whose satisfaction determines the product’s success. Investors and media partners also play key roles in funding and promoting the launch. External stakeholders offer valuable market insights and credibility but face challenges related to compliance, data privacy, and competitive pressures (IBISWorld, 2024).</w:t>
      </w:r>
    </w:p>
    <w:p w14:paraId="5C595275" w14:textId="03E4D892" w:rsidR="00BF5C2C" w:rsidRPr="00D35C38" w:rsidRDefault="006304A3" w:rsidP="00D35C38">
      <w:pPr>
        <w:spacing w:line="360" w:lineRule="auto"/>
        <w:rPr>
          <w:rFonts w:ascii="Arial" w:hAnsi="Arial" w:cs="Arial"/>
        </w:rPr>
      </w:pPr>
      <w:r>
        <w:rPr>
          <w:rFonts w:ascii="Arial" w:hAnsi="Arial" w:cs="Arial"/>
        </w:rPr>
        <w:t xml:space="preserve">   </w:t>
      </w:r>
      <w:r w:rsidR="00E54FDA" w:rsidRPr="008D2E71">
        <w:rPr>
          <w:rFonts w:ascii="Arial" w:hAnsi="Arial" w:cs="Arial"/>
        </w:rPr>
        <w:t>Overall, the success of Omron’s new</w:t>
      </w:r>
      <w:r w:rsidR="00C66226" w:rsidRPr="00C66226">
        <w:rPr>
          <w:rFonts w:ascii="Arial" w:hAnsi="Arial" w:cs="Arial"/>
        </w:rPr>
        <w:t xml:space="preserve"> Urban Track Watch</w:t>
      </w:r>
      <w:r w:rsidR="00E54FDA" w:rsidRPr="008D2E71">
        <w:rPr>
          <w:rFonts w:ascii="Arial" w:hAnsi="Arial" w:cs="Arial"/>
        </w:rPr>
        <w:t xml:space="preserve"> depends on effective engagement and communication between these stakeholder groups. Managing their expectations and leveraging their strengths will enhance collaboration and ensure a successful product launch.</w:t>
      </w:r>
    </w:p>
    <w:p w14:paraId="6ED4F346" w14:textId="5D5C2CDF" w:rsidR="00E54FDA" w:rsidRPr="007018FC" w:rsidRDefault="007018FC" w:rsidP="003F5EDF">
      <w:pPr>
        <w:spacing w:line="360" w:lineRule="auto"/>
        <w:rPr>
          <w:rFonts w:ascii="Arial" w:hAnsi="Arial" w:cs="Arial"/>
          <w:b/>
          <w:bCs/>
          <w:sz w:val="28"/>
          <w:szCs w:val="28"/>
        </w:rPr>
      </w:pPr>
      <w:r>
        <w:rPr>
          <w:rFonts w:ascii="Arial" w:hAnsi="Arial" w:cs="Arial"/>
          <w:b/>
          <w:bCs/>
          <w:sz w:val="28"/>
          <w:szCs w:val="28"/>
        </w:rPr>
        <w:t xml:space="preserve">   </w:t>
      </w:r>
      <w:r w:rsidR="00E54FDA" w:rsidRPr="007018FC">
        <w:rPr>
          <w:rFonts w:ascii="Arial" w:hAnsi="Arial" w:cs="Arial"/>
          <w:b/>
          <w:bCs/>
          <w:sz w:val="28"/>
          <w:szCs w:val="28"/>
        </w:rPr>
        <w:t>4. Roles, Responsibilities, Benefits and Challenges of Key Stakeholders</w:t>
      </w:r>
    </w:p>
    <w:p w14:paraId="7A85B8B7" w14:textId="4085B0AB" w:rsidR="00E54FDA" w:rsidRPr="003F5EDF" w:rsidRDefault="007018FC" w:rsidP="003F5EDF">
      <w:pPr>
        <w:spacing w:line="360" w:lineRule="auto"/>
        <w:rPr>
          <w:rFonts w:ascii="Arial" w:hAnsi="Arial" w:cs="Arial"/>
        </w:rPr>
      </w:pPr>
      <w:r>
        <w:rPr>
          <w:rFonts w:ascii="Arial" w:hAnsi="Arial" w:cs="Arial"/>
        </w:rPr>
        <w:t xml:space="preserve">   </w:t>
      </w:r>
      <w:r w:rsidR="00E54FDA" w:rsidRPr="003F5EDF">
        <w:rPr>
          <w:rFonts w:ascii="Arial" w:hAnsi="Arial" w:cs="Arial"/>
        </w:rPr>
        <w:t>The success of Omron Healthcare’s new</w:t>
      </w:r>
      <w:r w:rsidR="00317D9E" w:rsidRPr="00317D9E">
        <w:rPr>
          <w:rFonts w:ascii="Arial" w:hAnsi="Arial" w:cs="Arial"/>
        </w:rPr>
        <w:t xml:space="preserve"> Urban Track Watch</w:t>
      </w:r>
      <w:r w:rsidR="00E54FDA" w:rsidRPr="003F5EDF">
        <w:rPr>
          <w:rFonts w:ascii="Arial" w:hAnsi="Arial" w:cs="Arial"/>
        </w:rPr>
        <w:t xml:space="preserve"> project relies heavily on the coordinated efforts of various internal and external stakeholders. Effective stakeholder engagement ensures that organisational objectives align with stakeholder expectations, contributing to project efficiency and innovation (Freeman, 1984).</w:t>
      </w:r>
    </w:p>
    <w:p w14:paraId="770C4115" w14:textId="13452F20" w:rsidR="00E54FDA" w:rsidRPr="007018FC" w:rsidRDefault="007018FC" w:rsidP="003F5EDF">
      <w:pPr>
        <w:spacing w:line="360" w:lineRule="auto"/>
        <w:rPr>
          <w:rFonts w:ascii="Arial" w:hAnsi="Arial" w:cs="Arial"/>
          <w:b/>
          <w:bCs/>
          <w:sz w:val="24"/>
          <w:szCs w:val="24"/>
        </w:rPr>
      </w:pPr>
      <w:r>
        <w:rPr>
          <w:rFonts w:ascii="Arial" w:hAnsi="Arial" w:cs="Arial"/>
          <w:b/>
          <w:bCs/>
          <w:sz w:val="24"/>
          <w:szCs w:val="24"/>
        </w:rPr>
        <w:t xml:space="preserve">   </w:t>
      </w:r>
      <w:r w:rsidR="00E54FDA" w:rsidRPr="007018FC">
        <w:rPr>
          <w:rFonts w:ascii="Arial" w:hAnsi="Arial" w:cs="Arial"/>
          <w:b/>
          <w:bCs/>
          <w:sz w:val="24"/>
          <w:szCs w:val="24"/>
        </w:rPr>
        <w:t>Internal Stakeholders</w:t>
      </w:r>
    </w:p>
    <w:p w14:paraId="2C29C588" w14:textId="74085949" w:rsidR="00E54FDA" w:rsidRPr="003F5EDF" w:rsidRDefault="00127904" w:rsidP="003F5EDF">
      <w:pPr>
        <w:spacing w:line="360" w:lineRule="auto"/>
        <w:rPr>
          <w:rFonts w:ascii="Arial" w:hAnsi="Arial" w:cs="Arial"/>
        </w:rPr>
      </w:pPr>
      <w:r>
        <w:rPr>
          <w:rFonts w:ascii="Arial" w:hAnsi="Arial" w:cs="Arial"/>
        </w:rPr>
        <w:t xml:space="preserve">   </w:t>
      </w:r>
      <w:r w:rsidR="00E54FDA" w:rsidRPr="003F5EDF">
        <w:rPr>
          <w:rFonts w:ascii="Arial" w:hAnsi="Arial" w:cs="Arial"/>
        </w:rPr>
        <w:t xml:space="preserve">The </w:t>
      </w:r>
      <w:r w:rsidR="00E54FDA" w:rsidRPr="003F5EDF">
        <w:rPr>
          <w:rFonts w:ascii="Arial" w:hAnsi="Arial" w:cs="Arial"/>
          <w:b/>
          <w:bCs/>
        </w:rPr>
        <w:t>executive management team</w:t>
      </w:r>
      <w:r w:rsidR="00E54FDA" w:rsidRPr="003F5EDF">
        <w:rPr>
          <w:rFonts w:ascii="Arial" w:hAnsi="Arial" w:cs="Arial"/>
        </w:rPr>
        <w:t xml:space="preserve"> plays a central strategic role by setting the project vision, allocating financial resources, and ensuring alignment with Omron’s corporate objectives (Johnson, Scholes and Whittington, 2017). Their leadership facilitates decision-making and ensures the project supports Omron’s mission of improving global health outcomes. However, management may face challenges in balancing priorities across departments and mitigating financial and regulatory risks.</w:t>
      </w:r>
    </w:p>
    <w:p w14:paraId="598BB278" w14:textId="285EFCA1" w:rsidR="00E54FDA" w:rsidRPr="003F5EDF" w:rsidRDefault="00127904" w:rsidP="003F5EDF">
      <w:pPr>
        <w:spacing w:line="360" w:lineRule="auto"/>
        <w:rPr>
          <w:rFonts w:ascii="Arial" w:hAnsi="Arial" w:cs="Arial"/>
        </w:rPr>
      </w:pPr>
      <w:r>
        <w:rPr>
          <w:rFonts w:ascii="Arial" w:hAnsi="Arial" w:cs="Arial"/>
        </w:rPr>
        <w:t xml:space="preserve">   </w:t>
      </w:r>
      <w:r w:rsidR="00E54FDA" w:rsidRPr="003F5EDF">
        <w:rPr>
          <w:rFonts w:ascii="Arial" w:hAnsi="Arial" w:cs="Arial"/>
        </w:rPr>
        <w:t xml:space="preserve">The </w:t>
      </w:r>
      <w:r w:rsidR="00E54FDA" w:rsidRPr="003F5EDF">
        <w:rPr>
          <w:rFonts w:ascii="Arial" w:hAnsi="Arial" w:cs="Arial"/>
          <w:b/>
          <w:bCs/>
        </w:rPr>
        <w:t>project manager</w:t>
      </w:r>
      <w:r w:rsidR="00E54FDA" w:rsidRPr="003F5EDF">
        <w:rPr>
          <w:rFonts w:ascii="Arial" w:hAnsi="Arial" w:cs="Arial"/>
        </w:rPr>
        <w:t xml:space="preserve"> is responsible for coordinating all departments, managing timelines, and ensuring that the project meets performance, budget, and quality objectives (PMI, 2021). Their role involves communication between technical, marketing, and compliance teams to maintain cohesion. The challenge for project managers often lies in managing cross-functional teams with differing priorities and maintaining motivation under time constraints.</w:t>
      </w:r>
    </w:p>
    <w:p w14:paraId="5F4A8B0C" w14:textId="5700626F" w:rsidR="00E54FDA" w:rsidRPr="003F5EDF" w:rsidRDefault="00127904" w:rsidP="003F5EDF">
      <w:pPr>
        <w:spacing w:line="360" w:lineRule="auto"/>
        <w:rPr>
          <w:rFonts w:ascii="Arial" w:hAnsi="Arial" w:cs="Arial"/>
        </w:rPr>
      </w:pPr>
      <w:r>
        <w:rPr>
          <w:rFonts w:ascii="Arial" w:hAnsi="Arial" w:cs="Arial"/>
        </w:rPr>
        <w:t xml:space="preserve">   </w:t>
      </w:r>
      <w:r w:rsidR="00E54FDA" w:rsidRPr="003F5EDF">
        <w:rPr>
          <w:rFonts w:ascii="Arial" w:hAnsi="Arial" w:cs="Arial"/>
        </w:rPr>
        <w:t xml:space="preserve">The </w:t>
      </w:r>
      <w:r w:rsidR="00E54FDA" w:rsidRPr="003F5EDF">
        <w:rPr>
          <w:rFonts w:ascii="Arial" w:hAnsi="Arial" w:cs="Arial"/>
          <w:b/>
          <w:bCs/>
        </w:rPr>
        <w:t>research and development (R&amp;D)</w:t>
      </w:r>
      <w:r w:rsidR="00E54FDA" w:rsidRPr="003F5EDF">
        <w:rPr>
          <w:rFonts w:ascii="Arial" w:hAnsi="Arial" w:cs="Arial"/>
        </w:rPr>
        <w:t xml:space="preserve"> and </w:t>
      </w:r>
      <w:r w:rsidR="00E54FDA" w:rsidRPr="003F5EDF">
        <w:rPr>
          <w:rFonts w:ascii="Arial" w:hAnsi="Arial" w:cs="Arial"/>
          <w:b/>
          <w:bCs/>
        </w:rPr>
        <w:t>engineering teams</w:t>
      </w:r>
      <w:r w:rsidR="00E54FDA" w:rsidRPr="003F5EDF">
        <w:rPr>
          <w:rFonts w:ascii="Arial" w:hAnsi="Arial" w:cs="Arial"/>
        </w:rPr>
        <w:t xml:space="preserve"> are tasked with designing, prototyping, and testing the wearable device. Their combined expertise ensures medical accuracy and user-friendly design (Omron Healthcare, 2024). These teams bring </w:t>
      </w:r>
      <w:r w:rsidR="00E54FDA" w:rsidRPr="003F5EDF">
        <w:rPr>
          <w:rFonts w:ascii="Arial" w:hAnsi="Arial" w:cs="Arial"/>
        </w:rPr>
        <w:lastRenderedPageBreak/>
        <w:t>innovation and technical reliability but may face challenges such as integrating complex technologies and ensuring compliance with medical device regulations.</w:t>
      </w:r>
    </w:p>
    <w:p w14:paraId="49C522F3" w14:textId="545D60DB" w:rsidR="00E54FDA" w:rsidRPr="003F5EDF" w:rsidRDefault="00127904" w:rsidP="003F5EDF">
      <w:pPr>
        <w:spacing w:line="360" w:lineRule="auto"/>
        <w:rPr>
          <w:rFonts w:ascii="Arial" w:hAnsi="Arial" w:cs="Arial"/>
        </w:rPr>
      </w:pPr>
      <w:r>
        <w:rPr>
          <w:rFonts w:ascii="Arial" w:hAnsi="Arial" w:cs="Arial"/>
        </w:rPr>
        <w:t xml:space="preserve">   </w:t>
      </w:r>
      <w:r w:rsidR="00E54FDA" w:rsidRPr="003F5EDF">
        <w:rPr>
          <w:rFonts w:ascii="Arial" w:hAnsi="Arial" w:cs="Arial"/>
        </w:rPr>
        <w:t xml:space="preserve">The </w:t>
      </w:r>
      <w:r w:rsidR="00E54FDA" w:rsidRPr="003F5EDF">
        <w:rPr>
          <w:rFonts w:ascii="Arial" w:hAnsi="Arial" w:cs="Arial"/>
          <w:b/>
          <w:bCs/>
        </w:rPr>
        <w:t>marketing and sales departments</w:t>
      </w:r>
      <w:r w:rsidR="00E54FDA" w:rsidRPr="003F5EDF">
        <w:rPr>
          <w:rFonts w:ascii="Arial" w:hAnsi="Arial" w:cs="Arial"/>
        </w:rPr>
        <w:t xml:space="preserve"> are responsible for positioning the product, defining the target market, and developing promotional strategies to maximise visibility and sales. Marketing teams play a vital role in bridging consumer needs with product capabilities (Kotler and Keller, 2016). However, they face competitive challenges from established brands like Apple and Fitbit, requiring differentiation strategies that highlight Omron’s clinical credibility.</w:t>
      </w:r>
    </w:p>
    <w:p w14:paraId="2ADAAB15" w14:textId="19290290" w:rsidR="00E54FDA" w:rsidRPr="003F5EDF" w:rsidRDefault="008A01F7" w:rsidP="003F5EDF">
      <w:pPr>
        <w:spacing w:line="360" w:lineRule="auto"/>
        <w:rPr>
          <w:rFonts w:ascii="Arial" w:hAnsi="Arial" w:cs="Arial"/>
        </w:rPr>
      </w:pPr>
      <w:r>
        <w:rPr>
          <w:rFonts w:ascii="Arial" w:hAnsi="Arial" w:cs="Arial"/>
        </w:rPr>
        <w:t xml:space="preserve">   </w:t>
      </w:r>
      <w:r w:rsidR="00E54FDA" w:rsidRPr="003F5EDF">
        <w:rPr>
          <w:rFonts w:ascii="Arial" w:hAnsi="Arial" w:cs="Arial"/>
        </w:rPr>
        <w:t xml:space="preserve">The </w:t>
      </w:r>
      <w:r w:rsidR="00E54FDA" w:rsidRPr="003F5EDF">
        <w:rPr>
          <w:rFonts w:ascii="Arial" w:hAnsi="Arial" w:cs="Arial"/>
          <w:b/>
          <w:bCs/>
        </w:rPr>
        <w:t>finance department</w:t>
      </w:r>
      <w:r w:rsidR="00E54FDA" w:rsidRPr="003F5EDF">
        <w:rPr>
          <w:rFonts w:ascii="Arial" w:hAnsi="Arial" w:cs="Arial"/>
        </w:rPr>
        <w:t xml:space="preserve"> oversees budgeting, cost control, and return on investment, ensuring the project remains financially viable. Meanwhile, </w:t>
      </w:r>
      <w:r w:rsidR="00E54FDA" w:rsidRPr="003F5EDF">
        <w:rPr>
          <w:rFonts w:ascii="Arial" w:hAnsi="Arial" w:cs="Arial"/>
          <w:b/>
          <w:bCs/>
        </w:rPr>
        <w:t>IT and data management teams</w:t>
      </w:r>
      <w:r w:rsidR="00E54FDA" w:rsidRPr="003F5EDF">
        <w:rPr>
          <w:rFonts w:ascii="Arial" w:hAnsi="Arial" w:cs="Arial"/>
        </w:rPr>
        <w:t xml:space="preserve"> ensure secure digital integration between the device and the Omron Connect mobile application, maintaining data privacy and compliance with health data regulations (Market Research Future, 2024).</w:t>
      </w:r>
    </w:p>
    <w:p w14:paraId="21E20033" w14:textId="0C69CD1E" w:rsidR="00E54FDA" w:rsidRPr="008A01F7" w:rsidRDefault="008A01F7" w:rsidP="003F5EDF">
      <w:pPr>
        <w:spacing w:line="360" w:lineRule="auto"/>
        <w:rPr>
          <w:rFonts w:ascii="Arial" w:hAnsi="Arial" w:cs="Arial"/>
          <w:b/>
          <w:bCs/>
          <w:sz w:val="24"/>
          <w:szCs w:val="24"/>
        </w:rPr>
      </w:pPr>
      <w:r>
        <w:rPr>
          <w:rFonts w:ascii="Arial" w:hAnsi="Arial" w:cs="Arial"/>
          <w:b/>
          <w:bCs/>
          <w:sz w:val="24"/>
          <w:szCs w:val="24"/>
        </w:rPr>
        <w:t xml:space="preserve">   </w:t>
      </w:r>
      <w:r w:rsidR="00E54FDA" w:rsidRPr="008A01F7">
        <w:rPr>
          <w:rFonts w:ascii="Arial" w:hAnsi="Arial" w:cs="Arial"/>
          <w:b/>
          <w:bCs/>
          <w:sz w:val="24"/>
          <w:szCs w:val="24"/>
        </w:rPr>
        <w:t>External Stakeholders</w:t>
      </w:r>
    </w:p>
    <w:p w14:paraId="762E6783" w14:textId="429FEF98" w:rsidR="00E54FDA" w:rsidRPr="003F5EDF" w:rsidRDefault="008A01F7" w:rsidP="003F5EDF">
      <w:pPr>
        <w:spacing w:line="360" w:lineRule="auto"/>
        <w:rPr>
          <w:rFonts w:ascii="Arial" w:hAnsi="Arial" w:cs="Arial"/>
        </w:rPr>
      </w:pPr>
      <w:r>
        <w:rPr>
          <w:rFonts w:ascii="Arial" w:hAnsi="Arial" w:cs="Arial"/>
          <w:b/>
          <w:bCs/>
        </w:rPr>
        <w:t xml:space="preserve">   </w:t>
      </w:r>
      <w:r w:rsidR="00E54FDA" w:rsidRPr="003F5EDF">
        <w:rPr>
          <w:rFonts w:ascii="Arial" w:hAnsi="Arial" w:cs="Arial"/>
          <w:b/>
          <w:bCs/>
        </w:rPr>
        <w:t>Suppliers and manufacturers</w:t>
      </w:r>
      <w:r w:rsidR="00E54FDA" w:rsidRPr="003F5EDF">
        <w:rPr>
          <w:rFonts w:ascii="Arial" w:hAnsi="Arial" w:cs="Arial"/>
        </w:rPr>
        <w:t xml:space="preserve"> play an essential role in providing high-quality components and ensuring timely production. Their efficiency supports operational continuity, but they may face supply chain disruptions or quality control issues (IBISWorld, 2024).</w:t>
      </w:r>
    </w:p>
    <w:p w14:paraId="6D45F543" w14:textId="24616855" w:rsidR="00E54FDA" w:rsidRPr="003F5EDF" w:rsidRDefault="008A01F7" w:rsidP="003F5EDF">
      <w:pPr>
        <w:spacing w:line="360" w:lineRule="auto"/>
        <w:rPr>
          <w:rFonts w:ascii="Arial" w:hAnsi="Arial" w:cs="Arial"/>
        </w:rPr>
      </w:pPr>
      <w:r>
        <w:rPr>
          <w:rFonts w:ascii="Arial" w:hAnsi="Arial" w:cs="Arial"/>
          <w:b/>
          <w:bCs/>
        </w:rPr>
        <w:t xml:space="preserve">   </w:t>
      </w:r>
      <w:r w:rsidR="00E54FDA" w:rsidRPr="003F5EDF">
        <w:rPr>
          <w:rFonts w:ascii="Arial" w:hAnsi="Arial" w:cs="Arial"/>
          <w:b/>
          <w:bCs/>
        </w:rPr>
        <w:t>Healthcare professionals and regulatory authorities</w:t>
      </w:r>
      <w:r w:rsidR="00E54FDA" w:rsidRPr="003F5EDF">
        <w:rPr>
          <w:rFonts w:ascii="Arial" w:hAnsi="Arial" w:cs="Arial"/>
        </w:rPr>
        <w:t xml:space="preserve"> validate the device’s clinical accuracy and compliance with legal standards. Their involvement builds consumer trust and supports Omron’s reputation for reliability. However, strict regulations and lengthy approval processes can delay market entry.</w:t>
      </w:r>
    </w:p>
    <w:p w14:paraId="2FDF021A" w14:textId="338461A6" w:rsidR="00E54FDA" w:rsidRPr="003F5EDF" w:rsidRDefault="008A01F7" w:rsidP="003F5EDF">
      <w:pPr>
        <w:spacing w:line="360" w:lineRule="auto"/>
        <w:rPr>
          <w:rFonts w:ascii="Arial" w:hAnsi="Arial" w:cs="Arial"/>
        </w:rPr>
      </w:pPr>
      <w:r>
        <w:rPr>
          <w:rFonts w:ascii="Arial" w:hAnsi="Arial" w:cs="Arial"/>
          <w:b/>
          <w:bCs/>
        </w:rPr>
        <w:t xml:space="preserve">   </w:t>
      </w:r>
      <w:r w:rsidR="00E54FDA" w:rsidRPr="003F5EDF">
        <w:rPr>
          <w:rFonts w:ascii="Arial" w:hAnsi="Arial" w:cs="Arial"/>
          <w:b/>
          <w:bCs/>
        </w:rPr>
        <w:t>Consumers</w:t>
      </w:r>
      <w:r w:rsidR="00E54FDA" w:rsidRPr="003F5EDF">
        <w:rPr>
          <w:rFonts w:ascii="Arial" w:hAnsi="Arial" w:cs="Arial"/>
        </w:rPr>
        <w:t>, as end users, determine the product’s market success. They provide valuable feedback that drives innovation and continuous improvement. Nonetheless, consumer concerns around data privacy and usability remain ongoing challenges in wearable health technology (Statista, 2024).</w:t>
      </w:r>
    </w:p>
    <w:p w14:paraId="1960758A" w14:textId="70517482" w:rsidR="00E54FDA" w:rsidRPr="003F5EDF" w:rsidRDefault="008A01F7" w:rsidP="003F5EDF">
      <w:pPr>
        <w:spacing w:line="360" w:lineRule="auto"/>
        <w:rPr>
          <w:rFonts w:ascii="Arial" w:hAnsi="Arial" w:cs="Arial"/>
        </w:rPr>
      </w:pPr>
      <w:r>
        <w:rPr>
          <w:rFonts w:ascii="Arial" w:hAnsi="Arial" w:cs="Arial"/>
          <w:b/>
          <w:bCs/>
        </w:rPr>
        <w:t xml:space="preserve">   </w:t>
      </w:r>
      <w:r w:rsidR="00E54FDA" w:rsidRPr="003F5EDF">
        <w:rPr>
          <w:rFonts w:ascii="Arial" w:hAnsi="Arial" w:cs="Arial"/>
          <w:b/>
          <w:bCs/>
        </w:rPr>
        <w:t>Technology partners</w:t>
      </w:r>
      <w:r w:rsidR="00E54FDA" w:rsidRPr="003F5EDF">
        <w:rPr>
          <w:rFonts w:ascii="Arial" w:hAnsi="Arial" w:cs="Arial"/>
        </w:rPr>
        <w:t xml:space="preserve"> are responsible for app development and cloud integration, ensuring the seamless transfer and analysis of health data. Their contribution enhances user engagement but exposes the project to risks related to cybersecurity and system compatibility.</w:t>
      </w:r>
    </w:p>
    <w:p w14:paraId="0CC35938" w14:textId="68E08767" w:rsidR="00E54FDA" w:rsidRDefault="008A01F7" w:rsidP="00E54FDA">
      <w:pPr>
        <w:spacing w:line="360" w:lineRule="auto"/>
        <w:rPr>
          <w:rFonts w:ascii="Arial" w:hAnsi="Arial" w:cs="Arial"/>
        </w:rPr>
      </w:pPr>
      <w:r>
        <w:rPr>
          <w:rFonts w:ascii="Arial" w:hAnsi="Arial" w:cs="Arial"/>
        </w:rPr>
        <w:t xml:space="preserve">   </w:t>
      </w:r>
      <w:r w:rsidR="00E54FDA" w:rsidRPr="003F5EDF">
        <w:rPr>
          <w:rFonts w:ascii="Arial" w:hAnsi="Arial" w:cs="Arial"/>
        </w:rPr>
        <w:t xml:space="preserve">In conclusion, Omron Healthcare’s internal stakeholders provide strategic, operational, and technical expertise, while external stakeholders contribute regulatory oversight, materials, and market insight. Managing the interdependence of these roles through effective </w:t>
      </w:r>
      <w:r w:rsidR="00E54FDA" w:rsidRPr="003F5EDF">
        <w:rPr>
          <w:rFonts w:ascii="Arial" w:hAnsi="Arial" w:cs="Arial"/>
        </w:rPr>
        <w:lastRenderedPageBreak/>
        <w:t>communication and collaboration is crucial for ensuring the successful launch and sustainable growth of the new wearable health device.</w:t>
      </w:r>
    </w:p>
    <w:p w14:paraId="425C6EC8" w14:textId="60C39E51" w:rsidR="00E54FDA" w:rsidRPr="008A01F7" w:rsidRDefault="008A01F7" w:rsidP="008305AD">
      <w:pPr>
        <w:spacing w:line="360" w:lineRule="auto"/>
        <w:rPr>
          <w:rFonts w:ascii="Arial" w:hAnsi="Arial" w:cs="Arial"/>
          <w:b/>
          <w:bCs/>
          <w:sz w:val="28"/>
          <w:szCs w:val="28"/>
        </w:rPr>
      </w:pPr>
      <w:r>
        <w:rPr>
          <w:rFonts w:ascii="Arial" w:hAnsi="Arial" w:cs="Arial"/>
          <w:b/>
          <w:bCs/>
          <w:sz w:val="28"/>
          <w:szCs w:val="28"/>
        </w:rPr>
        <w:t xml:space="preserve">   </w:t>
      </w:r>
      <w:r w:rsidR="00E54FDA" w:rsidRPr="008A01F7">
        <w:rPr>
          <w:rFonts w:ascii="Arial" w:hAnsi="Arial" w:cs="Arial"/>
          <w:b/>
          <w:bCs/>
          <w:sz w:val="28"/>
          <w:szCs w:val="28"/>
        </w:rPr>
        <w:t>5. Stakeholder Engagement Frameworks, Models and Theories</w:t>
      </w:r>
    </w:p>
    <w:p w14:paraId="6F12D142" w14:textId="29E9687C" w:rsidR="00E54FDA" w:rsidRPr="008A01F7" w:rsidRDefault="008A01F7" w:rsidP="008A01F7">
      <w:pPr>
        <w:spacing w:line="360" w:lineRule="auto"/>
        <w:rPr>
          <w:rFonts w:ascii="Arial" w:hAnsi="Arial" w:cs="Arial"/>
        </w:rPr>
      </w:pPr>
      <w:r w:rsidRPr="008A01F7">
        <w:rPr>
          <w:rFonts w:ascii="Arial" w:hAnsi="Arial" w:cs="Arial"/>
        </w:rPr>
        <w:t xml:space="preserve">   </w:t>
      </w:r>
      <w:r w:rsidR="00E54FDA" w:rsidRPr="008A01F7">
        <w:rPr>
          <w:rFonts w:ascii="Arial" w:hAnsi="Arial" w:cs="Arial"/>
        </w:rPr>
        <w:t>Effective stakeholder engagement is critical for project success, especially in product innovation projects like Omron Healthcare’s new</w:t>
      </w:r>
      <w:r w:rsidR="004235CA" w:rsidRPr="004235CA">
        <w:rPr>
          <w:rFonts w:ascii="Arial" w:hAnsi="Arial" w:cs="Arial"/>
        </w:rPr>
        <w:t xml:space="preserve"> Urban Track Watch</w:t>
      </w:r>
      <w:r w:rsidR="00E54FDA" w:rsidRPr="008A01F7">
        <w:rPr>
          <w:rFonts w:ascii="Arial" w:hAnsi="Arial" w:cs="Arial"/>
        </w:rPr>
        <w:t>. Applying structured frameworks and models enables efficient communication, decision-making, and collaboration. Key frameworks include the Stakeholder Matrix, Stakeholder Engagement Plan, Communication Plan, and RACI Matrix.</w:t>
      </w:r>
    </w:p>
    <w:p w14:paraId="3FF2D2AE" w14:textId="63002516" w:rsidR="00E54FDA" w:rsidRPr="008A01F7" w:rsidRDefault="008A01F7" w:rsidP="008305AD">
      <w:pPr>
        <w:spacing w:line="360" w:lineRule="auto"/>
        <w:rPr>
          <w:rFonts w:ascii="Arial" w:hAnsi="Arial" w:cs="Arial"/>
          <w:b/>
          <w:bCs/>
          <w:sz w:val="24"/>
          <w:szCs w:val="24"/>
        </w:rPr>
      </w:pPr>
      <w:r>
        <w:rPr>
          <w:rFonts w:ascii="Arial" w:hAnsi="Arial" w:cs="Arial"/>
          <w:b/>
          <w:bCs/>
          <w:sz w:val="24"/>
          <w:szCs w:val="24"/>
        </w:rPr>
        <w:t xml:space="preserve">   </w:t>
      </w:r>
      <w:r w:rsidR="00E54FDA" w:rsidRPr="008A01F7">
        <w:rPr>
          <w:rFonts w:ascii="Arial" w:hAnsi="Arial" w:cs="Arial"/>
          <w:b/>
          <w:bCs/>
          <w:sz w:val="24"/>
          <w:szCs w:val="24"/>
        </w:rPr>
        <w:t>Stakeholder Matrix</w:t>
      </w:r>
    </w:p>
    <w:p w14:paraId="618920DF" w14:textId="1034F1BC" w:rsidR="00E54FDA" w:rsidRPr="008A01F7" w:rsidRDefault="008A01F7" w:rsidP="008A01F7">
      <w:pPr>
        <w:spacing w:line="360" w:lineRule="auto"/>
        <w:rPr>
          <w:rFonts w:ascii="Arial" w:hAnsi="Arial" w:cs="Arial"/>
        </w:rPr>
      </w:pPr>
      <w:r>
        <w:rPr>
          <w:rFonts w:ascii="Arial" w:hAnsi="Arial" w:cs="Arial"/>
        </w:rPr>
        <w:t xml:space="preserve">   </w:t>
      </w:r>
      <w:r w:rsidR="00E54FDA" w:rsidRPr="008A01F7">
        <w:rPr>
          <w:rFonts w:ascii="Arial" w:hAnsi="Arial" w:cs="Arial"/>
        </w:rPr>
        <w:t>The stakeholder matrix, also known as Mendelow’s Matrix, categorises stakeholders according to their power and interest (Mendelow, 1991). This model enables the project manager to identify who needs close management and who requires minimal engagement. For example, executive management and regulatory authorities possess high power and high interest and therefore should be managed closely through frequent updates and consultations. Conversely, consumers and media partners, with lower direct power, can be kept informed through marketing communications. The matrix helps prioritise engagement resources and maintain focus on stakeholders most likely to influence project success.</w:t>
      </w:r>
    </w:p>
    <w:p w14:paraId="34694F7A" w14:textId="77777777" w:rsidR="00D21BD4" w:rsidRDefault="00D21BD4" w:rsidP="002241B3">
      <w:pPr>
        <w:spacing w:line="360" w:lineRule="auto"/>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D21BD4" w14:paraId="2487CA6E" w14:textId="77777777" w:rsidTr="00D21BD4">
        <w:tc>
          <w:tcPr>
            <w:tcW w:w="3005" w:type="dxa"/>
          </w:tcPr>
          <w:p w14:paraId="29E6653A" w14:textId="5F7899A9" w:rsidR="00D21BD4" w:rsidRDefault="00C23DD7" w:rsidP="002241B3">
            <w:pPr>
              <w:spacing w:line="360" w:lineRule="auto"/>
              <w:rPr>
                <w:rFonts w:ascii="Arial" w:hAnsi="Arial" w:cs="Arial"/>
              </w:rPr>
            </w:pPr>
            <w:r>
              <w:rPr>
                <w:rFonts w:ascii="Arial" w:hAnsi="Arial" w:cs="Arial"/>
              </w:rPr>
              <w:t xml:space="preserve">Quadrant </w:t>
            </w:r>
          </w:p>
        </w:tc>
        <w:tc>
          <w:tcPr>
            <w:tcW w:w="3005" w:type="dxa"/>
          </w:tcPr>
          <w:p w14:paraId="06C626EF" w14:textId="6B4028B9" w:rsidR="00D21BD4" w:rsidRDefault="00C23DD7" w:rsidP="002241B3">
            <w:pPr>
              <w:spacing w:line="360" w:lineRule="auto"/>
              <w:rPr>
                <w:rFonts w:ascii="Arial" w:hAnsi="Arial" w:cs="Arial"/>
              </w:rPr>
            </w:pPr>
            <w:r>
              <w:rPr>
                <w:rFonts w:ascii="Arial" w:hAnsi="Arial" w:cs="Arial"/>
              </w:rPr>
              <w:t xml:space="preserve">Stakeholder strategy </w:t>
            </w:r>
          </w:p>
        </w:tc>
        <w:tc>
          <w:tcPr>
            <w:tcW w:w="3006" w:type="dxa"/>
          </w:tcPr>
          <w:p w14:paraId="7AD04F86" w14:textId="5DBBEAB3" w:rsidR="00D21BD4" w:rsidRDefault="00C23DD7" w:rsidP="002241B3">
            <w:pPr>
              <w:spacing w:line="360" w:lineRule="auto"/>
              <w:rPr>
                <w:rFonts w:ascii="Arial" w:hAnsi="Arial" w:cs="Arial"/>
              </w:rPr>
            </w:pPr>
            <w:r>
              <w:rPr>
                <w:rFonts w:ascii="Arial" w:hAnsi="Arial" w:cs="Arial"/>
              </w:rPr>
              <w:t>example</w:t>
            </w:r>
          </w:p>
        </w:tc>
      </w:tr>
      <w:tr w:rsidR="00B6463E" w14:paraId="16835708" w14:textId="77777777" w:rsidTr="00D21BD4">
        <w:tc>
          <w:tcPr>
            <w:tcW w:w="3005" w:type="dxa"/>
          </w:tcPr>
          <w:p w14:paraId="4E2CEDE5" w14:textId="77777777" w:rsidR="00215794" w:rsidRDefault="00B6463E" w:rsidP="00B6463E">
            <w:pPr>
              <w:spacing w:line="360" w:lineRule="auto"/>
              <w:rPr>
                <w:rFonts w:ascii="Arial" w:hAnsi="Arial" w:cs="Arial"/>
              </w:rPr>
            </w:pPr>
            <w:r>
              <w:rPr>
                <w:rFonts w:ascii="Arial" w:hAnsi="Arial" w:cs="Arial"/>
              </w:rPr>
              <w:t>High power</w:t>
            </w:r>
            <w:r w:rsidR="00215794">
              <w:rPr>
                <w:rFonts w:ascii="Arial" w:hAnsi="Arial" w:cs="Arial"/>
              </w:rPr>
              <w:t>/</w:t>
            </w:r>
          </w:p>
          <w:p w14:paraId="086DB674" w14:textId="6F028172" w:rsidR="00B6463E" w:rsidRDefault="00C23DD7" w:rsidP="00B6463E">
            <w:pPr>
              <w:spacing w:line="360" w:lineRule="auto"/>
              <w:rPr>
                <w:rFonts w:ascii="Arial" w:hAnsi="Arial" w:cs="Arial"/>
              </w:rPr>
            </w:pPr>
            <w:r>
              <w:rPr>
                <w:rFonts w:ascii="Arial" w:hAnsi="Arial" w:cs="Arial"/>
              </w:rPr>
              <w:t>H</w:t>
            </w:r>
            <w:r w:rsidR="00B6463E">
              <w:rPr>
                <w:rFonts w:ascii="Arial" w:hAnsi="Arial" w:cs="Arial"/>
              </w:rPr>
              <w:t>igh interest</w:t>
            </w:r>
          </w:p>
        </w:tc>
        <w:tc>
          <w:tcPr>
            <w:tcW w:w="3005" w:type="dxa"/>
          </w:tcPr>
          <w:p w14:paraId="73FD4778" w14:textId="6870151C" w:rsidR="00B6463E" w:rsidRDefault="00B6463E" w:rsidP="00B6463E">
            <w:pPr>
              <w:spacing w:line="360" w:lineRule="auto"/>
              <w:rPr>
                <w:rFonts w:ascii="Arial" w:hAnsi="Arial" w:cs="Arial"/>
              </w:rPr>
            </w:pPr>
            <w:r>
              <w:rPr>
                <w:rFonts w:ascii="Arial" w:hAnsi="Arial" w:cs="Arial"/>
              </w:rPr>
              <w:t>M</w:t>
            </w:r>
            <w:r w:rsidR="00C23DD7">
              <w:rPr>
                <w:rFonts w:ascii="Arial" w:hAnsi="Arial" w:cs="Arial"/>
              </w:rPr>
              <w:t xml:space="preserve">anage </w:t>
            </w:r>
            <w:r w:rsidR="003E4A0A">
              <w:rPr>
                <w:rFonts w:ascii="Arial" w:hAnsi="Arial" w:cs="Arial"/>
              </w:rPr>
              <w:t>closely</w:t>
            </w:r>
          </w:p>
        </w:tc>
        <w:tc>
          <w:tcPr>
            <w:tcW w:w="3006" w:type="dxa"/>
          </w:tcPr>
          <w:p w14:paraId="195BCE79" w14:textId="77777777" w:rsidR="00B6463E" w:rsidRDefault="00B6463E" w:rsidP="00B6463E">
            <w:pPr>
              <w:spacing w:line="360" w:lineRule="auto"/>
              <w:rPr>
                <w:rFonts w:ascii="Arial" w:hAnsi="Arial" w:cs="Arial"/>
              </w:rPr>
            </w:pPr>
            <w:r>
              <w:rPr>
                <w:rFonts w:ascii="Arial" w:hAnsi="Arial" w:cs="Arial"/>
              </w:rPr>
              <w:t xml:space="preserve">Executive </w:t>
            </w:r>
            <w:r w:rsidR="003E4A0A">
              <w:rPr>
                <w:rFonts w:ascii="Arial" w:hAnsi="Arial" w:cs="Arial"/>
              </w:rPr>
              <w:t xml:space="preserve">Management </w:t>
            </w:r>
          </w:p>
          <w:p w14:paraId="5844451C" w14:textId="77777777" w:rsidR="003E4A0A" w:rsidRDefault="003E4A0A" w:rsidP="00B6463E">
            <w:pPr>
              <w:spacing w:line="360" w:lineRule="auto"/>
              <w:rPr>
                <w:rFonts w:ascii="Arial" w:hAnsi="Arial" w:cs="Arial"/>
              </w:rPr>
            </w:pPr>
            <w:r>
              <w:rPr>
                <w:rFonts w:ascii="Arial" w:hAnsi="Arial" w:cs="Arial"/>
              </w:rPr>
              <w:t>Regulatory Authorities</w:t>
            </w:r>
            <w:r w:rsidR="00215794">
              <w:rPr>
                <w:rFonts w:ascii="Arial" w:hAnsi="Arial" w:cs="Arial"/>
              </w:rPr>
              <w:t>,</w:t>
            </w:r>
          </w:p>
          <w:p w14:paraId="56ABC3CC" w14:textId="74905F3A" w:rsidR="00215794" w:rsidRDefault="00215794" w:rsidP="00B6463E">
            <w:pPr>
              <w:spacing w:line="360" w:lineRule="auto"/>
              <w:rPr>
                <w:rFonts w:ascii="Arial" w:hAnsi="Arial" w:cs="Arial"/>
              </w:rPr>
            </w:pPr>
            <w:r>
              <w:rPr>
                <w:rFonts w:ascii="Arial" w:hAnsi="Arial" w:cs="Arial"/>
              </w:rPr>
              <w:t>Project Manager</w:t>
            </w:r>
          </w:p>
        </w:tc>
      </w:tr>
      <w:tr w:rsidR="00B6463E" w14:paraId="61AF32F9" w14:textId="77777777" w:rsidTr="00D21BD4">
        <w:tc>
          <w:tcPr>
            <w:tcW w:w="3005" w:type="dxa"/>
          </w:tcPr>
          <w:p w14:paraId="1230FAFC" w14:textId="77777777" w:rsidR="00B6463E" w:rsidRDefault="00215794" w:rsidP="00B6463E">
            <w:pPr>
              <w:spacing w:line="360" w:lineRule="auto"/>
              <w:rPr>
                <w:rFonts w:ascii="Arial" w:hAnsi="Arial" w:cs="Arial"/>
              </w:rPr>
            </w:pPr>
            <w:r>
              <w:rPr>
                <w:rFonts w:ascii="Arial" w:hAnsi="Arial" w:cs="Arial"/>
              </w:rPr>
              <w:t>High power/</w:t>
            </w:r>
          </w:p>
          <w:p w14:paraId="47AE934A" w14:textId="0349687B" w:rsidR="00215794" w:rsidRDefault="008F138A" w:rsidP="00B6463E">
            <w:pPr>
              <w:spacing w:line="360" w:lineRule="auto"/>
              <w:rPr>
                <w:rFonts w:ascii="Arial" w:hAnsi="Arial" w:cs="Arial"/>
              </w:rPr>
            </w:pPr>
            <w:r>
              <w:rPr>
                <w:rFonts w:ascii="Arial" w:hAnsi="Arial" w:cs="Arial"/>
              </w:rPr>
              <w:t>Low interest</w:t>
            </w:r>
          </w:p>
        </w:tc>
        <w:tc>
          <w:tcPr>
            <w:tcW w:w="3005" w:type="dxa"/>
          </w:tcPr>
          <w:p w14:paraId="0F555F5E" w14:textId="47DD9B46" w:rsidR="00B6463E" w:rsidRDefault="008F138A" w:rsidP="00B6463E">
            <w:pPr>
              <w:spacing w:line="360" w:lineRule="auto"/>
              <w:rPr>
                <w:rFonts w:ascii="Arial" w:hAnsi="Arial" w:cs="Arial"/>
              </w:rPr>
            </w:pPr>
            <w:r>
              <w:rPr>
                <w:rFonts w:ascii="Arial" w:hAnsi="Arial" w:cs="Arial"/>
              </w:rPr>
              <w:t>Keep satisfied</w:t>
            </w:r>
          </w:p>
        </w:tc>
        <w:tc>
          <w:tcPr>
            <w:tcW w:w="3006" w:type="dxa"/>
          </w:tcPr>
          <w:p w14:paraId="593858B0" w14:textId="1887B93D" w:rsidR="00B6463E" w:rsidRDefault="008F138A" w:rsidP="00B6463E">
            <w:pPr>
              <w:spacing w:line="360" w:lineRule="auto"/>
              <w:rPr>
                <w:rFonts w:ascii="Arial" w:hAnsi="Arial" w:cs="Arial"/>
              </w:rPr>
            </w:pPr>
            <w:r>
              <w:rPr>
                <w:rFonts w:ascii="Arial" w:hAnsi="Arial" w:cs="Arial"/>
              </w:rPr>
              <w:t>Suppliers</w:t>
            </w:r>
          </w:p>
        </w:tc>
      </w:tr>
      <w:tr w:rsidR="00B6463E" w14:paraId="0BD07912" w14:textId="77777777" w:rsidTr="00D21BD4">
        <w:tc>
          <w:tcPr>
            <w:tcW w:w="3005" w:type="dxa"/>
          </w:tcPr>
          <w:p w14:paraId="049F3287" w14:textId="77777777" w:rsidR="00B6463E" w:rsidRDefault="008F138A" w:rsidP="00B6463E">
            <w:pPr>
              <w:spacing w:line="360" w:lineRule="auto"/>
              <w:rPr>
                <w:rFonts w:ascii="Arial" w:hAnsi="Arial" w:cs="Arial"/>
              </w:rPr>
            </w:pPr>
            <w:r>
              <w:rPr>
                <w:rFonts w:ascii="Arial" w:hAnsi="Arial" w:cs="Arial"/>
              </w:rPr>
              <w:t>Low power/</w:t>
            </w:r>
          </w:p>
          <w:p w14:paraId="19436EE6" w14:textId="3EE7C028" w:rsidR="008F138A" w:rsidRDefault="00F8178B" w:rsidP="00B6463E">
            <w:pPr>
              <w:spacing w:line="360" w:lineRule="auto"/>
              <w:rPr>
                <w:rFonts w:ascii="Arial" w:hAnsi="Arial" w:cs="Arial"/>
              </w:rPr>
            </w:pPr>
            <w:r>
              <w:rPr>
                <w:rFonts w:ascii="Arial" w:hAnsi="Arial" w:cs="Arial"/>
              </w:rPr>
              <w:t>High interest</w:t>
            </w:r>
          </w:p>
        </w:tc>
        <w:tc>
          <w:tcPr>
            <w:tcW w:w="3005" w:type="dxa"/>
          </w:tcPr>
          <w:p w14:paraId="4B022B5F" w14:textId="54184F47" w:rsidR="00B6463E" w:rsidRDefault="00F8178B" w:rsidP="00B6463E">
            <w:pPr>
              <w:spacing w:line="360" w:lineRule="auto"/>
              <w:rPr>
                <w:rFonts w:ascii="Arial" w:hAnsi="Arial" w:cs="Arial"/>
              </w:rPr>
            </w:pPr>
            <w:r>
              <w:rPr>
                <w:rFonts w:ascii="Arial" w:hAnsi="Arial" w:cs="Arial"/>
              </w:rPr>
              <w:t>Keep informed</w:t>
            </w:r>
          </w:p>
        </w:tc>
        <w:tc>
          <w:tcPr>
            <w:tcW w:w="3006" w:type="dxa"/>
          </w:tcPr>
          <w:p w14:paraId="77FB7C83" w14:textId="77777777" w:rsidR="00B6463E" w:rsidRDefault="00F8178B" w:rsidP="00B6463E">
            <w:pPr>
              <w:spacing w:line="360" w:lineRule="auto"/>
              <w:rPr>
                <w:rFonts w:ascii="Arial" w:hAnsi="Arial" w:cs="Arial"/>
              </w:rPr>
            </w:pPr>
            <w:r>
              <w:rPr>
                <w:rFonts w:ascii="Arial" w:hAnsi="Arial" w:cs="Arial"/>
              </w:rPr>
              <w:t>Marketing,</w:t>
            </w:r>
          </w:p>
          <w:p w14:paraId="2D46AFBC" w14:textId="0FA900B5" w:rsidR="00F8178B" w:rsidRDefault="00F8178B" w:rsidP="00B6463E">
            <w:pPr>
              <w:spacing w:line="360" w:lineRule="auto"/>
              <w:rPr>
                <w:rFonts w:ascii="Arial" w:hAnsi="Arial" w:cs="Arial"/>
              </w:rPr>
            </w:pPr>
            <w:r>
              <w:rPr>
                <w:rFonts w:ascii="Arial" w:hAnsi="Arial" w:cs="Arial"/>
              </w:rPr>
              <w:t>Sales</w:t>
            </w:r>
          </w:p>
        </w:tc>
      </w:tr>
      <w:tr w:rsidR="005763FD" w14:paraId="23C77A77" w14:textId="77777777" w:rsidTr="00D21BD4">
        <w:tc>
          <w:tcPr>
            <w:tcW w:w="3005" w:type="dxa"/>
          </w:tcPr>
          <w:p w14:paraId="17B51BC3" w14:textId="77777777" w:rsidR="005763FD" w:rsidRDefault="00FB71C4" w:rsidP="00B6463E">
            <w:pPr>
              <w:spacing w:line="360" w:lineRule="auto"/>
              <w:rPr>
                <w:rFonts w:ascii="Arial" w:hAnsi="Arial" w:cs="Arial"/>
              </w:rPr>
            </w:pPr>
            <w:r>
              <w:rPr>
                <w:rFonts w:ascii="Arial" w:hAnsi="Arial" w:cs="Arial"/>
              </w:rPr>
              <w:t>Low power/</w:t>
            </w:r>
          </w:p>
          <w:p w14:paraId="5C86A745" w14:textId="0AF1A04F" w:rsidR="00FB71C4" w:rsidRDefault="00FB71C4" w:rsidP="00B6463E">
            <w:pPr>
              <w:spacing w:line="360" w:lineRule="auto"/>
              <w:rPr>
                <w:rFonts w:ascii="Arial" w:hAnsi="Arial" w:cs="Arial"/>
              </w:rPr>
            </w:pPr>
            <w:r>
              <w:rPr>
                <w:rFonts w:ascii="Arial" w:hAnsi="Arial" w:cs="Arial"/>
              </w:rPr>
              <w:t xml:space="preserve">Low interest </w:t>
            </w:r>
          </w:p>
        </w:tc>
        <w:tc>
          <w:tcPr>
            <w:tcW w:w="3005" w:type="dxa"/>
          </w:tcPr>
          <w:p w14:paraId="34CBF2E9" w14:textId="3433ED58" w:rsidR="005763FD" w:rsidRDefault="00FB71C4" w:rsidP="00B6463E">
            <w:pPr>
              <w:spacing w:line="360" w:lineRule="auto"/>
              <w:rPr>
                <w:rFonts w:ascii="Arial" w:hAnsi="Arial" w:cs="Arial"/>
              </w:rPr>
            </w:pPr>
            <w:r>
              <w:rPr>
                <w:rFonts w:ascii="Arial" w:hAnsi="Arial" w:cs="Arial"/>
              </w:rPr>
              <w:t xml:space="preserve">Monitor </w:t>
            </w:r>
          </w:p>
        </w:tc>
        <w:tc>
          <w:tcPr>
            <w:tcW w:w="3006" w:type="dxa"/>
          </w:tcPr>
          <w:p w14:paraId="69AB397D" w14:textId="77777777" w:rsidR="005763FD" w:rsidRDefault="00FB71C4" w:rsidP="00B6463E">
            <w:pPr>
              <w:spacing w:line="360" w:lineRule="auto"/>
              <w:rPr>
                <w:rFonts w:ascii="Arial" w:hAnsi="Arial" w:cs="Arial"/>
              </w:rPr>
            </w:pPr>
            <w:r>
              <w:rPr>
                <w:rFonts w:ascii="Arial" w:hAnsi="Arial" w:cs="Arial"/>
              </w:rPr>
              <w:t>Media</w:t>
            </w:r>
            <w:r w:rsidR="00767A85">
              <w:rPr>
                <w:rFonts w:ascii="Arial" w:hAnsi="Arial" w:cs="Arial"/>
              </w:rPr>
              <w:t>,</w:t>
            </w:r>
          </w:p>
          <w:p w14:paraId="0F329D41" w14:textId="4807D8EC" w:rsidR="00767A85" w:rsidRDefault="00767A85" w:rsidP="00B6463E">
            <w:pPr>
              <w:spacing w:line="360" w:lineRule="auto"/>
              <w:rPr>
                <w:rFonts w:ascii="Arial" w:hAnsi="Arial" w:cs="Arial"/>
              </w:rPr>
            </w:pPr>
            <w:r>
              <w:rPr>
                <w:rFonts w:ascii="Arial" w:hAnsi="Arial" w:cs="Arial"/>
              </w:rPr>
              <w:t>Consumers</w:t>
            </w:r>
          </w:p>
        </w:tc>
      </w:tr>
    </w:tbl>
    <w:p w14:paraId="67CD0177" w14:textId="77777777" w:rsidR="00D21BD4" w:rsidRPr="00E54FDA" w:rsidRDefault="00D21BD4" w:rsidP="002241B3">
      <w:pPr>
        <w:spacing w:line="360" w:lineRule="auto"/>
        <w:rPr>
          <w:rFonts w:ascii="Arial" w:hAnsi="Arial" w:cs="Arial"/>
        </w:rPr>
      </w:pPr>
    </w:p>
    <w:p w14:paraId="64BEE5AC" w14:textId="5BAC825B" w:rsidR="00E54FDA" w:rsidRPr="008A01F7" w:rsidRDefault="008A01F7" w:rsidP="002241B3">
      <w:pPr>
        <w:spacing w:line="360" w:lineRule="auto"/>
        <w:rPr>
          <w:rFonts w:ascii="Arial" w:hAnsi="Arial" w:cs="Arial"/>
          <w:b/>
          <w:bCs/>
          <w:sz w:val="24"/>
          <w:szCs w:val="24"/>
        </w:rPr>
      </w:pPr>
      <w:r>
        <w:rPr>
          <w:rFonts w:ascii="Arial" w:hAnsi="Arial" w:cs="Arial"/>
          <w:b/>
          <w:bCs/>
          <w:sz w:val="24"/>
          <w:szCs w:val="24"/>
        </w:rPr>
        <w:t xml:space="preserve">   </w:t>
      </w:r>
      <w:r w:rsidR="00E54FDA" w:rsidRPr="008A01F7">
        <w:rPr>
          <w:rFonts w:ascii="Arial" w:hAnsi="Arial" w:cs="Arial"/>
          <w:b/>
          <w:bCs/>
          <w:sz w:val="24"/>
          <w:szCs w:val="24"/>
        </w:rPr>
        <w:t>Stakeholder Engagement Plan</w:t>
      </w:r>
    </w:p>
    <w:p w14:paraId="0A7DEF73" w14:textId="558A9F41" w:rsidR="00E54FDA" w:rsidRPr="00E50C67" w:rsidRDefault="008A01F7" w:rsidP="00E50C67">
      <w:pPr>
        <w:spacing w:line="360" w:lineRule="auto"/>
        <w:rPr>
          <w:rFonts w:ascii="Arial" w:hAnsi="Arial" w:cs="Arial"/>
        </w:rPr>
      </w:pPr>
      <w:r w:rsidRPr="00E50C67">
        <w:rPr>
          <w:rFonts w:ascii="Arial" w:hAnsi="Arial" w:cs="Arial"/>
        </w:rPr>
        <w:t xml:space="preserve">   </w:t>
      </w:r>
      <w:r w:rsidR="00E54FDA" w:rsidRPr="00E50C67">
        <w:rPr>
          <w:rFonts w:ascii="Arial" w:hAnsi="Arial" w:cs="Arial"/>
        </w:rPr>
        <w:t xml:space="preserve">A stakeholder engagement plan defines how each stakeholder will be involved, informed, and motivated throughout the project (PMI, 2021). For Omron, the plan would specify communication frequency, preferred channels, and accountability. For example, internal </w:t>
      </w:r>
      <w:r w:rsidR="00E54FDA" w:rsidRPr="00E50C67">
        <w:rPr>
          <w:rFonts w:ascii="Arial" w:hAnsi="Arial" w:cs="Arial"/>
        </w:rPr>
        <w:lastRenderedPageBreak/>
        <w:t>teams such as R&amp;D, marketing, and IT would participate in weekly coordination meetings, while external stakeholders like suppliers and healthcare professionals would receive monthly progress reports. This systematic approach ensures transparency and fosters trust across all groups.</w:t>
      </w:r>
    </w:p>
    <w:p w14:paraId="1C57BAD6" w14:textId="546CEA22" w:rsidR="00E54FDA" w:rsidRPr="00E50C67" w:rsidRDefault="00E50C67" w:rsidP="001B460C">
      <w:pPr>
        <w:spacing w:line="360" w:lineRule="auto"/>
        <w:rPr>
          <w:rFonts w:ascii="Arial" w:hAnsi="Arial" w:cs="Arial"/>
          <w:b/>
          <w:bCs/>
          <w:sz w:val="24"/>
          <w:szCs w:val="24"/>
        </w:rPr>
      </w:pPr>
      <w:r>
        <w:rPr>
          <w:rFonts w:ascii="Arial" w:hAnsi="Arial" w:cs="Arial"/>
          <w:b/>
          <w:bCs/>
          <w:sz w:val="24"/>
          <w:szCs w:val="24"/>
        </w:rPr>
        <w:t xml:space="preserve">   </w:t>
      </w:r>
      <w:r w:rsidR="00E54FDA" w:rsidRPr="00E50C67">
        <w:rPr>
          <w:rFonts w:ascii="Arial" w:hAnsi="Arial" w:cs="Arial"/>
          <w:b/>
          <w:bCs/>
          <w:sz w:val="24"/>
          <w:szCs w:val="24"/>
        </w:rPr>
        <w:t>Communication Plan</w:t>
      </w:r>
    </w:p>
    <w:p w14:paraId="772A7E62" w14:textId="37026116" w:rsidR="00B17D1F" w:rsidRDefault="00E54FDA" w:rsidP="00E50C67">
      <w:pPr>
        <w:spacing w:line="360" w:lineRule="auto"/>
        <w:rPr>
          <w:rFonts w:ascii="Arial" w:hAnsi="Arial" w:cs="Arial"/>
        </w:rPr>
      </w:pPr>
      <w:r w:rsidRPr="00E54FDA">
        <w:rPr>
          <w:rFonts w:ascii="Arial" w:hAnsi="Arial" w:cs="Arial"/>
        </w:rPr>
        <w:t>A communication plan outlines how project information is shared to ensure clarity, consistency, and efficiency. It determines what information is communicated, by whom, to whom, and through which channels. For instance, project status updates can be delivered via email summaries, performance dashboards, and virtual meetings. The plan also identifies escalation paths for addressing issues, reducing miscommunication and uncertainty.</w:t>
      </w:r>
      <w:r w:rsidR="00F05FA6" w:rsidRPr="00E54FDA">
        <w:rPr>
          <w:rFonts w:ascii="Arial" w:hAnsi="Arial" w:cs="Arial"/>
        </w:rPr>
        <w:t xml:space="preserve"> </w:t>
      </w:r>
    </w:p>
    <w:tbl>
      <w:tblPr>
        <w:tblStyle w:val="TableGrid"/>
        <w:tblW w:w="10059" w:type="dxa"/>
        <w:tblLook w:val="04A0" w:firstRow="1" w:lastRow="0" w:firstColumn="1" w:lastColumn="0" w:noHBand="0" w:noVBand="1"/>
      </w:tblPr>
      <w:tblGrid>
        <w:gridCol w:w="1649"/>
        <w:gridCol w:w="1707"/>
        <w:gridCol w:w="1932"/>
        <w:gridCol w:w="1448"/>
        <w:gridCol w:w="1759"/>
        <w:gridCol w:w="1564"/>
      </w:tblGrid>
      <w:tr w:rsidR="00A9237F" w:rsidRPr="000719CD" w14:paraId="06AF7D17" w14:textId="77777777" w:rsidTr="00AB2D9C">
        <w:trPr>
          <w:trHeight w:val="400"/>
        </w:trPr>
        <w:tc>
          <w:tcPr>
            <w:tcW w:w="1649" w:type="dxa"/>
          </w:tcPr>
          <w:p w14:paraId="32940329" w14:textId="77777777" w:rsidR="00A9237F" w:rsidRPr="000719CD" w:rsidRDefault="00A9237F" w:rsidP="001B460C">
            <w:pPr>
              <w:spacing w:line="360" w:lineRule="auto"/>
              <w:rPr>
                <w:rFonts w:ascii="Arial" w:hAnsi="Arial" w:cs="Arial"/>
              </w:rPr>
            </w:pPr>
          </w:p>
        </w:tc>
        <w:tc>
          <w:tcPr>
            <w:tcW w:w="1707" w:type="dxa"/>
          </w:tcPr>
          <w:p w14:paraId="734A04CC" w14:textId="77777777" w:rsidR="00A9237F" w:rsidRPr="000719CD" w:rsidRDefault="00A9237F" w:rsidP="001B460C">
            <w:pPr>
              <w:spacing w:line="360" w:lineRule="auto"/>
              <w:rPr>
                <w:rFonts w:ascii="Arial" w:hAnsi="Arial" w:cs="Arial"/>
              </w:rPr>
            </w:pPr>
          </w:p>
        </w:tc>
        <w:tc>
          <w:tcPr>
            <w:tcW w:w="1932" w:type="dxa"/>
          </w:tcPr>
          <w:p w14:paraId="79A6FC31" w14:textId="77777777" w:rsidR="00A9237F" w:rsidRPr="000719CD" w:rsidRDefault="00A9237F" w:rsidP="001B460C">
            <w:pPr>
              <w:spacing w:line="360" w:lineRule="auto"/>
              <w:rPr>
                <w:rFonts w:ascii="Arial" w:hAnsi="Arial" w:cs="Arial"/>
              </w:rPr>
            </w:pPr>
          </w:p>
        </w:tc>
        <w:tc>
          <w:tcPr>
            <w:tcW w:w="1448" w:type="dxa"/>
          </w:tcPr>
          <w:p w14:paraId="1625EE32" w14:textId="77777777" w:rsidR="00A9237F" w:rsidRPr="000719CD" w:rsidRDefault="00A9237F" w:rsidP="001B460C">
            <w:pPr>
              <w:spacing w:line="360" w:lineRule="auto"/>
              <w:rPr>
                <w:rFonts w:ascii="Arial" w:hAnsi="Arial" w:cs="Arial"/>
              </w:rPr>
            </w:pPr>
          </w:p>
        </w:tc>
        <w:tc>
          <w:tcPr>
            <w:tcW w:w="1759" w:type="dxa"/>
          </w:tcPr>
          <w:p w14:paraId="482FBA86" w14:textId="77777777" w:rsidR="00A9237F" w:rsidRPr="000719CD" w:rsidRDefault="00A9237F" w:rsidP="001B460C">
            <w:pPr>
              <w:spacing w:line="360" w:lineRule="auto"/>
              <w:rPr>
                <w:rFonts w:ascii="Arial" w:hAnsi="Arial" w:cs="Arial"/>
              </w:rPr>
            </w:pPr>
          </w:p>
        </w:tc>
        <w:tc>
          <w:tcPr>
            <w:tcW w:w="1564" w:type="dxa"/>
          </w:tcPr>
          <w:p w14:paraId="6A136FA8" w14:textId="77777777" w:rsidR="00A9237F" w:rsidRPr="000719CD" w:rsidRDefault="00A9237F" w:rsidP="001B460C">
            <w:pPr>
              <w:spacing w:line="360" w:lineRule="auto"/>
              <w:rPr>
                <w:rFonts w:ascii="Arial" w:hAnsi="Arial" w:cs="Arial"/>
              </w:rPr>
            </w:pPr>
          </w:p>
        </w:tc>
      </w:tr>
      <w:tr w:rsidR="00A96E55" w:rsidRPr="000719CD" w14:paraId="3F6C650F" w14:textId="77777777" w:rsidTr="00A96E55">
        <w:trPr>
          <w:trHeight w:val="567"/>
        </w:trPr>
        <w:tc>
          <w:tcPr>
            <w:tcW w:w="0" w:type="auto"/>
            <w:hideMark/>
          </w:tcPr>
          <w:p w14:paraId="2FE697AD" w14:textId="77777777" w:rsidR="00540A24" w:rsidRPr="00540A24" w:rsidRDefault="00540A24" w:rsidP="00540A24">
            <w:pPr>
              <w:jc w:val="center"/>
              <w:rPr>
                <w:rFonts w:ascii="Arial" w:eastAsia="Times New Roman" w:hAnsi="Arial" w:cs="Arial"/>
                <w:b/>
                <w:bCs/>
                <w:lang w:eastAsia="en-GB"/>
              </w:rPr>
            </w:pPr>
            <w:r w:rsidRPr="00540A24">
              <w:rPr>
                <w:rFonts w:ascii="Arial" w:eastAsia="Times New Roman" w:hAnsi="Arial" w:cs="Arial"/>
                <w:b/>
                <w:bCs/>
                <w:lang w:eastAsia="en-GB"/>
              </w:rPr>
              <w:t>Stakeholder Group</w:t>
            </w:r>
          </w:p>
        </w:tc>
        <w:tc>
          <w:tcPr>
            <w:tcW w:w="0" w:type="auto"/>
            <w:hideMark/>
          </w:tcPr>
          <w:p w14:paraId="3C559E64" w14:textId="77777777" w:rsidR="00540A24" w:rsidRPr="00540A24" w:rsidRDefault="00540A24" w:rsidP="00540A24">
            <w:pPr>
              <w:jc w:val="center"/>
              <w:rPr>
                <w:rFonts w:ascii="Arial" w:eastAsia="Times New Roman" w:hAnsi="Arial" w:cs="Arial"/>
                <w:b/>
                <w:bCs/>
                <w:lang w:eastAsia="en-GB"/>
              </w:rPr>
            </w:pPr>
            <w:r w:rsidRPr="00540A24">
              <w:rPr>
                <w:rFonts w:ascii="Arial" w:eastAsia="Times New Roman" w:hAnsi="Arial" w:cs="Arial"/>
                <w:b/>
                <w:bCs/>
                <w:lang w:eastAsia="en-GB"/>
              </w:rPr>
              <w:t>Information Required</w:t>
            </w:r>
          </w:p>
        </w:tc>
        <w:tc>
          <w:tcPr>
            <w:tcW w:w="0" w:type="auto"/>
            <w:hideMark/>
          </w:tcPr>
          <w:p w14:paraId="3BAA344D" w14:textId="77777777" w:rsidR="00540A24" w:rsidRPr="00540A24" w:rsidRDefault="00540A24" w:rsidP="00540A24">
            <w:pPr>
              <w:jc w:val="center"/>
              <w:rPr>
                <w:rFonts w:ascii="Arial" w:eastAsia="Times New Roman" w:hAnsi="Arial" w:cs="Arial"/>
                <w:b/>
                <w:bCs/>
                <w:lang w:eastAsia="en-GB"/>
              </w:rPr>
            </w:pPr>
            <w:r w:rsidRPr="00540A24">
              <w:rPr>
                <w:rFonts w:ascii="Arial" w:eastAsia="Times New Roman" w:hAnsi="Arial" w:cs="Arial"/>
                <w:b/>
                <w:bCs/>
                <w:lang w:eastAsia="en-GB"/>
              </w:rPr>
              <w:t>Communication Method</w:t>
            </w:r>
          </w:p>
        </w:tc>
        <w:tc>
          <w:tcPr>
            <w:tcW w:w="0" w:type="auto"/>
            <w:hideMark/>
          </w:tcPr>
          <w:p w14:paraId="0BA53CE0" w14:textId="77777777" w:rsidR="00540A24" w:rsidRPr="00540A24" w:rsidRDefault="00540A24" w:rsidP="00540A24">
            <w:pPr>
              <w:jc w:val="center"/>
              <w:rPr>
                <w:rFonts w:ascii="Arial" w:eastAsia="Times New Roman" w:hAnsi="Arial" w:cs="Arial"/>
                <w:b/>
                <w:bCs/>
                <w:lang w:eastAsia="en-GB"/>
              </w:rPr>
            </w:pPr>
            <w:r w:rsidRPr="00540A24">
              <w:rPr>
                <w:rFonts w:ascii="Arial" w:eastAsia="Times New Roman" w:hAnsi="Arial" w:cs="Arial"/>
                <w:b/>
                <w:bCs/>
                <w:lang w:eastAsia="en-GB"/>
              </w:rPr>
              <w:t>Frequency</w:t>
            </w:r>
          </w:p>
        </w:tc>
        <w:tc>
          <w:tcPr>
            <w:tcW w:w="0" w:type="auto"/>
            <w:hideMark/>
          </w:tcPr>
          <w:p w14:paraId="5D1D1B1D" w14:textId="77777777" w:rsidR="00540A24" w:rsidRPr="00540A24" w:rsidRDefault="00540A24" w:rsidP="00540A24">
            <w:pPr>
              <w:jc w:val="center"/>
              <w:rPr>
                <w:rFonts w:ascii="Arial" w:eastAsia="Times New Roman" w:hAnsi="Arial" w:cs="Arial"/>
                <w:b/>
                <w:bCs/>
                <w:lang w:eastAsia="en-GB"/>
              </w:rPr>
            </w:pPr>
            <w:r w:rsidRPr="00540A24">
              <w:rPr>
                <w:rFonts w:ascii="Arial" w:eastAsia="Times New Roman" w:hAnsi="Arial" w:cs="Arial"/>
                <w:b/>
                <w:bCs/>
                <w:lang w:eastAsia="en-GB"/>
              </w:rPr>
              <w:t>Responsibility</w:t>
            </w:r>
          </w:p>
        </w:tc>
        <w:tc>
          <w:tcPr>
            <w:tcW w:w="0" w:type="auto"/>
            <w:hideMark/>
          </w:tcPr>
          <w:p w14:paraId="40A61B26" w14:textId="77777777" w:rsidR="00540A24" w:rsidRPr="00540A24" w:rsidRDefault="00540A24" w:rsidP="00540A24">
            <w:pPr>
              <w:jc w:val="center"/>
              <w:rPr>
                <w:rFonts w:ascii="Arial" w:eastAsia="Times New Roman" w:hAnsi="Arial" w:cs="Arial"/>
                <w:b/>
                <w:bCs/>
                <w:lang w:eastAsia="en-GB"/>
              </w:rPr>
            </w:pPr>
            <w:r w:rsidRPr="00540A24">
              <w:rPr>
                <w:rFonts w:ascii="Arial" w:eastAsia="Times New Roman" w:hAnsi="Arial" w:cs="Arial"/>
                <w:b/>
                <w:bCs/>
                <w:lang w:eastAsia="en-GB"/>
              </w:rPr>
              <w:t>Purpose</w:t>
            </w:r>
          </w:p>
        </w:tc>
      </w:tr>
      <w:tr w:rsidR="00A96E55" w:rsidRPr="000719CD" w14:paraId="5B5C402F" w14:textId="77777777" w:rsidTr="00A96E55">
        <w:trPr>
          <w:trHeight w:val="1440"/>
        </w:trPr>
        <w:tc>
          <w:tcPr>
            <w:tcW w:w="0" w:type="auto"/>
            <w:hideMark/>
          </w:tcPr>
          <w:p w14:paraId="3C6DCBA3"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Executive Management</w:t>
            </w:r>
          </w:p>
        </w:tc>
        <w:tc>
          <w:tcPr>
            <w:tcW w:w="0" w:type="auto"/>
            <w:hideMark/>
          </w:tcPr>
          <w:p w14:paraId="5B2A083A"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Project updates, budget, risk status</w:t>
            </w:r>
          </w:p>
        </w:tc>
        <w:tc>
          <w:tcPr>
            <w:tcW w:w="0" w:type="auto"/>
            <w:hideMark/>
          </w:tcPr>
          <w:p w14:paraId="768A7501"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Progress reports &amp; executive meetings</w:t>
            </w:r>
          </w:p>
        </w:tc>
        <w:tc>
          <w:tcPr>
            <w:tcW w:w="0" w:type="auto"/>
            <w:hideMark/>
          </w:tcPr>
          <w:p w14:paraId="38B7A2B2"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Monthly</w:t>
            </w:r>
          </w:p>
        </w:tc>
        <w:tc>
          <w:tcPr>
            <w:tcW w:w="0" w:type="auto"/>
            <w:hideMark/>
          </w:tcPr>
          <w:p w14:paraId="77E95FE7"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Project Manager</w:t>
            </w:r>
          </w:p>
        </w:tc>
        <w:tc>
          <w:tcPr>
            <w:tcW w:w="0" w:type="auto"/>
            <w:hideMark/>
          </w:tcPr>
          <w:p w14:paraId="4F110792"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Strategic oversight and decision-making</w:t>
            </w:r>
          </w:p>
        </w:tc>
      </w:tr>
      <w:tr w:rsidR="00A96E55" w:rsidRPr="000719CD" w14:paraId="0CD82948" w14:textId="77777777" w:rsidTr="00A96E55">
        <w:trPr>
          <w:trHeight w:val="1143"/>
        </w:trPr>
        <w:tc>
          <w:tcPr>
            <w:tcW w:w="0" w:type="auto"/>
            <w:hideMark/>
          </w:tcPr>
          <w:p w14:paraId="7D17243C"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Regulatory Authorities</w:t>
            </w:r>
          </w:p>
        </w:tc>
        <w:tc>
          <w:tcPr>
            <w:tcW w:w="0" w:type="auto"/>
            <w:hideMark/>
          </w:tcPr>
          <w:p w14:paraId="7BD617D7"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Compliance documentation</w:t>
            </w:r>
          </w:p>
        </w:tc>
        <w:tc>
          <w:tcPr>
            <w:tcW w:w="0" w:type="auto"/>
            <w:hideMark/>
          </w:tcPr>
          <w:p w14:paraId="5F5D91A8"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Formal submissions, audits</w:t>
            </w:r>
          </w:p>
        </w:tc>
        <w:tc>
          <w:tcPr>
            <w:tcW w:w="0" w:type="auto"/>
            <w:hideMark/>
          </w:tcPr>
          <w:p w14:paraId="23A9D24B"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As required (milestones)</w:t>
            </w:r>
          </w:p>
        </w:tc>
        <w:tc>
          <w:tcPr>
            <w:tcW w:w="0" w:type="auto"/>
            <w:hideMark/>
          </w:tcPr>
          <w:p w14:paraId="44F54F2D"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QA &amp; Regulatory Team</w:t>
            </w:r>
          </w:p>
        </w:tc>
        <w:tc>
          <w:tcPr>
            <w:tcW w:w="0" w:type="auto"/>
            <w:hideMark/>
          </w:tcPr>
          <w:p w14:paraId="11EB5993"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Approval for market release</w:t>
            </w:r>
          </w:p>
        </w:tc>
      </w:tr>
      <w:tr w:rsidR="00A96E55" w:rsidRPr="000719CD" w14:paraId="73D1E6CB" w14:textId="77777777" w:rsidTr="00A96E55">
        <w:trPr>
          <w:trHeight w:val="1153"/>
        </w:trPr>
        <w:tc>
          <w:tcPr>
            <w:tcW w:w="0" w:type="auto"/>
            <w:hideMark/>
          </w:tcPr>
          <w:p w14:paraId="5BB47091"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R&amp;D &amp; Engineering</w:t>
            </w:r>
          </w:p>
        </w:tc>
        <w:tc>
          <w:tcPr>
            <w:tcW w:w="0" w:type="auto"/>
            <w:hideMark/>
          </w:tcPr>
          <w:p w14:paraId="344F5A78"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Design progress, technical feedback</w:t>
            </w:r>
          </w:p>
        </w:tc>
        <w:tc>
          <w:tcPr>
            <w:tcW w:w="0" w:type="auto"/>
            <w:hideMark/>
          </w:tcPr>
          <w:p w14:paraId="634E87BB"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Stand-up meetings, shared dashboards</w:t>
            </w:r>
          </w:p>
        </w:tc>
        <w:tc>
          <w:tcPr>
            <w:tcW w:w="0" w:type="auto"/>
            <w:hideMark/>
          </w:tcPr>
          <w:p w14:paraId="56B9FE7A"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Weekly</w:t>
            </w:r>
          </w:p>
        </w:tc>
        <w:tc>
          <w:tcPr>
            <w:tcW w:w="0" w:type="auto"/>
            <w:hideMark/>
          </w:tcPr>
          <w:p w14:paraId="38647D97"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Project Manager</w:t>
            </w:r>
          </w:p>
        </w:tc>
        <w:tc>
          <w:tcPr>
            <w:tcW w:w="0" w:type="auto"/>
            <w:hideMark/>
          </w:tcPr>
          <w:p w14:paraId="0232D995"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Technical coordination and innovation</w:t>
            </w:r>
          </w:p>
        </w:tc>
      </w:tr>
      <w:tr w:rsidR="00A96E55" w:rsidRPr="000719CD" w14:paraId="391777EC" w14:textId="77777777" w:rsidTr="00A96E55">
        <w:trPr>
          <w:trHeight w:val="1143"/>
        </w:trPr>
        <w:tc>
          <w:tcPr>
            <w:tcW w:w="0" w:type="auto"/>
            <w:hideMark/>
          </w:tcPr>
          <w:p w14:paraId="568FE665"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Marketing &amp; Sales</w:t>
            </w:r>
          </w:p>
        </w:tc>
        <w:tc>
          <w:tcPr>
            <w:tcW w:w="0" w:type="auto"/>
            <w:hideMark/>
          </w:tcPr>
          <w:p w14:paraId="698689C7"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Product features, launch timing</w:t>
            </w:r>
          </w:p>
        </w:tc>
        <w:tc>
          <w:tcPr>
            <w:tcW w:w="0" w:type="auto"/>
            <w:hideMark/>
          </w:tcPr>
          <w:p w14:paraId="6960965F"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Cross-functional meetings, email briefings</w:t>
            </w:r>
          </w:p>
        </w:tc>
        <w:tc>
          <w:tcPr>
            <w:tcW w:w="0" w:type="auto"/>
            <w:hideMark/>
          </w:tcPr>
          <w:p w14:paraId="397596C0"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Bi-weekly</w:t>
            </w:r>
          </w:p>
        </w:tc>
        <w:tc>
          <w:tcPr>
            <w:tcW w:w="0" w:type="auto"/>
            <w:hideMark/>
          </w:tcPr>
          <w:p w14:paraId="6F250E3A"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Project Manager / Marketing Lead</w:t>
            </w:r>
          </w:p>
        </w:tc>
        <w:tc>
          <w:tcPr>
            <w:tcW w:w="0" w:type="auto"/>
            <w:hideMark/>
          </w:tcPr>
          <w:p w14:paraId="7B9FB609"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Market preparation and demand generation</w:t>
            </w:r>
          </w:p>
        </w:tc>
      </w:tr>
      <w:tr w:rsidR="00A96E55" w:rsidRPr="000719CD" w14:paraId="7E3AF2CD" w14:textId="77777777" w:rsidTr="00A96E55">
        <w:trPr>
          <w:trHeight w:val="1153"/>
        </w:trPr>
        <w:tc>
          <w:tcPr>
            <w:tcW w:w="0" w:type="auto"/>
            <w:hideMark/>
          </w:tcPr>
          <w:p w14:paraId="54606DED"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IT &amp; Data Security</w:t>
            </w:r>
          </w:p>
        </w:tc>
        <w:tc>
          <w:tcPr>
            <w:tcW w:w="0" w:type="auto"/>
            <w:hideMark/>
          </w:tcPr>
          <w:p w14:paraId="12660B18"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Integration updates, app functionality</w:t>
            </w:r>
          </w:p>
        </w:tc>
        <w:tc>
          <w:tcPr>
            <w:tcW w:w="0" w:type="auto"/>
            <w:hideMark/>
          </w:tcPr>
          <w:p w14:paraId="6FC46411"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Virtual collaboration meetings</w:t>
            </w:r>
          </w:p>
        </w:tc>
        <w:tc>
          <w:tcPr>
            <w:tcW w:w="0" w:type="auto"/>
            <w:hideMark/>
          </w:tcPr>
          <w:p w14:paraId="5C3FE3E6"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Weekly</w:t>
            </w:r>
          </w:p>
        </w:tc>
        <w:tc>
          <w:tcPr>
            <w:tcW w:w="0" w:type="auto"/>
            <w:hideMark/>
          </w:tcPr>
          <w:p w14:paraId="1A16D4FC"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IT Lead</w:t>
            </w:r>
          </w:p>
        </w:tc>
        <w:tc>
          <w:tcPr>
            <w:tcW w:w="0" w:type="auto"/>
            <w:hideMark/>
          </w:tcPr>
          <w:p w14:paraId="78F586A2"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Digital infrastructure alignment</w:t>
            </w:r>
          </w:p>
        </w:tc>
      </w:tr>
      <w:tr w:rsidR="00A96E55" w:rsidRPr="000719CD" w14:paraId="230A58ED" w14:textId="77777777" w:rsidTr="00A96E55">
        <w:trPr>
          <w:trHeight w:val="1143"/>
        </w:trPr>
        <w:tc>
          <w:tcPr>
            <w:tcW w:w="0" w:type="auto"/>
            <w:hideMark/>
          </w:tcPr>
          <w:p w14:paraId="3681AFB7"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Suppliers &amp; Manufacturers</w:t>
            </w:r>
          </w:p>
        </w:tc>
        <w:tc>
          <w:tcPr>
            <w:tcW w:w="0" w:type="auto"/>
            <w:hideMark/>
          </w:tcPr>
          <w:p w14:paraId="283EC218"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Specifications, production status</w:t>
            </w:r>
          </w:p>
        </w:tc>
        <w:tc>
          <w:tcPr>
            <w:tcW w:w="0" w:type="auto"/>
            <w:hideMark/>
          </w:tcPr>
          <w:p w14:paraId="0AA8D88E"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Video calls, purchase orders</w:t>
            </w:r>
          </w:p>
        </w:tc>
        <w:tc>
          <w:tcPr>
            <w:tcW w:w="0" w:type="auto"/>
            <w:hideMark/>
          </w:tcPr>
          <w:p w14:paraId="0A887E28"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Monthly or milestone-based</w:t>
            </w:r>
          </w:p>
        </w:tc>
        <w:tc>
          <w:tcPr>
            <w:tcW w:w="0" w:type="auto"/>
            <w:hideMark/>
          </w:tcPr>
          <w:p w14:paraId="315C6B58"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Supply Chain Manager</w:t>
            </w:r>
          </w:p>
        </w:tc>
        <w:tc>
          <w:tcPr>
            <w:tcW w:w="0" w:type="auto"/>
            <w:hideMark/>
          </w:tcPr>
          <w:p w14:paraId="418EEC41"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Ensure component availability and quality</w:t>
            </w:r>
          </w:p>
        </w:tc>
      </w:tr>
      <w:tr w:rsidR="00A96E55" w:rsidRPr="000719CD" w14:paraId="224E7183" w14:textId="77777777" w:rsidTr="00A96E55">
        <w:trPr>
          <w:trHeight w:val="864"/>
        </w:trPr>
        <w:tc>
          <w:tcPr>
            <w:tcW w:w="0" w:type="auto"/>
            <w:hideMark/>
          </w:tcPr>
          <w:p w14:paraId="5F02315F"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Healthcare Professionals</w:t>
            </w:r>
          </w:p>
        </w:tc>
        <w:tc>
          <w:tcPr>
            <w:tcW w:w="0" w:type="auto"/>
            <w:hideMark/>
          </w:tcPr>
          <w:p w14:paraId="722CE8F8"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Prototype testing results</w:t>
            </w:r>
          </w:p>
        </w:tc>
        <w:tc>
          <w:tcPr>
            <w:tcW w:w="0" w:type="auto"/>
            <w:hideMark/>
          </w:tcPr>
          <w:p w14:paraId="3FF25BAB"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Reports, demonstration events</w:t>
            </w:r>
          </w:p>
        </w:tc>
        <w:tc>
          <w:tcPr>
            <w:tcW w:w="0" w:type="auto"/>
            <w:hideMark/>
          </w:tcPr>
          <w:p w14:paraId="4FB38669"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Review milestones</w:t>
            </w:r>
          </w:p>
        </w:tc>
        <w:tc>
          <w:tcPr>
            <w:tcW w:w="0" w:type="auto"/>
            <w:hideMark/>
          </w:tcPr>
          <w:p w14:paraId="35385B70"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R&amp;D / Clinical Affairs</w:t>
            </w:r>
          </w:p>
        </w:tc>
        <w:tc>
          <w:tcPr>
            <w:tcW w:w="0" w:type="auto"/>
            <w:hideMark/>
          </w:tcPr>
          <w:p w14:paraId="4E18A3BD"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Clinical validation</w:t>
            </w:r>
          </w:p>
        </w:tc>
      </w:tr>
      <w:tr w:rsidR="00A96E55" w:rsidRPr="000719CD" w14:paraId="72D277BA" w14:textId="77777777" w:rsidTr="00A96E55">
        <w:trPr>
          <w:trHeight w:val="864"/>
        </w:trPr>
        <w:tc>
          <w:tcPr>
            <w:tcW w:w="0" w:type="auto"/>
            <w:hideMark/>
          </w:tcPr>
          <w:p w14:paraId="36657EFD"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lastRenderedPageBreak/>
              <w:t>Consumers (User Testing)</w:t>
            </w:r>
          </w:p>
        </w:tc>
        <w:tc>
          <w:tcPr>
            <w:tcW w:w="0" w:type="auto"/>
            <w:hideMark/>
          </w:tcPr>
          <w:p w14:paraId="6EC585ED"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Usability feedback</w:t>
            </w:r>
          </w:p>
        </w:tc>
        <w:tc>
          <w:tcPr>
            <w:tcW w:w="0" w:type="auto"/>
            <w:hideMark/>
          </w:tcPr>
          <w:p w14:paraId="2AAFC305"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Surveys, trial reports</w:t>
            </w:r>
          </w:p>
        </w:tc>
        <w:tc>
          <w:tcPr>
            <w:tcW w:w="0" w:type="auto"/>
            <w:hideMark/>
          </w:tcPr>
          <w:p w14:paraId="33D95C47"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Prototype phases</w:t>
            </w:r>
          </w:p>
        </w:tc>
        <w:tc>
          <w:tcPr>
            <w:tcW w:w="0" w:type="auto"/>
            <w:hideMark/>
          </w:tcPr>
          <w:p w14:paraId="34B5D1E1"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Marketing / UX Team</w:t>
            </w:r>
          </w:p>
        </w:tc>
        <w:tc>
          <w:tcPr>
            <w:tcW w:w="0" w:type="auto"/>
            <w:hideMark/>
          </w:tcPr>
          <w:p w14:paraId="3E418685" w14:textId="77777777" w:rsidR="00540A24" w:rsidRPr="00540A24" w:rsidRDefault="00540A24" w:rsidP="00540A24">
            <w:pPr>
              <w:rPr>
                <w:rFonts w:ascii="Arial" w:eastAsia="Times New Roman" w:hAnsi="Arial" w:cs="Arial"/>
                <w:lang w:eastAsia="en-GB"/>
              </w:rPr>
            </w:pPr>
            <w:r w:rsidRPr="00540A24">
              <w:rPr>
                <w:rFonts w:ascii="Arial" w:eastAsia="Times New Roman" w:hAnsi="Arial" w:cs="Arial"/>
                <w:lang w:eastAsia="en-GB"/>
              </w:rPr>
              <w:t>Product improvement</w:t>
            </w:r>
          </w:p>
        </w:tc>
      </w:tr>
    </w:tbl>
    <w:p w14:paraId="65EFA942" w14:textId="77777777" w:rsidR="00E50C67" w:rsidRDefault="00E50C67" w:rsidP="00E54FDA">
      <w:pPr>
        <w:spacing w:line="360" w:lineRule="auto"/>
        <w:rPr>
          <w:rFonts w:ascii="Arial" w:hAnsi="Arial" w:cs="Arial"/>
          <w:b/>
          <w:bCs/>
        </w:rPr>
      </w:pPr>
    </w:p>
    <w:p w14:paraId="6F6A1BBB" w14:textId="661CAA7F" w:rsidR="00E54FDA" w:rsidRPr="00E50C67" w:rsidRDefault="00E50C67" w:rsidP="00E54FDA">
      <w:pPr>
        <w:spacing w:line="360" w:lineRule="auto"/>
        <w:rPr>
          <w:rFonts w:ascii="Arial" w:hAnsi="Arial" w:cs="Arial"/>
          <w:b/>
          <w:bCs/>
          <w:sz w:val="24"/>
          <w:szCs w:val="24"/>
        </w:rPr>
      </w:pPr>
      <w:r>
        <w:rPr>
          <w:rFonts w:ascii="Arial" w:hAnsi="Arial" w:cs="Arial"/>
          <w:b/>
          <w:bCs/>
          <w:sz w:val="24"/>
          <w:szCs w:val="24"/>
        </w:rPr>
        <w:t xml:space="preserve">   </w:t>
      </w:r>
      <w:r w:rsidR="00E54FDA" w:rsidRPr="00E50C67">
        <w:rPr>
          <w:rFonts w:ascii="Arial" w:hAnsi="Arial" w:cs="Arial"/>
          <w:b/>
          <w:bCs/>
          <w:sz w:val="24"/>
          <w:szCs w:val="24"/>
        </w:rPr>
        <w:t>RACI Matrix</w:t>
      </w:r>
    </w:p>
    <w:p w14:paraId="54B6CAF2" w14:textId="2653A2DB" w:rsidR="00E54FDA" w:rsidRPr="00E50C67" w:rsidRDefault="00E50C67" w:rsidP="00E50C67">
      <w:pPr>
        <w:spacing w:line="360" w:lineRule="auto"/>
        <w:rPr>
          <w:rFonts w:ascii="Arial" w:hAnsi="Arial" w:cs="Arial"/>
        </w:rPr>
      </w:pPr>
      <w:r>
        <w:rPr>
          <w:rFonts w:ascii="Arial" w:hAnsi="Arial" w:cs="Arial"/>
        </w:rPr>
        <w:t xml:space="preserve">   </w:t>
      </w:r>
      <w:r w:rsidR="00E54FDA" w:rsidRPr="00E50C67">
        <w:rPr>
          <w:rFonts w:ascii="Arial" w:hAnsi="Arial" w:cs="Arial"/>
        </w:rPr>
        <w:t xml:space="preserve">The RACI matrix (Responsible, Accountable, Consulted, Informed) clarifies stakeholder roles and decision-making authority (Crawford, 2005). For Omron, the project manager is </w:t>
      </w:r>
      <w:r w:rsidR="00E54FDA" w:rsidRPr="00E50C67">
        <w:rPr>
          <w:rFonts w:ascii="Arial" w:hAnsi="Arial" w:cs="Arial"/>
          <w:i/>
          <w:iCs/>
        </w:rPr>
        <w:t>accountable</w:t>
      </w:r>
      <w:r w:rsidR="00E54FDA" w:rsidRPr="00E50C67">
        <w:rPr>
          <w:rFonts w:ascii="Arial" w:hAnsi="Arial" w:cs="Arial"/>
        </w:rPr>
        <w:t xml:space="preserve"> for overall delivery, while R&amp;D teams are </w:t>
      </w:r>
      <w:r w:rsidR="00E54FDA" w:rsidRPr="00E50C67">
        <w:rPr>
          <w:rFonts w:ascii="Arial" w:hAnsi="Arial" w:cs="Arial"/>
          <w:i/>
          <w:iCs/>
        </w:rPr>
        <w:t>responsible</w:t>
      </w:r>
      <w:r w:rsidR="00E54FDA" w:rsidRPr="00E50C67">
        <w:rPr>
          <w:rFonts w:ascii="Arial" w:hAnsi="Arial" w:cs="Arial"/>
        </w:rPr>
        <w:t xml:space="preserve"> for technical development. The executive board is </w:t>
      </w:r>
      <w:r w:rsidR="00E54FDA" w:rsidRPr="00E50C67">
        <w:rPr>
          <w:rFonts w:ascii="Arial" w:hAnsi="Arial" w:cs="Arial"/>
          <w:i/>
          <w:iCs/>
        </w:rPr>
        <w:t>consulted</w:t>
      </w:r>
      <w:r w:rsidR="00E54FDA" w:rsidRPr="00E50C67">
        <w:rPr>
          <w:rFonts w:ascii="Arial" w:hAnsi="Arial" w:cs="Arial"/>
        </w:rPr>
        <w:t xml:space="preserve"> on strategic decisions, and sales and marketing departments are </w:t>
      </w:r>
      <w:r w:rsidR="00E54FDA" w:rsidRPr="00E50C67">
        <w:rPr>
          <w:rFonts w:ascii="Arial" w:hAnsi="Arial" w:cs="Arial"/>
          <w:i/>
          <w:iCs/>
        </w:rPr>
        <w:t>informed</w:t>
      </w:r>
      <w:r w:rsidR="00E54FDA" w:rsidRPr="00E50C67">
        <w:rPr>
          <w:rFonts w:ascii="Arial" w:hAnsi="Arial" w:cs="Arial"/>
        </w:rPr>
        <w:t xml:space="preserve"> of timelines and milestones. This model helps avoid confusion over task ownership and promotes efficiency by clearly defining responsibilities.</w:t>
      </w:r>
    </w:p>
    <w:p w14:paraId="28950D4B" w14:textId="057C39DB" w:rsidR="00E54FDA" w:rsidRPr="00E50C67" w:rsidRDefault="00E50C67" w:rsidP="00E50C67">
      <w:pPr>
        <w:spacing w:line="360" w:lineRule="auto"/>
        <w:rPr>
          <w:rFonts w:ascii="Arial" w:hAnsi="Arial" w:cs="Arial"/>
        </w:rPr>
      </w:pPr>
      <w:r w:rsidRPr="00E50C67">
        <w:rPr>
          <w:rFonts w:ascii="Arial" w:hAnsi="Arial" w:cs="Arial"/>
        </w:rPr>
        <w:t xml:space="preserve">   </w:t>
      </w:r>
      <w:r w:rsidR="00E54FDA" w:rsidRPr="00E50C67">
        <w:rPr>
          <w:rFonts w:ascii="Arial" w:hAnsi="Arial" w:cs="Arial"/>
        </w:rPr>
        <w:t>Collectively, these frameworks provide a structured and evidence-based approach to stakeholder engagement. They ensure that Omron Healthcare’s project remains aligned with organisational strategy while promoting collaboration, accountability, and transparent communication across all parties.</w:t>
      </w:r>
    </w:p>
    <w:tbl>
      <w:tblPr>
        <w:tblStyle w:val="TableGrid"/>
        <w:tblW w:w="11592" w:type="dxa"/>
        <w:tblLook w:val="04A0" w:firstRow="1" w:lastRow="0" w:firstColumn="1" w:lastColumn="0" w:noHBand="0" w:noVBand="1"/>
      </w:tblPr>
      <w:tblGrid>
        <w:gridCol w:w="1476"/>
        <w:gridCol w:w="1121"/>
        <w:gridCol w:w="791"/>
        <w:gridCol w:w="1488"/>
        <w:gridCol w:w="1366"/>
        <w:gridCol w:w="1256"/>
        <w:gridCol w:w="791"/>
        <w:gridCol w:w="950"/>
        <w:gridCol w:w="1244"/>
        <w:gridCol w:w="1109"/>
      </w:tblGrid>
      <w:tr w:rsidR="003F62E8" w:rsidRPr="007B7476" w14:paraId="6A20F674" w14:textId="77777777" w:rsidTr="00003BC4">
        <w:trPr>
          <w:gridAfter w:val="2"/>
        </w:trPr>
        <w:tc>
          <w:tcPr>
            <w:tcW w:w="1476" w:type="dxa"/>
          </w:tcPr>
          <w:p w14:paraId="315AF1D5" w14:textId="77777777" w:rsidR="003F62E8" w:rsidRPr="007B7476" w:rsidRDefault="003F62E8" w:rsidP="00E54FDA">
            <w:pPr>
              <w:spacing w:line="360" w:lineRule="auto"/>
              <w:rPr>
                <w:rFonts w:ascii="Arial" w:hAnsi="Arial" w:cs="Arial"/>
              </w:rPr>
            </w:pPr>
          </w:p>
        </w:tc>
        <w:tc>
          <w:tcPr>
            <w:tcW w:w="1121" w:type="dxa"/>
          </w:tcPr>
          <w:p w14:paraId="08FC3C58" w14:textId="77777777" w:rsidR="003F62E8" w:rsidRPr="007B7476" w:rsidRDefault="003F62E8" w:rsidP="00E54FDA">
            <w:pPr>
              <w:spacing w:line="360" w:lineRule="auto"/>
              <w:rPr>
                <w:rFonts w:ascii="Arial" w:hAnsi="Arial" w:cs="Arial"/>
              </w:rPr>
            </w:pPr>
          </w:p>
        </w:tc>
        <w:tc>
          <w:tcPr>
            <w:tcW w:w="791" w:type="dxa"/>
          </w:tcPr>
          <w:p w14:paraId="4FA3A5C7" w14:textId="77777777" w:rsidR="003F62E8" w:rsidRPr="007B7476" w:rsidRDefault="003F62E8" w:rsidP="00E54FDA">
            <w:pPr>
              <w:spacing w:line="360" w:lineRule="auto"/>
              <w:rPr>
                <w:rFonts w:ascii="Arial" w:hAnsi="Arial" w:cs="Arial"/>
              </w:rPr>
            </w:pPr>
          </w:p>
        </w:tc>
        <w:tc>
          <w:tcPr>
            <w:tcW w:w="1488" w:type="dxa"/>
          </w:tcPr>
          <w:p w14:paraId="541BAAC5" w14:textId="77777777" w:rsidR="003F62E8" w:rsidRPr="007B7476" w:rsidRDefault="003F62E8" w:rsidP="00E54FDA">
            <w:pPr>
              <w:spacing w:line="360" w:lineRule="auto"/>
              <w:rPr>
                <w:rFonts w:ascii="Arial" w:hAnsi="Arial" w:cs="Arial"/>
              </w:rPr>
            </w:pPr>
          </w:p>
        </w:tc>
        <w:tc>
          <w:tcPr>
            <w:tcW w:w="1366" w:type="dxa"/>
          </w:tcPr>
          <w:p w14:paraId="44731B7C" w14:textId="77777777" w:rsidR="003F62E8" w:rsidRPr="007B7476" w:rsidRDefault="003F62E8" w:rsidP="00E54FDA">
            <w:pPr>
              <w:spacing w:line="360" w:lineRule="auto"/>
              <w:rPr>
                <w:rFonts w:ascii="Arial" w:hAnsi="Arial" w:cs="Arial"/>
              </w:rPr>
            </w:pPr>
          </w:p>
        </w:tc>
        <w:tc>
          <w:tcPr>
            <w:tcW w:w="1256" w:type="dxa"/>
          </w:tcPr>
          <w:p w14:paraId="0EF24EAC" w14:textId="77777777" w:rsidR="003F62E8" w:rsidRPr="007B7476" w:rsidRDefault="003F62E8" w:rsidP="00E54FDA">
            <w:pPr>
              <w:spacing w:line="360" w:lineRule="auto"/>
              <w:rPr>
                <w:rFonts w:ascii="Arial" w:hAnsi="Arial" w:cs="Arial"/>
              </w:rPr>
            </w:pPr>
          </w:p>
        </w:tc>
        <w:tc>
          <w:tcPr>
            <w:tcW w:w="791" w:type="dxa"/>
          </w:tcPr>
          <w:p w14:paraId="00C0E22C" w14:textId="77777777" w:rsidR="003F62E8" w:rsidRPr="007B7476" w:rsidRDefault="003F62E8" w:rsidP="00E54FDA">
            <w:pPr>
              <w:spacing w:line="360" w:lineRule="auto"/>
              <w:rPr>
                <w:rFonts w:ascii="Arial" w:hAnsi="Arial" w:cs="Arial"/>
              </w:rPr>
            </w:pPr>
          </w:p>
        </w:tc>
        <w:tc>
          <w:tcPr>
            <w:tcW w:w="950" w:type="dxa"/>
          </w:tcPr>
          <w:p w14:paraId="02B1629E" w14:textId="77777777" w:rsidR="003F62E8" w:rsidRPr="007B7476" w:rsidRDefault="003F62E8" w:rsidP="00E54FDA">
            <w:pPr>
              <w:spacing w:line="360" w:lineRule="auto"/>
              <w:rPr>
                <w:rFonts w:ascii="Arial" w:hAnsi="Arial" w:cs="Arial"/>
              </w:rPr>
            </w:pPr>
          </w:p>
        </w:tc>
      </w:tr>
      <w:tr w:rsidR="00207B6C" w:rsidRPr="00207B6C" w14:paraId="355058F3" w14:textId="77777777" w:rsidTr="00003BC4">
        <w:tc>
          <w:tcPr>
            <w:tcW w:w="0" w:type="auto"/>
            <w:hideMark/>
          </w:tcPr>
          <w:p w14:paraId="535FDAF3" w14:textId="77777777" w:rsidR="00207B6C" w:rsidRPr="00207B6C" w:rsidRDefault="00207B6C" w:rsidP="00207B6C">
            <w:pPr>
              <w:jc w:val="center"/>
              <w:rPr>
                <w:rFonts w:ascii="Arial" w:eastAsia="Times New Roman" w:hAnsi="Arial" w:cs="Arial"/>
                <w:b/>
                <w:bCs/>
                <w:lang w:eastAsia="en-GB"/>
              </w:rPr>
            </w:pPr>
            <w:r w:rsidRPr="00207B6C">
              <w:rPr>
                <w:rFonts w:ascii="Arial" w:eastAsia="Times New Roman" w:hAnsi="Arial" w:cs="Arial"/>
                <w:b/>
                <w:bCs/>
                <w:lang w:eastAsia="en-GB"/>
              </w:rPr>
              <w:t>Project Task / Deliverable</w:t>
            </w:r>
          </w:p>
        </w:tc>
        <w:tc>
          <w:tcPr>
            <w:tcW w:w="0" w:type="auto"/>
            <w:hideMark/>
          </w:tcPr>
          <w:p w14:paraId="1F5F73A5" w14:textId="77777777" w:rsidR="00207B6C" w:rsidRPr="00207B6C" w:rsidRDefault="00207B6C" w:rsidP="00207B6C">
            <w:pPr>
              <w:jc w:val="center"/>
              <w:rPr>
                <w:rFonts w:ascii="Arial" w:eastAsia="Times New Roman" w:hAnsi="Arial" w:cs="Arial"/>
                <w:b/>
                <w:bCs/>
                <w:lang w:eastAsia="en-GB"/>
              </w:rPr>
            </w:pPr>
            <w:r w:rsidRPr="00207B6C">
              <w:rPr>
                <w:rFonts w:ascii="Arial" w:eastAsia="Times New Roman" w:hAnsi="Arial" w:cs="Arial"/>
                <w:b/>
                <w:bCs/>
                <w:lang w:eastAsia="en-GB"/>
              </w:rPr>
              <w:t>Project Manager</w:t>
            </w:r>
          </w:p>
        </w:tc>
        <w:tc>
          <w:tcPr>
            <w:tcW w:w="0" w:type="auto"/>
            <w:hideMark/>
          </w:tcPr>
          <w:p w14:paraId="2BE452D7" w14:textId="77777777" w:rsidR="00207B6C" w:rsidRPr="00207B6C" w:rsidRDefault="00207B6C" w:rsidP="00207B6C">
            <w:pPr>
              <w:jc w:val="center"/>
              <w:rPr>
                <w:rFonts w:ascii="Arial" w:eastAsia="Times New Roman" w:hAnsi="Arial" w:cs="Arial"/>
                <w:b/>
                <w:bCs/>
                <w:lang w:eastAsia="en-GB"/>
              </w:rPr>
            </w:pPr>
            <w:r w:rsidRPr="00207B6C">
              <w:rPr>
                <w:rFonts w:ascii="Arial" w:eastAsia="Times New Roman" w:hAnsi="Arial" w:cs="Arial"/>
                <w:b/>
                <w:bCs/>
                <w:lang w:eastAsia="en-GB"/>
              </w:rPr>
              <w:t>R&amp;D Team</w:t>
            </w:r>
          </w:p>
        </w:tc>
        <w:tc>
          <w:tcPr>
            <w:tcW w:w="0" w:type="auto"/>
            <w:hideMark/>
          </w:tcPr>
          <w:p w14:paraId="714ACA09" w14:textId="77777777" w:rsidR="00207B6C" w:rsidRPr="00207B6C" w:rsidRDefault="00207B6C" w:rsidP="00207B6C">
            <w:pPr>
              <w:jc w:val="center"/>
              <w:rPr>
                <w:rFonts w:ascii="Arial" w:eastAsia="Times New Roman" w:hAnsi="Arial" w:cs="Arial"/>
                <w:b/>
                <w:bCs/>
                <w:lang w:eastAsia="en-GB"/>
              </w:rPr>
            </w:pPr>
            <w:r w:rsidRPr="00207B6C">
              <w:rPr>
                <w:rFonts w:ascii="Arial" w:eastAsia="Times New Roman" w:hAnsi="Arial" w:cs="Arial"/>
                <w:b/>
                <w:bCs/>
                <w:lang w:eastAsia="en-GB"/>
              </w:rPr>
              <w:t>Engineering</w:t>
            </w:r>
          </w:p>
        </w:tc>
        <w:tc>
          <w:tcPr>
            <w:tcW w:w="0" w:type="auto"/>
            <w:hideMark/>
          </w:tcPr>
          <w:p w14:paraId="5D35A37E" w14:textId="77777777" w:rsidR="00207B6C" w:rsidRPr="00207B6C" w:rsidRDefault="00207B6C" w:rsidP="00207B6C">
            <w:pPr>
              <w:jc w:val="center"/>
              <w:rPr>
                <w:rFonts w:ascii="Arial" w:eastAsia="Times New Roman" w:hAnsi="Arial" w:cs="Arial"/>
                <w:b/>
                <w:bCs/>
                <w:lang w:eastAsia="en-GB"/>
              </w:rPr>
            </w:pPr>
            <w:r w:rsidRPr="00207B6C">
              <w:rPr>
                <w:rFonts w:ascii="Arial" w:eastAsia="Times New Roman" w:hAnsi="Arial" w:cs="Arial"/>
                <w:b/>
                <w:bCs/>
                <w:lang w:eastAsia="en-GB"/>
              </w:rPr>
              <w:t>QA &amp; Regulatory</w:t>
            </w:r>
          </w:p>
        </w:tc>
        <w:tc>
          <w:tcPr>
            <w:tcW w:w="0" w:type="auto"/>
            <w:hideMark/>
          </w:tcPr>
          <w:p w14:paraId="6DCE0C16" w14:textId="77777777" w:rsidR="00207B6C" w:rsidRPr="00207B6C" w:rsidRDefault="00207B6C" w:rsidP="00207B6C">
            <w:pPr>
              <w:jc w:val="center"/>
              <w:rPr>
                <w:rFonts w:ascii="Arial" w:eastAsia="Times New Roman" w:hAnsi="Arial" w:cs="Arial"/>
                <w:b/>
                <w:bCs/>
                <w:lang w:eastAsia="en-GB"/>
              </w:rPr>
            </w:pPr>
            <w:r w:rsidRPr="00207B6C">
              <w:rPr>
                <w:rFonts w:ascii="Arial" w:eastAsia="Times New Roman" w:hAnsi="Arial" w:cs="Arial"/>
                <w:b/>
                <w:bCs/>
                <w:lang w:eastAsia="en-GB"/>
              </w:rPr>
              <w:t>Marketing</w:t>
            </w:r>
          </w:p>
        </w:tc>
        <w:tc>
          <w:tcPr>
            <w:tcW w:w="0" w:type="auto"/>
            <w:hideMark/>
          </w:tcPr>
          <w:p w14:paraId="14B296BD" w14:textId="77777777" w:rsidR="00207B6C" w:rsidRPr="00207B6C" w:rsidRDefault="00207B6C" w:rsidP="00207B6C">
            <w:pPr>
              <w:jc w:val="center"/>
              <w:rPr>
                <w:rFonts w:ascii="Arial" w:eastAsia="Times New Roman" w:hAnsi="Arial" w:cs="Arial"/>
                <w:b/>
                <w:bCs/>
                <w:lang w:eastAsia="en-GB"/>
              </w:rPr>
            </w:pPr>
            <w:r w:rsidRPr="00207B6C">
              <w:rPr>
                <w:rFonts w:ascii="Arial" w:eastAsia="Times New Roman" w:hAnsi="Arial" w:cs="Arial"/>
                <w:b/>
                <w:bCs/>
                <w:lang w:eastAsia="en-GB"/>
              </w:rPr>
              <w:t>Sales</w:t>
            </w:r>
          </w:p>
        </w:tc>
        <w:tc>
          <w:tcPr>
            <w:tcW w:w="0" w:type="auto"/>
            <w:hideMark/>
          </w:tcPr>
          <w:p w14:paraId="224D961F" w14:textId="77777777" w:rsidR="00207B6C" w:rsidRPr="00207B6C" w:rsidRDefault="00207B6C" w:rsidP="00207B6C">
            <w:pPr>
              <w:jc w:val="center"/>
              <w:rPr>
                <w:rFonts w:ascii="Arial" w:eastAsia="Times New Roman" w:hAnsi="Arial" w:cs="Arial"/>
                <w:b/>
                <w:bCs/>
                <w:lang w:eastAsia="en-GB"/>
              </w:rPr>
            </w:pPr>
            <w:r w:rsidRPr="00207B6C">
              <w:rPr>
                <w:rFonts w:ascii="Arial" w:eastAsia="Times New Roman" w:hAnsi="Arial" w:cs="Arial"/>
                <w:b/>
                <w:bCs/>
                <w:lang w:eastAsia="en-GB"/>
              </w:rPr>
              <w:t>Supply Chain</w:t>
            </w:r>
          </w:p>
        </w:tc>
        <w:tc>
          <w:tcPr>
            <w:tcW w:w="0" w:type="auto"/>
            <w:hideMark/>
          </w:tcPr>
          <w:p w14:paraId="1584E55A" w14:textId="77777777" w:rsidR="00207B6C" w:rsidRPr="00207B6C" w:rsidRDefault="00207B6C" w:rsidP="00207B6C">
            <w:pPr>
              <w:jc w:val="center"/>
              <w:rPr>
                <w:rFonts w:ascii="Arial" w:eastAsia="Times New Roman" w:hAnsi="Arial" w:cs="Arial"/>
                <w:b/>
                <w:bCs/>
                <w:lang w:eastAsia="en-GB"/>
              </w:rPr>
            </w:pPr>
            <w:r w:rsidRPr="00207B6C">
              <w:rPr>
                <w:rFonts w:ascii="Arial" w:eastAsia="Times New Roman" w:hAnsi="Arial" w:cs="Arial"/>
                <w:b/>
                <w:bCs/>
                <w:lang w:eastAsia="en-GB"/>
              </w:rPr>
              <w:t>Executive Team</w:t>
            </w:r>
          </w:p>
        </w:tc>
        <w:tc>
          <w:tcPr>
            <w:tcW w:w="0" w:type="auto"/>
            <w:hideMark/>
          </w:tcPr>
          <w:p w14:paraId="265F691E" w14:textId="77777777" w:rsidR="00207B6C" w:rsidRPr="00207B6C" w:rsidRDefault="00207B6C" w:rsidP="00207B6C">
            <w:pPr>
              <w:jc w:val="center"/>
              <w:rPr>
                <w:rFonts w:ascii="Arial" w:eastAsia="Times New Roman" w:hAnsi="Arial" w:cs="Arial"/>
                <w:b/>
                <w:bCs/>
                <w:lang w:eastAsia="en-GB"/>
              </w:rPr>
            </w:pPr>
            <w:r w:rsidRPr="00207B6C">
              <w:rPr>
                <w:rFonts w:ascii="Arial" w:eastAsia="Times New Roman" w:hAnsi="Arial" w:cs="Arial"/>
                <w:b/>
                <w:bCs/>
                <w:lang w:eastAsia="en-GB"/>
              </w:rPr>
              <w:t>Tech Partners</w:t>
            </w:r>
          </w:p>
        </w:tc>
      </w:tr>
      <w:tr w:rsidR="00207B6C" w:rsidRPr="00207B6C" w14:paraId="514C2EA0" w14:textId="77777777" w:rsidTr="00003BC4">
        <w:tc>
          <w:tcPr>
            <w:tcW w:w="0" w:type="auto"/>
            <w:hideMark/>
          </w:tcPr>
          <w:p w14:paraId="66712CD4"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Project planning</w:t>
            </w:r>
          </w:p>
        </w:tc>
        <w:tc>
          <w:tcPr>
            <w:tcW w:w="0" w:type="auto"/>
            <w:hideMark/>
          </w:tcPr>
          <w:p w14:paraId="1ED1B6F5"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A</w:t>
            </w:r>
          </w:p>
        </w:tc>
        <w:tc>
          <w:tcPr>
            <w:tcW w:w="0" w:type="auto"/>
            <w:hideMark/>
          </w:tcPr>
          <w:p w14:paraId="6E6484BB"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2144EED3"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6C8AD5EA"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253D53DE"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3CC727D1"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3F4F514C"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60EE9850"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3C562EBF"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r>
      <w:tr w:rsidR="00207B6C" w:rsidRPr="00207B6C" w14:paraId="4B1C0032" w14:textId="77777777" w:rsidTr="00003BC4">
        <w:tc>
          <w:tcPr>
            <w:tcW w:w="0" w:type="auto"/>
            <w:hideMark/>
          </w:tcPr>
          <w:p w14:paraId="72A596C6"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Product design</w:t>
            </w:r>
          </w:p>
        </w:tc>
        <w:tc>
          <w:tcPr>
            <w:tcW w:w="0" w:type="auto"/>
            <w:hideMark/>
          </w:tcPr>
          <w:p w14:paraId="55962449"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7BFAF62F"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R</w:t>
            </w:r>
          </w:p>
        </w:tc>
        <w:tc>
          <w:tcPr>
            <w:tcW w:w="0" w:type="auto"/>
            <w:hideMark/>
          </w:tcPr>
          <w:p w14:paraId="65C357F7"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R</w:t>
            </w:r>
          </w:p>
        </w:tc>
        <w:tc>
          <w:tcPr>
            <w:tcW w:w="0" w:type="auto"/>
            <w:hideMark/>
          </w:tcPr>
          <w:p w14:paraId="12129858"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6E6B13E0"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1CE66326"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4D767C80"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55931038"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05E20665"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r>
      <w:tr w:rsidR="00207B6C" w:rsidRPr="00207B6C" w14:paraId="297105DC" w14:textId="77777777" w:rsidTr="00003BC4">
        <w:tc>
          <w:tcPr>
            <w:tcW w:w="0" w:type="auto"/>
            <w:hideMark/>
          </w:tcPr>
          <w:p w14:paraId="0C405E27"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Prototype development &amp; testing</w:t>
            </w:r>
          </w:p>
        </w:tc>
        <w:tc>
          <w:tcPr>
            <w:tcW w:w="0" w:type="auto"/>
            <w:hideMark/>
          </w:tcPr>
          <w:p w14:paraId="1C68A56F"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759F4DB1"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R</w:t>
            </w:r>
          </w:p>
        </w:tc>
        <w:tc>
          <w:tcPr>
            <w:tcW w:w="0" w:type="auto"/>
            <w:hideMark/>
          </w:tcPr>
          <w:p w14:paraId="7B746C3E"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R</w:t>
            </w:r>
          </w:p>
        </w:tc>
        <w:tc>
          <w:tcPr>
            <w:tcW w:w="0" w:type="auto"/>
            <w:hideMark/>
          </w:tcPr>
          <w:p w14:paraId="3C698AEC"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38035813"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7356B0A8"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5FC4227A"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026B8F7F"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736CA133"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r>
      <w:tr w:rsidR="00207B6C" w:rsidRPr="00207B6C" w14:paraId="288FDB67" w14:textId="77777777" w:rsidTr="00003BC4">
        <w:tc>
          <w:tcPr>
            <w:tcW w:w="0" w:type="auto"/>
            <w:hideMark/>
          </w:tcPr>
          <w:p w14:paraId="6FFA9BB7"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Regulatory certification</w:t>
            </w:r>
          </w:p>
        </w:tc>
        <w:tc>
          <w:tcPr>
            <w:tcW w:w="0" w:type="auto"/>
            <w:hideMark/>
          </w:tcPr>
          <w:p w14:paraId="7C34B0AA"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0C6A6D43"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69EE4E6C"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76437014"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A/R</w:t>
            </w:r>
          </w:p>
        </w:tc>
        <w:tc>
          <w:tcPr>
            <w:tcW w:w="0" w:type="auto"/>
            <w:hideMark/>
          </w:tcPr>
          <w:p w14:paraId="142FB038"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04881F0D"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751BECDE"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4B5AF4DD"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7B7091A2"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r>
      <w:tr w:rsidR="00207B6C" w:rsidRPr="00207B6C" w14:paraId="4AD48435" w14:textId="77777777" w:rsidTr="00003BC4">
        <w:tc>
          <w:tcPr>
            <w:tcW w:w="0" w:type="auto"/>
            <w:hideMark/>
          </w:tcPr>
          <w:p w14:paraId="31E0D975"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App integration &amp; data security</w:t>
            </w:r>
          </w:p>
        </w:tc>
        <w:tc>
          <w:tcPr>
            <w:tcW w:w="0" w:type="auto"/>
            <w:hideMark/>
          </w:tcPr>
          <w:p w14:paraId="1A032B95"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06ABB0F3"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03B00823"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1334E07D"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6E94D09B"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5E13C929"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381917AA"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35ADB292"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63A84E66"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A/R</w:t>
            </w:r>
          </w:p>
        </w:tc>
      </w:tr>
      <w:tr w:rsidR="00207B6C" w:rsidRPr="00207B6C" w14:paraId="37E16585" w14:textId="77777777" w:rsidTr="00003BC4">
        <w:tc>
          <w:tcPr>
            <w:tcW w:w="0" w:type="auto"/>
            <w:hideMark/>
          </w:tcPr>
          <w:p w14:paraId="55E0C756"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Production &amp; supply logistics</w:t>
            </w:r>
          </w:p>
        </w:tc>
        <w:tc>
          <w:tcPr>
            <w:tcW w:w="0" w:type="auto"/>
            <w:hideMark/>
          </w:tcPr>
          <w:p w14:paraId="2B4BFF2B"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1D88CEB1"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246E2D60"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31CF83E2"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01033DF0"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746BC294"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65148FEA"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A/R</w:t>
            </w:r>
          </w:p>
        </w:tc>
        <w:tc>
          <w:tcPr>
            <w:tcW w:w="0" w:type="auto"/>
            <w:hideMark/>
          </w:tcPr>
          <w:p w14:paraId="60E1FBD1"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58866BC6"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r>
      <w:tr w:rsidR="00207B6C" w:rsidRPr="00207B6C" w14:paraId="055428BD" w14:textId="77777777" w:rsidTr="00003BC4">
        <w:tc>
          <w:tcPr>
            <w:tcW w:w="0" w:type="auto"/>
            <w:hideMark/>
          </w:tcPr>
          <w:p w14:paraId="5D0069F2"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Marketing &amp; launch strategy</w:t>
            </w:r>
          </w:p>
        </w:tc>
        <w:tc>
          <w:tcPr>
            <w:tcW w:w="0" w:type="auto"/>
            <w:hideMark/>
          </w:tcPr>
          <w:p w14:paraId="73ED3F74"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6FA83D79"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244B405F"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75F14843"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446E24AE"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A/R</w:t>
            </w:r>
          </w:p>
        </w:tc>
        <w:tc>
          <w:tcPr>
            <w:tcW w:w="0" w:type="auto"/>
            <w:hideMark/>
          </w:tcPr>
          <w:p w14:paraId="5082083E"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278314FB"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6AC8AE95"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2FDE7C52"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r>
      <w:tr w:rsidR="00207B6C" w:rsidRPr="00207B6C" w14:paraId="25865F82" w14:textId="77777777" w:rsidTr="00003BC4">
        <w:tc>
          <w:tcPr>
            <w:tcW w:w="0" w:type="auto"/>
            <w:hideMark/>
          </w:tcPr>
          <w:p w14:paraId="08AB9110"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Sales &amp; distribution strategy</w:t>
            </w:r>
          </w:p>
        </w:tc>
        <w:tc>
          <w:tcPr>
            <w:tcW w:w="0" w:type="auto"/>
            <w:hideMark/>
          </w:tcPr>
          <w:p w14:paraId="38E8C158"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544E1F17"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540B9231"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5AF43DA9"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66EE70C2"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64689FAF"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A/R</w:t>
            </w:r>
          </w:p>
        </w:tc>
        <w:tc>
          <w:tcPr>
            <w:tcW w:w="0" w:type="auto"/>
            <w:hideMark/>
          </w:tcPr>
          <w:p w14:paraId="1CC2FB48"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7F2EB28C"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3D84AA4F"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r>
      <w:tr w:rsidR="00207B6C" w:rsidRPr="00207B6C" w14:paraId="01F7711F" w14:textId="77777777" w:rsidTr="00003BC4">
        <w:tc>
          <w:tcPr>
            <w:tcW w:w="0" w:type="auto"/>
            <w:hideMark/>
          </w:tcPr>
          <w:p w14:paraId="2F0ACAA8"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Launch event execution</w:t>
            </w:r>
          </w:p>
        </w:tc>
        <w:tc>
          <w:tcPr>
            <w:tcW w:w="0" w:type="auto"/>
            <w:hideMark/>
          </w:tcPr>
          <w:p w14:paraId="4C0D4CFF"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354FB4CB"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4DD7A7A3"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6546F486"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6E1FB07D"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A/R</w:t>
            </w:r>
          </w:p>
        </w:tc>
        <w:tc>
          <w:tcPr>
            <w:tcW w:w="0" w:type="auto"/>
            <w:hideMark/>
          </w:tcPr>
          <w:p w14:paraId="50C29642"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540B3CB7"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4E25110C"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7F0BC7A8"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r>
      <w:tr w:rsidR="007B7476" w:rsidRPr="00207B6C" w14:paraId="1DE869FC" w14:textId="77777777" w:rsidTr="00003BC4">
        <w:tc>
          <w:tcPr>
            <w:tcW w:w="0" w:type="auto"/>
            <w:hideMark/>
          </w:tcPr>
          <w:p w14:paraId="0CBB53C2"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Post-launch user support</w:t>
            </w:r>
          </w:p>
        </w:tc>
        <w:tc>
          <w:tcPr>
            <w:tcW w:w="0" w:type="auto"/>
            <w:hideMark/>
          </w:tcPr>
          <w:p w14:paraId="0988F460"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A</w:t>
            </w:r>
          </w:p>
        </w:tc>
        <w:tc>
          <w:tcPr>
            <w:tcW w:w="0" w:type="auto"/>
            <w:hideMark/>
          </w:tcPr>
          <w:p w14:paraId="6613C880"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1FFFCBF1"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333FAFA6"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2D4237A4"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C</w:t>
            </w:r>
          </w:p>
        </w:tc>
        <w:tc>
          <w:tcPr>
            <w:tcW w:w="0" w:type="auto"/>
            <w:hideMark/>
          </w:tcPr>
          <w:p w14:paraId="605D5B3A"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R</w:t>
            </w:r>
          </w:p>
        </w:tc>
        <w:tc>
          <w:tcPr>
            <w:tcW w:w="0" w:type="auto"/>
            <w:hideMark/>
          </w:tcPr>
          <w:p w14:paraId="7881B94D" w14:textId="77777777" w:rsidR="00207B6C" w:rsidRPr="00207B6C" w:rsidRDefault="00207B6C" w:rsidP="00207B6C">
            <w:pPr>
              <w:rPr>
                <w:rFonts w:ascii="Arial" w:eastAsia="Times New Roman" w:hAnsi="Arial" w:cs="Arial"/>
                <w:lang w:eastAsia="en-GB"/>
              </w:rPr>
            </w:pPr>
            <w:r w:rsidRPr="00207B6C">
              <w:rPr>
                <w:rFonts w:ascii="Arial" w:eastAsia="Times New Roman" w:hAnsi="Arial" w:cs="Arial"/>
                <w:lang w:eastAsia="en-GB"/>
              </w:rPr>
              <w:t>I</w:t>
            </w:r>
          </w:p>
        </w:tc>
        <w:tc>
          <w:tcPr>
            <w:tcW w:w="0" w:type="auto"/>
            <w:hideMark/>
          </w:tcPr>
          <w:p w14:paraId="23AEBB22" w14:textId="77777777" w:rsidR="00207B6C" w:rsidRPr="00207B6C" w:rsidRDefault="00207B6C" w:rsidP="00207B6C">
            <w:pPr>
              <w:rPr>
                <w:rFonts w:ascii="Arial" w:eastAsia="Times New Roman" w:hAnsi="Arial" w:cs="Arial"/>
                <w:lang w:eastAsia="en-GB"/>
              </w:rPr>
            </w:pPr>
          </w:p>
        </w:tc>
        <w:tc>
          <w:tcPr>
            <w:tcW w:w="0" w:type="auto"/>
            <w:hideMark/>
          </w:tcPr>
          <w:p w14:paraId="014DBA15" w14:textId="77777777" w:rsidR="00207B6C" w:rsidRPr="00207B6C" w:rsidRDefault="00207B6C" w:rsidP="00207B6C">
            <w:pPr>
              <w:rPr>
                <w:rFonts w:ascii="Arial" w:eastAsia="Times New Roman" w:hAnsi="Arial" w:cs="Arial"/>
                <w:lang w:eastAsia="en-GB"/>
              </w:rPr>
            </w:pPr>
          </w:p>
        </w:tc>
      </w:tr>
    </w:tbl>
    <w:p w14:paraId="1E015F0F" w14:textId="4A3B26F2" w:rsidR="004F4E9D" w:rsidRPr="004F4E9D" w:rsidRDefault="004F4E9D" w:rsidP="007762BF">
      <w:pPr>
        <w:spacing w:line="360" w:lineRule="auto"/>
        <w:rPr>
          <w:rFonts w:ascii="Arial" w:hAnsi="Arial" w:cs="Arial"/>
        </w:rPr>
      </w:pPr>
      <w:r w:rsidRPr="004F4E9D">
        <w:rPr>
          <w:rFonts w:ascii="Arial" w:hAnsi="Arial" w:cs="Arial"/>
        </w:rPr>
        <w:lastRenderedPageBreak/>
        <w:t xml:space="preserve"> R = Responsible (does the work)</w:t>
      </w:r>
    </w:p>
    <w:p w14:paraId="35A87D32" w14:textId="728360DA" w:rsidR="004F4E9D" w:rsidRPr="004F4E9D" w:rsidRDefault="004F4E9D" w:rsidP="007762BF">
      <w:pPr>
        <w:spacing w:line="360" w:lineRule="auto"/>
        <w:rPr>
          <w:rFonts w:ascii="Arial" w:hAnsi="Arial" w:cs="Arial"/>
        </w:rPr>
      </w:pPr>
      <w:r w:rsidRPr="004F4E9D">
        <w:rPr>
          <w:rFonts w:ascii="Arial" w:hAnsi="Arial" w:cs="Arial"/>
        </w:rPr>
        <w:t xml:space="preserve"> A = Accountable (owns the outcome)</w:t>
      </w:r>
    </w:p>
    <w:p w14:paraId="1BD7AA3A" w14:textId="35279178" w:rsidR="004F4E9D" w:rsidRPr="004F4E9D" w:rsidRDefault="004F4E9D" w:rsidP="007762BF">
      <w:pPr>
        <w:spacing w:line="360" w:lineRule="auto"/>
        <w:rPr>
          <w:rFonts w:ascii="Arial" w:hAnsi="Arial" w:cs="Arial"/>
        </w:rPr>
      </w:pPr>
      <w:r w:rsidRPr="004F4E9D">
        <w:rPr>
          <w:rFonts w:ascii="Arial" w:hAnsi="Arial" w:cs="Arial"/>
        </w:rPr>
        <w:t xml:space="preserve"> C = Consulted (provides input)</w:t>
      </w:r>
    </w:p>
    <w:p w14:paraId="3BAA3C5A" w14:textId="4A046F40" w:rsidR="004F4E9D" w:rsidRPr="004F4E9D" w:rsidRDefault="004F4E9D" w:rsidP="007762BF">
      <w:pPr>
        <w:spacing w:line="360" w:lineRule="auto"/>
        <w:rPr>
          <w:rFonts w:ascii="Arial" w:hAnsi="Arial" w:cs="Arial"/>
        </w:rPr>
      </w:pPr>
      <w:r w:rsidRPr="004F4E9D">
        <w:rPr>
          <w:rFonts w:ascii="Arial" w:hAnsi="Arial" w:cs="Arial"/>
        </w:rPr>
        <w:t xml:space="preserve"> I = Informed (kept updated)</w:t>
      </w:r>
    </w:p>
    <w:p w14:paraId="42C6F238" w14:textId="2D9ADB0E" w:rsidR="00E54FDA" w:rsidRPr="007762BF" w:rsidRDefault="007762BF" w:rsidP="00A37AF5">
      <w:pPr>
        <w:spacing w:line="360" w:lineRule="auto"/>
        <w:rPr>
          <w:rFonts w:ascii="Arial" w:hAnsi="Arial" w:cs="Arial"/>
          <w:b/>
          <w:bCs/>
          <w:sz w:val="28"/>
          <w:szCs w:val="28"/>
        </w:rPr>
      </w:pPr>
      <w:r>
        <w:rPr>
          <w:rFonts w:ascii="Arial" w:hAnsi="Arial" w:cs="Arial"/>
          <w:b/>
          <w:bCs/>
          <w:sz w:val="28"/>
          <w:szCs w:val="28"/>
        </w:rPr>
        <w:t xml:space="preserve">   </w:t>
      </w:r>
      <w:r w:rsidR="00E54FDA" w:rsidRPr="007762BF">
        <w:rPr>
          <w:rFonts w:ascii="Arial" w:hAnsi="Arial" w:cs="Arial"/>
          <w:b/>
          <w:bCs/>
          <w:sz w:val="28"/>
          <w:szCs w:val="28"/>
        </w:rPr>
        <w:t>6. Stakeholder Engagement and Conflict Management Using the 4Cs Model</w:t>
      </w:r>
    </w:p>
    <w:p w14:paraId="65472C9A" w14:textId="1E4C1AD4" w:rsidR="00E54FDA" w:rsidRPr="001E090F" w:rsidRDefault="001E090F" w:rsidP="001E090F">
      <w:pPr>
        <w:spacing w:line="360" w:lineRule="auto"/>
        <w:rPr>
          <w:rFonts w:ascii="Arial" w:hAnsi="Arial" w:cs="Arial"/>
        </w:rPr>
      </w:pPr>
      <w:r w:rsidRPr="001E090F">
        <w:rPr>
          <w:rFonts w:ascii="Arial" w:hAnsi="Arial" w:cs="Arial"/>
        </w:rPr>
        <w:t xml:space="preserve">   </w:t>
      </w:r>
      <w:r w:rsidR="00E54FDA" w:rsidRPr="001E090F">
        <w:rPr>
          <w:rFonts w:ascii="Arial" w:hAnsi="Arial" w:cs="Arial"/>
        </w:rPr>
        <w:t>Engaging stakeholders effectively is central to the role of a project manager. According to Freeman (1984), stakeholder engagement should balance the needs of diverse groups to achieve collective project goals. The 4Cs Model — communication, coordination, cooperation, and collaboration — provides a structured approach to managing these relationships and resolving conflicts within a project environment (Zulch, 2014).</w:t>
      </w:r>
    </w:p>
    <w:p w14:paraId="7686FD1D" w14:textId="1536C837" w:rsidR="00E54FDA" w:rsidRPr="001E090F" w:rsidRDefault="001E090F" w:rsidP="00691D53">
      <w:pPr>
        <w:spacing w:line="360" w:lineRule="auto"/>
        <w:rPr>
          <w:rFonts w:ascii="Arial" w:hAnsi="Arial" w:cs="Arial"/>
          <w:b/>
          <w:bCs/>
          <w:sz w:val="24"/>
          <w:szCs w:val="24"/>
        </w:rPr>
      </w:pPr>
      <w:r>
        <w:rPr>
          <w:rFonts w:ascii="Arial" w:hAnsi="Arial" w:cs="Arial"/>
          <w:b/>
          <w:bCs/>
        </w:rPr>
        <w:t xml:space="preserve">   </w:t>
      </w:r>
      <w:r w:rsidR="00E54FDA" w:rsidRPr="001E090F">
        <w:rPr>
          <w:rFonts w:ascii="Arial" w:hAnsi="Arial" w:cs="Arial"/>
          <w:b/>
          <w:bCs/>
          <w:sz w:val="24"/>
          <w:szCs w:val="24"/>
        </w:rPr>
        <w:t>Communication</w:t>
      </w:r>
    </w:p>
    <w:p w14:paraId="33A93454" w14:textId="07B28B55" w:rsidR="00E54FDA" w:rsidRPr="00E54FDA" w:rsidRDefault="001E090F" w:rsidP="00691D53">
      <w:pPr>
        <w:spacing w:line="360" w:lineRule="auto"/>
        <w:rPr>
          <w:rFonts w:ascii="Arial" w:hAnsi="Arial" w:cs="Arial"/>
        </w:rPr>
      </w:pPr>
      <w:r>
        <w:rPr>
          <w:rFonts w:ascii="Arial" w:hAnsi="Arial" w:cs="Arial"/>
        </w:rPr>
        <w:t xml:space="preserve">   </w:t>
      </w:r>
      <w:r w:rsidR="00E54FDA" w:rsidRPr="00E54FDA">
        <w:rPr>
          <w:rFonts w:ascii="Arial" w:hAnsi="Arial" w:cs="Arial"/>
        </w:rPr>
        <w:t>Communication is the foundation of stakeholder engagement. A project manager</w:t>
      </w:r>
      <w:r w:rsidR="00A45F65">
        <w:rPr>
          <w:rFonts w:ascii="Arial" w:hAnsi="Arial" w:cs="Arial"/>
        </w:rPr>
        <w:t xml:space="preserve"> </w:t>
      </w:r>
      <w:r w:rsidR="00E54FDA" w:rsidRPr="00E54FDA">
        <w:rPr>
          <w:rFonts w:ascii="Arial" w:hAnsi="Arial" w:cs="Arial"/>
        </w:rPr>
        <w:t>would develop a structured communication system that ensures all stakeholders receive timely and accurate information. Formal communication (e.g., reports, presentations) would be used for high-power stakeholders such as executives and regulatory authorities, while informal channels (e.g., instant messaging, workshops) would foster daily collaboration within teams.</w:t>
      </w:r>
    </w:p>
    <w:p w14:paraId="7D49387A" w14:textId="3E630823" w:rsidR="00E54FDA" w:rsidRPr="00E54FDA" w:rsidRDefault="00B32838" w:rsidP="00691D53">
      <w:pPr>
        <w:spacing w:line="360" w:lineRule="auto"/>
        <w:rPr>
          <w:rFonts w:ascii="Arial" w:hAnsi="Arial" w:cs="Arial"/>
        </w:rPr>
      </w:pPr>
      <w:r>
        <w:rPr>
          <w:rFonts w:ascii="Arial" w:hAnsi="Arial" w:cs="Arial"/>
        </w:rPr>
        <w:t xml:space="preserve">   </w:t>
      </w:r>
      <w:r w:rsidR="00E54FDA" w:rsidRPr="00E54FDA">
        <w:rPr>
          <w:rFonts w:ascii="Arial" w:hAnsi="Arial" w:cs="Arial"/>
        </w:rPr>
        <w:t>Effective communication minimises misunderstandings, clarifies project expectations, and builds stakeholder trust. To ensure inclusivity, communication will be two-way — allowing feedback loops where stakeholders can raise concerns or contribute suggestions. Miscommunication can lead to project delays and frustration; therefore, employing tools like project dashboards and meeting logs will ensure information consistency and accessibility (PMI, 2021).</w:t>
      </w:r>
    </w:p>
    <w:p w14:paraId="7D08A8D6" w14:textId="1DB270C5" w:rsidR="00E54FDA" w:rsidRPr="00B32838" w:rsidRDefault="00B32838" w:rsidP="0028403C">
      <w:pPr>
        <w:spacing w:line="360" w:lineRule="auto"/>
        <w:rPr>
          <w:rFonts w:ascii="Arial" w:hAnsi="Arial" w:cs="Arial"/>
          <w:b/>
          <w:bCs/>
          <w:sz w:val="24"/>
          <w:szCs w:val="24"/>
        </w:rPr>
      </w:pPr>
      <w:r w:rsidRPr="00B32838">
        <w:rPr>
          <w:rFonts w:ascii="Arial" w:hAnsi="Arial" w:cs="Arial"/>
          <w:b/>
          <w:bCs/>
          <w:sz w:val="24"/>
          <w:szCs w:val="24"/>
        </w:rPr>
        <w:t xml:space="preserve">   </w:t>
      </w:r>
      <w:r w:rsidR="00E54FDA" w:rsidRPr="00B32838">
        <w:rPr>
          <w:rFonts w:ascii="Arial" w:hAnsi="Arial" w:cs="Arial"/>
          <w:b/>
          <w:bCs/>
          <w:sz w:val="24"/>
          <w:szCs w:val="24"/>
        </w:rPr>
        <w:t>Coordination</w:t>
      </w:r>
    </w:p>
    <w:p w14:paraId="50421825" w14:textId="7662718F" w:rsidR="00E54FDA" w:rsidRPr="00E54FDA" w:rsidRDefault="00B32838" w:rsidP="0028403C">
      <w:pPr>
        <w:spacing w:line="360" w:lineRule="auto"/>
        <w:rPr>
          <w:rFonts w:ascii="Arial" w:hAnsi="Arial" w:cs="Arial"/>
        </w:rPr>
      </w:pPr>
      <w:r>
        <w:rPr>
          <w:rFonts w:ascii="Arial" w:hAnsi="Arial" w:cs="Arial"/>
        </w:rPr>
        <w:t xml:space="preserve">   </w:t>
      </w:r>
      <w:r w:rsidR="00E54FDA" w:rsidRPr="00E54FDA">
        <w:rPr>
          <w:rFonts w:ascii="Arial" w:hAnsi="Arial" w:cs="Arial"/>
        </w:rPr>
        <w:t>Coordination involves aligning the efforts of multiple stakeholders toward shared objectives (Kerzner, 2022). A project manager would establish a coordination framework supported by digital project management tools (e.g., Asana or Microsoft Teams) to synchronise activities across departments such as R&amp;D, marketing, and supply chain. Weekly review meetings will track progress, manage interdependencies, and address potential bottlenecks early.</w:t>
      </w:r>
    </w:p>
    <w:p w14:paraId="12A52DC5" w14:textId="77777777" w:rsidR="00E54FDA" w:rsidRPr="00E54FDA" w:rsidRDefault="00E54FDA" w:rsidP="0028403C">
      <w:pPr>
        <w:spacing w:line="360" w:lineRule="auto"/>
        <w:rPr>
          <w:rFonts w:ascii="Arial" w:hAnsi="Arial" w:cs="Arial"/>
        </w:rPr>
      </w:pPr>
      <w:r w:rsidRPr="00E54FDA">
        <w:rPr>
          <w:rFonts w:ascii="Arial" w:hAnsi="Arial" w:cs="Arial"/>
        </w:rPr>
        <w:t xml:space="preserve">Coordination with external stakeholders — such as suppliers and healthcare partners — will involve clear service-level agreements (SLAs) outlining delivery expectations and </w:t>
      </w:r>
      <w:r w:rsidRPr="00E54FDA">
        <w:rPr>
          <w:rFonts w:ascii="Arial" w:hAnsi="Arial" w:cs="Arial"/>
        </w:rPr>
        <w:lastRenderedPageBreak/>
        <w:t>responsibilities. By aligning schedules and deliverables, coordination reduces duplication of effort and ensures consistent progress across the project lifecycle.</w:t>
      </w:r>
    </w:p>
    <w:p w14:paraId="65D98860" w14:textId="75F97A8A" w:rsidR="00E54FDA" w:rsidRPr="00885518" w:rsidRDefault="00885518" w:rsidP="007D5E88">
      <w:pPr>
        <w:spacing w:line="360" w:lineRule="auto"/>
        <w:rPr>
          <w:rFonts w:ascii="Arial" w:hAnsi="Arial" w:cs="Arial"/>
          <w:b/>
          <w:bCs/>
          <w:sz w:val="24"/>
          <w:szCs w:val="24"/>
        </w:rPr>
      </w:pPr>
      <w:r>
        <w:rPr>
          <w:rFonts w:ascii="Arial" w:hAnsi="Arial" w:cs="Arial"/>
          <w:b/>
          <w:bCs/>
        </w:rPr>
        <w:t xml:space="preserve">   </w:t>
      </w:r>
      <w:r w:rsidR="00E54FDA" w:rsidRPr="00885518">
        <w:rPr>
          <w:rFonts w:ascii="Arial" w:hAnsi="Arial" w:cs="Arial"/>
          <w:b/>
          <w:bCs/>
          <w:sz w:val="24"/>
          <w:szCs w:val="24"/>
        </w:rPr>
        <w:t>Cooperation</w:t>
      </w:r>
    </w:p>
    <w:p w14:paraId="6551B259" w14:textId="01734D00" w:rsidR="00E54FDA" w:rsidRPr="00E54FDA" w:rsidRDefault="00885518" w:rsidP="007D5E88">
      <w:pPr>
        <w:spacing w:line="360" w:lineRule="auto"/>
        <w:rPr>
          <w:rFonts w:ascii="Arial" w:hAnsi="Arial" w:cs="Arial"/>
        </w:rPr>
      </w:pPr>
      <w:r>
        <w:rPr>
          <w:rFonts w:ascii="Arial" w:hAnsi="Arial" w:cs="Arial"/>
        </w:rPr>
        <w:t xml:space="preserve">   </w:t>
      </w:r>
      <w:r w:rsidR="00E54FDA" w:rsidRPr="00E54FDA">
        <w:rPr>
          <w:rFonts w:ascii="Arial" w:hAnsi="Arial" w:cs="Arial"/>
        </w:rPr>
        <w:t xml:space="preserve">Cooperation extends beyond communication and coordination by fostering mutual respect and willingness to support shared goals (Johnson et al., 2017). Within Omron Healthcare, encouraging cooperation between teams — such as engineers and marketers — ensures that technical innovations align with market demands. To sustain cooperation, </w:t>
      </w:r>
      <w:r w:rsidR="00BB564F">
        <w:rPr>
          <w:rFonts w:ascii="Arial" w:hAnsi="Arial" w:cs="Arial"/>
        </w:rPr>
        <w:t>project manager</w:t>
      </w:r>
      <w:r w:rsidR="00E54FDA" w:rsidRPr="00E54FDA">
        <w:rPr>
          <w:rFonts w:ascii="Arial" w:hAnsi="Arial" w:cs="Arial"/>
        </w:rPr>
        <w:t xml:space="preserve"> would promote an inclusive culture that recognises contributions, encourages knowledge sharing, and resolves disputes constructively.</w:t>
      </w:r>
    </w:p>
    <w:p w14:paraId="0A33FA9E" w14:textId="106FD137" w:rsidR="00E54FDA" w:rsidRPr="00E54FDA" w:rsidRDefault="00E54FDA" w:rsidP="007D5E88">
      <w:pPr>
        <w:spacing w:line="360" w:lineRule="auto"/>
        <w:rPr>
          <w:rFonts w:ascii="Arial" w:hAnsi="Arial" w:cs="Arial"/>
        </w:rPr>
      </w:pPr>
      <w:r w:rsidRPr="00E54FDA">
        <w:rPr>
          <w:rFonts w:ascii="Arial" w:hAnsi="Arial" w:cs="Arial"/>
        </w:rPr>
        <w:t xml:space="preserve">However, conflicting interests may arise, such as between cost control (finance) and design quality (engineering). To manage such conflicts, </w:t>
      </w:r>
      <w:r w:rsidR="007D5E88">
        <w:rPr>
          <w:rFonts w:ascii="Arial" w:hAnsi="Arial" w:cs="Arial"/>
        </w:rPr>
        <w:t>project manager</w:t>
      </w:r>
      <w:r w:rsidRPr="00E54FDA">
        <w:rPr>
          <w:rFonts w:ascii="Arial" w:hAnsi="Arial" w:cs="Arial"/>
        </w:rPr>
        <w:t xml:space="preserve"> would employ negotiation and compromise strategies, ensuring all perspectives are considered without jeopardising project integrity (Thomas, 1992).</w:t>
      </w:r>
    </w:p>
    <w:p w14:paraId="072243A9" w14:textId="388D0E0A" w:rsidR="00E54FDA" w:rsidRPr="00885518" w:rsidRDefault="00885518" w:rsidP="00102292">
      <w:pPr>
        <w:spacing w:line="360" w:lineRule="auto"/>
        <w:rPr>
          <w:rFonts w:ascii="Arial" w:hAnsi="Arial" w:cs="Arial"/>
          <w:b/>
          <w:bCs/>
          <w:sz w:val="24"/>
          <w:szCs w:val="24"/>
        </w:rPr>
      </w:pPr>
      <w:r w:rsidRPr="00885518">
        <w:rPr>
          <w:rFonts w:ascii="Arial" w:hAnsi="Arial" w:cs="Arial"/>
          <w:b/>
          <w:bCs/>
          <w:sz w:val="24"/>
          <w:szCs w:val="24"/>
        </w:rPr>
        <w:t xml:space="preserve">   </w:t>
      </w:r>
      <w:r w:rsidR="00E54FDA" w:rsidRPr="00885518">
        <w:rPr>
          <w:rFonts w:ascii="Arial" w:hAnsi="Arial" w:cs="Arial"/>
          <w:b/>
          <w:bCs/>
          <w:sz w:val="24"/>
          <w:szCs w:val="24"/>
        </w:rPr>
        <w:t>Collaboration</w:t>
      </w:r>
    </w:p>
    <w:p w14:paraId="488A7014" w14:textId="7082460A" w:rsidR="00E54FDA" w:rsidRPr="00E54FDA" w:rsidRDefault="00E54FDA" w:rsidP="00102292">
      <w:pPr>
        <w:spacing w:line="360" w:lineRule="auto"/>
        <w:rPr>
          <w:rFonts w:ascii="Arial" w:hAnsi="Arial" w:cs="Arial"/>
        </w:rPr>
      </w:pPr>
      <w:r w:rsidRPr="00E54FDA">
        <w:rPr>
          <w:rFonts w:ascii="Arial" w:hAnsi="Arial" w:cs="Arial"/>
        </w:rPr>
        <w:t xml:space="preserve">Collaboration represents the highest level of stakeholder engagement. It involves stakeholders jointly creating value and contributing to decision-making (Teece, 2018). To facilitate collaboration, </w:t>
      </w:r>
      <w:r w:rsidR="00413720">
        <w:rPr>
          <w:rFonts w:ascii="Arial" w:hAnsi="Arial" w:cs="Arial"/>
        </w:rPr>
        <w:t>project manager</w:t>
      </w:r>
      <w:r w:rsidRPr="00E54FDA">
        <w:rPr>
          <w:rFonts w:ascii="Arial" w:hAnsi="Arial" w:cs="Arial"/>
        </w:rPr>
        <w:t xml:space="preserve"> would establish cross-functional working groups and encourage joint problem-solving sessions. Collaboration tools — such as shared digital workspaces and feedback platforms — would allow real-time contributions from different teams.</w:t>
      </w:r>
    </w:p>
    <w:p w14:paraId="01FA8643" w14:textId="77777777" w:rsidR="00E54FDA" w:rsidRPr="00E54FDA" w:rsidRDefault="00E54FDA" w:rsidP="00102292">
      <w:pPr>
        <w:spacing w:line="360" w:lineRule="auto"/>
        <w:rPr>
          <w:rFonts w:ascii="Arial" w:hAnsi="Arial" w:cs="Arial"/>
        </w:rPr>
      </w:pPr>
      <w:r w:rsidRPr="00E54FDA">
        <w:rPr>
          <w:rFonts w:ascii="Arial" w:hAnsi="Arial" w:cs="Arial"/>
        </w:rPr>
        <w:t>Furthermore, collaboration with external partners, such as technology providers and healthcare professionals, enhances innovation and product credibility. However, managing collaboration requires trust and transparency. To maintain these, I would adopt open communication protocols and equitable recognition of stakeholder input.</w:t>
      </w:r>
    </w:p>
    <w:p w14:paraId="02FD6766" w14:textId="5FC9CCA4" w:rsidR="00E54FDA" w:rsidRPr="00885518" w:rsidRDefault="00885518" w:rsidP="00E54FDA">
      <w:pPr>
        <w:spacing w:line="360" w:lineRule="auto"/>
        <w:rPr>
          <w:rFonts w:ascii="Arial" w:hAnsi="Arial" w:cs="Arial"/>
          <w:b/>
          <w:bCs/>
          <w:sz w:val="24"/>
          <w:szCs w:val="24"/>
        </w:rPr>
      </w:pPr>
      <w:r>
        <w:rPr>
          <w:rFonts w:ascii="Arial" w:hAnsi="Arial" w:cs="Arial"/>
          <w:b/>
          <w:bCs/>
        </w:rPr>
        <w:t xml:space="preserve">   </w:t>
      </w:r>
      <w:r w:rsidR="00E54FDA" w:rsidRPr="00885518">
        <w:rPr>
          <w:rFonts w:ascii="Arial" w:hAnsi="Arial" w:cs="Arial"/>
          <w:b/>
          <w:bCs/>
          <w:sz w:val="24"/>
          <w:szCs w:val="24"/>
        </w:rPr>
        <w:t>Conflict Management</w:t>
      </w:r>
    </w:p>
    <w:p w14:paraId="4E746A3B" w14:textId="690AA804" w:rsidR="00E54FDA" w:rsidRPr="00E54FDA" w:rsidRDefault="00885518" w:rsidP="00E54FDA">
      <w:pPr>
        <w:spacing w:line="360" w:lineRule="auto"/>
        <w:rPr>
          <w:rFonts w:ascii="Arial" w:hAnsi="Arial" w:cs="Arial"/>
        </w:rPr>
      </w:pPr>
      <w:r>
        <w:rPr>
          <w:rFonts w:ascii="Arial" w:hAnsi="Arial" w:cs="Arial"/>
        </w:rPr>
        <w:t xml:space="preserve">   </w:t>
      </w:r>
      <w:r w:rsidR="00E54FDA" w:rsidRPr="00E54FDA">
        <w:rPr>
          <w:rFonts w:ascii="Arial" w:hAnsi="Arial" w:cs="Arial"/>
        </w:rPr>
        <w:t>Conflict is inevitable in multi-stakeholder projects, particularly in innovation-driven environments. A project manager would apply proactive conflict management techniques — including early identification of potential disputes and mediation meetings (Kerzner, 2022). Using the 4Cs framework, conflicts can be addressed at different levels:</w:t>
      </w:r>
    </w:p>
    <w:p w14:paraId="631C306B" w14:textId="77777777" w:rsidR="00E54FDA" w:rsidRPr="00E54FDA" w:rsidRDefault="00E54FDA" w:rsidP="00E54FDA">
      <w:pPr>
        <w:numPr>
          <w:ilvl w:val="0"/>
          <w:numId w:val="3"/>
        </w:numPr>
        <w:spacing w:line="360" w:lineRule="auto"/>
        <w:rPr>
          <w:rFonts w:ascii="Arial" w:hAnsi="Arial" w:cs="Arial"/>
        </w:rPr>
      </w:pPr>
      <w:r w:rsidRPr="00E54FDA">
        <w:rPr>
          <w:rFonts w:ascii="Arial" w:hAnsi="Arial" w:cs="Arial"/>
          <w:b/>
          <w:bCs/>
        </w:rPr>
        <w:t>Communication</w:t>
      </w:r>
      <w:r w:rsidRPr="00E54FDA">
        <w:rPr>
          <w:rFonts w:ascii="Arial" w:hAnsi="Arial" w:cs="Arial"/>
        </w:rPr>
        <w:t xml:space="preserve"> helps clarify misunderstandings.</w:t>
      </w:r>
    </w:p>
    <w:p w14:paraId="4B7A6D02" w14:textId="77777777" w:rsidR="00E54FDA" w:rsidRPr="00E54FDA" w:rsidRDefault="00E54FDA" w:rsidP="00E54FDA">
      <w:pPr>
        <w:numPr>
          <w:ilvl w:val="0"/>
          <w:numId w:val="3"/>
        </w:numPr>
        <w:spacing w:line="360" w:lineRule="auto"/>
        <w:rPr>
          <w:rFonts w:ascii="Arial" w:hAnsi="Arial" w:cs="Arial"/>
        </w:rPr>
      </w:pPr>
      <w:r w:rsidRPr="00E54FDA">
        <w:rPr>
          <w:rFonts w:ascii="Arial" w:hAnsi="Arial" w:cs="Arial"/>
          <w:b/>
          <w:bCs/>
        </w:rPr>
        <w:t>Coordination</w:t>
      </w:r>
      <w:r w:rsidRPr="00E54FDA">
        <w:rPr>
          <w:rFonts w:ascii="Arial" w:hAnsi="Arial" w:cs="Arial"/>
        </w:rPr>
        <w:t xml:space="preserve"> prevents overlap and resource disputes.</w:t>
      </w:r>
    </w:p>
    <w:p w14:paraId="32B4D466" w14:textId="77777777" w:rsidR="00E54FDA" w:rsidRPr="00E54FDA" w:rsidRDefault="00E54FDA" w:rsidP="00E54FDA">
      <w:pPr>
        <w:numPr>
          <w:ilvl w:val="0"/>
          <w:numId w:val="3"/>
        </w:numPr>
        <w:spacing w:line="360" w:lineRule="auto"/>
        <w:rPr>
          <w:rFonts w:ascii="Arial" w:hAnsi="Arial" w:cs="Arial"/>
        </w:rPr>
      </w:pPr>
      <w:r w:rsidRPr="00E54FDA">
        <w:rPr>
          <w:rFonts w:ascii="Arial" w:hAnsi="Arial" w:cs="Arial"/>
          <w:b/>
          <w:bCs/>
        </w:rPr>
        <w:t>Cooperation</w:t>
      </w:r>
      <w:r w:rsidRPr="00E54FDA">
        <w:rPr>
          <w:rFonts w:ascii="Arial" w:hAnsi="Arial" w:cs="Arial"/>
        </w:rPr>
        <w:t xml:space="preserve"> reduces interpersonal friction.</w:t>
      </w:r>
    </w:p>
    <w:p w14:paraId="5E450B65" w14:textId="77777777" w:rsidR="00E54FDA" w:rsidRPr="00E54FDA" w:rsidRDefault="00E54FDA" w:rsidP="00E54FDA">
      <w:pPr>
        <w:numPr>
          <w:ilvl w:val="0"/>
          <w:numId w:val="3"/>
        </w:numPr>
        <w:spacing w:line="360" w:lineRule="auto"/>
        <w:rPr>
          <w:rFonts w:ascii="Arial" w:hAnsi="Arial" w:cs="Arial"/>
        </w:rPr>
      </w:pPr>
      <w:r w:rsidRPr="00E54FDA">
        <w:rPr>
          <w:rFonts w:ascii="Arial" w:hAnsi="Arial" w:cs="Arial"/>
          <w:b/>
          <w:bCs/>
        </w:rPr>
        <w:lastRenderedPageBreak/>
        <w:t>Collaboration</w:t>
      </w:r>
      <w:r w:rsidRPr="00E54FDA">
        <w:rPr>
          <w:rFonts w:ascii="Arial" w:hAnsi="Arial" w:cs="Arial"/>
        </w:rPr>
        <w:t xml:space="preserve"> transforms conflict into joint problem-solving.</w:t>
      </w:r>
    </w:p>
    <w:p w14:paraId="19D30054" w14:textId="77777777" w:rsidR="00E54FDA" w:rsidRPr="00E54FDA" w:rsidRDefault="00E54FDA" w:rsidP="00E54FDA">
      <w:pPr>
        <w:spacing w:line="360" w:lineRule="auto"/>
        <w:rPr>
          <w:rFonts w:ascii="Arial" w:hAnsi="Arial" w:cs="Arial"/>
        </w:rPr>
      </w:pPr>
      <w:r w:rsidRPr="00E54FDA">
        <w:rPr>
          <w:rFonts w:ascii="Arial" w:hAnsi="Arial" w:cs="Arial"/>
        </w:rPr>
        <w:t>By embedding the 4Cs into daily project practices, stakeholder engagement becomes more productive, fostering innovation and mutual accountability.</w:t>
      </w:r>
    </w:p>
    <w:p w14:paraId="1133E194" w14:textId="77777777" w:rsidR="00DE7798" w:rsidRDefault="00DE7798" w:rsidP="00E54FDA">
      <w:pPr>
        <w:spacing w:line="360" w:lineRule="auto"/>
        <w:rPr>
          <w:rFonts w:ascii="Arial" w:hAnsi="Arial" w:cs="Arial"/>
        </w:rPr>
      </w:pPr>
    </w:p>
    <w:p w14:paraId="7CC47667" w14:textId="02D09EE0" w:rsidR="00F019D1" w:rsidRPr="005F2BAF" w:rsidRDefault="005F2BAF" w:rsidP="002D256C">
      <w:pPr>
        <w:spacing w:line="360" w:lineRule="auto"/>
        <w:rPr>
          <w:rFonts w:ascii="Arial" w:hAnsi="Arial" w:cs="Arial"/>
          <w:b/>
          <w:bCs/>
          <w:sz w:val="28"/>
          <w:szCs w:val="28"/>
        </w:rPr>
      </w:pPr>
      <w:r>
        <w:rPr>
          <w:rFonts w:ascii="Arial" w:hAnsi="Arial" w:cs="Arial"/>
          <w:b/>
          <w:bCs/>
          <w:sz w:val="28"/>
          <w:szCs w:val="28"/>
        </w:rPr>
        <w:t xml:space="preserve">   </w:t>
      </w:r>
      <w:r w:rsidR="00216AB6" w:rsidRPr="005F2BAF">
        <w:rPr>
          <w:rFonts w:ascii="Arial" w:hAnsi="Arial" w:cs="Arial"/>
          <w:b/>
          <w:bCs/>
          <w:sz w:val="28"/>
          <w:szCs w:val="28"/>
        </w:rPr>
        <w:t>7.</w:t>
      </w:r>
      <w:r w:rsidR="005E4D49" w:rsidRPr="005F2BAF">
        <w:rPr>
          <w:rFonts w:ascii="Arial" w:hAnsi="Arial" w:cs="Arial"/>
          <w:b/>
          <w:bCs/>
          <w:sz w:val="28"/>
          <w:szCs w:val="28"/>
        </w:rPr>
        <w:t>I</w:t>
      </w:r>
      <w:r w:rsidR="00F019D1" w:rsidRPr="005F2BAF">
        <w:rPr>
          <w:rFonts w:ascii="Arial" w:hAnsi="Arial" w:cs="Arial"/>
          <w:b/>
          <w:bCs/>
          <w:sz w:val="28"/>
          <w:szCs w:val="28"/>
        </w:rPr>
        <w:t>mpact of stakeholders</w:t>
      </w:r>
      <w:r w:rsidR="00687494" w:rsidRPr="005F2BAF">
        <w:rPr>
          <w:rFonts w:ascii="Arial" w:hAnsi="Arial" w:cs="Arial"/>
          <w:b/>
          <w:bCs/>
          <w:sz w:val="28"/>
          <w:szCs w:val="28"/>
        </w:rPr>
        <w:t xml:space="preserve"> </w:t>
      </w:r>
      <w:r w:rsidR="00F019D1" w:rsidRPr="005F2BAF">
        <w:rPr>
          <w:rFonts w:ascii="Arial" w:hAnsi="Arial" w:cs="Arial"/>
          <w:b/>
          <w:bCs/>
          <w:sz w:val="28"/>
          <w:szCs w:val="28"/>
        </w:rPr>
        <w:t>engagement and recommendations for future</w:t>
      </w:r>
    </w:p>
    <w:p w14:paraId="6D6BA90B" w14:textId="708137D1" w:rsidR="00487E20" w:rsidRPr="00487E20" w:rsidRDefault="005F2BAF" w:rsidP="00487E20">
      <w:pPr>
        <w:spacing w:line="360" w:lineRule="auto"/>
        <w:rPr>
          <w:rFonts w:ascii="Arial" w:hAnsi="Arial" w:cs="Arial"/>
        </w:rPr>
      </w:pPr>
      <w:r>
        <w:rPr>
          <w:rFonts w:ascii="Arial" w:hAnsi="Arial" w:cs="Arial"/>
        </w:rPr>
        <w:t xml:space="preserve">   </w:t>
      </w:r>
      <w:r w:rsidR="00487E20" w:rsidRPr="00487E20">
        <w:rPr>
          <w:rFonts w:ascii="Arial" w:hAnsi="Arial" w:cs="Arial"/>
        </w:rPr>
        <w:t xml:space="preserve">Stakeholder engagement plays a central role in the success of Omron Healthcare’s </w:t>
      </w:r>
      <w:r w:rsidR="001C7F25">
        <w:rPr>
          <w:rFonts w:ascii="Arial" w:hAnsi="Arial" w:cs="Arial"/>
        </w:rPr>
        <w:t>new</w:t>
      </w:r>
      <w:r w:rsidR="001C7F25" w:rsidRPr="001C7F25">
        <w:rPr>
          <w:rFonts w:ascii="Arial" w:hAnsi="Arial" w:cs="Arial"/>
        </w:rPr>
        <w:t xml:space="preserve"> Urban Track Watch</w:t>
      </w:r>
      <w:r w:rsidR="00487E20" w:rsidRPr="00487E20">
        <w:rPr>
          <w:rFonts w:ascii="Arial" w:hAnsi="Arial" w:cs="Arial"/>
        </w:rPr>
        <w:t>. Effective collaboration with internal and external stakeholders influences operational efficiency, innovation capability, regulatory compliance, and ultimately business performance. This evaluation critically examines how stakeholder engagement contributes to project and organisational success and highlights future improvement recommendations.</w:t>
      </w:r>
    </w:p>
    <w:p w14:paraId="5640FBC3" w14:textId="50676AA7" w:rsidR="00487E20" w:rsidRPr="00487E20" w:rsidRDefault="00D14CEB" w:rsidP="00725FB0">
      <w:pPr>
        <w:spacing w:line="360" w:lineRule="auto"/>
        <w:rPr>
          <w:rFonts w:ascii="Arial" w:hAnsi="Arial" w:cs="Arial"/>
          <w:b/>
          <w:bCs/>
        </w:rPr>
      </w:pPr>
      <w:r>
        <w:rPr>
          <w:rFonts w:ascii="Arial" w:hAnsi="Arial" w:cs="Arial"/>
        </w:rPr>
        <w:t xml:space="preserve">   </w:t>
      </w:r>
      <w:r w:rsidR="00487E20" w:rsidRPr="00487E20">
        <w:rPr>
          <w:rFonts w:ascii="Arial" w:hAnsi="Arial" w:cs="Arial"/>
          <w:b/>
          <w:bCs/>
        </w:rPr>
        <w:t>Impact on Operational and Project Performance</w:t>
      </w:r>
    </w:p>
    <w:p w14:paraId="16074FEB" w14:textId="77777777" w:rsidR="00487E20" w:rsidRPr="00487E20" w:rsidRDefault="00487E20" w:rsidP="00725FB0">
      <w:pPr>
        <w:spacing w:line="360" w:lineRule="auto"/>
        <w:rPr>
          <w:rFonts w:ascii="Arial" w:hAnsi="Arial" w:cs="Arial"/>
        </w:rPr>
      </w:pPr>
      <w:r w:rsidRPr="00487E20">
        <w:rPr>
          <w:rFonts w:ascii="Arial" w:hAnsi="Arial" w:cs="Arial"/>
        </w:rPr>
        <w:t>Strong engagement with internal stakeholders such as the executive team, R&amp;D, and engineering departments enhances strategic alignment and smooth project execution. By involving senior leaders in decision-making, Omron ensures sufficient resource allocation and risk oversight, improving control over timelines and budgets. Engagement between technical teams fosters knowledge sharing and ensures the wearable device meets user expectations through enhanced functionality and product quality.</w:t>
      </w:r>
    </w:p>
    <w:p w14:paraId="3191A950" w14:textId="77777777" w:rsidR="00487E20" w:rsidRPr="00487E20" w:rsidRDefault="00487E20" w:rsidP="00725FB0">
      <w:pPr>
        <w:spacing w:line="360" w:lineRule="auto"/>
        <w:rPr>
          <w:rFonts w:ascii="Arial" w:hAnsi="Arial" w:cs="Arial"/>
        </w:rPr>
      </w:pPr>
      <w:r w:rsidRPr="00487E20">
        <w:rPr>
          <w:rFonts w:ascii="Arial" w:hAnsi="Arial" w:cs="Arial"/>
        </w:rPr>
        <w:t>However, if internal communication is inconsistent, conflicts may emerge due to competing priorities, such as balancing medical accuracy with cost-effectiveness. Weak coordination can lead to delays in development, impacting the planned launch timeline and business revenue projections.</w:t>
      </w:r>
    </w:p>
    <w:p w14:paraId="3C192BB8" w14:textId="23BAF9A8" w:rsidR="00487E20" w:rsidRPr="00487E20" w:rsidRDefault="00D14CEB" w:rsidP="003F4DAD">
      <w:pPr>
        <w:spacing w:line="360" w:lineRule="auto"/>
        <w:rPr>
          <w:rFonts w:ascii="Arial" w:hAnsi="Arial" w:cs="Arial"/>
          <w:b/>
          <w:bCs/>
        </w:rPr>
      </w:pPr>
      <w:r>
        <w:rPr>
          <w:rFonts w:ascii="Arial" w:hAnsi="Arial" w:cs="Arial"/>
          <w:b/>
          <w:bCs/>
        </w:rPr>
        <w:t xml:space="preserve">   </w:t>
      </w:r>
      <w:r w:rsidR="00487E20" w:rsidRPr="00487E20">
        <w:rPr>
          <w:rFonts w:ascii="Arial" w:hAnsi="Arial" w:cs="Arial"/>
          <w:b/>
          <w:bCs/>
        </w:rPr>
        <w:t>Impact on Innovation and Product Quality</w:t>
      </w:r>
    </w:p>
    <w:p w14:paraId="2CAEFA87" w14:textId="77777777" w:rsidR="00487E20" w:rsidRPr="00487E20" w:rsidRDefault="00487E20" w:rsidP="003F4DAD">
      <w:pPr>
        <w:spacing w:line="360" w:lineRule="auto"/>
        <w:rPr>
          <w:rFonts w:ascii="Arial" w:hAnsi="Arial" w:cs="Arial"/>
        </w:rPr>
      </w:pPr>
      <w:r w:rsidRPr="00487E20">
        <w:rPr>
          <w:rFonts w:ascii="Arial" w:hAnsi="Arial" w:cs="Arial"/>
        </w:rPr>
        <w:t>Engagement with healthcare professionals, clinical advisors, and consumers supports user-centred innovation. Their feedback contributes directly to refining features such as comfort, interface usability, and sleep-tracking accuracy. This improves overall product value and helps Omron differentiate its offering within the competitive health-tech market.</w:t>
      </w:r>
    </w:p>
    <w:p w14:paraId="4FCDC7DC" w14:textId="77777777" w:rsidR="00487E20" w:rsidRPr="00487E20" w:rsidRDefault="00487E20" w:rsidP="003F4DAD">
      <w:pPr>
        <w:spacing w:line="360" w:lineRule="auto"/>
        <w:rPr>
          <w:rFonts w:ascii="Arial" w:hAnsi="Arial" w:cs="Arial"/>
        </w:rPr>
      </w:pPr>
      <w:r w:rsidRPr="00487E20">
        <w:rPr>
          <w:rFonts w:ascii="Arial" w:hAnsi="Arial" w:cs="Arial"/>
        </w:rPr>
        <w:t>Yet, incorporating diverse stakeholder input can slow decision-making, especially when conflicting views arise. The project manager must therefore prioritise feedback based on strategic goals and feasibility.</w:t>
      </w:r>
    </w:p>
    <w:p w14:paraId="24793351" w14:textId="4AD99812" w:rsidR="00487E20" w:rsidRPr="00487E20" w:rsidRDefault="003F4DAD" w:rsidP="00487E20">
      <w:pPr>
        <w:spacing w:line="360" w:lineRule="auto"/>
        <w:rPr>
          <w:rFonts w:ascii="Arial" w:hAnsi="Arial" w:cs="Arial"/>
          <w:b/>
          <w:bCs/>
        </w:rPr>
      </w:pPr>
      <w:r w:rsidRPr="003F4DAD">
        <w:rPr>
          <w:rFonts w:ascii="Arial" w:hAnsi="Arial" w:cs="Arial"/>
          <w:b/>
          <w:bCs/>
        </w:rPr>
        <w:lastRenderedPageBreak/>
        <w:t xml:space="preserve">   </w:t>
      </w:r>
      <w:r w:rsidR="00487E20" w:rsidRPr="00487E20">
        <w:rPr>
          <w:rFonts w:ascii="Arial" w:hAnsi="Arial" w:cs="Arial"/>
          <w:b/>
          <w:bCs/>
        </w:rPr>
        <w:t>Market Performance and Competitiveness</w:t>
      </w:r>
    </w:p>
    <w:p w14:paraId="58B26F95" w14:textId="63EE542E" w:rsidR="00487E20" w:rsidRPr="00487E20" w:rsidRDefault="003F4DAD" w:rsidP="00C07A0E">
      <w:pPr>
        <w:spacing w:line="360" w:lineRule="auto"/>
        <w:rPr>
          <w:rFonts w:ascii="Arial" w:hAnsi="Arial" w:cs="Arial"/>
        </w:rPr>
      </w:pPr>
      <w:r>
        <w:rPr>
          <w:rFonts w:ascii="Arial" w:hAnsi="Arial" w:cs="Arial"/>
        </w:rPr>
        <w:t xml:space="preserve">   </w:t>
      </w:r>
      <w:r w:rsidR="00487E20" w:rsidRPr="00487E20">
        <w:rPr>
          <w:rFonts w:ascii="Arial" w:hAnsi="Arial" w:cs="Arial"/>
        </w:rPr>
        <w:t>Engagement with marketing, sales, and media stakeholders is essential in building brand visibility and driving demand. Through coordinated launch campaigns and effective communication of product benefits, Omron is more likely to achieve strong market penetration. This is important given competition from leading brands such as Apple and Fitbit.</w:t>
      </w:r>
    </w:p>
    <w:p w14:paraId="506F9A11" w14:textId="77777777" w:rsidR="00487E20" w:rsidRPr="00487E20" w:rsidRDefault="00487E20" w:rsidP="00C07A0E">
      <w:pPr>
        <w:spacing w:line="360" w:lineRule="auto"/>
        <w:rPr>
          <w:rFonts w:ascii="Arial" w:hAnsi="Arial" w:cs="Arial"/>
        </w:rPr>
      </w:pPr>
      <w:r w:rsidRPr="00487E20">
        <w:rPr>
          <w:rFonts w:ascii="Arial" w:hAnsi="Arial" w:cs="Arial"/>
        </w:rPr>
        <w:t>Nevertheless, insufficient engagement with distribution partners or delayed communication regarding launch updates could weaken market readiness and reduce early sales performance.</w:t>
      </w:r>
    </w:p>
    <w:p w14:paraId="64767071" w14:textId="08201042" w:rsidR="00487E20" w:rsidRPr="00487E20" w:rsidRDefault="00C07A0E" w:rsidP="00487E20">
      <w:pPr>
        <w:spacing w:line="360" w:lineRule="auto"/>
        <w:rPr>
          <w:rFonts w:ascii="Arial" w:hAnsi="Arial" w:cs="Arial"/>
          <w:b/>
          <w:bCs/>
        </w:rPr>
      </w:pPr>
      <w:r>
        <w:rPr>
          <w:rFonts w:ascii="Arial" w:hAnsi="Arial" w:cs="Arial"/>
        </w:rPr>
        <w:t xml:space="preserve">   </w:t>
      </w:r>
      <w:r w:rsidR="00487E20" w:rsidRPr="00487E20">
        <w:rPr>
          <w:rFonts w:ascii="Arial" w:hAnsi="Arial" w:cs="Arial"/>
          <w:b/>
          <w:bCs/>
        </w:rPr>
        <w:t>Regulatory Compliance and Risk Reduction</w:t>
      </w:r>
    </w:p>
    <w:p w14:paraId="2EC478F7" w14:textId="37784EF6" w:rsidR="00487E20" w:rsidRPr="00487E20" w:rsidRDefault="00C07A0E" w:rsidP="00487E20">
      <w:pPr>
        <w:spacing w:line="360" w:lineRule="auto"/>
        <w:rPr>
          <w:rFonts w:ascii="Arial" w:hAnsi="Arial" w:cs="Arial"/>
        </w:rPr>
      </w:pPr>
      <w:r>
        <w:rPr>
          <w:rFonts w:ascii="Arial" w:hAnsi="Arial" w:cs="Arial"/>
        </w:rPr>
        <w:t xml:space="preserve">   </w:t>
      </w:r>
      <w:r w:rsidR="00487E20" w:rsidRPr="00487E20">
        <w:rPr>
          <w:rFonts w:ascii="Arial" w:hAnsi="Arial" w:cs="Arial"/>
        </w:rPr>
        <w:t>Regulatory authorities represent high-power stakeholders whose expectations must be effectively managed to ensure legal approval. Engaging them early minimises compliance risks and builds trust in product safety. Similarly, proactive involvement of the QA team reduces post-launch failures and associated financial losses.</w:t>
      </w:r>
    </w:p>
    <w:p w14:paraId="4261745F" w14:textId="77777777" w:rsidR="00487E20" w:rsidRPr="00487E20" w:rsidRDefault="00487E20" w:rsidP="00487E20">
      <w:pPr>
        <w:spacing w:line="360" w:lineRule="auto"/>
        <w:rPr>
          <w:rFonts w:ascii="Arial" w:hAnsi="Arial" w:cs="Arial"/>
        </w:rPr>
      </w:pPr>
      <w:r w:rsidRPr="00487E20">
        <w:rPr>
          <w:rFonts w:ascii="Arial" w:hAnsi="Arial" w:cs="Arial"/>
        </w:rPr>
        <w:t>However, overreliance on formal approval processes may cause delays if documentation is incomplete or if regulatory standards change.</w:t>
      </w:r>
    </w:p>
    <w:p w14:paraId="2FBA35C8" w14:textId="7BBBD371" w:rsidR="00487E20" w:rsidRPr="00487E20" w:rsidRDefault="00C07A0E" w:rsidP="00487E20">
      <w:pPr>
        <w:spacing w:line="360" w:lineRule="auto"/>
        <w:rPr>
          <w:rFonts w:ascii="Arial" w:hAnsi="Arial" w:cs="Arial"/>
          <w:b/>
          <w:bCs/>
        </w:rPr>
      </w:pPr>
      <w:r>
        <w:rPr>
          <w:rFonts w:ascii="Arial" w:hAnsi="Arial" w:cs="Arial"/>
          <w:b/>
          <w:bCs/>
        </w:rPr>
        <w:t xml:space="preserve">   </w:t>
      </w:r>
      <w:r w:rsidR="00487E20" w:rsidRPr="00487E20">
        <w:rPr>
          <w:rFonts w:ascii="Arial" w:hAnsi="Arial" w:cs="Arial"/>
          <w:b/>
          <w:bCs/>
        </w:rPr>
        <w:t>Supply Chain Stability and Cost Efficiency</w:t>
      </w:r>
    </w:p>
    <w:p w14:paraId="15AE0842" w14:textId="1CB711CE" w:rsidR="00487E20" w:rsidRPr="00487E20" w:rsidRDefault="002477D1" w:rsidP="005236CE">
      <w:pPr>
        <w:spacing w:line="360" w:lineRule="auto"/>
        <w:rPr>
          <w:rFonts w:ascii="Arial" w:hAnsi="Arial" w:cs="Arial"/>
        </w:rPr>
      </w:pPr>
      <w:r>
        <w:rPr>
          <w:rFonts w:ascii="Arial" w:hAnsi="Arial" w:cs="Arial"/>
        </w:rPr>
        <w:t xml:space="preserve">   </w:t>
      </w:r>
      <w:r w:rsidR="00487E20" w:rsidRPr="00487E20">
        <w:rPr>
          <w:rFonts w:ascii="Arial" w:hAnsi="Arial" w:cs="Arial"/>
        </w:rPr>
        <w:t>Collaboration with suppliers and manufacturers ensures continuous component availability and supports economies of scale. Effective engagement prevents costly disruptions and supports achieving competitive pricing for consumer adoption.</w:t>
      </w:r>
    </w:p>
    <w:p w14:paraId="507F9435" w14:textId="77777777" w:rsidR="00487E20" w:rsidRPr="00487E20" w:rsidRDefault="00487E20" w:rsidP="005236CE">
      <w:pPr>
        <w:spacing w:line="360" w:lineRule="auto"/>
        <w:rPr>
          <w:rFonts w:ascii="Arial" w:hAnsi="Arial" w:cs="Arial"/>
        </w:rPr>
      </w:pPr>
      <w:r w:rsidRPr="00487E20">
        <w:rPr>
          <w:rFonts w:ascii="Arial" w:hAnsi="Arial" w:cs="Arial"/>
        </w:rPr>
        <w:t>A key challenge arises when suppliers face shortages or logistical issues, which could threaten production targets. Maintaining multiple supplier options is therefore crucial for risk management.</w:t>
      </w:r>
    </w:p>
    <w:p w14:paraId="496592FD" w14:textId="68328341" w:rsidR="00487E20" w:rsidRPr="00487E20" w:rsidRDefault="005236CE" w:rsidP="00487E20">
      <w:pPr>
        <w:spacing w:line="360" w:lineRule="auto"/>
        <w:rPr>
          <w:rFonts w:ascii="Arial" w:hAnsi="Arial" w:cs="Arial"/>
          <w:b/>
          <w:bCs/>
        </w:rPr>
      </w:pPr>
      <w:r w:rsidRPr="005236CE">
        <w:rPr>
          <w:rFonts w:ascii="Arial" w:hAnsi="Arial" w:cs="Arial"/>
          <w:b/>
          <w:bCs/>
        </w:rPr>
        <w:t xml:space="preserve">   </w:t>
      </w:r>
      <w:r w:rsidR="00487E20" w:rsidRPr="00487E20">
        <w:rPr>
          <w:rFonts w:ascii="Arial" w:hAnsi="Arial" w:cs="Arial"/>
          <w:b/>
          <w:bCs/>
        </w:rPr>
        <w:t>Impact on Customer Trust and Business Reputation</w:t>
      </w:r>
    </w:p>
    <w:p w14:paraId="58C4D6AA" w14:textId="13B804AE" w:rsidR="00487E20" w:rsidRPr="00487E20" w:rsidRDefault="005236CE" w:rsidP="005236CE">
      <w:pPr>
        <w:spacing w:line="360" w:lineRule="auto"/>
        <w:rPr>
          <w:rFonts w:ascii="Arial" w:hAnsi="Arial" w:cs="Arial"/>
        </w:rPr>
      </w:pPr>
      <w:r>
        <w:rPr>
          <w:rFonts w:ascii="Arial" w:hAnsi="Arial" w:cs="Arial"/>
        </w:rPr>
        <w:t xml:space="preserve">   </w:t>
      </w:r>
      <w:r w:rsidR="00487E20" w:rsidRPr="00487E20">
        <w:rPr>
          <w:rFonts w:ascii="Arial" w:hAnsi="Arial" w:cs="Arial"/>
        </w:rPr>
        <w:t>Consumer engagement via user testing and post-launch support strengthens product credibility and encourages customer loyalty. As health-related data is highly sensitive, transparency in data protection enhances trust and protects Omron’s global brand reputation.</w:t>
      </w:r>
    </w:p>
    <w:p w14:paraId="126C2109" w14:textId="77777777" w:rsidR="00487E20" w:rsidRPr="00487E20" w:rsidRDefault="00487E20" w:rsidP="005236CE">
      <w:pPr>
        <w:spacing w:line="360" w:lineRule="auto"/>
        <w:rPr>
          <w:rFonts w:ascii="Arial" w:hAnsi="Arial" w:cs="Arial"/>
        </w:rPr>
      </w:pPr>
      <w:r w:rsidRPr="00487E20">
        <w:rPr>
          <w:rFonts w:ascii="Arial" w:hAnsi="Arial" w:cs="Arial"/>
        </w:rPr>
        <w:t>Failure to manage these expectations — particularly regarding privacy — could result in reputational damage and regulatory sanctions.</w:t>
      </w:r>
    </w:p>
    <w:p w14:paraId="1A84BC09" w14:textId="77777777" w:rsidR="005236CE" w:rsidRDefault="005236CE" w:rsidP="00CB5793">
      <w:pPr>
        <w:spacing w:line="360" w:lineRule="auto"/>
        <w:rPr>
          <w:rFonts w:ascii="Arial" w:hAnsi="Arial" w:cs="Arial"/>
          <w:b/>
          <w:bCs/>
        </w:rPr>
      </w:pPr>
    </w:p>
    <w:p w14:paraId="13788237" w14:textId="2DF09D87" w:rsidR="00CB5793" w:rsidRPr="00CB5793" w:rsidRDefault="005236CE" w:rsidP="00CB5793">
      <w:pPr>
        <w:spacing w:line="360" w:lineRule="auto"/>
        <w:rPr>
          <w:rFonts w:ascii="Arial" w:hAnsi="Arial" w:cs="Arial"/>
          <w:b/>
          <w:bCs/>
          <w:sz w:val="28"/>
          <w:szCs w:val="28"/>
        </w:rPr>
      </w:pPr>
      <w:r>
        <w:rPr>
          <w:rFonts w:ascii="Arial" w:hAnsi="Arial" w:cs="Arial"/>
          <w:b/>
          <w:bCs/>
          <w:sz w:val="28"/>
          <w:szCs w:val="28"/>
        </w:rPr>
        <w:lastRenderedPageBreak/>
        <w:t xml:space="preserve">   </w:t>
      </w:r>
      <w:r w:rsidR="00CB5793" w:rsidRPr="00CB5793">
        <w:rPr>
          <w:rFonts w:ascii="Arial" w:hAnsi="Arial" w:cs="Arial"/>
          <w:b/>
          <w:bCs/>
          <w:sz w:val="28"/>
          <w:szCs w:val="28"/>
        </w:rPr>
        <w:t>Recommendations for Future Improvement</w:t>
      </w:r>
    </w:p>
    <w:p w14:paraId="11283A72" w14:textId="56668162" w:rsidR="00CB5793" w:rsidRPr="00CB5793" w:rsidRDefault="00CC1D19" w:rsidP="00CC1D19">
      <w:pPr>
        <w:spacing w:line="360" w:lineRule="auto"/>
        <w:rPr>
          <w:rFonts w:ascii="Arial" w:hAnsi="Arial" w:cs="Arial"/>
        </w:rPr>
      </w:pPr>
      <w:r>
        <w:rPr>
          <w:rFonts w:ascii="Arial" w:hAnsi="Arial" w:cs="Arial"/>
        </w:rPr>
        <w:t xml:space="preserve">   </w:t>
      </w:r>
      <w:r w:rsidR="00CB5793" w:rsidRPr="00CB5793">
        <w:rPr>
          <w:rFonts w:ascii="Arial" w:hAnsi="Arial" w:cs="Arial"/>
        </w:rPr>
        <w:t xml:space="preserve">Firstly, </w:t>
      </w:r>
      <w:r w:rsidR="00CB5793" w:rsidRPr="00CB5793">
        <w:rPr>
          <w:rFonts w:ascii="Arial" w:hAnsi="Arial" w:cs="Arial"/>
          <w:b/>
          <w:bCs/>
        </w:rPr>
        <w:t>strengthening early collaboration</w:t>
      </w:r>
      <w:r w:rsidR="00CB5793" w:rsidRPr="00CB5793">
        <w:rPr>
          <w:rFonts w:ascii="Arial" w:hAnsi="Arial" w:cs="Arial"/>
        </w:rPr>
        <w:t xml:space="preserve"> with key internal and external stakeholders will support more efficient innovation and regulatory compliance. Engaging executive decision-makers, engineering teams, and regulatory authorities at earlier design stages would minimise costly re-work while enhancing design feasibility and certification readiness (Kerzner, 2022). Additionally, expanding product testing to include more diverse user groups will ensure the device is accessible and appealing to broader demographics, thus increasing market adoption (Kotler and Keller, 2016).</w:t>
      </w:r>
    </w:p>
    <w:p w14:paraId="4F56DF4F" w14:textId="729A22AB" w:rsidR="00CB5793" w:rsidRPr="00CB5793" w:rsidRDefault="00CC1D19" w:rsidP="00CB5793">
      <w:pPr>
        <w:spacing w:line="360" w:lineRule="auto"/>
        <w:rPr>
          <w:rFonts w:ascii="Arial" w:hAnsi="Arial" w:cs="Arial"/>
        </w:rPr>
      </w:pPr>
      <w:r>
        <w:rPr>
          <w:rFonts w:ascii="Arial" w:hAnsi="Arial" w:cs="Arial"/>
        </w:rPr>
        <w:t xml:space="preserve">   </w:t>
      </w:r>
      <w:r w:rsidR="00CB5793" w:rsidRPr="00CB5793">
        <w:rPr>
          <w:rFonts w:ascii="Arial" w:hAnsi="Arial" w:cs="Arial"/>
        </w:rPr>
        <w:t xml:space="preserve">Secondly, </w:t>
      </w:r>
      <w:r w:rsidR="00CB5793" w:rsidRPr="00CB5793">
        <w:rPr>
          <w:rFonts w:ascii="Arial" w:hAnsi="Arial" w:cs="Arial"/>
          <w:b/>
          <w:bCs/>
        </w:rPr>
        <w:t>digital communication optimisation</w:t>
      </w:r>
      <w:r w:rsidR="00CB5793" w:rsidRPr="00CB5793">
        <w:rPr>
          <w:rFonts w:ascii="Arial" w:hAnsi="Arial" w:cs="Arial"/>
        </w:rPr>
        <w:t xml:space="preserve"> is recommended to improve information flow. As stakeholder coordination is often hindered by communication gaps, real-time project management systems should be expanded, allowing teams to access updated information instantly (PMI, 2021). Creating a unified data-sharing platform for timeline tracking and documentation storage will improve transparency and reduce delays caused by fragmented communication.</w:t>
      </w:r>
    </w:p>
    <w:p w14:paraId="52C1C6DE" w14:textId="7C55C139" w:rsidR="00CB5793" w:rsidRPr="00CB5793" w:rsidRDefault="00311F14" w:rsidP="00CB5793">
      <w:pPr>
        <w:spacing w:line="360" w:lineRule="auto"/>
        <w:rPr>
          <w:rFonts w:ascii="Arial" w:hAnsi="Arial" w:cs="Arial"/>
        </w:rPr>
      </w:pPr>
      <w:r>
        <w:rPr>
          <w:rFonts w:ascii="Arial" w:hAnsi="Arial" w:cs="Arial"/>
        </w:rPr>
        <w:t xml:space="preserve">   </w:t>
      </w:r>
      <w:r w:rsidR="00CB5793" w:rsidRPr="00CB5793">
        <w:rPr>
          <w:rFonts w:ascii="Arial" w:hAnsi="Arial" w:cs="Arial"/>
        </w:rPr>
        <w:t xml:space="preserve">Thirdly, Omron should formalise a </w:t>
      </w:r>
      <w:r w:rsidR="00CB5793" w:rsidRPr="00CB5793">
        <w:rPr>
          <w:rFonts w:ascii="Arial" w:hAnsi="Arial" w:cs="Arial"/>
          <w:b/>
          <w:bCs/>
        </w:rPr>
        <w:t>conflict management strategy</w:t>
      </w:r>
      <w:r w:rsidR="00CB5793" w:rsidRPr="00CB5793">
        <w:rPr>
          <w:rFonts w:ascii="Arial" w:hAnsi="Arial" w:cs="Arial"/>
        </w:rPr>
        <w:t xml:space="preserve"> using structured models such as the 4Cs framework — communication, coordination, cooperation, and collaboration. Regular alignment workshops would support stronger interpersonal relationships, reduce misunderstandings, and facilitate joint problem-solving (Zulch, 2014). This approach is particularly important in cross-functional environments where conflicting priorities may emerge.</w:t>
      </w:r>
    </w:p>
    <w:p w14:paraId="6EF72570" w14:textId="5975346F" w:rsidR="00CB5793" w:rsidRPr="00CB5793" w:rsidRDefault="00764194" w:rsidP="00CB5793">
      <w:pPr>
        <w:spacing w:line="360" w:lineRule="auto"/>
        <w:rPr>
          <w:rFonts w:ascii="Arial" w:hAnsi="Arial" w:cs="Arial"/>
        </w:rPr>
      </w:pPr>
      <w:r>
        <w:rPr>
          <w:rFonts w:ascii="Arial" w:hAnsi="Arial" w:cs="Arial"/>
        </w:rPr>
        <w:t xml:space="preserve">   </w:t>
      </w:r>
      <w:r w:rsidR="00CB5793" w:rsidRPr="00CB5793">
        <w:rPr>
          <w:rFonts w:ascii="Arial" w:hAnsi="Arial" w:cs="Arial"/>
        </w:rPr>
        <w:t xml:space="preserve">Fourth, the adoption of </w:t>
      </w:r>
      <w:r w:rsidR="00CB5793" w:rsidRPr="00CB5793">
        <w:rPr>
          <w:rFonts w:ascii="Arial" w:hAnsi="Arial" w:cs="Arial"/>
          <w:b/>
          <w:bCs/>
        </w:rPr>
        <w:t>agile decision-making structures</w:t>
      </w:r>
      <w:r w:rsidR="00CB5793" w:rsidRPr="00CB5793">
        <w:rPr>
          <w:rFonts w:ascii="Arial" w:hAnsi="Arial" w:cs="Arial"/>
        </w:rPr>
        <w:t xml:space="preserve"> should be increased. Agile project practices contribute to faster responsiveness and adaptability in innovative technology development (Teece, 2018). Empowering project managers and team leaders to make tactical decisions will reduce dependency on executive approvals and enable quicker iteration cycles, improving time-to-market advantage (Crawford, 2005).</w:t>
      </w:r>
    </w:p>
    <w:p w14:paraId="1A641E05" w14:textId="1F1C191D" w:rsidR="00CB5793" w:rsidRPr="00CB5793" w:rsidRDefault="00764194" w:rsidP="00CB5793">
      <w:pPr>
        <w:spacing w:line="360" w:lineRule="auto"/>
        <w:rPr>
          <w:rFonts w:ascii="Arial" w:hAnsi="Arial" w:cs="Arial"/>
        </w:rPr>
      </w:pPr>
      <w:r>
        <w:rPr>
          <w:rFonts w:ascii="Arial" w:hAnsi="Arial" w:cs="Arial"/>
        </w:rPr>
        <w:t xml:space="preserve">   </w:t>
      </w:r>
      <w:r w:rsidR="00CB5793" w:rsidRPr="00CB5793">
        <w:rPr>
          <w:rFonts w:ascii="Arial" w:hAnsi="Arial" w:cs="Arial"/>
        </w:rPr>
        <w:t xml:space="preserve">Lastly, </w:t>
      </w:r>
      <w:r w:rsidR="00CB5793" w:rsidRPr="00CB5793">
        <w:rPr>
          <w:rFonts w:ascii="Arial" w:hAnsi="Arial" w:cs="Arial"/>
          <w:b/>
          <w:bCs/>
        </w:rPr>
        <w:t>enhanced supplier risk mitigation</w:t>
      </w:r>
      <w:r w:rsidR="00CB5793" w:rsidRPr="00CB5793">
        <w:rPr>
          <w:rFonts w:ascii="Arial" w:hAnsi="Arial" w:cs="Arial"/>
        </w:rPr>
        <w:t xml:space="preserve"> is necessary to ensure operational continuity. Given the global supply chain vulnerability in healthcare technology, Omron should diversify sourcing strategies and establish stronger performance measures to monitor supplier reliability and responsiveness (IBISWorld, 2024). Strengthening supplier relationships through regular performance reviews can further minimise risks of delays and quality issues.</w:t>
      </w:r>
    </w:p>
    <w:p w14:paraId="0556CC34" w14:textId="77777777" w:rsidR="000F44B2" w:rsidRDefault="00862694" w:rsidP="00487E20">
      <w:pPr>
        <w:spacing w:line="360" w:lineRule="auto"/>
        <w:rPr>
          <w:rFonts w:ascii="Arial" w:hAnsi="Arial" w:cs="Arial"/>
        </w:rPr>
      </w:pPr>
      <w:r>
        <w:rPr>
          <w:rFonts w:ascii="Arial" w:hAnsi="Arial" w:cs="Arial"/>
        </w:rPr>
        <w:t xml:space="preserve">   </w:t>
      </w:r>
      <w:r w:rsidR="00CB5793" w:rsidRPr="00CB5793">
        <w:rPr>
          <w:rFonts w:ascii="Arial" w:hAnsi="Arial" w:cs="Arial"/>
        </w:rPr>
        <w:t>Overall, these recommendations are intended to improve project efficiency, reduce risk exposure, and support higher-quality outcomes. Implementing them would strengthen Omron Healthcare’s stakeholder engagement strategy and reinforce its competitive position in the rapidly expanding digital health market.</w:t>
      </w:r>
    </w:p>
    <w:p w14:paraId="02CCBB18" w14:textId="7E0C92C6" w:rsidR="007F0CF5" w:rsidRPr="000F44B2" w:rsidRDefault="000F44B2" w:rsidP="002D256C">
      <w:pPr>
        <w:spacing w:line="360" w:lineRule="auto"/>
        <w:rPr>
          <w:rFonts w:ascii="Arial" w:hAnsi="Arial" w:cs="Arial"/>
        </w:rPr>
      </w:pPr>
      <w:r>
        <w:rPr>
          <w:rFonts w:ascii="Arial" w:hAnsi="Arial" w:cs="Arial"/>
        </w:rPr>
        <w:lastRenderedPageBreak/>
        <w:t xml:space="preserve">   </w:t>
      </w:r>
      <w:r w:rsidR="000F4270">
        <w:rPr>
          <w:rFonts w:ascii="Arial" w:hAnsi="Arial" w:cs="Arial"/>
        </w:rPr>
        <w:t>S</w:t>
      </w:r>
      <w:r w:rsidR="00487E20" w:rsidRPr="00487E20">
        <w:rPr>
          <w:rFonts w:ascii="Arial" w:hAnsi="Arial" w:cs="Arial"/>
        </w:rPr>
        <w:t>takeholder engagement has a positive and significant impact on Omron Healthcare’s business performance, particularly in innovation, product quality, and market competitiveness. However, improvements in communication efficiency, risk management, and conflict resolution can further enhance project success. Implementing the recommendations above will support a more resilient and collaborative stakeholder network for future developments.</w:t>
      </w:r>
    </w:p>
    <w:p w14:paraId="17FF55DD" w14:textId="6729AB14" w:rsidR="00F019D1" w:rsidRPr="000F44B2" w:rsidRDefault="000F44B2" w:rsidP="002D256C">
      <w:pPr>
        <w:spacing w:line="360" w:lineRule="auto"/>
        <w:rPr>
          <w:rFonts w:ascii="Arial" w:hAnsi="Arial" w:cs="Arial"/>
          <w:b/>
          <w:bCs/>
          <w:sz w:val="28"/>
          <w:szCs w:val="28"/>
        </w:rPr>
      </w:pPr>
      <w:r>
        <w:rPr>
          <w:rFonts w:ascii="Arial" w:hAnsi="Arial" w:cs="Arial"/>
          <w:b/>
          <w:bCs/>
          <w:sz w:val="28"/>
          <w:szCs w:val="28"/>
        </w:rPr>
        <w:t xml:space="preserve">   </w:t>
      </w:r>
      <w:r w:rsidR="00216AB6" w:rsidRPr="000F44B2">
        <w:rPr>
          <w:rFonts w:ascii="Arial" w:hAnsi="Arial" w:cs="Arial"/>
          <w:b/>
          <w:bCs/>
          <w:sz w:val="28"/>
          <w:szCs w:val="28"/>
        </w:rPr>
        <w:t>8.</w:t>
      </w:r>
      <w:r w:rsidR="00F019D1" w:rsidRPr="000F44B2">
        <w:rPr>
          <w:rFonts w:ascii="Arial" w:hAnsi="Arial" w:cs="Arial"/>
          <w:b/>
          <w:bCs/>
          <w:sz w:val="28"/>
          <w:szCs w:val="28"/>
        </w:rPr>
        <w:t xml:space="preserve">Conclusion </w:t>
      </w:r>
    </w:p>
    <w:p w14:paraId="514252FC" w14:textId="63172F89" w:rsidR="00E6052F" w:rsidRPr="00E6052F" w:rsidRDefault="000F44B2" w:rsidP="00E6052F">
      <w:pPr>
        <w:spacing w:line="360" w:lineRule="auto"/>
        <w:rPr>
          <w:rFonts w:ascii="Arial" w:hAnsi="Arial" w:cs="Arial"/>
        </w:rPr>
      </w:pPr>
      <w:r>
        <w:rPr>
          <w:rFonts w:ascii="Arial" w:hAnsi="Arial" w:cs="Arial"/>
        </w:rPr>
        <w:t xml:space="preserve">   </w:t>
      </w:r>
      <w:r w:rsidR="00E6052F" w:rsidRPr="00E6052F">
        <w:rPr>
          <w:rFonts w:ascii="Arial" w:hAnsi="Arial" w:cs="Arial"/>
        </w:rPr>
        <w:t xml:space="preserve">This report has examined the strategic management of stakeholders in Omron Healthcare’s upcoming launch of </w:t>
      </w:r>
      <w:r w:rsidR="00E3203E">
        <w:rPr>
          <w:rFonts w:ascii="Arial" w:hAnsi="Arial" w:cs="Arial"/>
        </w:rPr>
        <w:t xml:space="preserve">the </w:t>
      </w:r>
      <w:r w:rsidR="00E3203E" w:rsidRPr="00E3203E">
        <w:rPr>
          <w:rFonts w:ascii="Arial" w:hAnsi="Arial" w:cs="Arial"/>
        </w:rPr>
        <w:t>Omron Urban Track Watch</w:t>
      </w:r>
      <w:r w:rsidR="00E6052F" w:rsidRPr="00E6052F">
        <w:rPr>
          <w:rFonts w:ascii="Arial" w:hAnsi="Arial" w:cs="Arial"/>
        </w:rPr>
        <w:t>. As demonstrated throughout, stakeholders influence every stage of project development, from innovation and regulatory compliance to marketing success and customer adoption. Through tools such as the stakeholder matrix, communication plan, and RACI model, Omron can structure engagement processes that ensure clarity, boost collaboration, and reduce operational risk.</w:t>
      </w:r>
    </w:p>
    <w:p w14:paraId="78765FF7" w14:textId="77777777" w:rsidR="00E6052F" w:rsidRPr="00E6052F" w:rsidRDefault="00E6052F" w:rsidP="00E6052F">
      <w:pPr>
        <w:spacing w:line="360" w:lineRule="auto"/>
        <w:rPr>
          <w:rFonts w:ascii="Arial" w:hAnsi="Arial" w:cs="Arial"/>
        </w:rPr>
      </w:pPr>
      <w:r w:rsidRPr="00E6052F">
        <w:rPr>
          <w:rFonts w:ascii="Arial" w:hAnsi="Arial" w:cs="Arial"/>
        </w:rPr>
        <w:t>The analysis has shown that effective engagement drives better business results by enhancing product quality, increasing market readiness, and safeguarding the brand’s reputation. Furthermore, collaborative input from internal teams and external experts supports Omron’s mission of promoting proactive health management through advanced digital technologies.</w:t>
      </w:r>
    </w:p>
    <w:p w14:paraId="704C7F70" w14:textId="77777777" w:rsidR="00E6052F" w:rsidRPr="00E6052F" w:rsidRDefault="00E6052F" w:rsidP="00E6052F">
      <w:pPr>
        <w:spacing w:line="360" w:lineRule="auto"/>
        <w:rPr>
          <w:rFonts w:ascii="Arial" w:hAnsi="Arial" w:cs="Arial"/>
        </w:rPr>
      </w:pPr>
      <w:r w:rsidRPr="00E6052F">
        <w:rPr>
          <w:rFonts w:ascii="Arial" w:hAnsi="Arial" w:cs="Arial"/>
        </w:rPr>
        <w:t>Despite these strengths, challenges remain — including communication inefficiencies, potential conflicts of interest, and increasing pressure from well-established competitors in the wearable technology market. These issues highlight the need for continuous improvement in stakeholder coordination and strategic decision-making. Recommendations, such as earlier involvement of regulatory bodies, enhanced digital communication platforms, and risk-resilient supply chain partnerships, offer a clear path for strengthening project governance.</w:t>
      </w:r>
    </w:p>
    <w:p w14:paraId="05BC0373" w14:textId="77777777" w:rsidR="001D3C26" w:rsidRDefault="00E6052F" w:rsidP="002E7F74">
      <w:pPr>
        <w:spacing w:line="360" w:lineRule="auto"/>
        <w:rPr>
          <w:rFonts w:ascii="Arial" w:hAnsi="Arial" w:cs="Arial"/>
        </w:rPr>
      </w:pPr>
      <w:r w:rsidRPr="00E6052F">
        <w:rPr>
          <w:rFonts w:ascii="Arial" w:hAnsi="Arial" w:cs="Arial"/>
        </w:rPr>
        <w:t>In conclusion, stakeholder engagement should be viewed not merely as a communication requirement, but as a strategic driver of organisational success. By prioritising stakeholder relationships and embedding collaborative practices into future innovation projects, Omron Healthcare can sustain long-term competitive advantage, build stronger customer loyalty, and ensure successful product launches within the rapidly evolving health-technology industry.</w:t>
      </w:r>
    </w:p>
    <w:p w14:paraId="52517B9E" w14:textId="77777777" w:rsidR="003F4C35" w:rsidRDefault="003F4C35" w:rsidP="002E7F74">
      <w:pPr>
        <w:spacing w:line="360" w:lineRule="auto"/>
        <w:rPr>
          <w:rFonts w:ascii="Arial" w:hAnsi="Arial" w:cs="Arial"/>
          <w:b/>
          <w:bCs/>
        </w:rPr>
      </w:pPr>
    </w:p>
    <w:p w14:paraId="73E5600B" w14:textId="77777777" w:rsidR="003F4C35" w:rsidRDefault="003F4C35" w:rsidP="002E7F74">
      <w:pPr>
        <w:spacing w:line="360" w:lineRule="auto"/>
        <w:rPr>
          <w:rFonts w:ascii="Arial" w:hAnsi="Arial" w:cs="Arial"/>
          <w:b/>
          <w:bCs/>
        </w:rPr>
      </w:pPr>
    </w:p>
    <w:p w14:paraId="13A4C076" w14:textId="1B0041B4" w:rsidR="002E7F74" w:rsidRPr="001D3C26" w:rsidRDefault="002E7F74" w:rsidP="002E7F74">
      <w:pPr>
        <w:spacing w:line="360" w:lineRule="auto"/>
        <w:rPr>
          <w:rFonts w:ascii="Arial" w:hAnsi="Arial" w:cs="Arial"/>
        </w:rPr>
      </w:pPr>
      <w:r w:rsidRPr="002E7F74">
        <w:rPr>
          <w:rFonts w:ascii="Arial" w:hAnsi="Arial" w:cs="Arial"/>
          <w:b/>
          <w:bCs/>
        </w:rPr>
        <w:lastRenderedPageBreak/>
        <w:t>Reference List</w:t>
      </w:r>
    </w:p>
    <w:p w14:paraId="3278208C" w14:textId="77777777" w:rsidR="002E7F74" w:rsidRPr="002E7F74" w:rsidRDefault="002E7F74" w:rsidP="002E7F74">
      <w:pPr>
        <w:spacing w:line="360" w:lineRule="auto"/>
        <w:rPr>
          <w:rFonts w:ascii="Arial" w:hAnsi="Arial" w:cs="Arial"/>
        </w:rPr>
      </w:pPr>
      <w:r w:rsidRPr="002E7F74">
        <w:rPr>
          <w:rFonts w:ascii="Arial" w:hAnsi="Arial" w:cs="Arial"/>
        </w:rPr>
        <w:t xml:space="preserve">Crawford, L. (2005) ‘Senior management perceptions of project management competence’, </w:t>
      </w:r>
      <w:r w:rsidRPr="002E7F74">
        <w:rPr>
          <w:rFonts w:ascii="Arial" w:hAnsi="Arial" w:cs="Arial"/>
          <w:i/>
          <w:iCs/>
        </w:rPr>
        <w:t>International Journal of Project Management</w:t>
      </w:r>
      <w:r w:rsidRPr="002E7F74">
        <w:rPr>
          <w:rFonts w:ascii="Arial" w:hAnsi="Arial" w:cs="Arial"/>
        </w:rPr>
        <w:t>, 23(1), pp. 7–16.</w:t>
      </w:r>
    </w:p>
    <w:p w14:paraId="45855EBF" w14:textId="77777777" w:rsidR="002E7F74" w:rsidRPr="002E7F74" w:rsidRDefault="002E7F74" w:rsidP="002E7F74">
      <w:pPr>
        <w:spacing w:line="360" w:lineRule="auto"/>
        <w:rPr>
          <w:rFonts w:ascii="Arial" w:hAnsi="Arial" w:cs="Arial"/>
        </w:rPr>
      </w:pPr>
      <w:r w:rsidRPr="002E7F74">
        <w:rPr>
          <w:rFonts w:ascii="Arial" w:hAnsi="Arial" w:cs="Arial"/>
        </w:rPr>
        <w:t xml:space="preserve">Freeman, R.E. (1984) </w:t>
      </w:r>
      <w:r w:rsidRPr="002E7F74">
        <w:rPr>
          <w:rFonts w:ascii="Arial" w:hAnsi="Arial" w:cs="Arial"/>
          <w:i/>
          <w:iCs/>
        </w:rPr>
        <w:t>Strategic Management: A Stakeholder Approach.</w:t>
      </w:r>
      <w:r w:rsidRPr="002E7F74">
        <w:rPr>
          <w:rFonts w:ascii="Arial" w:hAnsi="Arial" w:cs="Arial"/>
        </w:rPr>
        <w:t xml:space="preserve"> Boston: Pitman.</w:t>
      </w:r>
    </w:p>
    <w:p w14:paraId="28908E98" w14:textId="77777777" w:rsidR="002E7F74" w:rsidRPr="002E7F74" w:rsidRDefault="002E7F74" w:rsidP="002E7F74">
      <w:pPr>
        <w:spacing w:line="360" w:lineRule="auto"/>
        <w:rPr>
          <w:rFonts w:ascii="Arial" w:hAnsi="Arial" w:cs="Arial"/>
        </w:rPr>
      </w:pPr>
      <w:r w:rsidRPr="002E7F74">
        <w:rPr>
          <w:rFonts w:ascii="Arial" w:hAnsi="Arial" w:cs="Arial"/>
        </w:rPr>
        <w:t xml:space="preserve">Gürel, E. and Tat, M. (2017) ‘SWOT analysis: A theoretical review’, </w:t>
      </w:r>
      <w:r w:rsidRPr="002E7F74">
        <w:rPr>
          <w:rFonts w:ascii="Arial" w:hAnsi="Arial" w:cs="Arial"/>
          <w:i/>
          <w:iCs/>
        </w:rPr>
        <w:t>Journal of International Social Research</w:t>
      </w:r>
      <w:r w:rsidRPr="002E7F74">
        <w:rPr>
          <w:rFonts w:ascii="Arial" w:hAnsi="Arial" w:cs="Arial"/>
        </w:rPr>
        <w:t>, 10(51), pp. 994–1006.</w:t>
      </w:r>
    </w:p>
    <w:p w14:paraId="4CBB2274" w14:textId="77777777" w:rsidR="002E7F74" w:rsidRPr="002E7F74" w:rsidRDefault="002E7F74" w:rsidP="002E7F74">
      <w:pPr>
        <w:spacing w:line="360" w:lineRule="auto"/>
        <w:rPr>
          <w:rFonts w:ascii="Arial" w:hAnsi="Arial" w:cs="Arial"/>
        </w:rPr>
      </w:pPr>
      <w:r w:rsidRPr="002E7F74">
        <w:rPr>
          <w:rFonts w:ascii="Arial" w:hAnsi="Arial" w:cs="Arial"/>
        </w:rPr>
        <w:t xml:space="preserve">IBISWorld. (2024) </w:t>
      </w:r>
      <w:r w:rsidRPr="002E7F74">
        <w:rPr>
          <w:rFonts w:ascii="Arial" w:hAnsi="Arial" w:cs="Arial"/>
          <w:i/>
          <w:iCs/>
        </w:rPr>
        <w:t>Global Wearable Technology Industry Report.</w:t>
      </w:r>
      <w:r w:rsidRPr="002E7F74">
        <w:rPr>
          <w:rFonts w:ascii="Arial" w:hAnsi="Arial" w:cs="Arial"/>
        </w:rPr>
        <w:t xml:space="preserve"> Available at: </w:t>
      </w:r>
      <w:hyperlink r:id="rId5" w:tgtFrame="_new" w:history="1">
        <w:r w:rsidRPr="002E7F74">
          <w:rPr>
            <w:rStyle w:val="Hyperlink"/>
            <w:rFonts w:ascii="Arial" w:hAnsi="Arial" w:cs="Arial"/>
          </w:rPr>
          <w:t>https://www.ibisworld.com/</w:t>
        </w:r>
      </w:hyperlink>
      <w:r w:rsidRPr="002E7F74">
        <w:rPr>
          <w:rFonts w:ascii="Arial" w:hAnsi="Arial" w:cs="Arial"/>
        </w:rPr>
        <w:t xml:space="preserve"> (Accessed: 12 November 2025).</w:t>
      </w:r>
    </w:p>
    <w:p w14:paraId="42258FB0" w14:textId="77777777" w:rsidR="002E7F74" w:rsidRPr="002E7F74" w:rsidRDefault="002E7F74" w:rsidP="002E7F74">
      <w:pPr>
        <w:spacing w:line="360" w:lineRule="auto"/>
        <w:rPr>
          <w:rFonts w:ascii="Arial" w:hAnsi="Arial" w:cs="Arial"/>
        </w:rPr>
      </w:pPr>
      <w:r w:rsidRPr="002E7F74">
        <w:rPr>
          <w:rFonts w:ascii="Arial" w:hAnsi="Arial" w:cs="Arial"/>
        </w:rPr>
        <w:t xml:space="preserve">Johnson, G., Scholes, K. and Whittington, R. (2017) </w:t>
      </w:r>
      <w:r w:rsidRPr="002E7F74">
        <w:rPr>
          <w:rFonts w:ascii="Arial" w:hAnsi="Arial" w:cs="Arial"/>
          <w:i/>
          <w:iCs/>
        </w:rPr>
        <w:t>Exploring Corporate Strategy.</w:t>
      </w:r>
      <w:r w:rsidRPr="002E7F74">
        <w:rPr>
          <w:rFonts w:ascii="Arial" w:hAnsi="Arial" w:cs="Arial"/>
        </w:rPr>
        <w:t xml:space="preserve"> 11th edn. Harlow: Pearson Education.</w:t>
      </w:r>
    </w:p>
    <w:p w14:paraId="36061AB8" w14:textId="4AE12709" w:rsidR="002E7F74" w:rsidRPr="002E7F74" w:rsidRDefault="002E7F74" w:rsidP="002E7F74">
      <w:pPr>
        <w:spacing w:line="360" w:lineRule="auto"/>
        <w:rPr>
          <w:rFonts w:ascii="Arial" w:hAnsi="Arial" w:cs="Arial"/>
        </w:rPr>
      </w:pPr>
      <w:r w:rsidRPr="002E7F74">
        <w:rPr>
          <w:rFonts w:ascii="Arial" w:hAnsi="Arial" w:cs="Arial"/>
        </w:rPr>
        <w:t xml:space="preserve">Kerzner, H. (2022) </w:t>
      </w:r>
      <w:r w:rsidRPr="002E7F74">
        <w:rPr>
          <w:rFonts w:ascii="Arial" w:hAnsi="Arial" w:cs="Arial"/>
          <w:i/>
          <w:iCs/>
        </w:rPr>
        <w:t>Project Management: A Systems Approach to Planning, Scheduling, and Controlling.</w:t>
      </w:r>
      <w:r w:rsidRPr="002E7F74">
        <w:rPr>
          <w:rFonts w:ascii="Arial" w:hAnsi="Arial" w:cs="Arial"/>
        </w:rPr>
        <w:t xml:space="preserve"> 13th ed. Hoboken: Wiley.</w:t>
      </w:r>
    </w:p>
    <w:p w14:paraId="233BDF22" w14:textId="77777777" w:rsidR="002E7F74" w:rsidRPr="002E7F74" w:rsidRDefault="002E7F74" w:rsidP="002E7F74">
      <w:pPr>
        <w:spacing w:line="360" w:lineRule="auto"/>
        <w:rPr>
          <w:rFonts w:ascii="Arial" w:hAnsi="Arial" w:cs="Arial"/>
        </w:rPr>
      </w:pPr>
      <w:r w:rsidRPr="002E7F74">
        <w:rPr>
          <w:rFonts w:ascii="Arial" w:hAnsi="Arial" w:cs="Arial"/>
        </w:rPr>
        <w:t xml:space="preserve">Market Research Future. (2024) </w:t>
      </w:r>
      <w:r w:rsidRPr="002E7F74">
        <w:rPr>
          <w:rFonts w:ascii="Arial" w:hAnsi="Arial" w:cs="Arial"/>
          <w:i/>
          <w:iCs/>
        </w:rPr>
        <w:t>Wearable Technology Market Research Report – Forecast 2024–2032.</w:t>
      </w:r>
      <w:r w:rsidRPr="002E7F74">
        <w:rPr>
          <w:rFonts w:ascii="Arial" w:hAnsi="Arial" w:cs="Arial"/>
        </w:rPr>
        <w:t xml:space="preserve"> Available at: </w:t>
      </w:r>
      <w:hyperlink r:id="rId6" w:tgtFrame="_new" w:history="1">
        <w:r w:rsidRPr="002E7F74">
          <w:rPr>
            <w:rStyle w:val="Hyperlink"/>
            <w:rFonts w:ascii="Arial" w:hAnsi="Arial" w:cs="Arial"/>
          </w:rPr>
          <w:t>https://www.marketresearchfuture.com/</w:t>
        </w:r>
      </w:hyperlink>
      <w:r w:rsidRPr="002E7F74">
        <w:rPr>
          <w:rFonts w:ascii="Arial" w:hAnsi="Arial" w:cs="Arial"/>
        </w:rPr>
        <w:t xml:space="preserve"> (Accessed: 12 November 2025).</w:t>
      </w:r>
    </w:p>
    <w:p w14:paraId="4AEBF078" w14:textId="77777777" w:rsidR="002E7F74" w:rsidRPr="002E7F74" w:rsidRDefault="002E7F74" w:rsidP="002E7F74">
      <w:pPr>
        <w:spacing w:line="360" w:lineRule="auto"/>
        <w:rPr>
          <w:rFonts w:ascii="Arial" w:hAnsi="Arial" w:cs="Arial"/>
        </w:rPr>
      </w:pPr>
      <w:r w:rsidRPr="002E7F74">
        <w:rPr>
          <w:rFonts w:ascii="Arial" w:hAnsi="Arial" w:cs="Arial"/>
        </w:rPr>
        <w:t xml:space="preserve">Mendelow, A.L. (1991) ‘Stakeholder mapping’, in Scholes, K. and Johnson, G. (eds.) </w:t>
      </w:r>
      <w:r w:rsidRPr="002E7F74">
        <w:rPr>
          <w:rFonts w:ascii="Arial" w:hAnsi="Arial" w:cs="Arial"/>
          <w:i/>
          <w:iCs/>
        </w:rPr>
        <w:t>Exploring Corporate Strategy.</w:t>
      </w:r>
      <w:r w:rsidRPr="002E7F74">
        <w:rPr>
          <w:rFonts w:ascii="Arial" w:hAnsi="Arial" w:cs="Arial"/>
        </w:rPr>
        <w:t xml:space="preserve"> London: Prentice Hall.</w:t>
      </w:r>
    </w:p>
    <w:p w14:paraId="5875129E" w14:textId="77777777" w:rsidR="002E7F74" w:rsidRPr="002E7F74" w:rsidRDefault="002E7F74" w:rsidP="002E7F74">
      <w:pPr>
        <w:spacing w:line="360" w:lineRule="auto"/>
        <w:rPr>
          <w:rFonts w:ascii="Arial" w:hAnsi="Arial" w:cs="Arial"/>
        </w:rPr>
      </w:pPr>
      <w:r w:rsidRPr="002E7F74">
        <w:rPr>
          <w:rFonts w:ascii="Arial" w:hAnsi="Arial" w:cs="Arial"/>
        </w:rPr>
        <w:t xml:space="preserve">Omron Healthcare. (2024) </w:t>
      </w:r>
      <w:r w:rsidRPr="002E7F74">
        <w:rPr>
          <w:rFonts w:ascii="Arial" w:hAnsi="Arial" w:cs="Arial"/>
          <w:i/>
          <w:iCs/>
        </w:rPr>
        <w:t>About Omron Healthcare.</w:t>
      </w:r>
      <w:r w:rsidRPr="002E7F74">
        <w:rPr>
          <w:rFonts w:ascii="Arial" w:hAnsi="Arial" w:cs="Arial"/>
        </w:rPr>
        <w:t xml:space="preserve"> Available at: </w:t>
      </w:r>
      <w:hyperlink r:id="rId7" w:tgtFrame="_new" w:history="1">
        <w:r w:rsidRPr="002E7F74">
          <w:rPr>
            <w:rStyle w:val="Hyperlink"/>
            <w:rFonts w:ascii="Arial" w:hAnsi="Arial" w:cs="Arial"/>
          </w:rPr>
          <w:t>https://www.omron-healthcare.co.uk/</w:t>
        </w:r>
      </w:hyperlink>
      <w:r w:rsidRPr="002E7F74">
        <w:rPr>
          <w:rFonts w:ascii="Arial" w:hAnsi="Arial" w:cs="Arial"/>
        </w:rPr>
        <w:t xml:space="preserve"> (Accessed: 12 November 2025).</w:t>
      </w:r>
    </w:p>
    <w:p w14:paraId="1E582E3D" w14:textId="77777777" w:rsidR="002E7F74" w:rsidRPr="002E7F74" w:rsidRDefault="002E7F74" w:rsidP="002E7F74">
      <w:pPr>
        <w:spacing w:line="360" w:lineRule="auto"/>
        <w:rPr>
          <w:rFonts w:ascii="Arial" w:hAnsi="Arial" w:cs="Arial"/>
        </w:rPr>
      </w:pPr>
      <w:r w:rsidRPr="002E7F74">
        <w:rPr>
          <w:rFonts w:ascii="Arial" w:hAnsi="Arial" w:cs="Arial"/>
        </w:rPr>
        <w:t xml:space="preserve">Omron Healthcare Co., Ltd. (2024) </w:t>
      </w:r>
      <w:r w:rsidRPr="002E7F74">
        <w:rPr>
          <w:rFonts w:ascii="Arial" w:hAnsi="Arial" w:cs="Arial"/>
          <w:i/>
          <w:iCs/>
        </w:rPr>
        <w:t>Corporate Information and Mission.</w:t>
      </w:r>
      <w:r w:rsidRPr="002E7F74">
        <w:rPr>
          <w:rFonts w:ascii="Arial" w:hAnsi="Arial" w:cs="Arial"/>
        </w:rPr>
        <w:t xml:space="preserve"> Available at: </w:t>
      </w:r>
      <w:hyperlink r:id="rId8" w:tgtFrame="_new" w:history="1">
        <w:r w:rsidRPr="002E7F74">
          <w:rPr>
            <w:rStyle w:val="Hyperlink"/>
            <w:rFonts w:ascii="Arial" w:hAnsi="Arial" w:cs="Arial"/>
          </w:rPr>
          <w:t>https://healthcare.omron.com/</w:t>
        </w:r>
      </w:hyperlink>
      <w:r w:rsidRPr="002E7F74">
        <w:rPr>
          <w:rFonts w:ascii="Arial" w:hAnsi="Arial" w:cs="Arial"/>
        </w:rPr>
        <w:t xml:space="preserve"> (Accessed: 12 November 2025).</w:t>
      </w:r>
    </w:p>
    <w:p w14:paraId="37F290C9" w14:textId="77777777" w:rsidR="002E7F74" w:rsidRPr="002E7F74" w:rsidRDefault="002E7F74" w:rsidP="002E7F74">
      <w:pPr>
        <w:spacing w:line="360" w:lineRule="auto"/>
        <w:rPr>
          <w:rFonts w:ascii="Arial" w:hAnsi="Arial" w:cs="Arial"/>
        </w:rPr>
      </w:pPr>
      <w:r w:rsidRPr="002E7F74">
        <w:rPr>
          <w:rFonts w:ascii="Arial" w:hAnsi="Arial" w:cs="Arial"/>
        </w:rPr>
        <w:t xml:space="preserve">PMI (Project Management Institute). (2021) </w:t>
      </w:r>
      <w:r w:rsidRPr="002E7F74">
        <w:rPr>
          <w:rFonts w:ascii="Arial" w:hAnsi="Arial" w:cs="Arial"/>
          <w:i/>
          <w:iCs/>
        </w:rPr>
        <w:t>A Guide to the Project Management Body of Knowledge (PMBOK® Guide).</w:t>
      </w:r>
      <w:r w:rsidRPr="002E7F74">
        <w:rPr>
          <w:rFonts w:ascii="Arial" w:hAnsi="Arial" w:cs="Arial"/>
        </w:rPr>
        <w:t xml:space="preserve"> 7th edn. Pennsylvania: PMI.</w:t>
      </w:r>
    </w:p>
    <w:p w14:paraId="6FA93274" w14:textId="77777777" w:rsidR="002E7F74" w:rsidRPr="002E7F74" w:rsidRDefault="002E7F74" w:rsidP="002E7F74">
      <w:pPr>
        <w:spacing w:line="360" w:lineRule="auto"/>
        <w:rPr>
          <w:rFonts w:ascii="Arial" w:hAnsi="Arial" w:cs="Arial"/>
        </w:rPr>
      </w:pPr>
      <w:r w:rsidRPr="002E7F74">
        <w:rPr>
          <w:rFonts w:ascii="Arial" w:hAnsi="Arial" w:cs="Arial"/>
        </w:rPr>
        <w:t xml:space="preserve">Statista. (2024) </w:t>
      </w:r>
      <w:r w:rsidRPr="002E7F74">
        <w:rPr>
          <w:rFonts w:ascii="Arial" w:hAnsi="Arial" w:cs="Arial"/>
          <w:i/>
          <w:iCs/>
        </w:rPr>
        <w:t>Global Smartwatch Market Share by Vendor.</w:t>
      </w:r>
      <w:r w:rsidRPr="002E7F74">
        <w:rPr>
          <w:rFonts w:ascii="Arial" w:hAnsi="Arial" w:cs="Arial"/>
        </w:rPr>
        <w:t xml:space="preserve"> Available at: </w:t>
      </w:r>
      <w:hyperlink r:id="rId9" w:tgtFrame="_new" w:history="1">
        <w:r w:rsidRPr="002E7F74">
          <w:rPr>
            <w:rStyle w:val="Hyperlink"/>
            <w:rFonts w:ascii="Arial" w:hAnsi="Arial" w:cs="Arial"/>
          </w:rPr>
          <w:t>https://www.statista.com/</w:t>
        </w:r>
      </w:hyperlink>
      <w:r w:rsidRPr="002E7F74">
        <w:rPr>
          <w:rFonts w:ascii="Arial" w:hAnsi="Arial" w:cs="Arial"/>
        </w:rPr>
        <w:t xml:space="preserve"> (Accessed: 12 November 2025).</w:t>
      </w:r>
    </w:p>
    <w:p w14:paraId="49017843" w14:textId="77777777" w:rsidR="002E7F74" w:rsidRPr="002E7F74" w:rsidRDefault="002E7F74" w:rsidP="002E7F74">
      <w:pPr>
        <w:spacing w:line="360" w:lineRule="auto"/>
        <w:rPr>
          <w:rFonts w:ascii="Arial" w:hAnsi="Arial" w:cs="Arial"/>
        </w:rPr>
      </w:pPr>
      <w:r w:rsidRPr="002E7F74">
        <w:rPr>
          <w:rFonts w:ascii="Arial" w:hAnsi="Arial" w:cs="Arial"/>
        </w:rPr>
        <w:t xml:space="preserve">Teece, D. (2018) ‘Business models and dynamic capabilities’, </w:t>
      </w:r>
      <w:r w:rsidRPr="002E7F74">
        <w:rPr>
          <w:rFonts w:ascii="Arial" w:hAnsi="Arial" w:cs="Arial"/>
          <w:i/>
          <w:iCs/>
        </w:rPr>
        <w:t>Long Range Planning</w:t>
      </w:r>
      <w:r w:rsidRPr="002E7F74">
        <w:rPr>
          <w:rFonts w:ascii="Arial" w:hAnsi="Arial" w:cs="Arial"/>
        </w:rPr>
        <w:t>, 51(1), pp. 40–49.</w:t>
      </w:r>
    </w:p>
    <w:p w14:paraId="586F8060" w14:textId="02748363" w:rsidR="002E7F74" w:rsidRPr="002E7F74" w:rsidRDefault="002E7F74" w:rsidP="002E7F74">
      <w:pPr>
        <w:spacing w:line="360" w:lineRule="auto"/>
        <w:rPr>
          <w:rFonts w:ascii="Arial" w:hAnsi="Arial" w:cs="Arial"/>
        </w:rPr>
      </w:pPr>
      <w:r w:rsidRPr="002E7F74">
        <w:rPr>
          <w:rFonts w:ascii="Arial" w:hAnsi="Arial" w:cs="Arial"/>
        </w:rPr>
        <w:t xml:space="preserve">Thomas, K.W. (1992) ‘Conflict and conflict management’, in </w:t>
      </w:r>
      <w:r w:rsidR="009E342A" w:rsidRPr="002E7F74">
        <w:rPr>
          <w:rFonts w:ascii="Arial" w:hAnsi="Arial" w:cs="Arial"/>
        </w:rPr>
        <w:t>Dunnett</w:t>
      </w:r>
      <w:r w:rsidRPr="002E7F74">
        <w:rPr>
          <w:rFonts w:ascii="Arial" w:hAnsi="Arial" w:cs="Arial"/>
        </w:rPr>
        <w:t xml:space="preserve">, M.D. and Hough, L.M. (eds.) </w:t>
      </w:r>
      <w:r w:rsidRPr="002E7F74">
        <w:rPr>
          <w:rFonts w:ascii="Arial" w:hAnsi="Arial" w:cs="Arial"/>
          <w:i/>
          <w:iCs/>
        </w:rPr>
        <w:t>Handbook of Industrial and Organizational Psychology.</w:t>
      </w:r>
      <w:r w:rsidRPr="002E7F74">
        <w:rPr>
          <w:rFonts w:ascii="Arial" w:hAnsi="Arial" w:cs="Arial"/>
        </w:rPr>
        <w:t xml:space="preserve"> Palo Alto: Consulting Psychologists Press.</w:t>
      </w:r>
    </w:p>
    <w:p w14:paraId="3FC42CDE" w14:textId="4B803C82" w:rsidR="002E7F74" w:rsidRPr="002E7F74" w:rsidRDefault="002E7F74" w:rsidP="002E7F74">
      <w:pPr>
        <w:spacing w:line="360" w:lineRule="auto"/>
        <w:rPr>
          <w:rFonts w:ascii="Arial" w:hAnsi="Arial" w:cs="Arial"/>
        </w:rPr>
      </w:pPr>
      <w:r w:rsidRPr="002E7F74">
        <w:rPr>
          <w:rFonts w:ascii="Arial" w:hAnsi="Arial" w:cs="Arial"/>
        </w:rPr>
        <w:lastRenderedPageBreak/>
        <w:t xml:space="preserve">Zulch, B. (2014) ‘Leadership communication in project management’, </w:t>
      </w:r>
      <w:r w:rsidRPr="002E7F74">
        <w:rPr>
          <w:rFonts w:ascii="Arial" w:hAnsi="Arial" w:cs="Arial"/>
          <w:i/>
          <w:iCs/>
        </w:rPr>
        <w:t xml:space="preserve">Procedia – Social and </w:t>
      </w:r>
      <w:r w:rsidR="002D256C" w:rsidRPr="002E7F74">
        <w:rPr>
          <w:rFonts w:ascii="Arial" w:hAnsi="Arial" w:cs="Arial"/>
          <w:i/>
          <w:iCs/>
        </w:rPr>
        <w:t>Behavioural</w:t>
      </w:r>
      <w:r w:rsidRPr="002E7F74">
        <w:rPr>
          <w:rFonts w:ascii="Arial" w:hAnsi="Arial" w:cs="Arial"/>
          <w:i/>
          <w:iCs/>
        </w:rPr>
        <w:t xml:space="preserve"> Sciences</w:t>
      </w:r>
      <w:r w:rsidRPr="002E7F74">
        <w:rPr>
          <w:rFonts w:ascii="Arial" w:hAnsi="Arial" w:cs="Arial"/>
        </w:rPr>
        <w:t>, 119, pp. 172–181.</w:t>
      </w:r>
    </w:p>
    <w:p w14:paraId="5BCC450F" w14:textId="77777777" w:rsidR="00E54FDA" w:rsidRDefault="00E54FDA" w:rsidP="00142778">
      <w:pPr>
        <w:spacing w:line="360" w:lineRule="auto"/>
        <w:rPr>
          <w:rFonts w:ascii="Arial" w:hAnsi="Arial" w:cs="Arial"/>
        </w:rPr>
      </w:pPr>
    </w:p>
    <w:p w14:paraId="0E7FBDD0" w14:textId="77777777" w:rsidR="00E54FDA" w:rsidRPr="00142778" w:rsidRDefault="00E54FDA" w:rsidP="00142778">
      <w:pPr>
        <w:spacing w:line="360" w:lineRule="auto"/>
        <w:rPr>
          <w:rFonts w:ascii="Arial" w:hAnsi="Arial" w:cs="Arial"/>
        </w:rPr>
      </w:pPr>
    </w:p>
    <w:p w14:paraId="10C91376" w14:textId="77777777" w:rsidR="00142778" w:rsidRPr="00933FAD" w:rsidRDefault="00142778" w:rsidP="00AA4405">
      <w:pPr>
        <w:spacing w:line="360" w:lineRule="auto"/>
        <w:rPr>
          <w:rFonts w:ascii="Arial" w:hAnsi="Arial" w:cs="Arial"/>
        </w:rPr>
      </w:pPr>
    </w:p>
    <w:p w14:paraId="5A945074" w14:textId="0DB5C921" w:rsidR="00BF5C2C" w:rsidRPr="00BF5C2C" w:rsidRDefault="00BF5C2C" w:rsidP="00BF5C2C"/>
    <w:p w14:paraId="03AC6095" w14:textId="0453D945" w:rsidR="00FE5703" w:rsidRDefault="00FE5703" w:rsidP="00FE5703"/>
    <w:p w14:paraId="194E6D5F" w14:textId="77777777" w:rsidR="00FE5703" w:rsidRPr="00FE5703" w:rsidRDefault="00FE5703" w:rsidP="00FE5703"/>
    <w:p w14:paraId="0488671E" w14:textId="1F0593DE" w:rsidR="00851D3E" w:rsidRPr="00CE2577" w:rsidRDefault="00851D3E">
      <w:pPr>
        <w:rPr>
          <w:rFonts w:ascii="Arial" w:hAnsi="Arial" w:cs="Arial"/>
        </w:rPr>
      </w:pPr>
    </w:p>
    <w:sectPr w:rsidR="00851D3E" w:rsidRPr="00CE25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7C64B5"/>
    <w:multiLevelType w:val="multilevel"/>
    <w:tmpl w:val="676E69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DB737B"/>
    <w:multiLevelType w:val="multilevel"/>
    <w:tmpl w:val="F1EED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8B25306"/>
    <w:multiLevelType w:val="multilevel"/>
    <w:tmpl w:val="9BDA9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A340ACF"/>
    <w:multiLevelType w:val="multilevel"/>
    <w:tmpl w:val="92204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045C57"/>
    <w:multiLevelType w:val="hybridMultilevel"/>
    <w:tmpl w:val="7D92BD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8786592">
    <w:abstractNumId w:val="2"/>
  </w:num>
  <w:num w:numId="2" w16cid:durableId="1986082894">
    <w:abstractNumId w:val="1"/>
  </w:num>
  <w:num w:numId="3" w16cid:durableId="1984238721">
    <w:abstractNumId w:val="3"/>
  </w:num>
  <w:num w:numId="4" w16cid:durableId="1084566513">
    <w:abstractNumId w:val="4"/>
  </w:num>
  <w:num w:numId="5" w16cid:durableId="1910843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703"/>
    <w:rsid w:val="00003BC4"/>
    <w:rsid w:val="00052F56"/>
    <w:rsid w:val="00055C55"/>
    <w:rsid w:val="000719CD"/>
    <w:rsid w:val="00071F0F"/>
    <w:rsid w:val="000C5650"/>
    <w:rsid w:val="000F4270"/>
    <w:rsid w:val="000F44B2"/>
    <w:rsid w:val="00102292"/>
    <w:rsid w:val="00127904"/>
    <w:rsid w:val="00142778"/>
    <w:rsid w:val="001B460C"/>
    <w:rsid w:val="001C7F25"/>
    <w:rsid w:val="001D2E3F"/>
    <w:rsid w:val="001D3C26"/>
    <w:rsid w:val="001E090F"/>
    <w:rsid w:val="00207B6C"/>
    <w:rsid w:val="00215794"/>
    <w:rsid w:val="00216AB6"/>
    <w:rsid w:val="002241B3"/>
    <w:rsid w:val="00232230"/>
    <w:rsid w:val="002477D1"/>
    <w:rsid w:val="0027410F"/>
    <w:rsid w:val="00282EA4"/>
    <w:rsid w:val="0028403C"/>
    <w:rsid w:val="002C3C29"/>
    <w:rsid w:val="002D256C"/>
    <w:rsid w:val="002E7F74"/>
    <w:rsid w:val="00310846"/>
    <w:rsid w:val="00311F14"/>
    <w:rsid w:val="00317D9E"/>
    <w:rsid w:val="00364DAD"/>
    <w:rsid w:val="00391675"/>
    <w:rsid w:val="003E4A0A"/>
    <w:rsid w:val="003F4C35"/>
    <w:rsid w:val="003F4DAD"/>
    <w:rsid w:val="003F5EDF"/>
    <w:rsid w:val="003F62E8"/>
    <w:rsid w:val="00413720"/>
    <w:rsid w:val="004235CA"/>
    <w:rsid w:val="004634AA"/>
    <w:rsid w:val="004770D1"/>
    <w:rsid w:val="00477727"/>
    <w:rsid w:val="00487E20"/>
    <w:rsid w:val="004D3900"/>
    <w:rsid w:val="004F4E9D"/>
    <w:rsid w:val="005128D7"/>
    <w:rsid w:val="005236CE"/>
    <w:rsid w:val="00540A24"/>
    <w:rsid w:val="005763FD"/>
    <w:rsid w:val="00591281"/>
    <w:rsid w:val="00595734"/>
    <w:rsid w:val="005E4D49"/>
    <w:rsid w:val="005F2BAF"/>
    <w:rsid w:val="006028AB"/>
    <w:rsid w:val="00626572"/>
    <w:rsid w:val="006304A3"/>
    <w:rsid w:val="00687494"/>
    <w:rsid w:val="00691D53"/>
    <w:rsid w:val="00691E0D"/>
    <w:rsid w:val="007018FC"/>
    <w:rsid w:val="00725FB0"/>
    <w:rsid w:val="0073258C"/>
    <w:rsid w:val="00764194"/>
    <w:rsid w:val="00767A85"/>
    <w:rsid w:val="00774AE8"/>
    <w:rsid w:val="007762BF"/>
    <w:rsid w:val="007B7476"/>
    <w:rsid w:val="007D5E88"/>
    <w:rsid w:val="007D603D"/>
    <w:rsid w:val="007E235F"/>
    <w:rsid w:val="007F0CF5"/>
    <w:rsid w:val="008305AD"/>
    <w:rsid w:val="00851D3E"/>
    <w:rsid w:val="00862694"/>
    <w:rsid w:val="00883086"/>
    <w:rsid w:val="00885518"/>
    <w:rsid w:val="008906BC"/>
    <w:rsid w:val="008A01F7"/>
    <w:rsid w:val="008A76F3"/>
    <w:rsid w:val="008D0A73"/>
    <w:rsid w:val="008D2E71"/>
    <w:rsid w:val="008E534D"/>
    <w:rsid w:val="008F138A"/>
    <w:rsid w:val="00910D2E"/>
    <w:rsid w:val="00933FAD"/>
    <w:rsid w:val="0094520C"/>
    <w:rsid w:val="0097469F"/>
    <w:rsid w:val="009E342A"/>
    <w:rsid w:val="00A37015"/>
    <w:rsid w:val="00A37AF5"/>
    <w:rsid w:val="00A45F65"/>
    <w:rsid w:val="00A6236C"/>
    <w:rsid w:val="00A86D7E"/>
    <w:rsid w:val="00A9237F"/>
    <w:rsid w:val="00A96E55"/>
    <w:rsid w:val="00AA4405"/>
    <w:rsid w:val="00AA7544"/>
    <w:rsid w:val="00AB2D9C"/>
    <w:rsid w:val="00AE5646"/>
    <w:rsid w:val="00B17D1F"/>
    <w:rsid w:val="00B32838"/>
    <w:rsid w:val="00B54406"/>
    <w:rsid w:val="00B6463E"/>
    <w:rsid w:val="00B83D09"/>
    <w:rsid w:val="00B9055C"/>
    <w:rsid w:val="00BB564F"/>
    <w:rsid w:val="00BF5C2C"/>
    <w:rsid w:val="00C07A0E"/>
    <w:rsid w:val="00C23DD7"/>
    <w:rsid w:val="00C46B4A"/>
    <w:rsid w:val="00C60D5A"/>
    <w:rsid w:val="00C66226"/>
    <w:rsid w:val="00CA0CA9"/>
    <w:rsid w:val="00CB5793"/>
    <w:rsid w:val="00CC1D19"/>
    <w:rsid w:val="00CE2577"/>
    <w:rsid w:val="00CF66CF"/>
    <w:rsid w:val="00D14CEB"/>
    <w:rsid w:val="00D21BD4"/>
    <w:rsid w:val="00D35C38"/>
    <w:rsid w:val="00DE7798"/>
    <w:rsid w:val="00DF0D6D"/>
    <w:rsid w:val="00E3203E"/>
    <w:rsid w:val="00E4570F"/>
    <w:rsid w:val="00E50C67"/>
    <w:rsid w:val="00E54FDA"/>
    <w:rsid w:val="00E6052F"/>
    <w:rsid w:val="00E746B0"/>
    <w:rsid w:val="00E96D69"/>
    <w:rsid w:val="00EF45CB"/>
    <w:rsid w:val="00F019D1"/>
    <w:rsid w:val="00F05FA6"/>
    <w:rsid w:val="00F25F90"/>
    <w:rsid w:val="00F8178B"/>
    <w:rsid w:val="00FB71C4"/>
    <w:rsid w:val="00FE5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D2571"/>
  <w15:chartTrackingRefBased/>
  <w15:docId w15:val="{97A2DDF7-B446-4CA8-85FA-DF721D175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57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57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57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57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57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57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57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57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57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57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57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57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57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57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57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57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57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5703"/>
    <w:rPr>
      <w:rFonts w:eastAsiaTheme="majorEastAsia" w:cstheme="majorBidi"/>
      <w:color w:val="272727" w:themeColor="text1" w:themeTint="D8"/>
    </w:rPr>
  </w:style>
  <w:style w:type="paragraph" w:styleId="Title">
    <w:name w:val="Title"/>
    <w:basedOn w:val="Normal"/>
    <w:next w:val="Normal"/>
    <w:link w:val="TitleChar"/>
    <w:uiPriority w:val="10"/>
    <w:qFormat/>
    <w:rsid w:val="00FE57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57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57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57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5703"/>
    <w:pPr>
      <w:spacing w:before="160"/>
      <w:jc w:val="center"/>
    </w:pPr>
    <w:rPr>
      <w:i/>
      <w:iCs/>
      <w:color w:val="404040" w:themeColor="text1" w:themeTint="BF"/>
    </w:rPr>
  </w:style>
  <w:style w:type="character" w:customStyle="1" w:styleId="QuoteChar">
    <w:name w:val="Quote Char"/>
    <w:basedOn w:val="DefaultParagraphFont"/>
    <w:link w:val="Quote"/>
    <w:uiPriority w:val="29"/>
    <w:rsid w:val="00FE5703"/>
    <w:rPr>
      <w:i/>
      <w:iCs/>
      <w:color w:val="404040" w:themeColor="text1" w:themeTint="BF"/>
    </w:rPr>
  </w:style>
  <w:style w:type="paragraph" w:styleId="ListParagraph">
    <w:name w:val="List Paragraph"/>
    <w:basedOn w:val="Normal"/>
    <w:uiPriority w:val="34"/>
    <w:qFormat/>
    <w:rsid w:val="00FE5703"/>
    <w:pPr>
      <w:ind w:left="720"/>
      <w:contextualSpacing/>
    </w:pPr>
  </w:style>
  <w:style w:type="character" w:styleId="IntenseEmphasis">
    <w:name w:val="Intense Emphasis"/>
    <w:basedOn w:val="DefaultParagraphFont"/>
    <w:uiPriority w:val="21"/>
    <w:qFormat/>
    <w:rsid w:val="00FE5703"/>
    <w:rPr>
      <w:i/>
      <w:iCs/>
      <w:color w:val="0F4761" w:themeColor="accent1" w:themeShade="BF"/>
    </w:rPr>
  </w:style>
  <w:style w:type="paragraph" w:styleId="IntenseQuote">
    <w:name w:val="Intense Quote"/>
    <w:basedOn w:val="Normal"/>
    <w:next w:val="Normal"/>
    <w:link w:val="IntenseQuoteChar"/>
    <w:uiPriority w:val="30"/>
    <w:qFormat/>
    <w:rsid w:val="00FE57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5703"/>
    <w:rPr>
      <w:i/>
      <w:iCs/>
      <w:color w:val="0F4761" w:themeColor="accent1" w:themeShade="BF"/>
    </w:rPr>
  </w:style>
  <w:style w:type="character" w:styleId="IntenseReference">
    <w:name w:val="Intense Reference"/>
    <w:basedOn w:val="DefaultParagraphFont"/>
    <w:uiPriority w:val="32"/>
    <w:qFormat/>
    <w:rsid w:val="00FE5703"/>
    <w:rPr>
      <w:b/>
      <w:bCs/>
      <w:smallCaps/>
      <w:color w:val="0F4761" w:themeColor="accent1" w:themeShade="BF"/>
      <w:spacing w:val="5"/>
    </w:rPr>
  </w:style>
  <w:style w:type="paragraph" w:styleId="NormalWeb">
    <w:name w:val="Normal (Web)"/>
    <w:basedOn w:val="Normal"/>
    <w:uiPriority w:val="99"/>
    <w:semiHidden/>
    <w:unhideWhenUsed/>
    <w:rsid w:val="00BF5C2C"/>
    <w:rPr>
      <w:rFonts w:ascii="Times New Roman" w:hAnsi="Times New Roman" w:cs="Times New Roman"/>
      <w:sz w:val="24"/>
      <w:szCs w:val="24"/>
    </w:rPr>
  </w:style>
  <w:style w:type="character" w:styleId="Hyperlink">
    <w:name w:val="Hyperlink"/>
    <w:basedOn w:val="DefaultParagraphFont"/>
    <w:uiPriority w:val="99"/>
    <w:unhideWhenUsed/>
    <w:rsid w:val="00142778"/>
    <w:rPr>
      <w:color w:val="467886" w:themeColor="hyperlink"/>
      <w:u w:val="single"/>
    </w:rPr>
  </w:style>
  <w:style w:type="character" w:styleId="UnresolvedMention">
    <w:name w:val="Unresolved Mention"/>
    <w:basedOn w:val="DefaultParagraphFont"/>
    <w:uiPriority w:val="99"/>
    <w:semiHidden/>
    <w:unhideWhenUsed/>
    <w:rsid w:val="00142778"/>
    <w:rPr>
      <w:color w:val="605E5C"/>
      <w:shd w:val="clear" w:color="auto" w:fill="E1DFDD"/>
    </w:rPr>
  </w:style>
  <w:style w:type="table" w:styleId="TableGrid">
    <w:name w:val="Table Grid"/>
    <w:basedOn w:val="TableNormal"/>
    <w:uiPriority w:val="39"/>
    <w:rsid w:val="00D21B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746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althcare.omron.com/?utm_source=chatgpt.com" TargetMode="External"/><Relationship Id="rId3" Type="http://schemas.openxmlformats.org/officeDocument/2006/relationships/settings" Target="settings.xml"/><Relationship Id="rId7" Type="http://schemas.openxmlformats.org/officeDocument/2006/relationships/hyperlink" Target="https://www.omron-healthcare.co.uk/?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rketresearchfuture.com/" TargetMode="External"/><Relationship Id="rId11" Type="http://schemas.openxmlformats.org/officeDocument/2006/relationships/theme" Target="theme/theme1.xml"/><Relationship Id="rId5" Type="http://schemas.openxmlformats.org/officeDocument/2006/relationships/hyperlink" Target="https://www.ibisworld.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4652</Words>
  <Characters>26521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Caruntu</dc:creator>
  <cp:keywords/>
  <dc:description/>
  <cp:lastModifiedBy>Raluca Caruntu</cp:lastModifiedBy>
  <cp:revision>124</cp:revision>
  <dcterms:created xsi:type="dcterms:W3CDTF">2025-11-06T11:42:00Z</dcterms:created>
  <dcterms:modified xsi:type="dcterms:W3CDTF">2025-11-18T12:59:00Z</dcterms:modified>
</cp:coreProperties>
</file>