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68CF0" w14:textId="77777777" w:rsidR="00530EBF" w:rsidRPr="009662CB" w:rsidRDefault="00530EBF" w:rsidP="00530EBF">
      <w:pPr>
        <w:jc w:val="center"/>
        <w:rPr>
          <w:rFonts w:ascii="Calibri" w:hAnsi="Calibri" w:cs="Calibri"/>
          <w:b/>
          <w:bCs/>
          <w:sz w:val="40"/>
          <w:szCs w:val="40"/>
          <w:u w:val="single"/>
        </w:rPr>
      </w:pPr>
      <w:r w:rsidRPr="009662CB">
        <w:rPr>
          <w:rFonts w:ascii="Calibri" w:hAnsi="Calibri" w:cs="Calibri"/>
          <w:b/>
          <w:bCs/>
          <w:sz w:val="40"/>
          <w:szCs w:val="40"/>
          <w:u w:val="single"/>
        </w:rPr>
        <w:t>Person-Centred Care Reflection</w:t>
      </w:r>
    </w:p>
    <w:p w14:paraId="77E995A5"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The following reflection will discuss an intervention with a patient known to be suffering with Dementia that the Therapy Assistant Practitioner (TAP) conducted whilst ensuring person-centred care was provided throughout the involvement.  The Gibbs’ Reflection Cycle will be used to complete the reflection.  Graham Gibbs is the official developer of the Gibbs’ Reflection Cycle, which was formed in </w:t>
      </w:r>
      <w:proofErr w:type="gramStart"/>
      <w:r w:rsidRPr="00ED3AE7">
        <w:rPr>
          <w:rFonts w:ascii="Calibri" w:hAnsi="Calibri" w:cs="Calibri"/>
          <w:sz w:val="24"/>
          <w:szCs w:val="24"/>
        </w:rPr>
        <w:t>1988</w:t>
      </w:r>
      <w:proofErr w:type="gramEnd"/>
      <w:r w:rsidRPr="00ED3AE7">
        <w:rPr>
          <w:rFonts w:ascii="Calibri" w:hAnsi="Calibri" w:cs="Calibri"/>
          <w:sz w:val="24"/>
          <w:szCs w:val="24"/>
        </w:rPr>
        <w:t xml:space="preserve"> and it allows individuals to review their experiences to understand and develop their performances for the next time the situation could occur (NursingAnswers.net, 2018). </w:t>
      </w:r>
    </w:p>
    <w:p w14:paraId="571EDF90" w14:textId="77777777" w:rsidR="00530EBF" w:rsidRDefault="00530EBF" w:rsidP="00530EBF">
      <w:pPr>
        <w:rPr>
          <w:sz w:val="24"/>
          <w:szCs w:val="24"/>
        </w:rPr>
      </w:pPr>
    </w:p>
    <w:p w14:paraId="567384A2"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t>Description</w:t>
      </w:r>
    </w:p>
    <w:p w14:paraId="28B41538"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The Therapy Assistant Practitioner (TAP) was asked by an Occupational Therapist (OT) to complete a joint visit with another therapist to visit a dementia patient who was referred to the community therapy team to practice stair mobility so that the patient was able to return to sleeping upstairs.  The Therapy Assistant Practitioner (TAP) and the Rehab Therapy Assistant (RTA) supported the patient to walk to the stairs to begin the stairs practice.  The Therapy Assistant Practitioner (TAP) supported from behind the patient and the Rehab Therapy Assistant (RTA) in front, prompts were required throughout to ensure the patient had a safe technique to walk up the stairs.  On one occasion, the patient had a slight wobble and almost fell however was safely corrected by the Therapy Assistant Practitioner (TAP) and Rehab Therapy Assistant (RTA) and so the practice could continue.  The patient then completed the remainder of the stairs safely.</w:t>
      </w:r>
    </w:p>
    <w:p w14:paraId="1F9EBB12" w14:textId="77777777" w:rsidR="00530EBF" w:rsidRDefault="00530EBF" w:rsidP="00530EBF">
      <w:pPr>
        <w:rPr>
          <w:sz w:val="24"/>
          <w:szCs w:val="24"/>
        </w:rPr>
      </w:pPr>
    </w:p>
    <w:p w14:paraId="277B5E15"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t>Feeling</w:t>
      </w:r>
    </w:p>
    <w:p w14:paraId="42D51C7A"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The Therapy Assistant Practitioner (TAP) felt worried for when the patient had a slight unsteady episode on the stairs and was worried that it had been a fault of her own that she had the near miss of the fall, however this was safely corrected, and the Therapy Assistant Practitioner (TAP) and the Rehab Therapy Assistant (RTA) were supporting the patient well enough to prevent any falls. </w:t>
      </w:r>
    </w:p>
    <w:p w14:paraId="04B24DCA"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After the patient had completed the full stairs practice, the Therapy Assistant Practitioner (TAP) felt delighted that the patient was able to complete the stairs safely and that she was closer to reaching her goal of moving back to upstairs sleeping and becoming more independent in her own home. </w:t>
      </w:r>
    </w:p>
    <w:p w14:paraId="475EED36" w14:textId="77777777" w:rsidR="00530EBF" w:rsidRDefault="00530EBF" w:rsidP="00530EBF">
      <w:pPr>
        <w:rPr>
          <w:sz w:val="24"/>
          <w:szCs w:val="24"/>
        </w:rPr>
      </w:pPr>
    </w:p>
    <w:p w14:paraId="1FBF1E9D" w14:textId="77777777" w:rsidR="00530EBF" w:rsidRDefault="00530EBF" w:rsidP="00530EBF">
      <w:pPr>
        <w:rPr>
          <w:sz w:val="24"/>
          <w:szCs w:val="24"/>
        </w:rPr>
      </w:pPr>
    </w:p>
    <w:p w14:paraId="02063964" w14:textId="77777777" w:rsidR="00530EBF" w:rsidRDefault="00530EBF" w:rsidP="00530EBF">
      <w:pPr>
        <w:rPr>
          <w:sz w:val="24"/>
          <w:szCs w:val="24"/>
        </w:rPr>
      </w:pPr>
    </w:p>
    <w:p w14:paraId="43D46853" w14:textId="77777777" w:rsidR="00530EBF" w:rsidRDefault="00530EBF" w:rsidP="00530EBF">
      <w:pPr>
        <w:rPr>
          <w:sz w:val="24"/>
          <w:szCs w:val="24"/>
        </w:rPr>
      </w:pPr>
    </w:p>
    <w:p w14:paraId="46B31E6F"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lastRenderedPageBreak/>
        <w:t>Evaluation</w:t>
      </w:r>
    </w:p>
    <w:p w14:paraId="60A3507A"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The Therapy Assistant Practitioner (TAP) responded well to the situation when the patient tripped on the stairs, as the Therapy Assistant Practitioner (TAP) was standing directly behind her and with the practice involving close supervision, the patient was corrected quickly, and the near miss was controlled well with the patient being safe throughout the practice. </w:t>
      </w:r>
    </w:p>
    <w:p w14:paraId="74535573" w14:textId="77777777" w:rsidR="00530EBF" w:rsidRPr="00ED3AE7" w:rsidRDefault="00530EBF" w:rsidP="00530EBF">
      <w:pPr>
        <w:rPr>
          <w:rFonts w:ascii="Calibri" w:hAnsi="Calibri" w:cs="Calibri"/>
          <w:b/>
          <w:bCs/>
          <w:sz w:val="24"/>
          <w:szCs w:val="24"/>
          <w:u w:val="single"/>
        </w:rPr>
      </w:pPr>
    </w:p>
    <w:p w14:paraId="3C0203A8"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t>Analysis</w:t>
      </w:r>
    </w:p>
    <w:p w14:paraId="345306A5"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As the patient was practicing mobility on the stairs there was a chance of the patient having an accident or near miss, and this was the reason there was an assistance of two to complete the practice to ensure the safety of the patient when completing the practice.  Risk assessments had been conducted, so that the patient was able to complete the stairs however with supervision from the therapists.  According to Powys Teaching Health Board (2022) a risk assessment process is “a systematic process of assessing the likelihood of something happening (frequency or probability) and the consequence if the risk actually happens (impact or magnitude)”.</w:t>
      </w:r>
    </w:p>
    <w:p w14:paraId="7032ADC6" w14:textId="77777777" w:rsidR="00530EBF" w:rsidRDefault="00530EBF" w:rsidP="00530EBF">
      <w:pPr>
        <w:rPr>
          <w:sz w:val="24"/>
          <w:szCs w:val="24"/>
        </w:rPr>
      </w:pPr>
    </w:p>
    <w:p w14:paraId="634169DB"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t>Conclusion</w:t>
      </w:r>
    </w:p>
    <w:p w14:paraId="5F86EA2C"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It was identified after reflection, that there were obvious risks to the patient with the stairs practice, but the necessary measures were put in place to maintain health and safety between the therapists and the patient.  Although the patient tripped on the stairs and had a near miss, this is a risk that could have happened during the practice, but it was managed well by the Therapy Assistant Practitioner (TAP) and the patient remained safe and comfortable to continue with the stairs practice. </w:t>
      </w:r>
    </w:p>
    <w:p w14:paraId="55D27E3D" w14:textId="77777777" w:rsidR="00530EBF" w:rsidRDefault="00530EBF" w:rsidP="00530EBF">
      <w:pPr>
        <w:rPr>
          <w:sz w:val="24"/>
          <w:szCs w:val="24"/>
        </w:rPr>
      </w:pPr>
    </w:p>
    <w:p w14:paraId="0741C55A"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t>Action Plan</w:t>
      </w:r>
    </w:p>
    <w:p w14:paraId="013CC359"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If the same situation was to arise again, the Therapy Assistant Practitioner (TAP) would maintain the same professionalism and deal with the near miss in the same way.  Due to the nature of the stairs practice, a risk of falls is high which is why it was a necessity to have the assistance of two therapists to complete this activity.  Therefore, ensuring that two therapists will be available to complete a stairs practice with this kind of patient if this came about again will be important to ensure the health and safety of the patient. </w:t>
      </w:r>
    </w:p>
    <w:p w14:paraId="131EE2E9" w14:textId="77777777" w:rsidR="00530EBF" w:rsidRDefault="00530EBF" w:rsidP="00530EBF">
      <w:pPr>
        <w:rPr>
          <w:sz w:val="24"/>
          <w:szCs w:val="24"/>
        </w:rPr>
      </w:pPr>
    </w:p>
    <w:p w14:paraId="22F3B341" w14:textId="77777777" w:rsidR="00530EBF" w:rsidRPr="009662CB" w:rsidRDefault="00530EBF" w:rsidP="00530EBF">
      <w:pPr>
        <w:rPr>
          <w:rFonts w:ascii="Calibri" w:hAnsi="Calibri" w:cs="Calibri"/>
          <w:b/>
          <w:bCs/>
          <w:sz w:val="24"/>
          <w:szCs w:val="24"/>
        </w:rPr>
      </w:pPr>
      <w:r w:rsidRPr="009662CB">
        <w:rPr>
          <w:rFonts w:ascii="Calibri" w:hAnsi="Calibri" w:cs="Calibri"/>
          <w:b/>
          <w:bCs/>
          <w:sz w:val="24"/>
          <w:szCs w:val="24"/>
        </w:rPr>
        <w:t xml:space="preserve">Word Count: 729 </w:t>
      </w:r>
      <w:r w:rsidRPr="009662CB">
        <w:rPr>
          <w:rFonts w:ascii="Calibri" w:hAnsi="Calibri" w:cs="Calibri"/>
          <w:b/>
          <w:bCs/>
        </w:rPr>
        <w:br w:type="page"/>
      </w:r>
    </w:p>
    <w:p w14:paraId="7A3082D7" w14:textId="77777777" w:rsidR="00530EBF" w:rsidRPr="009662CB" w:rsidRDefault="00530EBF" w:rsidP="00530EBF">
      <w:pPr>
        <w:rPr>
          <w:rFonts w:ascii="Calibri" w:hAnsi="Calibri" w:cs="Calibri"/>
          <w:b/>
          <w:bCs/>
          <w:sz w:val="28"/>
          <w:szCs w:val="28"/>
          <w:u w:val="single"/>
        </w:rPr>
      </w:pPr>
      <w:r w:rsidRPr="009662CB">
        <w:rPr>
          <w:rFonts w:ascii="Calibri" w:hAnsi="Calibri" w:cs="Calibri"/>
          <w:b/>
          <w:bCs/>
          <w:sz w:val="28"/>
          <w:szCs w:val="28"/>
          <w:u w:val="single"/>
        </w:rPr>
        <w:lastRenderedPageBreak/>
        <w:t>Reference Lists</w:t>
      </w:r>
    </w:p>
    <w:p w14:paraId="12373B00" w14:textId="77777777" w:rsidR="00A93770" w:rsidRDefault="00A93770" w:rsidP="00530EBF">
      <w:pPr>
        <w:rPr>
          <w:rFonts w:ascii="Calibri" w:hAnsi="Calibri" w:cs="Calibri"/>
          <w:b/>
          <w:bCs/>
          <w:sz w:val="24"/>
          <w:szCs w:val="24"/>
          <w:u w:val="single"/>
        </w:rPr>
      </w:pPr>
    </w:p>
    <w:p w14:paraId="6B2D2D47" w14:textId="36CDDA29"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NursingAnswers.net (2018). </w:t>
      </w:r>
      <w:r w:rsidRPr="00ED3AE7">
        <w:rPr>
          <w:rFonts w:ascii="Calibri" w:hAnsi="Calibri" w:cs="Calibri"/>
          <w:i/>
          <w:iCs/>
          <w:sz w:val="24"/>
          <w:szCs w:val="24"/>
        </w:rPr>
        <w:t>Gibbs' Reflective Cycle</w:t>
      </w:r>
      <w:r w:rsidRPr="00ED3AE7">
        <w:rPr>
          <w:rFonts w:ascii="Calibri" w:hAnsi="Calibri" w:cs="Calibri"/>
          <w:sz w:val="24"/>
          <w:szCs w:val="24"/>
        </w:rPr>
        <w:t xml:space="preserve">. </w:t>
      </w:r>
    </w:p>
    <w:p w14:paraId="3F2EF115" w14:textId="77777777" w:rsidR="00530EBF" w:rsidRPr="0012690A" w:rsidRDefault="00530EBF" w:rsidP="00530EBF">
      <w:pPr>
        <w:rPr>
          <w:rStyle w:val="Hyperlink"/>
          <w:rFonts w:ascii="Calibri" w:hAnsi="Calibri" w:cs="Calibri"/>
          <w:color w:val="auto"/>
          <w:u w:val="none"/>
        </w:rPr>
      </w:pPr>
      <w:r w:rsidRPr="00ED3AE7">
        <w:rPr>
          <w:rFonts w:ascii="Calibri" w:hAnsi="Calibri" w:cs="Calibri"/>
          <w:sz w:val="24"/>
          <w:szCs w:val="24"/>
        </w:rPr>
        <w:t xml:space="preserve">Available at: </w:t>
      </w:r>
      <w:hyperlink r:id="rId4" w:history="1">
        <w:r w:rsidRPr="0012690A">
          <w:rPr>
            <w:rStyle w:val="Hyperlink"/>
            <w:rFonts w:ascii="Calibri" w:hAnsi="Calibri" w:cs="Calibri"/>
            <w:color w:val="auto"/>
            <w:sz w:val="24"/>
            <w:szCs w:val="24"/>
          </w:rPr>
          <w:t>https://nursinganswers.net/reflective-guides/gibbs-reflective-cycle.php?vref=1</w:t>
        </w:r>
      </w:hyperlink>
    </w:p>
    <w:p w14:paraId="06E388E0" w14:textId="77777777" w:rsidR="00530EBF" w:rsidRPr="00ED3AE7" w:rsidRDefault="00530EBF" w:rsidP="00530EBF">
      <w:pPr>
        <w:rPr>
          <w:rFonts w:ascii="Calibri" w:hAnsi="Calibri" w:cs="Calibri"/>
        </w:rPr>
      </w:pPr>
      <w:r w:rsidRPr="00ED3AE7">
        <w:rPr>
          <w:rStyle w:val="Hyperlink"/>
          <w:rFonts w:ascii="Calibri" w:hAnsi="Calibri" w:cs="Calibri"/>
          <w:color w:val="auto"/>
          <w:sz w:val="24"/>
          <w:szCs w:val="24"/>
        </w:rPr>
        <w:t>(Accessed on 7/1/2025)</w:t>
      </w:r>
    </w:p>
    <w:p w14:paraId="6206AF79" w14:textId="77777777" w:rsidR="00530EBF" w:rsidRPr="00ED3AE7" w:rsidRDefault="00530EBF" w:rsidP="00530EBF">
      <w:pPr>
        <w:rPr>
          <w:rFonts w:ascii="Calibri" w:hAnsi="Calibri" w:cs="Calibri"/>
          <w:sz w:val="24"/>
          <w:szCs w:val="24"/>
        </w:rPr>
      </w:pPr>
    </w:p>
    <w:p w14:paraId="35869457"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 xml:space="preserve">Powys Teaching Health Board (2022). </w:t>
      </w:r>
      <w:r w:rsidRPr="00ED3AE7">
        <w:rPr>
          <w:rFonts w:ascii="Calibri" w:hAnsi="Calibri" w:cs="Calibri"/>
          <w:i/>
          <w:iCs/>
          <w:sz w:val="24"/>
          <w:szCs w:val="24"/>
        </w:rPr>
        <w:t xml:space="preserve">Risk Management Framework </w:t>
      </w:r>
      <w:proofErr w:type="spellStart"/>
      <w:r w:rsidRPr="00ED3AE7">
        <w:rPr>
          <w:rFonts w:ascii="Calibri" w:hAnsi="Calibri" w:cs="Calibri"/>
          <w:sz w:val="24"/>
          <w:szCs w:val="24"/>
        </w:rPr>
        <w:t>Bronglais</w:t>
      </w:r>
      <w:proofErr w:type="spellEnd"/>
      <w:r w:rsidRPr="00ED3AE7">
        <w:rPr>
          <w:rFonts w:ascii="Calibri" w:hAnsi="Calibri" w:cs="Calibri"/>
          <w:sz w:val="24"/>
          <w:szCs w:val="24"/>
        </w:rPr>
        <w:t xml:space="preserve">: PTHB. </w:t>
      </w:r>
    </w:p>
    <w:p w14:paraId="06F5B037" w14:textId="77777777" w:rsidR="00530EBF" w:rsidRPr="0012690A" w:rsidRDefault="00530EBF" w:rsidP="00530EBF">
      <w:pPr>
        <w:rPr>
          <w:rFonts w:ascii="Calibri" w:hAnsi="Calibri" w:cs="Calibri"/>
          <w:sz w:val="24"/>
          <w:szCs w:val="24"/>
        </w:rPr>
      </w:pPr>
      <w:r w:rsidRPr="00ED3AE7">
        <w:rPr>
          <w:rFonts w:ascii="Calibri" w:hAnsi="Calibri" w:cs="Calibri"/>
          <w:sz w:val="24"/>
          <w:szCs w:val="24"/>
        </w:rPr>
        <w:t xml:space="preserve">Available at: </w:t>
      </w:r>
      <w:hyperlink r:id="rId5" w:history="1">
        <w:proofErr w:type="spellStart"/>
        <w:r w:rsidRPr="0012690A">
          <w:rPr>
            <w:rStyle w:val="Hyperlink"/>
            <w:rFonts w:ascii="Calibri" w:hAnsi="Calibri" w:cs="Calibri"/>
            <w:color w:val="auto"/>
            <w:sz w:val="24"/>
            <w:szCs w:val="24"/>
          </w:rPr>
          <w:t>pthb.nhs.wales</w:t>
        </w:r>
        <w:proofErr w:type="spellEnd"/>
        <w:r w:rsidRPr="0012690A">
          <w:rPr>
            <w:rStyle w:val="Hyperlink"/>
            <w:rFonts w:ascii="Calibri" w:hAnsi="Calibri" w:cs="Calibri"/>
            <w:color w:val="auto"/>
            <w:sz w:val="24"/>
            <w:szCs w:val="24"/>
          </w:rPr>
          <w:t>/about-us/the-board/1/risk-management-framework/</w:t>
        </w:r>
      </w:hyperlink>
    </w:p>
    <w:p w14:paraId="1A75E2F5" w14:textId="77777777" w:rsidR="00530EBF" w:rsidRPr="00ED3AE7" w:rsidRDefault="00530EBF" w:rsidP="00530EBF">
      <w:pPr>
        <w:rPr>
          <w:rFonts w:ascii="Calibri" w:hAnsi="Calibri" w:cs="Calibri"/>
          <w:sz w:val="24"/>
          <w:szCs w:val="24"/>
        </w:rPr>
      </w:pPr>
      <w:r w:rsidRPr="00ED3AE7">
        <w:rPr>
          <w:rFonts w:ascii="Calibri" w:hAnsi="Calibri" w:cs="Calibri"/>
          <w:sz w:val="24"/>
          <w:szCs w:val="24"/>
        </w:rPr>
        <w:t>(Accessed on 7/1/2025)</w:t>
      </w:r>
    </w:p>
    <w:p w14:paraId="186C5899" w14:textId="77777777" w:rsidR="00DF00DC" w:rsidRDefault="00DF00DC"/>
    <w:sectPr w:rsidR="00DF0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EBF"/>
    <w:rsid w:val="0012690A"/>
    <w:rsid w:val="003C6DD0"/>
    <w:rsid w:val="004D5789"/>
    <w:rsid w:val="00530EBF"/>
    <w:rsid w:val="006149C6"/>
    <w:rsid w:val="00922D27"/>
    <w:rsid w:val="009662CB"/>
    <w:rsid w:val="00A93770"/>
    <w:rsid w:val="00DF00DC"/>
    <w:rsid w:val="00ED3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7CC99"/>
  <w15:chartTrackingRefBased/>
  <w15:docId w15:val="{34295DD3-D57B-4CD4-B855-83A94CF37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EBF"/>
    <w:pPr>
      <w:spacing w:line="256" w:lineRule="auto"/>
    </w:pPr>
    <w:rPr>
      <w:sz w:val="22"/>
      <w:szCs w:val="22"/>
    </w:rPr>
  </w:style>
  <w:style w:type="paragraph" w:styleId="Heading1">
    <w:name w:val="heading 1"/>
    <w:basedOn w:val="Normal"/>
    <w:next w:val="Normal"/>
    <w:link w:val="Heading1Char"/>
    <w:uiPriority w:val="9"/>
    <w:qFormat/>
    <w:rsid w:val="00530EB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0EB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EB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EBF"/>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530EBF"/>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530EB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530EB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530EB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530EB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E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0E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E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E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E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E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E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E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EBF"/>
    <w:rPr>
      <w:rFonts w:eastAsiaTheme="majorEastAsia" w:cstheme="majorBidi"/>
      <w:color w:val="272727" w:themeColor="text1" w:themeTint="D8"/>
    </w:rPr>
  </w:style>
  <w:style w:type="paragraph" w:styleId="Title">
    <w:name w:val="Title"/>
    <w:basedOn w:val="Normal"/>
    <w:next w:val="Normal"/>
    <w:link w:val="TitleChar"/>
    <w:uiPriority w:val="10"/>
    <w:qFormat/>
    <w:rsid w:val="00530E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E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EBF"/>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E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EBF"/>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530EBF"/>
    <w:rPr>
      <w:i/>
      <w:iCs/>
      <w:color w:val="404040" w:themeColor="text1" w:themeTint="BF"/>
    </w:rPr>
  </w:style>
  <w:style w:type="paragraph" w:styleId="ListParagraph">
    <w:name w:val="List Paragraph"/>
    <w:basedOn w:val="Normal"/>
    <w:uiPriority w:val="34"/>
    <w:qFormat/>
    <w:rsid w:val="00530EBF"/>
    <w:pPr>
      <w:spacing w:line="278" w:lineRule="auto"/>
      <w:ind w:left="720"/>
      <w:contextualSpacing/>
    </w:pPr>
    <w:rPr>
      <w:sz w:val="24"/>
      <w:szCs w:val="24"/>
    </w:rPr>
  </w:style>
  <w:style w:type="character" w:styleId="IntenseEmphasis">
    <w:name w:val="Intense Emphasis"/>
    <w:basedOn w:val="DefaultParagraphFont"/>
    <w:uiPriority w:val="21"/>
    <w:qFormat/>
    <w:rsid w:val="00530EBF"/>
    <w:rPr>
      <w:i/>
      <w:iCs/>
      <w:color w:val="0F4761" w:themeColor="accent1" w:themeShade="BF"/>
    </w:rPr>
  </w:style>
  <w:style w:type="paragraph" w:styleId="IntenseQuote">
    <w:name w:val="Intense Quote"/>
    <w:basedOn w:val="Normal"/>
    <w:next w:val="Normal"/>
    <w:link w:val="IntenseQuoteChar"/>
    <w:uiPriority w:val="30"/>
    <w:qFormat/>
    <w:rsid w:val="00530EB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530EBF"/>
    <w:rPr>
      <w:i/>
      <w:iCs/>
      <w:color w:val="0F4761" w:themeColor="accent1" w:themeShade="BF"/>
    </w:rPr>
  </w:style>
  <w:style w:type="character" w:styleId="IntenseReference">
    <w:name w:val="Intense Reference"/>
    <w:basedOn w:val="DefaultParagraphFont"/>
    <w:uiPriority w:val="32"/>
    <w:qFormat/>
    <w:rsid w:val="00530EBF"/>
    <w:rPr>
      <w:b/>
      <w:bCs/>
      <w:smallCaps/>
      <w:color w:val="0F4761" w:themeColor="accent1" w:themeShade="BF"/>
      <w:spacing w:val="5"/>
    </w:rPr>
  </w:style>
  <w:style w:type="character" w:styleId="Hyperlink">
    <w:name w:val="Hyperlink"/>
    <w:basedOn w:val="DefaultParagraphFont"/>
    <w:uiPriority w:val="99"/>
    <w:semiHidden/>
    <w:unhideWhenUsed/>
    <w:rsid w:val="00530E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283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thb.nhs.wales/about-us/the-board/1/risk-management-framework/" TargetMode="External"/><Relationship Id="rId4" Type="http://schemas.openxmlformats.org/officeDocument/2006/relationships/hyperlink" Target="https://nursinganswers.net/reflective-guides/gibbs-reflective-cycle.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738</Words>
  <Characters>4211</Characters>
  <Application>Microsoft Office Word</Application>
  <DocSecurity>0</DocSecurity>
  <Lines>35</Lines>
  <Paragraphs>9</Paragraphs>
  <ScaleCrop>false</ScaleCrop>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Foxley (PTHB - Newtown Physio Therapy)</dc:creator>
  <cp:keywords/>
  <dc:description/>
  <cp:lastModifiedBy>Dylan Foxley (PTHB - Newtown Physio Therapy)</cp:lastModifiedBy>
  <cp:revision>6</cp:revision>
  <dcterms:created xsi:type="dcterms:W3CDTF">2025-01-07T14:28:00Z</dcterms:created>
  <dcterms:modified xsi:type="dcterms:W3CDTF">2025-01-07T15:01:00Z</dcterms:modified>
</cp:coreProperties>
</file>