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F48D1" w14:textId="54B93199" w:rsidR="007202BC" w:rsidRPr="00D16CAA" w:rsidRDefault="007202BC" w:rsidP="007202BC">
      <w:pPr>
        <w:rPr>
          <w:rFonts w:cs="Arial"/>
          <w:color w:val="000000" w:themeColor="text1"/>
        </w:rPr>
      </w:pPr>
    </w:p>
    <w:p w14:paraId="4B27D687" w14:textId="70063C71" w:rsidR="007202BC" w:rsidRPr="00D16CAA" w:rsidRDefault="007202BC" w:rsidP="007202BC">
      <w:pPr>
        <w:rPr>
          <w:rFonts w:cs="Arial"/>
          <w:color w:val="000000" w:themeColor="text1"/>
          <w:sz w:val="36"/>
          <w:szCs w:val="36"/>
        </w:rPr>
      </w:pPr>
      <w:r w:rsidRPr="00D16CAA">
        <w:rPr>
          <w:rFonts w:cs="Arial"/>
          <w:color w:val="000000" w:themeColor="text1"/>
          <w:sz w:val="36"/>
          <w:szCs w:val="36"/>
        </w:rPr>
        <w:t>Qualification: CIPD Diploma in Applied Human Resources</w:t>
      </w:r>
    </w:p>
    <w:p w14:paraId="3A49BABB" w14:textId="77777777" w:rsidR="007202BC" w:rsidRPr="00D16CAA" w:rsidRDefault="007202BC" w:rsidP="007202BC">
      <w:pPr>
        <w:rPr>
          <w:rFonts w:cs="Arial"/>
          <w:color w:val="000000" w:themeColor="text1"/>
          <w:sz w:val="36"/>
          <w:szCs w:val="36"/>
        </w:rPr>
      </w:pPr>
    </w:p>
    <w:p w14:paraId="5FB092D9" w14:textId="0642B623" w:rsidR="007202BC" w:rsidRPr="00D16CAA" w:rsidRDefault="007202BC" w:rsidP="007202BC">
      <w:pPr>
        <w:rPr>
          <w:rFonts w:cs="Arial"/>
          <w:color w:val="000000" w:themeColor="text1"/>
          <w:sz w:val="36"/>
          <w:szCs w:val="36"/>
        </w:rPr>
      </w:pPr>
      <w:r w:rsidRPr="00D16CAA">
        <w:rPr>
          <w:rFonts w:cs="Arial"/>
          <w:color w:val="000000" w:themeColor="text1"/>
          <w:sz w:val="36"/>
          <w:szCs w:val="36"/>
        </w:rPr>
        <w:t>Module Name:</w:t>
      </w:r>
      <w:r w:rsidR="008023ED" w:rsidRPr="00D16CAA">
        <w:rPr>
          <w:rFonts w:cs="Arial"/>
          <w:color w:val="000000" w:themeColor="text1"/>
          <w:sz w:val="36"/>
          <w:szCs w:val="36"/>
        </w:rPr>
        <w:t xml:space="preserve"> </w:t>
      </w:r>
      <w:r w:rsidR="00D93B9B" w:rsidRPr="00D16CAA">
        <w:rPr>
          <w:rFonts w:cs="Arial"/>
          <w:color w:val="000000" w:themeColor="text1"/>
          <w:sz w:val="36"/>
          <w:szCs w:val="36"/>
        </w:rPr>
        <w:t>5C</w:t>
      </w:r>
      <w:r w:rsidR="00D16CAA" w:rsidRPr="00D16CAA">
        <w:rPr>
          <w:rFonts w:cs="Arial"/>
          <w:color w:val="000000" w:themeColor="text1"/>
          <w:sz w:val="36"/>
          <w:szCs w:val="36"/>
        </w:rPr>
        <w:t>ELW</w:t>
      </w:r>
    </w:p>
    <w:p w14:paraId="04DC08F9" w14:textId="0850F48E" w:rsidR="007202BC" w:rsidRPr="00D16CAA" w:rsidRDefault="007202BC" w:rsidP="007202BC">
      <w:pPr>
        <w:rPr>
          <w:rFonts w:cs="Arial"/>
          <w:color w:val="000000" w:themeColor="text1"/>
          <w:sz w:val="36"/>
          <w:szCs w:val="36"/>
        </w:rPr>
      </w:pPr>
    </w:p>
    <w:p w14:paraId="47410D4A" w14:textId="4C4360E0" w:rsidR="007202BC" w:rsidRPr="00D16CAA" w:rsidRDefault="0082314C" w:rsidP="007202BC">
      <w:pPr>
        <w:rPr>
          <w:rFonts w:cs="Arial"/>
          <w:color w:val="000000" w:themeColor="text1"/>
          <w:sz w:val="36"/>
          <w:szCs w:val="36"/>
        </w:rPr>
      </w:pPr>
      <w:r>
        <w:rPr>
          <w:rFonts w:cs="Arial"/>
          <w:color w:val="000000" w:themeColor="text1"/>
          <w:sz w:val="36"/>
          <w:szCs w:val="36"/>
        </w:rPr>
        <w:t>Understanding Employment Law</w:t>
      </w:r>
      <w:r w:rsidR="008023ED" w:rsidRPr="00D16CAA">
        <w:rPr>
          <w:rFonts w:cs="Arial"/>
          <w:color w:val="000000" w:themeColor="text1"/>
          <w:sz w:val="36"/>
          <w:szCs w:val="36"/>
        </w:rPr>
        <w:br/>
      </w:r>
    </w:p>
    <w:p w14:paraId="2DB95DC6" w14:textId="038D3616" w:rsidR="007202BC" w:rsidRPr="00D16CAA" w:rsidRDefault="007202BC" w:rsidP="007202BC">
      <w:pPr>
        <w:rPr>
          <w:rFonts w:cs="Arial"/>
          <w:color w:val="000000" w:themeColor="text1"/>
          <w:sz w:val="36"/>
          <w:szCs w:val="36"/>
        </w:rPr>
      </w:pPr>
      <w:r w:rsidRPr="00D16CAA">
        <w:rPr>
          <w:rFonts w:cs="Arial"/>
          <w:color w:val="000000" w:themeColor="text1"/>
          <w:sz w:val="36"/>
          <w:szCs w:val="36"/>
        </w:rPr>
        <w:t>Word Count</w:t>
      </w:r>
      <w:r w:rsidR="00D16CAA">
        <w:rPr>
          <w:rFonts w:cs="Arial"/>
          <w:color w:val="000000" w:themeColor="text1"/>
          <w:sz w:val="36"/>
          <w:szCs w:val="36"/>
        </w:rPr>
        <w:t xml:space="preserve"> (Total 4904)</w:t>
      </w:r>
      <w:r w:rsidRPr="00D16CAA">
        <w:rPr>
          <w:rFonts w:cs="Arial"/>
          <w:color w:val="000000" w:themeColor="text1"/>
          <w:sz w:val="36"/>
          <w:szCs w:val="36"/>
        </w:rPr>
        <w:t>:</w:t>
      </w:r>
      <w:r w:rsidR="00D93B9B" w:rsidRPr="00D16CAA">
        <w:rPr>
          <w:rFonts w:cs="Arial"/>
          <w:color w:val="000000" w:themeColor="text1"/>
          <w:sz w:val="36"/>
          <w:szCs w:val="36"/>
        </w:rPr>
        <w:t xml:space="preserve"> </w:t>
      </w:r>
      <w:r w:rsidR="00D16CAA" w:rsidRPr="00D16CAA">
        <w:rPr>
          <w:rFonts w:cs="Arial"/>
          <w:color w:val="000000" w:themeColor="text1"/>
          <w:sz w:val="36"/>
          <w:szCs w:val="36"/>
        </w:rPr>
        <w:br/>
        <w:t>Question One - 819</w:t>
      </w:r>
      <w:r w:rsidR="00D16CAA" w:rsidRPr="00D16CAA">
        <w:rPr>
          <w:rFonts w:cs="Arial"/>
          <w:color w:val="000000" w:themeColor="text1"/>
          <w:sz w:val="36"/>
          <w:szCs w:val="36"/>
        </w:rPr>
        <w:br/>
        <w:t>Question Two - 808</w:t>
      </w:r>
      <w:r w:rsidR="00D16CAA" w:rsidRPr="00D16CAA">
        <w:rPr>
          <w:rFonts w:cs="Arial"/>
          <w:color w:val="000000" w:themeColor="text1"/>
          <w:sz w:val="36"/>
          <w:szCs w:val="36"/>
        </w:rPr>
        <w:br/>
        <w:t>Question Three - 825</w:t>
      </w:r>
      <w:r w:rsidR="00D16CAA" w:rsidRPr="00D16CAA">
        <w:rPr>
          <w:rFonts w:cs="Arial"/>
          <w:color w:val="000000" w:themeColor="text1"/>
          <w:sz w:val="36"/>
          <w:szCs w:val="36"/>
        </w:rPr>
        <w:br/>
        <w:t>Question Four - 825</w:t>
      </w:r>
      <w:r w:rsidR="00D16CAA" w:rsidRPr="00D16CAA">
        <w:rPr>
          <w:rFonts w:cs="Arial"/>
          <w:color w:val="000000" w:themeColor="text1"/>
          <w:sz w:val="36"/>
          <w:szCs w:val="36"/>
        </w:rPr>
        <w:br/>
        <w:t>Question Five - 815</w:t>
      </w:r>
      <w:r w:rsidR="00D16CAA" w:rsidRPr="00D16CAA">
        <w:rPr>
          <w:rFonts w:cs="Arial"/>
          <w:color w:val="000000" w:themeColor="text1"/>
          <w:sz w:val="36"/>
          <w:szCs w:val="36"/>
        </w:rPr>
        <w:br/>
        <w:t>Question Six - 812</w:t>
      </w:r>
    </w:p>
    <w:p w14:paraId="78BC40DC" w14:textId="77777777" w:rsidR="007202BC" w:rsidRPr="00D16CAA" w:rsidRDefault="007202BC" w:rsidP="007202BC">
      <w:pPr>
        <w:rPr>
          <w:rFonts w:cs="Arial"/>
          <w:color w:val="000000" w:themeColor="text1"/>
          <w:sz w:val="36"/>
          <w:szCs w:val="36"/>
        </w:rPr>
      </w:pPr>
    </w:p>
    <w:p w14:paraId="2E266D5A" w14:textId="77777777" w:rsidR="007202BC" w:rsidRPr="00D16CAA" w:rsidRDefault="007202BC" w:rsidP="007202BC">
      <w:pPr>
        <w:rPr>
          <w:rFonts w:cs="Arial"/>
          <w:color w:val="000000" w:themeColor="text1"/>
          <w:sz w:val="36"/>
          <w:szCs w:val="36"/>
        </w:rPr>
      </w:pPr>
    </w:p>
    <w:p w14:paraId="2A432971" w14:textId="77777777" w:rsidR="00D93B9B" w:rsidRPr="00D16CAA" w:rsidRDefault="00D93B9B" w:rsidP="00D93B9B">
      <w:pPr>
        <w:rPr>
          <w:rFonts w:cs="Arial"/>
          <w:color w:val="000000" w:themeColor="text1"/>
          <w:sz w:val="36"/>
          <w:szCs w:val="36"/>
        </w:rPr>
      </w:pPr>
      <w:r w:rsidRPr="00D16CAA">
        <w:rPr>
          <w:rFonts w:cs="Arial"/>
          <w:color w:val="000000" w:themeColor="text1"/>
          <w:sz w:val="36"/>
          <w:szCs w:val="36"/>
        </w:rPr>
        <w:t>Student Name: Rebekah Thomas</w:t>
      </w:r>
    </w:p>
    <w:p w14:paraId="6D998C3F" w14:textId="77777777" w:rsidR="00D93B9B" w:rsidRPr="00D16CAA" w:rsidRDefault="00D93B9B" w:rsidP="00D93B9B">
      <w:pPr>
        <w:rPr>
          <w:rFonts w:cs="Arial"/>
          <w:color w:val="000000" w:themeColor="text1"/>
          <w:sz w:val="36"/>
          <w:szCs w:val="36"/>
        </w:rPr>
      </w:pPr>
      <w:r w:rsidRPr="00D16CAA">
        <w:rPr>
          <w:rFonts w:cs="Arial"/>
          <w:color w:val="000000" w:themeColor="text1"/>
          <w:sz w:val="36"/>
          <w:szCs w:val="36"/>
        </w:rPr>
        <w:t>Student Number: 2007852</w:t>
      </w:r>
    </w:p>
    <w:p w14:paraId="36A62F91" w14:textId="77777777" w:rsidR="00D93B9B" w:rsidRPr="00D16CAA" w:rsidRDefault="00D93B9B" w:rsidP="00D93B9B">
      <w:pPr>
        <w:rPr>
          <w:rFonts w:cs="Arial"/>
          <w:color w:val="000000" w:themeColor="text1"/>
          <w:sz w:val="36"/>
          <w:szCs w:val="36"/>
        </w:rPr>
      </w:pPr>
      <w:r w:rsidRPr="00D16CAA">
        <w:rPr>
          <w:rFonts w:cs="Arial"/>
          <w:color w:val="000000" w:themeColor="text1"/>
          <w:sz w:val="36"/>
          <w:szCs w:val="36"/>
        </w:rPr>
        <w:t>CIPD Membership Number: 57493148</w:t>
      </w:r>
    </w:p>
    <w:p w14:paraId="2E3C06FE" w14:textId="63FBAC2D" w:rsidR="007202BC" w:rsidRPr="00D16CAA" w:rsidRDefault="007202BC" w:rsidP="007202BC">
      <w:pPr>
        <w:rPr>
          <w:rFonts w:cs="Arial"/>
          <w:color w:val="000000" w:themeColor="text1"/>
          <w:sz w:val="36"/>
          <w:szCs w:val="36"/>
        </w:rPr>
      </w:pPr>
    </w:p>
    <w:p w14:paraId="530E774F" w14:textId="77777777" w:rsidR="007202BC" w:rsidRPr="00D16CAA" w:rsidRDefault="007202BC" w:rsidP="007202BC">
      <w:pPr>
        <w:rPr>
          <w:rFonts w:cs="Arial"/>
          <w:color w:val="000000" w:themeColor="text1"/>
          <w:sz w:val="36"/>
          <w:szCs w:val="36"/>
        </w:rPr>
      </w:pPr>
    </w:p>
    <w:p w14:paraId="3F35A5D8" w14:textId="77777777" w:rsidR="007202BC" w:rsidRPr="00D16CAA" w:rsidRDefault="007202BC" w:rsidP="007202BC">
      <w:pPr>
        <w:rPr>
          <w:rFonts w:cs="Arial"/>
          <w:color w:val="000000" w:themeColor="text1"/>
          <w:sz w:val="36"/>
          <w:szCs w:val="36"/>
        </w:rPr>
      </w:pPr>
    </w:p>
    <w:p w14:paraId="702D169B" w14:textId="7B2B179C" w:rsidR="007202BC" w:rsidRPr="00D16CAA" w:rsidRDefault="007202BC" w:rsidP="007202BC">
      <w:pPr>
        <w:rPr>
          <w:rFonts w:cs="Arial"/>
          <w:color w:val="000000" w:themeColor="text1"/>
          <w:sz w:val="36"/>
          <w:szCs w:val="36"/>
        </w:rPr>
      </w:pPr>
      <w:r w:rsidRPr="00D16CAA">
        <w:rPr>
          <w:rFonts w:cs="Arial"/>
          <w:color w:val="000000" w:themeColor="text1"/>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D16CAA" w:rsidRDefault="007202BC" w:rsidP="007202BC">
      <w:pPr>
        <w:rPr>
          <w:rFonts w:cs="Arial"/>
          <w:color w:val="000000" w:themeColor="text1"/>
          <w:sz w:val="36"/>
          <w:szCs w:val="36"/>
        </w:rPr>
      </w:pPr>
    </w:p>
    <w:p w14:paraId="384BE8CE" w14:textId="5519F1E9" w:rsidR="007202BC" w:rsidRPr="00D16CAA" w:rsidRDefault="007202BC" w:rsidP="007202BC">
      <w:pPr>
        <w:rPr>
          <w:rFonts w:cs="Arial"/>
          <w:color w:val="000000" w:themeColor="text1"/>
          <w:sz w:val="36"/>
          <w:szCs w:val="36"/>
        </w:rPr>
      </w:pPr>
      <w:r w:rsidRPr="00D16CAA">
        <w:rPr>
          <w:rFonts w:cs="Arial"/>
          <w:color w:val="000000" w:themeColor="text1"/>
          <w:sz w:val="36"/>
          <w:szCs w:val="36"/>
        </w:rPr>
        <w:t xml:space="preserve">Signed: </w:t>
      </w:r>
      <w:r w:rsidR="00D93B9B" w:rsidRPr="00D16CAA">
        <w:rPr>
          <w:rFonts w:cs="Arial"/>
          <w:color w:val="000000" w:themeColor="text1"/>
          <w:sz w:val="36"/>
          <w:szCs w:val="36"/>
        </w:rPr>
        <w:t>R A THOMAS</w:t>
      </w:r>
    </w:p>
    <w:p w14:paraId="0F3D24B5" w14:textId="60AD2458" w:rsidR="007202BC" w:rsidRPr="00D16CAA" w:rsidRDefault="007202BC" w:rsidP="007202BC">
      <w:pPr>
        <w:rPr>
          <w:rFonts w:cs="Arial"/>
          <w:color w:val="000000" w:themeColor="text1"/>
          <w:sz w:val="36"/>
          <w:szCs w:val="36"/>
        </w:rPr>
      </w:pPr>
      <w:r w:rsidRPr="00D16CAA">
        <w:rPr>
          <w:rFonts w:cs="Arial"/>
          <w:color w:val="000000" w:themeColor="text1"/>
          <w:sz w:val="36"/>
          <w:szCs w:val="36"/>
        </w:rPr>
        <w:t xml:space="preserve">Date: </w:t>
      </w:r>
      <w:r w:rsidR="00D16CAA" w:rsidRPr="00D16CAA">
        <w:rPr>
          <w:rFonts w:cs="Arial"/>
          <w:color w:val="000000" w:themeColor="text1"/>
          <w:sz w:val="36"/>
          <w:szCs w:val="36"/>
        </w:rPr>
        <w:t>23/03/2021</w:t>
      </w:r>
    </w:p>
    <w:p w14:paraId="20E6CC67" w14:textId="6E65B228" w:rsidR="00D16CAA" w:rsidRPr="00D16CAA" w:rsidRDefault="00D16CAA" w:rsidP="00D16CAA">
      <w:pPr>
        <w:rPr>
          <w:rFonts w:cs="Arial"/>
          <w:color w:val="000000" w:themeColor="text1"/>
        </w:rPr>
      </w:pPr>
      <w:r w:rsidRPr="00D16CAA">
        <w:rPr>
          <w:color w:val="000000" w:themeColor="text1"/>
        </w:rPr>
        <w:br/>
      </w:r>
      <w:r w:rsidRPr="00D16CAA">
        <w:rPr>
          <w:color w:val="000000" w:themeColor="text1"/>
        </w:rPr>
        <w:br/>
      </w:r>
      <w:r w:rsidRPr="00D16CAA">
        <w:rPr>
          <w:color w:val="000000" w:themeColor="text1"/>
        </w:rPr>
        <w:br/>
      </w:r>
      <w:r w:rsidRPr="00D16CAA">
        <w:rPr>
          <w:color w:val="000000" w:themeColor="text1"/>
        </w:rPr>
        <w:br/>
      </w:r>
      <w:r w:rsidRPr="00D16CAA">
        <w:rPr>
          <w:color w:val="000000" w:themeColor="text1"/>
        </w:rPr>
        <w:br/>
      </w:r>
      <w:r>
        <w:rPr>
          <w:rFonts w:cs="Arial"/>
          <w:b/>
          <w:bCs/>
          <w:color w:val="000000" w:themeColor="text1"/>
          <w:u w:val="single"/>
        </w:rPr>
        <w:br/>
      </w:r>
      <w:r w:rsidRPr="00D16CAA">
        <w:rPr>
          <w:rFonts w:cs="Arial"/>
          <w:b/>
          <w:bCs/>
          <w:color w:val="000000" w:themeColor="text1"/>
          <w:u w:val="single"/>
        </w:rPr>
        <w:lastRenderedPageBreak/>
        <w:t>Question 1</w:t>
      </w:r>
      <w:r w:rsidRPr="00D16CAA">
        <w:rPr>
          <w:rFonts w:cs="Arial"/>
          <w:color w:val="000000" w:themeColor="text1"/>
        </w:rPr>
        <w:br/>
      </w:r>
      <w:r w:rsidRPr="00D16CAA">
        <w:rPr>
          <w:rFonts w:cs="Arial"/>
          <w:color w:val="000000" w:themeColor="text1"/>
        </w:rPr>
        <w:br/>
        <w:t xml:space="preserve">There are many rules and regulations we must follow in the United Kingdom (UK) and these directives are the law. Daniels (2019) states that there are several laws within the UK which include employment law. Employment law focuses on work and its objective is to manage and standardise the association between an organisation and its workforce. The justification behind employment law is to protect both the employer and employee equally and fairly while ensuring legislation is followed correctly. According to Taylor &amp; Wilkinson (in Taylor &amp; Woodhams 2016) employment law is now in </w:t>
      </w:r>
      <w:r w:rsidRPr="00D16CAA">
        <w:rPr>
          <w:rFonts w:cs="Arial"/>
          <w:color w:val="000000" w:themeColor="text1"/>
        </w:rPr>
        <w:t>favor</w:t>
      </w:r>
      <w:r w:rsidRPr="00D16CAA">
        <w:rPr>
          <w:rFonts w:cs="Arial"/>
          <w:color w:val="000000" w:themeColor="text1"/>
        </w:rPr>
        <w:t xml:space="preserve"> of the workforce and developing equal rights.</w:t>
      </w:r>
      <w:r w:rsidRPr="00D16CAA">
        <w:rPr>
          <w:rFonts w:cs="Arial"/>
          <w:color w:val="000000" w:themeColor="text1"/>
        </w:rPr>
        <w:br/>
      </w:r>
      <w:r w:rsidRPr="00D16CAA">
        <w:rPr>
          <w:rFonts w:cs="Arial"/>
          <w:color w:val="000000" w:themeColor="text1"/>
        </w:rPr>
        <w:br/>
        <w:t>Employment law has altered and developed a great deal over the years and Daniels (2019) confirms that over the past fifty years the number of regulations has increased considerably. It could be argued that the reason for changes and additions to the law are due to the change in times. A recent example of this is BREXIT and how it will affect both employers and employees. The CIPD (2019) explain that employment law is considered as civil law because it involves someone, usually an employee or ex-employee who is also known as a claimant taking legal action against a current or former employer also identified as a respondent for payment or a reward in a civil court. This verifies that an employee is able to take their employer to court and this will either be civil or criminal. Daniels (2019) verifies that civil law covers employment law because it investigates the discrepancy between two individuals, and it is established on the regulations of property, tort and contract.  The CIPD (2019) add that there are certain employment law cases which are considered criminal, therefore these are dealt with by the Crown Court and are usually severe offences such as a breach in Health &amp; Safety regulations, thus it is essential to acknowledge them.</w:t>
      </w:r>
      <w:r w:rsidRPr="00D16CAA">
        <w:rPr>
          <w:rFonts w:cs="Arial"/>
          <w:color w:val="000000" w:themeColor="text1"/>
        </w:rPr>
        <w:br/>
      </w:r>
      <w:r w:rsidRPr="00D16CAA">
        <w:rPr>
          <w:rFonts w:cs="Arial"/>
          <w:color w:val="000000" w:themeColor="text1"/>
        </w:rPr>
        <w:br/>
        <w:t xml:space="preserve">Daniels (2019) advise that the majority of employment law cases generally go to the Employment Tribunal. This is where the claimant submits their case against the respondent. The claimant must submit an ET1 claim form and the respondent has 28 days to take action along with completing an ET3 form. The outcome at the Employment Tribunal can be appealed and go to the Employment Appeal Tribunal. However, this is only granted if the claimant believes the case has been misinterpreted by the judge through a point of law. This means the outcome cannot be argued simply because the claimant is unhappy with the decision. The appeals process has the ability to proceed to the Court of Appeal and Supreme Court but the CIPD (2019) suggest this rarely materialises. The CIPD (2019) state that there are over 80 dissimilar claim varieties in which the Employment Tribunal are responsible for such as unfair dismissal and equal pay. Taylor and Wilkinson (in Taylor and Woodhams 2016) advise that HR professionals must keep up to date with their general knowledge and modifications in employment law. It could be said that employment law can influence decisions made by HR professionals however it is something that needs to be acknowledged as it affects many areas covered by HR within an organisation such as pay, contract and recruitment. </w:t>
      </w:r>
      <w:r w:rsidRPr="00D16CAA">
        <w:rPr>
          <w:rFonts w:cs="Arial"/>
          <w:color w:val="000000" w:themeColor="text1"/>
        </w:rPr>
        <w:br/>
      </w:r>
      <w:r w:rsidRPr="00D16CAA">
        <w:rPr>
          <w:rFonts w:cs="Arial"/>
          <w:color w:val="000000" w:themeColor="text1"/>
        </w:rPr>
        <w:br/>
        <w:t>There are various sources of law in the UK. Daniels (2019) state that main source is Statutes which are Acts of Parliament. The Employment Rights Act (1996</w:t>
      </w:r>
      <w:r w:rsidRPr="00D16CAA">
        <w:rPr>
          <w:rFonts w:cs="Arial"/>
          <w:i/>
          <w:iCs/>
          <w:color w:val="000000" w:themeColor="text1"/>
        </w:rPr>
        <w:t>)</w:t>
      </w:r>
      <w:r w:rsidRPr="00D16CAA">
        <w:rPr>
          <w:rFonts w:cs="Arial"/>
          <w:color w:val="000000" w:themeColor="text1"/>
        </w:rPr>
        <w:t xml:space="preserve"> is an example of an Act of Parliament. A Statute commonly takes a while to be processed and passed as a law, however some have been applied instantly and this tends to happen if a change needs to be enforced immediately. Another type of employment law is provided through common law. Taylor and Wilkinson (in Taylor and Woodhams 2016) clarify that common law is judge made and this is something has developed over time. A judge will make a decision based on key points of principle which turn into precedents. Precedents must be observed for all future cases alike. Finally, there are codes of practice, which are theoretically not the law as such. Daniels (2019) indicates that although these codes are not the law, they should not be breached unless the motives behind the decision were lawful. The Highway Code is a familiar example of a code of practice that we follow. </w:t>
      </w:r>
      <w:r w:rsidRPr="00D16CAA">
        <w:rPr>
          <w:rFonts w:cs="Arial"/>
          <w:color w:val="000000" w:themeColor="text1"/>
        </w:rPr>
        <w:br/>
      </w:r>
      <w:r w:rsidRPr="00D16CAA">
        <w:rPr>
          <w:rFonts w:cs="Arial"/>
          <w:color w:val="000000" w:themeColor="text1"/>
        </w:rPr>
        <w:lastRenderedPageBreak/>
        <w:br/>
        <w:t>ACAS (Advisory, Conciliation and Arbitration Service) have an important role in enforcing employment law and the challenges it faces. Daniels (2019) confirm that ACAS are government funded but not influenced by the government. Their role is to support both employers and employees impartially to find a resolution. This can lead to a conciliation where the case is closed before going any further. There are other organisations which have a strategic impact which are The Central Arbitration Committee (CAC) and The Equality and Human Rights Commission. These key institutes have been established as they have an influence on the formation of employment law and how it functions.</w:t>
      </w:r>
      <w:r w:rsidRPr="00D16CAA">
        <w:rPr>
          <w:rFonts w:cs="Arial"/>
          <w:color w:val="000000" w:themeColor="text1"/>
        </w:rPr>
        <w:br/>
      </w:r>
      <w:r w:rsidRPr="00D16CAA">
        <w:rPr>
          <w:rFonts w:cs="Arial"/>
          <w:color w:val="000000" w:themeColor="text1"/>
        </w:rPr>
        <w:br/>
      </w:r>
      <w:r w:rsidRPr="00D16CAA">
        <w:rPr>
          <w:rFonts w:cs="Arial"/>
          <w:color w:val="000000" w:themeColor="text1"/>
        </w:rPr>
        <w:br/>
      </w:r>
      <w:r w:rsidRPr="00D16CAA">
        <w:rPr>
          <w:rFonts w:cs="Arial"/>
          <w:b/>
          <w:bCs/>
          <w:color w:val="000000" w:themeColor="text1"/>
          <w:u w:val="single"/>
        </w:rPr>
        <w:t>Question 2</w:t>
      </w:r>
      <w:r w:rsidRPr="00D16CAA">
        <w:rPr>
          <w:rFonts w:cs="Arial"/>
          <w:color w:val="000000" w:themeColor="text1"/>
        </w:rPr>
        <w:br/>
      </w:r>
      <w:r w:rsidRPr="00D16CAA">
        <w:rPr>
          <w:rFonts w:cs="Arial"/>
          <w:color w:val="000000" w:themeColor="text1"/>
        </w:rPr>
        <w:br/>
        <w:t xml:space="preserve">Daniels (2019) verifies that the purpose of the Equality Act 2010 was to cancel out all existing discrimination regulations by covering the topic of discrimination as a whole, which distinctly resulted in discrimination law being a lot less complicated. The following are protected characteristics as stated in the Equality Act 2010: age, race, disability, religion or belief, marriage and civil partnership, gender reassignment, sex and sexual orientation. </w:t>
      </w:r>
      <w:r w:rsidRPr="00D16CAA">
        <w:rPr>
          <w:rFonts w:cs="Arial"/>
          <w:color w:val="000000" w:themeColor="text1"/>
        </w:rPr>
        <w:br/>
      </w:r>
      <w:r w:rsidRPr="00D16CAA">
        <w:rPr>
          <w:rFonts w:cs="Arial"/>
          <w:color w:val="000000" w:themeColor="text1"/>
        </w:rPr>
        <w:br/>
        <w:t>When an organisation seeks to employ new members of staff or decides to promote an existing employee, they must ensure they understand the law. The Equality Act 2010 defends everyone particularly those with protected characteristics as previously mentioned. Taylor and Wilkinson (in Taylor and Woodhams 2016) suggest that HR are responsible for this and they must ensure the organisation treats everyone equally. According the CIPD (2021) employers must take care with job advertisements such as using neutral job titles and preventing the use of poor wording as both these examples can lead to a discrimination claim. Daniels (2019) states that positive action is encouraged to reassure those with protected characteristics to apply for work. Someone with a protected characteristic is able to submit a claim at an Employment Tribunal for unfair discrimination so it is imperative that an organisation not only treats everyone equally but also demonstrate they have done this, such as by inviting all job applicants for a face-to-face interview. The CIPD (2012) state that an organisation must follow the correct process in place when it comes to recruiting and selecting staff, they must also be able to rationalise why someone was unsuccessful. If a claim has been submitted, the claimant must be able to prove they have been discriminated against. Therefore, it is vital for an organisation to retain records and interview notes if they are ever challenged. Daniels (2019) advises there are sometimes occupational requirements for a job which are genuine and indicates an employer can be specific with recruitment, for example they may recruit for a female only carer because the role involves caring for a woman.</w:t>
      </w:r>
      <w:r w:rsidRPr="00D16CAA">
        <w:rPr>
          <w:rFonts w:cs="Arial"/>
          <w:color w:val="000000" w:themeColor="text1"/>
        </w:rPr>
        <w:br/>
      </w:r>
      <w:r w:rsidRPr="00D16CAA">
        <w:rPr>
          <w:rFonts w:cs="Arial"/>
          <w:color w:val="000000" w:themeColor="text1"/>
        </w:rPr>
        <w:br/>
        <w:t xml:space="preserve">As previously mentioned, there are various types of discrimination within discrimination law and Daniels (2019) notes these are direct, indirect, associative, perceptive, harassment and victimisation. All of which are highly significant. However, Taylor and Wilkinson (in Taylor and Woodhams 2016) point out there is further protection available for people under EU law who fall into a part-time or fixed-term workers category.  </w:t>
      </w:r>
      <w:r w:rsidRPr="00D16CAA">
        <w:rPr>
          <w:rFonts w:cs="Arial"/>
          <w:color w:val="000000" w:themeColor="text1"/>
        </w:rPr>
        <w:br/>
      </w:r>
      <w:r w:rsidRPr="00D16CAA">
        <w:rPr>
          <w:rFonts w:cs="Arial"/>
          <w:color w:val="000000" w:themeColor="text1"/>
        </w:rPr>
        <w:br/>
        <w:t xml:space="preserve">Taylor and Wilkinson (in Taylor and Woodhams 2016) declare that unlike discrimination law which mostly covers everyone, employment law is dependent on someone’s work category and employment contract. It seems pretty straightforward when creating an employment contract because it can be confirmed without documentation. The CIPD (2020) confirm that when someone agrees to work for someone else or an organisation then there is an official compulsory agreement between them, which is called a contract of employment. According to Taylor and Wilkinson (in Taylor and Woodhams 2016) a contract can be </w:t>
      </w:r>
      <w:proofErr w:type="spellStart"/>
      <w:r w:rsidRPr="00D16CAA">
        <w:rPr>
          <w:rFonts w:cs="Arial"/>
          <w:color w:val="000000" w:themeColor="text1"/>
        </w:rPr>
        <w:t>finalised</w:t>
      </w:r>
      <w:proofErr w:type="spellEnd"/>
      <w:r w:rsidRPr="00D16CAA">
        <w:rPr>
          <w:rFonts w:cs="Arial"/>
          <w:color w:val="000000" w:themeColor="text1"/>
        </w:rPr>
        <w:t xml:space="preserve"> through email or over the phone and although a written formal agreement is preferred, it’s not essential. In order for a contract of employment to formed, there are five musts to be </w:t>
      </w:r>
      <w:r w:rsidRPr="00D16CAA">
        <w:rPr>
          <w:rFonts w:cs="Arial"/>
          <w:color w:val="000000" w:themeColor="text1"/>
        </w:rPr>
        <w:lastRenderedPageBreak/>
        <w:t xml:space="preserve">clarified: the offer of employment must be clear and accepted, the offer must state the objectives such as the job and job specifications, salary and assurance that this bond will not be broken. </w:t>
      </w:r>
      <w:r w:rsidRPr="00D16CAA">
        <w:rPr>
          <w:rFonts w:cs="Arial"/>
          <w:color w:val="000000" w:themeColor="text1"/>
        </w:rPr>
        <w:br/>
      </w:r>
      <w:r w:rsidRPr="00D16CAA">
        <w:rPr>
          <w:rFonts w:cs="Arial"/>
          <w:color w:val="000000" w:themeColor="text1"/>
        </w:rPr>
        <w:br/>
        <w:t>The CIPD (2020) explain a contract of employment can contain a variety of terms such as express and implied. Terms which are spoken or clearly specified on paper are express and have been agreed between the employer and employee such as salary and working hours. Daniels (2019) verifies that employers must adhere to the law when proposing express terms as failure to do this belittles the statutory rights of an employee and breaches legal standards. Implied terms are equally as important, and they state the relationship and responsibility of trust between the employer and employee. An example of an implied term within a contract of employment is the right to earn at least the National Minimum Wage. CIPD (2020) add that an organisation must ensure the workplace meets the recommended health and safety requirements and that employee safety is priority. One could debate that this should always be important but due to COVID-19 and the pandemic this area of concern has been amplified. Along with express and implied terms within a contract of employment, there are also terms to follow which are obligated by law. These obligations according to Daniels (2019) include the duty to pay earnings, supply work and to give a reference if required.</w:t>
      </w:r>
      <w:r w:rsidRPr="00D16CAA">
        <w:rPr>
          <w:rFonts w:cs="Arial"/>
          <w:color w:val="000000" w:themeColor="text1"/>
        </w:rPr>
        <w:br/>
      </w:r>
      <w:r w:rsidRPr="00D16CAA">
        <w:rPr>
          <w:rFonts w:cs="Arial"/>
          <w:color w:val="000000" w:themeColor="text1"/>
        </w:rPr>
        <w:br/>
        <w:t>A contract of employment is established when two parties (an employer and employee) come together and form a relationship. Daniels (2019) confirms this is an employment relationship. The CIPD (2020) add that without this relationship it can be argued that there is no contract of employment.</w:t>
      </w:r>
      <w:r w:rsidRPr="00D16CAA">
        <w:rPr>
          <w:rFonts w:cs="Arial"/>
          <w:color w:val="000000" w:themeColor="text1"/>
        </w:rPr>
        <w:br/>
      </w:r>
      <w:r w:rsidRPr="00D16CAA">
        <w:rPr>
          <w:rFonts w:cs="Arial"/>
          <w:color w:val="000000" w:themeColor="text1"/>
        </w:rPr>
        <w:br/>
      </w:r>
      <w:r w:rsidRPr="00D16CAA">
        <w:rPr>
          <w:rFonts w:cs="Arial"/>
          <w:color w:val="000000" w:themeColor="text1"/>
        </w:rPr>
        <w:br/>
      </w:r>
      <w:r w:rsidRPr="00D16CAA">
        <w:rPr>
          <w:rFonts w:cs="Arial"/>
          <w:b/>
          <w:bCs/>
          <w:color w:val="000000" w:themeColor="text1"/>
          <w:u w:val="single"/>
        </w:rPr>
        <w:t xml:space="preserve">Question 3 </w:t>
      </w:r>
      <w:r w:rsidRPr="00D16CAA">
        <w:rPr>
          <w:rFonts w:cs="Arial"/>
          <w:color w:val="000000" w:themeColor="text1"/>
        </w:rPr>
        <w:br/>
      </w:r>
      <w:r w:rsidRPr="00D16CAA">
        <w:rPr>
          <w:rFonts w:cs="Arial"/>
          <w:color w:val="000000" w:themeColor="text1"/>
        </w:rPr>
        <w:br/>
        <w:t>There are many reasons why an organisation will need to make changes to contracts of employment. Daniels (2019) confirm this could be to achieve innovative business objectives or a change in working hours, both brought on by measuring up to competitors. These changes are usually occurred when an organisation has the business interests at its heart regardless of how it will affect the workforce. It is imperative to understand that changes cannot materialise without consultation as this contract is a legitimate binding agreement. A contract cannot be altered by an employer, however if it is modified then the employee has two options. They can either, adapt to the new contract but request compensation for loss, quit or submit a claim to the Employment Tribunal for constructive dismissal but only if they have been employed for at least two years.</w:t>
      </w:r>
      <w:r w:rsidRPr="00D16CAA">
        <w:rPr>
          <w:rFonts w:cs="Arial"/>
          <w:color w:val="000000" w:themeColor="text1"/>
        </w:rPr>
        <w:br/>
      </w:r>
      <w:r w:rsidRPr="00D16CAA">
        <w:rPr>
          <w:rFonts w:cs="Arial"/>
          <w:color w:val="000000" w:themeColor="text1"/>
        </w:rPr>
        <w:br/>
        <w:t>A contract is a lawful agreement between an organisation and its workforce. Therefore, any changes made individually by the employer without discussion beforehand could be unlawful. However, Taylor and Wilkinson (in Taylor and Woodhams 2016) advise that sometimes changes happen and cannot be avoided, and the law takes this into consideration. An example of this could be COVID-19 and how it has forced businesses to adapt. A flexibility clause in a contract allows an organisation to make changes lawfully. According to ACAS (2021) this clause permits an employer to amend an employee’s place of work or hours in order to meet the demands of the business. Therefore, it is essential to check if this is included in the contract.</w:t>
      </w:r>
      <w:r w:rsidRPr="00D16CAA">
        <w:rPr>
          <w:rFonts w:cs="Arial"/>
          <w:color w:val="000000" w:themeColor="text1"/>
        </w:rPr>
        <w:br/>
      </w:r>
      <w:r w:rsidRPr="00D16CAA">
        <w:rPr>
          <w:rFonts w:cs="Arial"/>
          <w:color w:val="000000" w:themeColor="text1"/>
        </w:rPr>
        <w:br/>
        <w:t>The CIPD (2020) state, redundancy is a specific dismissal which occurs when an organisation makes changes that include decreasing the size of the workforce being decreased. Redundancy is a difficult time therefore it is vital for the employee to support and empathise with the workforce whilst ensuring the process is handled cautiously and lawfully.</w:t>
      </w:r>
      <w:r w:rsidRPr="00D16CAA">
        <w:rPr>
          <w:rFonts w:cs="Arial"/>
          <w:color w:val="000000" w:themeColor="text1"/>
        </w:rPr>
        <w:br/>
      </w:r>
      <w:r w:rsidRPr="00D16CAA">
        <w:rPr>
          <w:rFonts w:cs="Arial"/>
          <w:color w:val="000000" w:themeColor="text1"/>
        </w:rPr>
        <w:br/>
        <w:t xml:space="preserve">There are three crucial conditions that employers must comprehend. Taylor and Wilkinson </w:t>
      </w:r>
      <w:r w:rsidRPr="00D16CAA">
        <w:rPr>
          <w:rFonts w:cs="Arial"/>
          <w:color w:val="000000" w:themeColor="text1"/>
        </w:rPr>
        <w:lastRenderedPageBreak/>
        <w:t>(in Taylor and Woodhams 2016) explain pinpointing a group of employees eligible for redundancy selection is step one. The reasons for who is selected is down the employer, but the reasons must be justifiable. The CIPD (2020) add that if this selection process is done incorrectly and employees are not consulted, it is unlawful. The organisation must also give written notice. During this step voluntary redundancy is suggested which prevents unavoidable redundancies. Step two involves discussions about the forthcoming redundancies where Taylor and Wilkinson (in Taylor and Woodhams 2016) advise must be done individually and employees should be given an explanation for redundancy. If there are more than twenty redundancies, then a combined consultation is essential with a nominated representative and this could be trade union if applicable. If there are less than twenty then this isn’t the case, however for more than one hundred Daniels (2019) suggests at least 45 days for consultation is required. The final step is selecting employees to be made redundant and these intentions must be reasonable. The CIPD (2020) suggest the specifications for this involve checking employee records for disciplinary or attendance and also how long they have been employed, however ‘last in, first out’ is a dangerous way to select potential employees. Employment Tribunals will investigate an organisations selection process if required. Daniels (2019) explains redundancy compensation is a statutory obligation which is calculated on length of service but a maximum of twenty years.</w:t>
      </w:r>
      <w:r w:rsidRPr="00D16CAA">
        <w:rPr>
          <w:rFonts w:cs="Arial"/>
          <w:color w:val="000000" w:themeColor="text1"/>
        </w:rPr>
        <w:br/>
      </w:r>
      <w:r w:rsidRPr="00D16CAA">
        <w:rPr>
          <w:rFonts w:cs="Arial"/>
          <w:color w:val="000000" w:themeColor="text1"/>
        </w:rPr>
        <w:br/>
        <w:t xml:space="preserve">CIPD (2020) states The Collective Redundancies and Transfer of Undertakings (Protection of Employment) (Amendment) Regulations 2014 (TUPE) happens when there is a business transference or the service they provide alters. For example, if an organisation goes into liquidation, another company may step in and take over. Therefore, transferring the business but retaining existing staff from the organisation, this is TUPE. </w:t>
      </w:r>
      <w:r w:rsidRPr="00D16CAA">
        <w:rPr>
          <w:rFonts w:cs="Arial"/>
          <w:color w:val="000000" w:themeColor="text1"/>
        </w:rPr>
        <w:br/>
      </w:r>
      <w:r w:rsidRPr="00D16CAA">
        <w:rPr>
          <w:rFonts w:cs="Arial"/>
          <w:color w:val="000000" w:themeColor="text1"/>
        </w:rPr>
        <w:br/>
        <w:t xml:space="preserve">TUPE ensures affected employees are protected. Daniels (2019) states the contract of employment essentially transfers from the old organisation to the new including salary, working hours, length of service and other collective agreements. An organisation must provide certain information about new employees within 28 days of TUPE and this is employee liability information according to Daniels (2019). The employer must discuss the TUPE process with employees and they should also be consulted by the new organisation according to Taylor and Wilkinson (in Taylor and Woodhams 2016) who also note that if an employee is dismissed due to TUPE it is inevitably unfair and unlawful. However, the CIPD (2020) claim that an organisation can dismiss employees ‘lawfully’ during the transfer process if they can prove an economic, technical or organisational (ETO) reason. For example, if the new organisation who has accepted the new business is currently upgrading their technology by using more machinery rather than staff then this would be an ETO reason as they do not need as many members of staff. Taylor and Wilkinson (in Taylor and Woodhams 2016) argue that although employees are seen to be protected through TUPE, they are technically unable to challenge the transfer process. </w:t>
      </w:r>
      <w:r w:rsidRPr="00D16CAA">
        <w:rPr>
          <w:rFonts w:cs="Arial"/>
          <w:color w:val="000000" w:themeColor="text1"/>
        </w:rPr>
        <w:br/>
      </w:r>
      <w:r w:rsidRPr="00D16CAA">
        <w:rPr>
          <w:rFonts w:cs="Arial"/>
          <w:color w:val="000000" w:themeColor="text1"/>
        </w:rPr>
        <w:br/>
      </w:r>
    </w:p>
    <w:p w14:paraId="197F9BF2" w14:textId="77777777" w:rsidR="00D16CAA" w:rsidRDefault="00D16CAA" w:rsidP="00D16CAA">
      <w:pPr>
        <w:rPr>
          <w:rFonts w:cs="Arial"/>
          <w:color w:val="000000" w:themeColor="text1"/>
        </w:rPr>
      </w:pPr>
      <w:r w:rsidRPr="00D16CAA">
        <w:rPr>
          <w:rFonts w:cs="Arial"/>
          <w:b/>
          <w:bCs/>
          <w:color w:val="000000" w:themeColor="text1"/>
          <w:u w:val="single"/>
        </w:rPr>
        <w:t xml:space="preserve">Question 4 </w:t>
      </w:r>
      <w:r w:rsidRPr="00D16CAA">
        <w:rPr>
          <w:rFonts w:cs="Arial"/>
          <w:color w:val="000000" w:themeColor="text1"/>
        </w:rPr>
        <w:br/>
      </w:r>
      <w:r w:rsidRPr="00D16CAA">
        <w:rPr>
          <w:rFonts w:cs="Arial"/>
          <w:color w:val="000000" w:themeColor="text1"/>
        </w:rPr>
        <w:br/>
        <w:t xml:space="preserve">Before summarising fundamental employee rights, it is essential to understand who an employee is. There are many laws in relation to employment, but they do not cover everyone who works. Daniels (2019) reveals that there are three classifications for people who work which are employee, self-employed and worker. To determine what classification is correct, an Employment Tribunal will run a selection of tests to figure out whether there is an employment relationship or not. If someone has signed a contract of employment, wears a uniform, works certain hours and carries out set duties then this is an employee. Someone who works their own hours, provides their own equipment, has control over what they do and what they charge are classed as self-employed. Workers however, fit into neither of these classifications fully. </w:t>
      </w:r>
      <w:r w:rsidRPr="00D16CAA">
        <w:rPr>
          <w:rFonts w:cs="Arial"/>
          <w:color w:val="000000" w:themeColor="text1"/>
        </w:rPr>
        <w:br/>
      </w:r>
      <w:r w:rsidRPr="00D16CAA">
        <w:rPr>
          <w:rFonts w:cs="Arial"/>
          <w:color w:val="000000" w:themeColor="text1"/>
        </w:rPr>
        <w:br/>
      </w:r>
      <w:r w:rsidRPr="00D16CAA">
        <w:rPr>
          <w:rFonts w:cs="Arial"/>
          <w:color w:val="000000" w:themeColor="text1"/>
        </w:rPr>
        <w:lastRenderedPageBreak/>
        <w:t>The hours we work and how much we are paid are reasonably important and according to Taylor and Wilkinson (in Taylor and Woodhams 2016) these features can also have an impact on productivity and loyalty to an organisation. The National Minimum Wage (NMW) and National Living Wage (NLW) rates alter every April to ensure an employee is paid at a minimum hourly rate of pay. What rate depends on age and whether they are an apprentice. Daniels (2019) confirms an employee and worker are both eligible for this and if an employer is found guilty of evading, there are severe consequences. An employment contract found to offer a salary below NMW is void. Employees have the right to pay statements explaining their earnings and any deductions.</w:t>
      </w:r>
      <w:r w:rsidRPr="00D16CAA">
        <w:rPr>
          <w:rFonts w:cs="Arial"/>
          <w:color w:val="000000" w:themeColor="text1"/>
        </w:rPr>
        <w:br/>
      </w:r>
      <w:r w:rsidRPr="00D16CAA">
        <w:rPr>
          <w:rFonts w:cs="Arial"/>
          <w:color w:val="000000" w:themeColor="text1"/>
        </w:rPr>
        <w:br/>
        <w:t xml:space="preserve">The Working Time Regulations 1998 according to Daniels (2019) was applied in order to protect employee’s health and wellbeing by making sure they have adequate breaks, days off and work acceptable hours. Both employees and workers are entitled to 28 days annual leave each year and that includes 8 bank holidays. The maximum working hours including overtime must not exceed 48 hours. All employees and workers are entitled to a break whilst working but how long for, depends on their age as young workers are protected. For the majority, working over 6 hours warrants a break for 20 minutes or longer. A 24-hour shift requires an 11 hours’ rest period and a day off must be granted in a 7-day period. Taylor and Wilkinson (in Taylor and Woodhams 2016) confirm that these regulations are complicated, but it is important to know there are three exemptions. Employees are allowed to work over 48 hours in a week, but the hours must be averaged out over 17 weeks. Staff are permitted to opt out of the maximum 48 hour working week by signing a declaration and they are able to opt back in. Depending on the organisation and business needs, there are ways in which the regulations can vary, and this is known as a workforce agreement. </w:t>
      </w:r>
      <w:r w:rsidRPr="00D16CAA">
        <w:rPr>
          <w:rFonts w:cs="Arial"/>
          <w:color w:val="000000" w:themeColor="text1"/>
        </w:rPr>
        <w:br/>
      </w:r>
      <w:r w:rsidRPr="00D16CAA">
        <w:rPr>
          <w:rFonts w:cs="Arial"/>
          <w:color w:val="000000" w:themeColor="text1"/>
        </w:rPr>
        <w:br/>
        <w:t xml:space="preserve">According to Daniels (2019) employees are able to take maternity leave as long as they are employed which includes those already working and those who have signed and accepted a job offer but not necessarily started working. There are three stages of maternity leave which are compulsory, ordinary and additional which start from the due date up to a year. It is up to the pregnant woman on how long she takes off, but it must be a minimum of two weeks which is compulsory maternity leave. Taylor and Wilkinson (in Taylor and Woodhams 2016) add that employers are now authorised to keep in touch with employees on maternity leave to discuss any important changes within the organisation and plans to return to work. Employers must pay Statutory Maternity Pay (SMP) that is 90% of income for the first six weeks then goes down to a standard weekly rate, which Daniels (2019) discloses can be more if the employer wants to. </w:t>
      </w:r>
      <w:r w:rsidRPr="00D16CAA">
        <w:rPr>
          <w:rFonts w:cs="Arial"/>
          <w:color w:val="000000" w:themeColor="text1"/>
        </w:rPr>
        <w:br/>
      </w:r>
      <w:r w:rsidRPr="00D16CAA">
        <w:rPr>
          <w:rFonts w:cs="Arial"/>
          <w:color w:val="000000" w:themeColor="text1"/>
        </w:rPr>
        <w:br/>
        <w:t>Taylor and Wilkinson (in Taylor and Woodhams 2016) advise that fathers are allowed paternity leave which is up to two weeks paid and has to be taken within fifty-six days of the child being born or in the case of adoption, child arriving. Here Statutory Paternity Pay (SPP) or Statutory Adoption Pay (SAP) applies and both are paid the same as SMP. There is also the option of Shared Parental Leave (SPL) which according to Daniels (2019) was introduced in 2014 and is when an employee divides their leave with their partner.</w:t>
      </w:r>
      <w:r w:rsidRPr="00D16CAA">
        <w:rPr>
          <w:rFonts w:cs="Arial"/>
          <w:color w:val="000000" w:themeColor="text1"/>
        </w:rPr>
        <w:br/>
        <w:t>There are other rights which are family-friendly which employees are allowed to request but not necessarily entitled to. Employees can ask for flexible working, four months parental leave unpaid and time off to deal with family matters unpaid according to Taylor and Wilkinson (in Taylor and Woodhams 2016). However, the employer is able to deny requests with respectable reasons such as it affects the business. Daniels (2019) suggests the world of work has changed greatly over the years and people now want more of a work-life balance. The Government requires people to work but understands family time is equally important.</w:t>
      </w:r>
      <w:r w:rsidRPr="00D16CAA">
        <w:rPr>
          <w:rFonts w:cs="Arial"/>
          <w:color w:val="000000" w:themeColor="text1"/>
        </w:rPr>
        <w:br/>
      </w:r>
    </w:p>
    <w:p w14:paraId="218B0C5B" w14:textId="77777777" w:rsidR="00D16CAA" w:rsidRDefault="00D16CAA" w:rsidP="00D16CAA">
      <w:pPr>
        <w:rPr>
          <w:rFonts w:cs="Arial"/>
          <w:color w:val="000000" w:themeColor="text1"/>
        </w:rPr>
      </w:pPr>
    </w:p>
    <w:p w14:paraId="513C5E5D" w14:textId="4F8E4F75" w:rsidR="00D16CAA" w:rsidRPr="00D16CAA" w:rsidRDefault="00D16CAA" w:rsidP="00D16CAA">
      <w:pPr>
        <w:rPr>
          <w:rFonts w:cs="Arial"/>
          <w:color w:val="000000" w:themeColor="text1"/>
        </w:rPr>
      </w:pPr>
      <w:r w:rsidRPr="00D16CAA">
        <w:rPr>
          <w:rFonts w:cs="Arial"/>
          <w:b/>
          <w:bCs/>
          <w:color w:val="000000" w:themeColor="text1"/>
          <w:u w:val="single"/>
        </w:rPr>
        <w:t>Question 5</w:t>
      </w:r>
      <w:r w:rsidRPr="00D16CAA">
        <w:rPr>
          <w:rFonts w:cs="Arial"/>
          <w:color w:val="000000" w:themeColor="text1"/>
        </w:rPr>
        <w:br/>
      </w:r>
      <w:r w:rsidRPr="00D16CAA">
        <w:rPr>
          <w:rFonts w:cs="Arial"/>
          <w:color w:val="000000" w:themeColor="text1"/>
        </w:rPr>
        <w:br/>
      </w:r>
      <w:r w:rsidRPr="00D16CAA">
        <w:rPr>
          <w:rFonts w:cs="Arial"/>
          <w:color w:val="000000" w:themeColor="text1"/>
        </w:rPr>
        <w:lastRenderedPageBreak/>
        <w:t xml:space="preserve">Taylor and Wilkinson (in Taylor and Woodhams 2016) explain there are a number of regulations regarding health and safety within the workplace such as the Health and Safety at Work Act 1974 (HASAWA). The HASAWA is the main legislation as it covers a range of rules and duties that all employers must follow. Daniels (2019) advises there are other regulations but are subject to the organisation’s purpose. For example, the Personal Protective Equipment (PPE) Regulations 1992 would be enforced in a factory but perhaps not an office. Regarding the HASAWA, Taylor and Wilkinson (in Taylor and Woodhams 2016) confirm employers must provide a suitable and safe place to work, reliable equipment, capable staff and relevant training. There must also be a health and safety policy in place for an organisation employing over five members of staff. Risk assessments must be completed regularly and recorded to reduce risks. </w:t>
      </w:r>
      <w:r w:rsidRPr="00D16CAA">
        <w:rPr>
          <w:rFonts w:cs="Arial"/>
          <w:color w:val="000000" w:themeColor="text1"/>
        </w:rPr>
        <w:br/>
      </w:r>
      <w:r w:rsidRPr="00D16CAA">
        <w:rPr>
          <w:rFonts w:cs="Arial"/>
          <w:color w:val="000000" w:themeColor="text1"/>
        </w:rPr>
        <w:br/>
        <w:t>Daniels (2019) discloses if an organisation is found to break health and safety laws, this is tort and links back to civil law as negligence. If found guilty, the employer could face a substantial fine or imprisonment. There are also duties that employees must follow within the HASAWA such as taking care while at work and working with the employer to ensure health and safety requirements are met. Employees can do this by wearing PPE correctly and notifying management of any dangers at work. It is essential for employees to understand that they are also liable and can be prosecuted for breaching certain health and safety regulations, particularly Reporting of Injuries, Diseases and Dangerous Occurrences Regulations (RIDDOR) 1995 and Control of Substances Hazardous to Health Regulations (COSHH) amended 2002.</w:t>
      </w:r>
      <w:r w:rsidRPr="00D16CAA">
        <w:rPr>
          <w:rFonts w:cs="Arial"/>
          <w:color w:val="000000" w:themeColor="text1"/>
        </w:rPr>
        <w:br/>
      </w:r>
      <w:r w:rsidRPr="00D16CAA">
        <w:rPr>
          <w:rFonts w:cs="Arial"/>
          <w:color w:val="000000" w:themeColor="text1"/>
        </w:rPr>
        <w:br/>
        <w:t xml:space="preserve">There have been various Acts and Regulations put in place to help protect people such as the Race Relations Act 1976. It could be argued that due to the numerous of Acts available at the time, it was confusing for those wanting to find what they should be aware of. This could also be why the Equality Act 2010 was initially introduced. The CIPD (2020) explains everyone is different but should be treated the same. Diversity is all about differences and being aware of them. It is vital for an organisation to support this but to also implement and promote. It is clear that diversity, inclusion and equality are all connected. The key legislation supporting this is the Equality Act 2010 and Daniels (2019) confirms this act covers all areas of discrimination and its purpose is to protect. The CIPD (2020) continues to promote diversity and inclusion within organisations and argues that it’s not just about giving people equal opportunities but ensuring all staff feel included and valued. The Equality and Human Rights Commission (2021) provide plenty of guidance and useful information for organisations to utilise. Equality falls in line with diversity and inclusion within the Equality Act 2010 but within this act, there is also the subject of equal pay. Daniels (2019) states equal pay involves comparing what men and women are paid. However, equal pay isn’t just about salary it involves all aspects of an employment contract such as the terms and conditions and company benefits. </w:t>
      </w:r>
      <w:r w:rsidRPr="00D16CAA">
        <w:rPr>
          <w:rFonts w:cs="Arial"/>
          <w:color w:val="000000" w:themeColor="text1"/>
        </w:rPr>
        <w:br/>
      </w:r>
      <w:r w:rsidRPr="00D16CAA">
        <w:rPr>
          <w:rFonts w:cs="Arial"/>
          <w:color w:val="000000" w:themeColor="text1"/>
        </w:rPr>
        <w:br/>
        <w:t xml:space="preserve">There are implied duties which both the employer and employee are responsible for in the workplace. Daniels (2019) advises that these duties are implied but also obligated. An employer has many responsibilities such as to supply work, which can be ambiguous on times and this violates the contract of employment. The organisation must be able to give a reference if required and take care when doing so as any false information can result in a claim against the employer. There is a requirement for the employer to pay a salary to all members of staff covering their employment period. The organisation is responsible for any losses or liabilities incurred by the employee such as reimbursing any travel costs to attend a meeting across the country. There are other obligations which the employer must adhere to which include supporting anti-bullying in the workplace, keeping staff up to date with changes in policies that could affect them, managing grievance efficiently and respecting employee confidentiality. </w:t>
      </w:r>
      <w:r w:rsidRPr="00D16CAA">
        <w:rPr>
          <w:rFonts w:cs="Arial"/>
          <w:color w:val="000000" w:themeColor="text1"/>
        </w:rPr>
        <w:br/>
      </w:r>
      <w:r w:rsidRPr="00D16CAA">
        <w:rPr>
          <w:rFonts w:cs="Arial"/>
          <w:color w:val="000000" w:themeColor="text1"/>
        </w:rPr>
        <w:br/>
        <w:t xml:space="preserve">One could agree that these obligations all connect to the relationship between the employer </w:t>
      </w:r>
      <w:r w:rsidRPr="00D16CAA">
        <w:rPr>
          <w:rFonts w:cs="Arial"/>
          <w:color w:val="000000" w:themeColor="text1"/>
        </w:rPr>
        <w:lastRenderedPageBreak/>
        <w:t xml:space="preserve">and employee where there should be confidence and trust. In contrast, without these the relationship is ineffective and challenging. As mentioned previously, health and safety within the workplace is another obligation but this must be followed by both the employer and employee. The employee has other duties such as maintaining the relationship with the employer. The employee must follow all duties given by the employer as long as these duties are practical and lawful. Finally, the employee has signed a contract of employment with an organisation therefore they must be loyal. For example, if an employee discovers another member of staff breaching protocol, then they have a duty to report this to avoid further damage. </w:t>
      </w:r>
      <w:r w:rsidRPr="00D16CAA">
        <w:rPr>
          <w:rFonts w:cs="Arial"/>
          <w:color w:val="000000" w:themeColor="text1"/>
        </w:rPr>
        <w:br/>
      </w:r>
      <w:r w:rsidRPr="00D16CAA">
        <w:rPr>
          <w:rFonts w:cs="Arial"/>
          <w:color w:val="000000" w:themeColor="text1"/>
        </w:rPr>
        <w:br/>
      </w:r>
    </w:p>
    <w:p w14:paraId="13FCF28D" w14:textId="08415FBC" w:rsidR="00D16CAA" w:rsidRPr="00D16CAA" w:rsidRDefault="00D16CAA" w:rsidP="00D16CAA">
      <w:pPr>
        <w:rPr>
          <w:rFonts w:cs="Arial"/>
          <w:color w:val="000000" w:themeColor="text1"/>
        </w:rPr>
      </w:pPr>
      <w:r w:rsidRPr="00D16CAA">
        <w:rPr>
          <w:rFonts w:cs="Arial"/>
          <w:b/>
          <w:bCs/>
          <w:color w:val="000000" w:themeColor="text1"/>
          <w:u w:val="single"/>
        </w:rPr>
        <w:t>Question 6</w:t>
      </w:r>
      <w:r w:rsidRPr="00D16CAA">
        <w:rPr>
          <w:rFonts w:cs="Arial"/>
          <w:color w:val="000000" w:themeColor="text1"/>
        </w:rPr>
        <w:br/>
      </w:r>
      <w:r w:rsidRPr="00D16CAA">
        <w:rPr>
          <w:rFonts w:cs="Arial"/>
          <w:color w:val="000000" w:themeColor="text1"/>
        </w:rPr>
        <w:br/>
        <w:t xml:space="preserve">A skill or knowledge is an employment capability according to Daniels (2019) which an employer can justifiably use as a reason for dismissing someone. Performance, redundancy, legal ban, capability and further significant reasons are listed in the Employment Rights Act 1996 as grounds for dismissal that are reasonable. Daniels (2019) explains that an organisation must clearly declare on a job advertisement and during the recruitment process what the position involves, training requirements and the procedures in place for not meeting the standards required. An organisation must be able to show that various methods have been offered and tried before disciplinary action is taken such as providing further training. Taylor and Wilkinson (in Taylor and Woodhams 2016) add that dismissal is challenging especially when it is because someone cannot or can no longer do their job. However, it is debated that the principles for capability are similar to misconduct. An organisation must have company procedures in place, which they must follow along with the ACAS Code of Practice: Disciplinary and Grievance Procedures (2015). The CIPD (2020) advise if an organisation doesn’t comply with ACAS, a claim can be adjusted in </w:t>
      </w:r>
      <w:r w:rsidRPr="00D16CAA">
        <w:rPr>
          <w:rFonts w:cs="Arial"/>
          <w:color w:val="000000" w:themeColor="text1"/>
        </w:rPr>
        <w:t>favor</w:t>
      </w:r>
      <w:r w:rsidRPr="00D16CAA">
        <w:rPr>
          <w:rFonts w:cs="Arial"/>
          <w:color w:val="000000" w:themeColor="text1"/>
        </w:rPr>
        <w:t xml:space="preserve"> of the employee by up to 25%. Considering the legality for dismissing an employee due to capability, it is vital for an organisation be aware of ill health and to further understand the requirements that fall under the Equality Act 2010. It is clear that if an organisation fails to follow company guidelines and the procedures put in place by ACAS (2015) then a dismissal is unfair. </w:t>
      </w:r>
      <w:r w:rsidRPr="00D16CAA">
        <w:rPr>
          <w:rFonts w:cs="Arial"/>
          <w:color w:val="000000" w:themeColor="text1"/>
        </w:rPr>
        <w:br/>
      </w:r>
      <w:r w:rsidRPr="00D16CAA">
        <w:rPr>
          <w:rFonts w:cs="Arial"/>
          <w:color w:val="000000" w:themeColor="text1"/>
        </w:rPr>
        <w:br/>
        <w:t xml:space="preserve">Daniels (2019) explains conduct covers both misconduct and gross misconduct. Gross misconduct is a severe offence which results in immediate dismissal effective immediately. Misconduct covers minor offences such as absences or poor performance that are managed through a disciplinary procedure such as a range of warnings which can lead to a dismissal. Similarly to capability, an organisation must be able to prove that an employee has committed an offence and appropriate steps of action have been taken. Like capability, dismissing a member of staff on the grounds of conduct may be reasonable and justified. The CIPD (2020) explain there should be at least three stages of a disciplinary procedure and thorough records should be kept as evidence. Daniels (2019) confirms step one involves the employer writing to the employee specifically confirming disciplinary and meeting details. Step two is the meeting where the allegations are formally discussed, and step three is another meeting which finalises the outcome and actions to be taken if any. An employee has the right to appeal the decision and is allowed to be accompanied. Here it is crucial for an organisation to be aware of the Employment Rights Act 1996, ACAS Code of Practice: Disciplinary and Grievance Procedures and potentially the Equality Act 2010. As previously disclosed, gross miscount signifies dismissal without notice, however it is vital if an employer does this then it must be done lawfully. Taylor and Wilkinson (in Taylor and Woodhams 2016) imply that as there is a process in place for employees faced with misconduct and poor performance then legally, there should be something equivalent for gross misconduct. If an employee is dismissed due to gross misconduct, they are entitled to appeal this decision. The health and wellbeing of an employee during this process should remain a priority of the organisation, no matter what the outcome according the CIPD (2020). </w:t>
      </w:r>
      <w:r w:rsidRPr="00D16CAA">
        <w:rPr>
          <w:rFonts w:cs="Arial"/>
          <w:color w:val="000000" w:themeColor="text1"/>
        </w:rPr>
        <w:br/>
      </w:r>
      <w:r w:rsidRPr="00D16CAA">
        <w:rPr>
          <w:rFonts w:cs="Arial"/>
          <w:color w:val="000000" w:themeColor="text1"/>
        </w:rPr>
        <w:br/>
      </w:r>
      <w:r w:rsidRPr="00D16CAA">
        <w:rPr>
          <w:rFonts w:cs="Arial"/>
          <w:color w:val="000000" w:themeColor="text1"/>
        </w:rPr>
        <w:lastRenderedPageBreak/>
        <w:t xml:space="preserve">If an employee has an issue or worry, they may contact their employer, and this is a grievance. The CIPD (2020) confirm that discrimination, bullying and issues regarding their contract of employment are examples of some concerns that may cause grievances. As previously explained on topic of misconduct, there must be procedures in place in order to deal with grievance efficiently and lawfully. The Employment Rights Act 1996, Employment Relations Act 1999 and Equality Act 2010 must all be understood and followed, along with the ACAS Code of Practice: Disciplinary and Grievance Procedures which isn’t a legislation, but Daniels (2019) corroborates is necessary. According to the CIPD (2020) information relating grievance, disciplinary and dismissal processes must be available to all employees whether it is in an employment contract or staff manual. Daniels (2019) explains that although an organisation must follow a grievance process correctly, there is no legal obligation to follow precise rules, which means an employer can decide how long a grievance will stay on an employee’s record. A grievance process is similar to a disciplinary as there are three steps involved and the employee has the right to be accompanied during the investigation. The CIPD (2020) suggest it is also essential for an organisation to try and solve a grievance, informally and if that fails then formally. However, Daniels (2019) adds that an employee can go straight to the Employment Tribunal without the requirement of consulting their employer by completing a ET1 claim form. </w:t>
      </w:r>
      <w:r w:rsidRPr="00D16CAA">
        <w:rPr>
          <w:rFonts w:cs="Arial"/>
          <w:color w:val="000000" w:themeColor="text1"/>
        </w:rPr>
        <w:br/>
      </w:r>
      <w:r w:rsidRPr="00D16CAA">
        <w:rPr>
          <w:rFonts w:cs="Arial"/>
          <w:color w:val="000000" w:themeColor="text1"/>
        </w:rPr>
        <w:br/>
      </w:r>
      <w:r w:rsidRPr="00D16CAA">
        <w:rPr>
          <w:rFonts w:cs="Arial"/>
          <w:color w:val="000000" w:themeColor="text1"/>
        </w:rPr>
        <w:br/>
      </w:r>
      <w:r w:rsidRPr="00D16CAA">
        <w:rPr>
          <w:rFonts w:cs="Arial"/>
          <w:b/>
          <w:bCs/>
          <w:color w:val="000000" w:themeColor="text1"/>
          <w:u w:val="single"/>
        </w:rPr>
        <w:t>References/Bibliography</w:t>
      </w:r>
      <w:r w:rsidRPr="00D16CAA">
        <w:rPr>
          <w:color w:val="000000" w:themeColor="text1"/>
        </w:rPr>
        <w:br/>
      </w:r>
    </w:p>
    <w:p w14:paraId="69F1B9C0" w14:textId="77777777" w:rsidR="00D16CAA" w:rsidRPr="00D16CAA" w:rsidRDefault="00D16CAA" w:rsidP="00D16CAA">
      <w:pPr>
        <w:rPr>
          <w:rFonts w:cs="Arial"/>
          <w:color w:val="000000" w:themeColor="text1"/>
        </w:rPr>
      </w:pPr>
      <w:r w:rsidRPr="00D16CAA">
        <w:rPr>
          <w:rFonts w:cs="Arial"/>
          <w:color w:val="000000" w:themeColor="text1"/>
        </w:rPr>
        <w:t xml:space="preserve">ACAS (2021) Changing an employment contract. Available at: https://www.acas.org.uk/changing-an-employment-contract/check-if-the-contract-allows-a-change </w:t>
      </w:r>
      <w:r w:rsidRPr="00D16CAA">
        <w:rPr>
          <w:rFonts w:cs="Arial"/>
          <w:color w:val="000000" w:themeColor="text1"/>
          <w:shd w:val="clear" w:color="auto" w:fill="FFFFFF"/>
        </w:rPr>
        <w:t>(Accessed: 13 March 2021)</w:t>
      </w:r>
      <w:r w:rsidRPr="00D16CAA">
        <w:rPr>
          <w:rFonts w:cs="Arial"/>
          <w:color w:val="000000" w:themeColor="text1"/>
          <w:shd w:val="clear" w:color="auto" w:fill="FFFFFF"/>
        </w:rPr>
        <w:br/>
      </w:r>
      <w:r w:rsidRPr="00D16CAA">
        <w:rPr>
          <w:rFonts w:cs="Arial"/>
          <w:color w:val="000000" w:themeColor="text1"/>
          <w:shd w:val="clear" w:color="auto" w:fill="FFFFFF"/>
        </w:rPr>
        <w:br/>
        <w:t xml:space="preserve">ACAS (2015) </w:t>
      </w:r>
      <w:r w:rsidRPr="00D16CAA">
        <w:rPr>
          <w:rFonts w:cs="Arial"/>
          <w:i/>
          <w:iCs/>
          <w:color w:val="000000" w:themeColor="text1"/>
          <w:shd w:val="clear" w:color="auto" w:fill="FFFFFF"/>
        </w:rPr>
        <w:t>Code of Practice on disciplinary and grievance procedures.</w:t>
      </w:r>
      <w:r w:rsidRPr="00D16CAA">
        <w:rPr>
          <w:rFonts w:cs="Arial"/>
          <w:color w:val="000000" w:themeColor="text1"/>
          <w:shd w:val="clear" w:color="auto" w:fill="FFFFFF"/>
        </w:rPr>
        <w:t xml:space="preserve"> </w:t>
      </w:r>
      <w:r w:rsidRPr="00D16CAA">
        <w:rPr>
          <w:rFonts w:cs="Arial"/>
          <w:color w:val="000000" w:themeColor="text1"/>
        </w:rPr>
        <w:t xml:space="preserve">11 March 2015. Available at: https://www.acas.org.uk/acas-code-of-practice-on-disciplinary-and-grievance-procedures </w:t>
      </w:r>
      <w:r w:rsidRPr="00D16CAA">
        <w:rPr>
          <w:rFonts w:cs="Arial"/>
          <w:color w:val="000000" w:themeColor="text1"/>
          <w:shd w:val="clear" w:color="auto" w:fill="FFFFFF"/>
        </w:rPr>
        <w:t>(Accessed: 17 March 2021)</w:t>
      </w:r>
      <w:r w:rsidRPr="00D16CAA">
        <w:rPr>
          <w:rFonts w:cs="Arial"/>
          <w:color w:val="000000" w:themeColor="text1"/>
        </w:rPr>
        <w:br/>
      </w:r>
      <w:r w:rsidRPr="00D16CAA">
        <w:rPr>
          <w:rFonts w:cs="Arial"/>
          <w:color w:val="000000" w:themeColor="text1"/>
        </w:rPr>
        <w:br/>
        <w:t xml:space="preserve">Taylor, S. and Woodhams, C. (2016a) </w:t>
      </w:r>
      <w:r w:rsidRPr="00D16CAA">
        <w:rPr>
          <w:rFonts w:cs="Arial"/>
          <w:i/>
          <w:iCs/>
          <w:color w:val="000000" w:themeColor="text1"/>
        </w:rPr>
        <w:t>Human Resource Management: People and Organisations.</w:t>
      </w:r>
      <w:r w:rsidRPr="00D16CAA">
        <w:rPr>
          <w:rFonts w:cs="Arial"/>
          <w:color w:val="000000" w:themeColor="text1"/>
        </w:rPr>
        <w:t xml:space="preserve"> 2</w:t>
      </w:r>
      <w:r w:rsidRPr="00D16CAA">
        <w:rPr>
          <w:rFonts w:cs="Arial"/>
          <w:color w:val="000000" w:themeColor="text1"/>
          <w:vertAlign w:val="superscript"/>
        </w:rPr>
        <w:t>nd</w:t>
      </w:r>
      <w:r w:rsidRPr="00D16CAA">
        <w:rPr>
          <w:rFonts w:cs="Arial"/>
          <w:color w:val="000000" w:themeColor="text1"/>
        </w:rPr>
        <w:t xml:space="preserve"> Ed. London: CIPD</w:t>
      </w:r>
      <w:r w:rsidRPr="00D16CAA">
        <w:rPr>
          <w:rFonts w:cs="Arial"/>
          <w:color w:val="000000" w:themeColor="text1"/>
        </w:rPr>
        <w:br/>
      </w:r>
      <w:r w:rsidRPr="00D16CAA">
        <w:rPr>
          <w:rFonts w:cs="Arial"/>
          <w:color w:val="000000" w:themeColor="text1"/>
        </w:rPr>
        <w:br/>
      </w:r>
      <w:r w:rsidRPr="00D16CAA">
        <w:rPr>
          <w:rFonts w:cs="Arial"/>
          <w:color w:val="000000" w:themeColor="text1"/>
          <w:shd w:val="clear" w:color="auto" w:fill="FFFFFF"/>
        </w:rPr>
        <w:t xml:space="preserve">CIPD (2012) </w:t>
      </w:r>
      <w:r w:rsidRPr="00D16CAA">
        <w:rPr>
          <w:rFonts w:cs="Arial"/>
          <w:i/>
          <w:iCs/>
          <w:color w:val="000000" w:themeColor="text1"/>
          <w:shd w:val="clear" w:color="auto" w:fill="FFFFFF"/>
        </w:rPr>
        <w:t>Case law on discrimination in recruitment</w:t>
      </w:r>
      <w:r w:rsidRPr="00D16CAA">
        <w:rPr>
          <w:rFonts w:cs="Arial"/>
          <w:color w:val="000000" w:themeColor="text1"/>
          <w:shd w:val="clear" w:color="auto" w:fill="FFFFFF"/>
        </w:rPr>
        <w:t xml:space="preserve"> [Case] Available at: https://www.cipd.co.uk/knowledge/fundamentals/emp-law/recruitment/discrimination-cases (Accessed: 10 March 2021)</w:t>
      </w:r>
      <w:r w:rsidRPr="00D16CAA">
        <w:rPr>
          <w:rFonts w:cs="Arial"/>
          <w:color w:val="000000" w:themeColor="text1"/>
          <w:shd w:val="clear" w:color="auto" w:fill="FFFFFF"/>
        </w:rPr>
        <w:br/>
      </w:r>
      <w:r w:rsidRPr="00D16CAA">
        <w:rPr>
          <w:rFonts w:cs="Arial"/>
          <w:color w:val="000000" w:themeColor="text1"/>
          <w:shd w:val="clear" w:color="auto" w:fill="FFFFFF"/>
        </w:rPr>
        <w:br/>
        <w:t xml:space="preserve">CIPD (2020) </w:t>
      </w:r>
      <w:r w:rsidRPr="00D16CAA">
        <w:rPr>
          <w:rFonts w:cs="Arial"/>
          <w:i/>
          <w:iCs/>
          <w:color w:val="000000" w:themeColor="text1"/>
          <w:shd w:val="clear" w:color="auto" w:fill="FFFFFF"/>
        </w:rPr>
        <w:t>Contracts of employment.</w:t>
      </w:r>
      <w:r w:rsidRPr="00D16CAA">
        <w:rPr>
          <w:rFonts w:cs="Arial"/>
          <w:color w:val="000000" w:themeColor="text1"/>
          <w:shd w:val="clear" w:color="auto" w:fill="FFFFFF"/>
        </w:rPr>
        <w:t xml:space="preserve"> 2 November 2020. [Factsheet] Available at: https://www.cipd.co.uk/knowledge/fundamentals/emp-law/terms-conditions/contracts-factsheet (Accessed: 10 March 2021)</w:t>
      </w:r>
      <w:r w:rsidRPr="00D16CAA">
        <w:rPr>
          <w:rFonts w:cs="Arial"/>
          <w:color w:val="000000" w:themeColor="text1"/>
          <w:shd w:val="clear" w:color="auto" w:fill="FFFFFF"/>
        </w:rPr>
        <w:br/>
      </w:r>
      <w:r w:rsidRPr="00D16CAA">
        <w:rPr>
          <w:rFonts w:cs="Arial"/>
          <w:color w:val="000000" w:themeColor="text1"/>
          <w:shd w:val="clear" w:color="auto" w:fill="FFFFFF"/>
        </w:rPr>
        <w:br/>
        <w:t xml:space="preserve">CIPD (2020) </w:t>
      </w:r>
      <w:r w:rsidRPr="00D16CAA">
        <w:rPr>
          <w:rFonts w:cs="Arial"/>
          <w:i/>
          <w:iCs/>
          <w:color w:val="000000" w:themeColor="text1"/>
          <w:shd w:val="clear" w:color="auto" w:fill="FFFFFF"/>
        </w:rPr>
        <w:t>Diversity and inclusion in the workplace.</w:t>
      </w:r>
      <w:r w:rsidRPr="00D16CAA">
        <w:rPr>
          <w:rFonts w:cs="Arial"/>
          <w:color w:val="000000" w:themeColor="text1"/>
          <w:shd w:val="clear" w:color="auto" w:fill="FFFFFF"/>
        </w:rPr>
        <w:t xml:space="preserve"> 11 May 2020. [Factsheet] Available at: https://www.cipd.co.uk/knowledge/fundamentals/relations/diversity (Accessed: 17 March 2021) </w:t>
      </w:r>
      <w:r w:rsidRPr="00D16CAA">
        <w:rPr>
          <w:rFonts w:cs="Arial"/>
          <w:color w:val="000000" w:themeColor="text1"/>
          <w:shd w:val="clear" w:color="auto" w:fill="FFFFFF"/>
        </w:rPr>
        <w:br/>
      </w:r>
      <w:r w:rsidRPr="00D16CAA">
        <w:rPr>
          <w:rFonts w:cs="Arial"/>
          <w:color w:val="000000" w:themeColor="text1"/>
          <w:shd w:val="clear" w:color="auto" w:fill="FFFFFF"/>
        </w:rPr>
        <w:br/>
        <w:t xml:space="preserve">CIPD (2019) </w:t>
      </w:r>
      <w:r w:rsidRPr="00D16CAA">
        <w:rPr>
          <w:rFonts w:cs="Arial"/>
          <w:i/>
          <w:iCs/>
          <w:color w:val="000000" w:themeColor="text1"/>
          <w:shd w:val="clear" w:color="auto" w:fill="FFFFFF"/>
        </w:rPr>
        <w:t>Employment law in the UK: the court system.</w:t>
      </w:r>
      <w:r w:rsidRPr="00D16CAA">
        <w:rPr>
          <w:rFonts w:cs="Arial"/>
          <w:color w:val="000000" w:themeColor="text1"/>
          <w:shd w:val="clear" w:color="auto" w:fill="FFFFFF"/>
        </w:rPr>
        <w:t xml:space="preserve"> 28 June 2019. [Factsheet] Available at: </w:t>
      </w:r>
      <w:r w:rsidRPr="00D16CAA">
        <w:rPr>
          <w:rFonts w:cs="Arial"/>
          <w:color w:val="000000" w:themeColor="text1"/>
        </w:rPr>
        <w:t xml:space="preserve">https://www.cipd.co.uk/knowledge/fundamentals/emp-law/about/uk-court-system-factsheet </w:t>
      </w:r>
      <w:r w:rsidRPr="00D16CAA">
        <w:rPr>
          <w:rFonts w:cs="Arial"/>
          <w:color w:val="000000" w:themeColor="text1"/>
          <w:shd w:val="clear" w:color="auto" w:fill="FFFFFF"/>
        </w:rPr>
        <w:t>(Accessed: 23 February 2021)</w:t>
      </w:r>
      <w:r w:rsidRPr="00D16CAA">
        <w:rPr>
          <w:rFonts w:cs="Arial"/>
          <w:color w:val="000000" w:themeColor="text1"/>
          <w:shd w:val="clear" w:color="auto" w:fill="FFFFFF"/>
        </w:rPr>
        <w:br/>
      </w:r>
      <w:r w:rsidRPr="00D16CAA">
        <w:rPr>
          <w:rFonts w:cs="Arial"/>
          <w:color w:val="000000" w:themeColor="text1"/>
          <w:shd w:val="clear" w:color="auto" w:fill="FFFFFF"/>
        </w:rPr>
        <w:br/>
        <w:t xml:space="preserve">CIPD (2019) </w:t>
      </w:r>
      <w:r w:rsidRPr="00D16CAA">
        <w:rPr>
          <w:rFonts w:cs="Arial"/>
          <w:i/>
          <w:iCs/>
          <w:color w:val="000000" w:themeColor="text1"/>
          <w:shd w:val="clear" w:color="auto" w:fill="FFFFFF"/>
        </w:rPr>
        <w:t>Employment law in the UK: how it is made.</w:t>
      </w:r>
      <w:r w:rsidRPr="00D16CAA">
        <w:rPr>
          <w:rFonts w:cs="Arial"/>
          <w:color w:val="000000" w:themeColor="text1"/>
          <w:shd w:val="clear" w:color="auto" w:fill="FFFFFF"/>
        </w:rPr>
        <w:t xml:space="preserve"> 28 June 2019. [Factsheet] Available at: </w:t>
      </w:r>
      <w:r w:rsidRPr="00D16CAA">
        <w:rPr>
          <w:rFonts w:cs="Arial"/>
          <w:color w:val="000000" w:themeColor="text1"/>
        </w:rPr>
        <w:t xml:space="preserve">https://www.cipd.co.uk/knowledge/fundamentals/emp-law/about/uk-emp-law-made-factsheet </w:t>
      </w:r>
      <w:r w:rsidRPr="00D16CAA">
        <w:rPr>
          <w:rFonts w:cs="Arial"/>
          <w:color w:val="000000" w:themeColor="text1"/>
          <w:shd w:val="clear" w:color="auto" w:fill="FFFFFF"/>
        </w:rPr>
        <w:t>(Accessed: 23 February 2021)</w:t>
      </w:r>
      <w:r w:rsidRPr="00D16CAA">
        <w:rPr>
          <w:rFonts w:cs="Arial"/>
          <w:color w:val="000000" w:themeColor="text1"/>
          <w:shd w:val="clear" w:color="auto" w:fill="FFFFFF"/>
        </w:rPr>
        <w:br/>
      </w:r>
      <w:r w:rsidRPr="00D16CAA">
        <w:rPr>
          <w:rFonts w:cs="Arial"/>
          <w:color w:val="000000" w:themeColor="text1"/>
          <w:shd w:val="clear" w:color="auto" w:fill="FFFFFF"/>
        </w:rPr>
        <w:br/>
        <w:t xml:space="preserve">CIPD (2020) </w:t>
      </w:r>
      <w:r w:rsidRPr="00D16CAA">
        <w:rPr>
          <w:rFonts w:cs="Arial"/>
          <w:i/>
          <w:iCs/>
          <w:color w:val="000000" w:themeColor="text1"/>
          <w:shd w:val="clear" w:color="auto" w:fill="FFFFFF"/>
        </w:rPr>
        <w:t>Discipline and grievance at work.</w:t>
      </w:r>
      <w:r w:rsidRPr="00D16CAA">
        <w:rPr>
          <w:rFonts w:cs="Arial"/>
          <w:color w:val="000000" w:themeColor="text1"/>
          <w:shd w:val="clear" w:color="auto" w:fill="FFFFFF"/>
        </w:rPr>
        <w:t xml:space="preserve"> 18 August 2020. [Factsheet] Available at: https://www.cipd.co.uk/knowledge/fundamentals/emp-law/discipline/factsheet (Accessed: 18 </w:t>
      </w:r>
      <w:r w:rsidRPr="00D16CAA">
        <w:rPr>
          <w:rFonts w:cs="Arial"/>
          <w:color w:val="000000" w:themeColor="text1"/>
          <w:shd w:val="clear" w:color="auto" w:fill="FFFFFF"/>
        </w:rPr>
        <w:lastRenderedPageBreak/>
        <w:t>March 2021)</w:t>
      </w:r>
      <w:r w:rsidRPr="00D16CAA">
        <w:rPr>
          <w:rFonts w:cs="Arial"/>
          <w:color w:val="000000" w:themeColor="text1"/>
          <w:shd w:val="clear" w:color="auto" w:fill="FFFFFF"/>
        </w:rPr>
        <w:br/>
      </w:r>
      <w:r w:rsidRPr="00D16CAA">
        <w:rPr>
          <w:rFonts w:cs="Arial"/>
          <w:color w:val="000000" w:themeColor="text1"/>
          <w:shd w:val="clear" w:color="auto" w:fill="FFFFFF"/>
        </w:rPr>
        <w:br/>
        <w:t xml:space="preserve">CIPD (2020) </w:t>
      </w:r>
      <w:r w:rsidRPr="00D16CAA">
        <w:rPr>
          <w:rFonts w:cs="Arial"/>
          <w:i/>
          <w:iCs/>
          <w:color w:val="000000" w:themeColor="text1"/>
          <w:shd w:val="clear" w:color="auto" w:fill="FFFFFF"/>
        </w:rPr>
        <w:t>Discipline and grievance procedures Q&amp;A’s.</w:t>
      </w:r>
      <w:r w:rsidRPr="00D16CAA">
        <w:rPr>
          <w:rFonts w:cs="Arial"/>
          <w:color w:val="000000" w:themeColor="text1"/>
          <w:shd w:val="clear" w:color="auto" w:fill="FFFFFF"/>
        </w:rPr>
        <w:t xml:space="preserve"> 1 December 2020. [Questions] Available at: https://www.cipd.co.uk/knowledge/fundamentals/emp-law/discipline/questions (Accessed: 18 March 2021)</w:t>
      </w:r>
      <w:r w:rsidRPr="00D16CAA">
        <w:rPr>
          <w:rFonts w:cs="Arial"/>
          <w:color w:val="000000" w:themeColor="text1"/>
          <w:shd w:val="clear" w:color="auto" w:fill="FFFFFF"/>
        </w:rPr>
        <w:br/>
      </w:r>
      <w:r w:rsidRPr="00D16CAA">
        <w:rPr>
          <w:rFonts w:cs="Arial"/>
          <w:color w:val="000000" w:themeColor="text1"/>
          <w:shd w:val="clear" w:color="auto" w:fill="FFFFFF"/>
        </w:rPr>
        <w:br/>
        <w:t xml:space="preserve">CIPD (2021) </w:t>
      </w:r>
      <w:r w:rsidRPr="00D16CAA">
        <w:rPr>
          <w:rFonts w:cs="Arial"/>
          <w:i/>
          <w:iCs/>
          <w:color w:val="000000" w:themeColor="text1"/>
          <w:shd w:val="clear" w:color="auto" w:fill="FFFFFF"/>
        </w:rPr>
        <w:t>Recruitment and selection Q&amp;As.</w:t>
      </w:r>
      <w:r w:rsidRPr="00D16CAA">
        <w:rPr>
          <w:rFonts w:cs="Arial"/>
          <w:color w:val="000000" w:themeColor="text1"/>
          <w:shd w:val="clear" w:color="auto" w:fill="FFFFFF"/>
        </w:rPr>
        <w:t xml:space="preserve"> 10 March 2021. [Knowledge] Available at: https://www.cipd.co.uk/knowledge/fundamentals/emp-law/recruitment/questions (Accessed: 21 March 2021)</w:t>
      </w:r>
      <w:r w:rsidRPr="00D16CAA">
        <w:rPr>
          <w:rFonts w:cs="Arial"/>
          <w:color w:val="000000" w:themeColor="text1"/>
          <w:shd w:val="clear" w:color="auto" w:fill="FFFFFF"/>
        </w:rPr>
        <w:br/>
      </w:r>
      <w:r w:rsidRPr="00D16CAA">
        <w:rPr>
          <w:rFonts w:cs="Arial"/>
          <w:color w:val="000000" w:themeColor="text1"/>
          <w:shd w:val="clear" w:color="auto" w:fill="FFFFFF"/>
        </w:rPr>
        <w:br/>
        <w:t xml:space="preserve">CIPD (2020) </w:t>
      </w:r>
      <w:r w:rsidRPr="00D16CAA">
        <w:rPr>
          <w:rFonts w:cs="Arial"/>
          <w:i/>
          <w:iCs/>
          <w:color w:val="000000" w:themeColor="text1"/>
          <w:shd w:val="clear" w:color="auto" w:fill="FFFFFF"/>
        </w:rPr>
        <w:t>Redundancy: an introduction.</w:t>
      </w:r>
      <w:r w:rsidRPr="00D16CAA">
        <w:rPr>
          <w:rFonts w:cs="Arial"/>
          <w:color w:val="000000" w:themeColor="text1"/>
          <w:shd w:val="clear" w:color="auto" w:fill="FFFFFF"/>
        </w:rPr>
        <w:t xml:space="preserve"> 29 September 2020. [Factsheet] Available at: https://www.cipd.co.uk/knowledge/fundamentals/emp-law/redundancy/factsheet (Accessed: 13 March 2021)</w:t>
      </w:r>
      <w:r w:rsidRPr="00D16CAA">
        <w:rPr>
          <w:rFonts w:cs="Arial"/>
          <w:color w:val="000000" w:themeColor="text1"/>
          <w:shd w:val="clear" w:color="auto" w:fill="FFFFFF"/>
        </w:rPr>
        <w:br/>
      </w:r>
      <w:r w:rsidRPr="00D16CAA">
        <w:rPr>
          <w:rFonts w:cs="Arial"/>
          <w:color w:val="000000" w:themeColor="text1"/>
          <w:shd w:val="clear" w:color="auto" w:fill="FFFFFF"/>
        </w:rPr>
        <w:br/>
        <w:t xml:space="preserve">CIPD (2020) </w:t>
      </w:r>
      <w:r w:rsidRPr="00D16CAA">
        <w:rPr>
          <w:rFonts w:cs="Arial"/>
          <w:i/>
          <w:iCs/>
          <w:color w:val="000000" w:themeColor="text1"/>
          <w:shd w:val="clear" w:color="auto" w:fill="FFFFFF"/>
        </w:rPr>
        <w:t>Transfer of undertakings (TUPE): an introduction.</w:t>
      </w:r>
      <w:r w:rsidRPr="00D16CAA">
        <w:rPr>
          <w:rFonts w:cs="Arial"/>
          <w:color w:val="000000" w:themeColor="text1"/>
          <w:shd w:val="clear" w:color="auto" w:fill="FFFFFF"/>
        </w:rPr>
        <w:t xml:space="preserve"> 18 May 2020. [Factsheet] Available at: https://www.cipd.co.uk/knowledge/fundamentals/emp-law/tupe/factsheet (Accessed: 13 March 2021)</w:t>
      </w:r>
      <w:r w:rsidRPr="00D16CAA">
        <w:rPr>
          <w:rFonts w:cs="Arial"/>
          <w:color w:val="000000" w:themeColor="text1"/>
          <w:shd w:val="clear" w:color="auto" w:fill="FFFFFF"/>
        </w:rPr>
        <w:br/>
      </w:r>
      <w:r w:rsidRPr="00D16CAA">
        <w:rPr>
          <w:rFonts w:cs="Arial"/>
          <w:color w:val="000000" w:themeColor="text1"/>
          <w:shd w:val="clear" w:color="auto" w:fill="FFFFFF"/>
        </w:rPr>
        <w:br/>
      </w:r>
      <w:r w:rsidRPr="00D16CAA">
        <w:rPr>
          <w:rFonts w:cs="Arial"/>
          <w:color w:val="000000" w:themeColor="text1"/>
        </w:rPr>
        <w:t>Collective Redundancies and Transfer of Undertakings (Protection of Employment) (Amendment) Regulations 2014</w:t>
      </w:r>
    </w:p>
    <w:p w14:paraId="796FF33B" w14:textId="77777777" w:rsidR="00D16CAA" w:rsidRPr="00D16CAA" w:rsidRDefault="00D16CAA" w:rsidP="00D16CAA">
      <w:pPr>
        <w:pStyle w:val="NormalWeb"/>
        <w:shd w:val="clear" w:color="auto" w:fill="FFFFFF"/>
        <w:spacing w:before="0" w:beforeAutospacing="0" w:after="240" w:afterAutospacing="0"/>
        <w:rPr>
          <w:rFonts w:ascii="Arial" w:hAnsi="Arial" w:cs="Arial"/>
          <w:color w:val="000000" w:themeColor="text1"/>
          <w:sz w:val="22"/>
          <w:szCs w:val="22"/>
        </w:rPr>
      </w:pPr>
      <w:r w:rsidRPr="00D16CAA">
        <w:rPr>
          <w:rFonts w:ascii="Arial" w:hAnsi="Arial" w:cs="Arial"/>
          <w:color w:val="000000" w:themeColor="text1"/>
          <w:sz w:val="22"/>
          <w:szCs w:val="22"/>
          <w:shd w:val="clear" w:color="auto" w:fill="FFFFFF"/>
        </w:rPr>
        <w:t xml:space="preserve">Available at: https://www.legislation.gov.uk/uksi/2014/16/contents/made </w:t>
      </w:r>
      <w:r w:rsidRPr="00D16CAA">
        <w:rPr>
          <w:rFonts w:ascii="Arial" w:hAnsi="Arial" w:cs="Arial"/>
          <w:color w:val="000000" w:themeColor="text1"/>
          <w:sz w:val="22"/>
          <w:szCs w:val="22"/>
        </w:rPr>
        <w:t>(Accessed 13 March 2021)</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rPr>
        <w:t>Control of Substances Hazardous to Health Regulations (COSHH) amended 2002 Available at: https://www.legislation.gov.uk/uksi/2002/2677/contents (Accessed 21 March 2021)</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t xml:space="preserve">Daniels, K. (2019) </w:t>
      </w:r>
      <w:r w:rsidRPr="00D16CAA">
        <w:rPr>
          <w:rFonts w:ascii="Arial" w:hAnsi="Arial" w:cs="Arial"/>
          <w:i/>
          <w:iCs/>
          <w:color w:val="000000" w:themeColor="text1"/>
          <w:sz w:val="22"/>
          <w:szCs w:val="22"/>
          <w:shd w:val="clear" w:color="auto" w:fill="FFFFFF"/>
        </w:rPr>
        <w:t xml:space="preserve">Introduction to Employment Law: Fundamental for HR and business students. </w:t>
      </w:r>
      <w:r w:rsidRPr="00D16CAA">
        <w:rPr>
          <w:rFonts w:ascii="Arial" w:hAnsi="Arial" w:cs="Arial"/>
          <w:color w:val="000000" w:themeColor="text1"/>
          <w:sz w:val="22"/>
          <w:szCs w:val="22"/>
          <w:shd w:val="clear" w:color="auto" w:fill="FFFFFF"/>
        </w:rPr>
        <w:t>5</w:t>
      </w:r>
      <w:r w:rsidRPr="00D16CAA">
        <w:rPr>
          <w:rFonts w:ascii="Arial" w:hAnsi="Arial" w:cs="Arial"/>
          <w:color w:val="000000" w:themeColor="text1"/>
          <w:sz w:val="22"/>
          <w:szCs w:val="22"/>
          <w:shd w:val="clear" w:color="auto" w:fill="FFFFFF"/>
          <w:vertAlign w:val="superscript"/>
        </w:rPr>
        <w:t>th</w:t>
      </w:r>
      <w:r w:rsidRPr="00D16CAA">
        <w:rPr>
          <w:rFonts w:ascii="Arial" w:hAnsi="Arial" w:cs="Arial"/>
          <w:color w:val="000000" w:themeColor="text1"/>
          <w:sz w:val="22"/>
          <w:szCs w:val="22"/>
          <w:shd w:val="clear" w:color="auto" w:fill="FFFFFF"/>
        </w:rPr>
        <w:t xml:space="preserve"> Ed. London: Kogan Page Limited</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t xml:space="preserve">Employment Relations Act (1999) Available at: https://www.legislation.gov.uk/ukpga/1999/26/contents </w:t>
      </w:r>
      <w:r w:rsidRPr="00D16CAA">
        <w:rPr>
          <w:rFonts w:ascii="Arial" w:hAnsi="Arial" w:cs="Arial"/>
          <w:color w:val="000000" w:themeColor="text1"/>
          <w:sz w:val="22"/>
          <w:szCs w:val="22"/>
        </w:rPr>
        <w:t>(Accessed 18 March 2021)</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rPr>
        <w:t>Employment Rights Act (1996</w:t>
      </w:r>
      <w:r w:rsidRPr="00D16CAA">
        <w:rPr>
          <w:rFonts w:ascii="Arial" w:hAnsi="Arial" w:cs="Arial"/>
          <w:i/>
          <w:iCs/>
          <w:color w:val="000000" w:themeColor="text1"/>
          <w:sz w:val="22"/>
          <w:szCs w:val="22"/>
        </w:rPr>
        <w:t>)</w:t>
      </w:r>
      <w:r w:rsidRPr="00D16CAA">
        <w:rPr>
          <w:rFonts w:ascii="Arial" w:hAnsi="Arial" w:cs="Arial"/>
          <w:color w:val="000000" w:themeColor="text1"/>
          <w:sz w:val="22"/>
          <w:szCs w:val="22"/>
        </w:rPr>
        <w:t xml:space="preserve"> Available at: https://www.legislation.gov.uk/ukpga/1996/18/contents (Accessed 24 February 2021)</w:t>
      </w:r>
      <w:r w:rsidRPr="00D16CAA">
        <w:rPr>
          <w:rFonts w:ascii="Arial" w:hAnsi="Arial" w:cs="Arial"/>
          <w:color w:val="000000" w:themeColor="text1"/>
          <w:sz w:val="22"/>
          <w:szCs w:val="22"/>
        </w:rPr>
        <w:br/>
      </w:r>
      <w:r w:rsidRPr="00D16CAA">
        <w:rPr>
          <w:rFonts w:ascii="Arial" w:hAnsi="Arial" w:cs="Arial"/>
          <w:color w:val="000000" w:themeColor="text1"/>
          <w:sz w:val="22"/>
          <w:szCs w:val="22"/>
        </w:rPr>
        <w:br/>
        <w:t xml:space="preserve">Equality Act (2010) Available at: https://www.legislation.gov.uk/ukpga/2010/15/contents </w:t>
      </w:r>
      <w:r w:rsidRPr="00D16CAA">
        <w:rPr>
          <w:rFonts w:ascii="Arial" w:hAnsi="Arial" w:cs="Arial"/>
          <w:color w:val="000000" w:themeColor="text1"/>
          <w:sz w:val="22"/>
          <w:szCs w:val="22"/>
          <w:shd w:val="clear" w:color="auto" w:fill="FFFFFF"/>
        </w:rPr>
        <w:t>(Accessed: 10 March 2021)</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t>Equality Human Rights Committee https://www.equalityhumanrights.com/en/equality-act/equality-act-2010 (Accessed: 17 March 2021)</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t>Health and Safety at Work Act (1974) Available at: https://www.legislation.gov.uk/ukpga/1974/37/contents (Accessed: 16 March 2021)</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t>National Minimum Wage (Amendment) (No.2) Regulations (2020) Available at: https://www.legislation.gov.uk/uksi/2020/339/contents/made (Accessed: 14 March 2021)</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t>National Minimum Wage and National Living Rates (2021) Available at: https://www.gov.uk/national-minimum-wage-rates (Accessed: 14 March 2021)</w:t>
      </w:r>
      <w:r w:rsidRPr="00D16CAA">
        <w:rPr>
          <w:rFonts w:ascii="Arial" w:hAnsi="Arial" w:cs="Arial"/>
          <w:color w:val="000000" w:themeColor="text1"/>
          <w:sz w:val="22"/>
          <w:szCs w:val="22"/>
        </w:rPr>
        <w:br/>
      </w:r>
      <w:r w:rsidRPr="00D16CAA">
        <w:rPr>
          <w:rFonts w:ascii="Arial" w:hAnsi="Arial" w:cs="Arial"/>
          <w:color w:val="000000" w:themeColor="text1"/>
          <w:sz w:val="22"/>
          <w:szCs w:val="22"/>
        </w:rPr>
        <w:br/>
        <w:t xml:space="preserve">Race Relations Act (1976) Available at: https://www.legislation.gov.uk/ukpga/1976/74/contents </w:t>
      </w:r>
      <w:r w:rsidRPr="00D16CAA">
        <w:rPr>
          <w:rFonts w:ascii="Arial" w:hAnsi="Arial" w:cs="Arial"/>
          <w:color w:val="000000" w:themeColor="text1"/>
          <w:sz w:val="22"/>
          <w:szCs w:val="22"/>
          <w:shd w:val="clear" w:color="auto" w:fill="FFFFFF"/>
        </w:rPr>
        <w:t>(Accessed: 10 March 2021)</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rPr>
        <w:t>Reporting of Injuries, Diseases and Dangerous Occurrences Regulations (RIDDOR) 1995 Available at: https://www.legislation.gov.uk/uksi/1995/3163/contents/made (</w:t>
      </w:r>
      <w:r w:rsidRPr="00D16CAA">
        <w:rPr>
          <w:rFonts w:ascii="Arial" w:hAnsi="Arial" w:cs="Arial"/>
          <w:color w:val="000000" w:themeColor="text1"/>
          <w:sz w:val="22"/>
          <w:szCs w:val="22"/>
          <w:shd w:val="clear" w:color="auto" w:fill="FFFFFF"/>
        </w:rPr>
        <w:t xml:space="preserve">(Accessed: 21 </w:t>
      </w:r>
      <w:r w:rsidRPr="00D16CAA">
        <w:rPr>
          <w:rFonts w:ascii="Arial" w:hAnsi="Arial" w:cs="Arial"/>
          <w:color w:val="000000" w:themeColor="text1"/>
          <w:sz w:val="22"/>
          <w:szCs w:val="22"/>
          <w:shd w:val="clear" w:color="auto" w:fill="FFFFFF"/>
        </w:rPr>
        <w:lastRenderedPageBreak/>
        <w:t>March 2021)</w:t>
      </w:r>
      <w:r w:rsidRPr="00D16CAA">
        <w:rPr>
          <w:rFonts w:ascii="Arial" w:hAnsi="Arial" w:cs="Arial"/>
          <w:color w:val="000000" w:themeColor="text1"/>
          <w:sz w:val="22"/>
          <w:szCs w:val="22"/>
          <w:shd w:val="clear" w:color="auto" w:fill="FFFFFF"/>
        </w:rPr>
        <w:br/>
      </w:r>
      <w:r w:rsidRPr="00D16CAA">
        <w:rPr>
          <w:rFonts w:ascii="Arial" w:hAnsi="Arial" w:cs="Arial"/>
          <w:color w:val="000000" w:themeColor="text1"/>
          <w:sz w:val="22"/>
          <w:szCs w:val="22"/>
          <w:shd w:val="clear" w:color="auto" w:fill="FFFFFF"/>
        </w:rPr>
        <w:br/>
        <w:t>The Working Time Regulations 1998 (Amendments) (2014) Regulations Available at: https://www.legislation.gov.uk/uksi/2004/2516/regulation/2/made (Accessed: 14 March 2021)</w:t>
      </w:r>
      <w:r w:rsidRPr="00D16CAA">
        <w:rPr>
          <w:rFonts w:ascii="Arial" w:hAnsi="Arial" w:cs="Arial"/>
          <w:color w:val="000000" w:themeColor="text1"/>
          <w:sz w:val="22"/>
          <w:szCs w:val="22"/>
        </w:rPr>
        <w:br/>
      </w:r>
      <w:r w:rsidRPr="00D16CAA">
        <w:rPr>
          <w:rFonts w:ascii="Arial" w:hAnsi="Arial" w:cs="Arial"/>
          <w:color w:val="000000" w:themeColor="text1"/>
          <w:sz w:val="22"/>
          <w:szCs w:val="22"/>
        </w:rPr>
        <w:br/>
      </w:r>
      <w:r w:rsidRPr="00D16CAA">
        <w:rPr>
          <w:rFonts w:ascii="Arial" w:hAnsi="Arial" w:cs="Arial"/>
          <w:color w:val="000000" w:themeColor="text1"/>
          <w:sz w:val="22"/>
          <w:szCs w:val="22"/>
        </w:rPr>
        <w:br/>
      </w:r>
    </w:p>
    <w:p w14:paraId="56D321A2" w14:textId="77777777" w:rsidR="00D16CAA" w:rsidRPr="00D16CAA" w:rsidRDefault="00D16CAA" w:rsidP="00D16CAA">
      <w:pPr>
        <w:rPr>
          <w:rFonts w:cs="Arial"/>
          <w:color w:val="000000" w:themeColor="text1"/>
        </w:rPr>
      </w:pPr>
    </w:p>
    <w:p w14:paraId="7CBE1FC9" w14:textId="77777777" w:rsidR="00D16CAA" w:rsidRPr="00D16CAA" w:rsidRDefault="00D16CAA" w:rsidP="00D16CAA">
      <w:pPr>
        <w:rPr>
          <w:color w:val="000000" w:themeColor="text1"/>
        </w:rPr>
      </w:pPr>
    </w:p>
    <w:p w14:paraId="09929E1A" w14:textId="24D65D5A" w:rsidR="003D43A8" w:rsidRPr="00D16CAA" w:rsidRDefault="003D43A8">
      <w:pPr>
        <w:rPr>
          <w:color w:val="000000" w:themeColor="text1"/>
        </w:rPr>
      </w:pPr>
    </w:p>
    <w:sectPr w:rsidR="003D43A8" w:rsidRPr="00D16C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3D43A8"/>
    <w:rsid w:val="007202BC"/>
    <w:rsid w:val="008023ED"/>
    <w:rsid w:val="0082314C"/>
    <w:rsid w:val="00BA6958"/>
    <w:rsid w:val="00D16CAA"/>
    <w:rsid w:val="00D93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6CAA"/>
    <w:pPr>
      <w:spacing w:before="100" w:beforeAutospacing="1" w:after="100" w:afterAutospacing="1"/>
    </w:pPr>
    <w:rPr>
      <w:rFonts w:ascii="Times New Roman" w:eastAsia="Times New Roman" w:hAnsi="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5308</Words>
  <Characters>30256</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Rebekah Anne Thomas (2007852)</cp:lastModifiedBy>
  <cp:revision>2</cp:revision>
  <dcterms:created xsi:type="dcterms:W3CDTF">2021-03-23T08:29:00Z</dcterms:created>
  <dcterms:modified xsi:type="dcterms:W3CDTF">2021-03-23T08:29:00Z</dcterms:modified>
</cp:coreProperties>
</file>