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FDA4048" wp14:paraId="4ECD063E" wp14:textId="7279023B">
      <w:pPr>
        <w:pBdr>
          <w:bottom w:val="single" w:color="4F81BD" w:sz="8" w:space="0"/>
        </w:pBdr>
        <w:shd w:val="clear" w:color="auto" w:fill="FFFFFF" w:themeFill="background1"/>
        <w:spacing w:before="240" w:beforeAutospacing="off" w:after="120" w:afterAutospacing="off"/>
        <w:jc w:val="center"/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52"/>
          <w:szCs w:val="52"/>
          <w:lang w:val="en-US"/>
        </w:rPr>
        <w:t>Design and Evaluation of an AI-Driven Digital Twin for Predictive Fault Detection in Computer Systems</w:t>
      </w:r>
    </w:p>
    <w:p xmlns:wp14="http://schemas.microsoft.com/office/word/2010/wordml" w:rsidP="1FDA4048" wp14:paraId="6CE53472" wp14:textId="7CFA0CE6">
      <w:pPr>
        <w:shd w:val="clear" w:color="auto" w:fill="FFFFFF" w:themeFill="background1"/>
        <w:spacing w:before="0" w:beforeAutospacing="off" w:after="0" w:afterAutospacing="off"/>
        <w:jc w:val="center"/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L6 - Independent Project </w:t>
      </w:r>
    </w:p>
    <w:p xmlns:wp14="http://schemas.microsoft.com/office/word/2010/wordml" w:rsidP="1FDA4048" wp14:paraId="654A56BA" wp14:textId="6673CA18">
      <w:pPr>
        <w:shd w:val="clear" w:color="auto" w:fill="FFFFFF" w:themeFill="background1"/>
        <w:spacing w:before="0" w:beforeAutospacing="off" w:after="140" w:afterAutospacing="off"/>
        <w:jc w:val="center"/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— ACCA6020</w:t>
      </w:r>
    </w:p>
    <w:p xmlns:wp14="http://schemas.microsoft.com/office/word/2010/wordml" w:rsidP="1FDA4048" wp14:paraId="17E5E9CE" wp14:textId="26A8DB3A">
      <w:pPr>
        <w:shd w:val="clear" w:color="auto" w:fill="FFFFFF" w:themeFill="background1"/>
        <w:spacing w:before="0" w:beforeAutospacing="off" w:after="140" w:afterAutospacing="off"/>
        <w:jc w:val="center"/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Student: Aaron Miles</w:t>
      </w:r>
    </w:p>
    <w:p xmlns:wp14="http://schemas.microsoft.com/office/word/2010/wordml" w:rsidP="1FDA4048" wp14:paraId="22854FC9" wp14:textId="7C7CFE94">
      <w:pPr>
        <w:shd w:val="clear" w:color="auto" w:fill="FFFFFF" w:themeFill="background1"/>
        <w:spacing w:before="0" w:beforeAutospacing="off" w:after="140" w:afterAutospacing="off"/>
        <w:jc w:val="center"/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 ID: 2404521</w:t>
      </w:r>
    </w:p>
    <w:p xmlns:wp14="http://schemas.microsoft.com/office/word/2010/wordml" w:rsidP="1FDA4048" wp14:paraId="1913E7A4" wp14:textId="5AB2042B">
      <w:pPr>
        <w:shd w:val="clear" w:color="auto" w:fill="FFFFFF" w:themeFill="background1"/>
        <w:spacing w:before="0" w:beforeAutospacing="off" w:after="140" w:afterAutospacing="off"/>
        <w:jc w:val="center"/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Supervisor: </w:t>
      </w:r>
    </w:p>
    <w:p xmlns:wp14="http://schemas.microsoft.com/office/word/2010/wordml" w:rsidP="1FDA4048" wp14:paraId="7BB13767" wp14:textId="614B2C4F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Introduction and Research Problem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Linux fault detection commonly uses fixed CPU,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memory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response-time thresholds. These can misclassify normal workload changes and miss subthreshold faults.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This project therefore investigates lightweight predictive monitoring on an authorized Linux virtual machine (VM). It compares predicted and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observed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behavior. A predictive component will be treated as worthwhile only if it demonstrably improves detection after its computational and operational costs are taken into account.</w:t>
      </w:r>
      <w:r>
        <w:br/>
      </w:r>
    </w:p>
    <w:p xmlns:wp14="http://schemas.microsoft.com/office/word/2010/wordml" w:rsidP="1FDA4048" wp14:paraId="23CD5D76" wp14:textId="64621963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artefact will be described as a validated digital twin only if it meets stated real-time synchronization and prediction-accuracy requirements; otherwise, it will be referred to as a predictive digital shadow.</w:t>
      </w:r>
    </w:p>
    <w:p xmlns:wp14="http://schemas.microsoft.com/office/word/2010/wordml" w:rsidP="1FDA4048" wp14:paraId="5EB2F24C" wp14:textId="46241F84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Central research question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Does </w:t>
      </w:r>
      <w:r w:rsidRPr="1FDA4048" w:rsidR="5E784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augment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Isolation Forest anomaly detection with prediction errors from workload-aware causal models improve the identification of held-out fault events on a Linux VM,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relative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to an otherwise identical anomaly detector that does not use those prediction errors?</w:t>
      </w:r>
      <w:r>
        <w:br/>
      </w:r>
    </w:p>
    <w:p xmlns:wp14="http://schemas.microsoft.com/office/word/2010/wordml" w:rsidP="1FDA4048" wp14:paraId="19C4A476" wp14:textId="2925BB69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Critical Literature Review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Digital-twin architectures are discussed by Tao et al. [1], Jones et al. [2] and Fuller et al. [3], while implementation and interoperability difficulties are discussed by Sharma et al. [12] and Mihai et al. [11]. These sources support connected VM models but do not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establish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superiority over simpler monitoring. Evidence drawn from industrial or application-specific deployments also cannot be transferred uncritically to a resource-constrained Linux VM.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Anomaly detection is formulated as deviation from expected statistical or contextual behaviors in Chandola et al. [4]. Liu et al. [5] introduce Isolation Forest, whose unsupervised operation and comparatively favorable computational profile suit the project’s constraints; ensemble-learning context is added by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Breiman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[6]. Because Isolation Forest can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operate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directly on workload-aware features, it is necessary to show that adding causal prediction errors provides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additional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fault-detection value rather than unnecessary modelling complexity.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For sequence-based detection, USAD [7] and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TranAD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[8] demonstrate more expressive multivariate time-series modelling than linear forecasting, but also raise concerns about training requirements, parameter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sensitivity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inference cost. Recurrent sequence modelling and non-stationary behavior are further represented by Malhotra et al. [15] and Xu et al. [14]. Ridge regression is therefore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retained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as the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initial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predictive baseline because it is interpretable and inexpensive, with its linearity acknowledged as a limitation where system behavior is non-linear.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Evaluation practice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remains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inconsistent across datasets, anomaly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definitions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experimental protocols, as emphasized by Schmidl et al. [10],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Zamanzadeh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Darban et al. [9] and Blázquez-García et al. [13]. Reported gains are difficult to compare.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Before claiming novelty, a literature search dated 2024–October 2026 will specifically seek closely related, negative and contradictory findings.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anticipated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contribution is a controlled comparison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establishing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whether prediction-residual features provide measurable benefit beyond an already workload-aware unsupervised detector.</w:t>
      </w:r>
      <w:r>
        <w:br/>
      </w:r>
    </w:p>
    <w:p xmlns:wp14="http://schemas.microsoft.com/office/word/2010/wordml" w:rsidP="1FDA4048" wp14:paraId="026F9D13" wp14:textId="1C5031E1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Research Aim, </w:t>
      </w: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Objectives</w:t>
      </w: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and Hypothesis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Aim: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 design and critically evaluate a computationally efficient predictive-monitoring digital twin/shadow for fault detection in Linux operating systems.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Research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objectives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: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1. Conduct a critical review of at least 15 relevant academic sources on digital twins/shadows, predictive monitoring, anomaly/outlier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detection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related AI methods.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2. Implement timestamped collection of Linux/application metrics, including CPU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utilization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memory usage, request rates, and application latency.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3. Develop threshold-based and Isolation Forest anomaly-detection baselines using workload-aware features.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4. Develop workload-aware forecasting models, initially using Ridge regression, and derive causally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appropriate prediction-residual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features using only past and present information relative to each prediction target.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5. Validate twin/shadow suitability by </w:t>
      </w:r>
      <w:r w:rsidRPr="1FDA4048" w:rsidR="508C8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accessing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data-synchronization quality and forecasting accuracy before combined fault-detection evaluation.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6. Compare detection on held-out faults using event-level F1 as the primary measure, with false-alarm behavior, warning lead time, computational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overhead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sustainability as exploratory outcomes.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Primary hypothesis and decision rule: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Paired held-out event-level F1 for Isolation Forest augmented with prediction residuals will be higher than for the matched detector without residuals.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H₁: mean paired F1 improvement &gt; 0; H₀: mean paired F1 improvement ≤ 0.</w:t>
      </w:r>
      <w:r>
        <w:br/>
      </w:r>
    </w:p>
    <w:p xmlns:wp14="http://schemas.microsoft.com/office/word/2010/wordml" w:rsidP="1FDA4048" wp14:paraId="39D258CC" wp14:textId="782C1DB5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System Design and Methodological Justification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Experiments use an isolated Ubuntu 24.04 VM. Python-based instrumentation will record CPU, memory, request-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rate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latency measurements; the nominal 1 Hz sampling rate may be adjusted to 0.2 Hz or 2 Hz following piloting. Data quality will be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monitored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through timestamp alignment, missing-value accounting, sampling-jitter summaries, and update-latency checks. Prediction models will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observe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only data available before the target time, preventing leakage into residual-based anomaly features.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CPU, memory, and latency will be predicted from workload features and lagged system measurements using Ridge regression. Preprocessing,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prediction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horizons, and residual-scaling choices will be fixed using training/validation evidence only. Fault injection will produce controlled CPU saturation, memory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pressure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application delay under low,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medium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high workloads, with severity calibrated during piloting, randomized where practical and supported by VM resets. Independently checked onset labels and separate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training,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validation and test runs will prevent leakage. Three matched detectors will be compared: (A) static-threshold monitoring; (B) workload-aware Isolation Forest; and (C) the same Isolation Forest augmented with prediction residuals. They will receive comparable feature information, tuning effort, and alarm/false-alarm constraints. A dimension-matched non-predictive control and a residual-removal ablation will distinguish added predictive information from merely having extra features. Ridge underfitting will be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monitored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because unreliable forecasts can create misleading residual anomalies; predictive complexity will only be justified by clear detection benefit. The twin/shadow will be qualified for fault-detection experiments if at least 95% of paired telemetry samples are valid, the 95th-percentile state-update lag is no more than two seconds, and forecasting improves on persistence for at least two of the three monitored quantities.</w:t>
      </w:r>
      <w:r>
        <w:br/>
      </w:r>
    </w:p>
    <w:p xmlns:wp14="http://schemas.microsoft.com/office/word/2010/wordml" w:rsidP="1FDA4048" wp14:paraId="284A99F8" wp14:textId="20D9FE04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Evaluation and Statistical Analysis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Before held-out evaluation, annotations will distinguish between verified fault onset, sustained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degradation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trial end. Alarms closer than 30 seconds of healthy behavior will form one event; event-level TP, FP and FN counts will support pooled precision, recall and F1, avoiding invalid sample-level independence assumptions. FP rate per healthy hour, detection delay and lead time before degradation/onset will also be reported, with censored cases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retained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Models B and C will use identical held-out trials. The principal inference will resample complete experimental runs by paired bootstrap within workload/fault-family strata (healthy controls handled separately), recomputing pooled event-level F1 in each replicate to obtain a 95% CI for the paired improvement. Small trial counts and non-linear F1 limit inference. Sensitivity analyses will </w:t>
      </w:r>
      <w:r w:rsidRPr="1FDA4048" w:rsidR="362B5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vary in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severity classes, event-merging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behavior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matching windows; claims will be qualified accordingly. Interim success criteria (not currently met) are at least 0.05 higher pooled held-out F1 than the strongest simple/workload-aware baseline, no more than 10% higher event FP rate, at least ten seconds’ warning in half or more of detected onset/degradation trials and monitoring overhead below roughly five CPU percentage points/200 MB. Label uncertainty, alarm-budget differences, limited statistical power, feature-count effects, and single-VM transferability will all be reported.</w:t>
      </w:r>
      <w:r>
        <w:br/>
      </w:r>
    </w:p>
    <w:p xmlns:wp14="http://schemas.microsoft.com/office/word/2010/wordml" w:rsidP="1FDA4048" wp14:paraId="17222AA2" wp14:textId="6EFB32BF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Feasibility, Resources and Project Planning</w:t>
      </w:r>
    </w:p>
    <w:p xmlns:wp14="http://schemas.microsoft.com/office/word/2010/wordml" w:rsidP="1FDA4048" wp14:paraId="31D0FF7D" wp14:textId="6D6CD29D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two-vCPU/4 GB VM on the four-core/8 GB host allows monitoring and load generation. Python with psutil, NumPy, pandas, scikit-learn, SciPy, matplotlib plus an HTTP load generator and bounded fault-injection utilities are planned. Reproducibility will use version control, fixed seeds, configuration files, environment pinning, and run manifests/snapshots.</w:t>
      </w:r>
      <w:r>
        <w:br/>
      </w:r>
    </w:p>
    <w:p xmlns:wp14="http://schemas.microsoft.com/office/word/2010/wordml" w:rsidP="1FDA4048" wp14:paraId="0A92874C" wp14:textId="4DBA5462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The full design comprises 90 fault-injection trials: three repetitions of all 27 combinations (three workloads × three target metrics × three severities = 81), plus one additional repetition of each of the nine medium-severity workload–metric combinations. Fifteen healthy controls bring the total to 105 runs, approximately 12 minutes each (21 VM hours) within a 45.25-hour effort estimate excluding development and writing. If Week-8 piloting identifies excessive per-trial overhead, a pre-specified, outcome-independent fallback will use 45 fault trials: all 27 combinations once, plus two further repetitions of each of the nine medium-severity workload–metric combinations. The 15 healthy controls will be retained (60 runs; 12 VM hours). Over twelve weeks: literature/ethics (1–2), instrumentation (3–4), baselines (5–6), prediction/piloting (7–8), held-out evaluation (9–10), analysis (11) and reporting (12). Ethics approval, twin qualification and Week-8 feasibility are formal go/no-go gates.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\</w:t>
      </w:r>
    </w:p>
    <w:p xmlns:wp14="http://schemas.microsoft.com/office/word/2010/wordml" w:rsidP="1FDA4048" wp14:paraId="4BECE113" wp14:textId="2F421758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Ethics, Data Protection and Sustainability</w:t>
      </w:r>
      <w:r>
        <w:br/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No human-participant data is involved. Work will occur only in an authorized isolated VM after following the applicable UWTSD undergraduate research-ethics route. Records will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identify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authorization, ownership, dates, encrypted storage, access control, backup, and retention. Data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exclude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usernames,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identifying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IPs,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credentials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personal requests. Sustainability will estimate energy from measured execution time and typical server energy-per-CPU-hour assumptions (labelled as estimates), track storage/CPU overheads, and justify added energy through detection benefit. Snapshots, bounded fault duration/severity, resource limits, host monitoring, immediate-fault-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reversal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idle-shutdown/retry caps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contain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technical, safety and environmental risks.</w:t>
      </w:r>
      <w:r>
        <w:br/>
      </w:r>
    </w:p>
    <w:p xmlns:wp14="http://schemas.microsoft.com/office/word/2010/wordml" w:rsidP="1FDA4048" wp14:paraId="055EA641" wp14:textId="6AEA8DA3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Expected Contribution and Conclusion</w:t>
      </w:r>
    </w:p>
    <w:p xmlns:wp14="http://schemas.microsoft.com/office/word/2010/wordml" w:rsidP="1FDA4048" wp14:paraId="308990E2" wp14:textId="1C2E4FA5">
      <w:pPr>
        <w:shd w:val="clear" w:color="auto" w:fill="FFFFFF" w:themeFill="background1"/>
        <w:spacing w:before="240" w:beforeAutospacing="off" w:after="24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The expected contribution is a reproducible matched-pair evaluation of whether twin/predictive residuals genuinely improve Linux VM anomaly detection over simpler baselines, quantifying F1, precision/recall, false-alarm cost, warning lead time, 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robustness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and compute/memory overhead. If informative, null/negative results would show added predictive </w:t>
      </w:r>
      <w:r w:rsidRPr="1FDA4048" w:rsidR="548E96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complexity,</w:t>
      </w: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offers limited benefit over workload-aware Isolation Forest for these metrics/workloads. Claims apply only to tested configurations and faults.</w:t>
      </w:r>
    </w:p>
    <w:p xmlns:wp14="http://schemas.microsoft.com/office/word/2010/wordml" w:rsidP="1FDA4048" wp14:paraId="31E65CAF" wp14:textId="27E61C2C">
      <w:pPr>
        <w:shd w:val="clear" w:color="auto" w:fill="FFFFFF" w:themeFill="background1"/>
        <w:spacing w:before="240" w:beforeAutospacing="off" w:after="12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1FDA4048" w:rsidR="65E35B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Twelve-Week Project Plan</w:t>
      </w:r>
    </w:p>
    <w:tbl>
      <w:tblPr>
        <w:tblStyle w:val="TableNormal"/>
        <w:bidiVisual w:val="0"/>
        <w:tblW w:w="0" w:type="auto"/>
        <w:tblBorders>
          <w:top w:val="single" w:sz="0"/>
          <w:left w:val="single" w:sz="0"/>
          <w:bottom w:val="single" w:sz="0"/>
          <w:right w:val="single" w:sz="0"/>
        </w:tblBorders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1FDA4048" w:rsidTr="1FDA4048" w14:paraId="14D06DBF">
        <w:trPr>
          <w:trHeight w:val="300"/>
        </w:trPr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6BF92DF0" w14:textId="57AF260A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Weeks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5E088199" w14:textId="7F43D63D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Work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70DD458B" w14:textId="56A950A7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Exit criterion</w:t>
            </w:r>
          </w:p>
        </w:tc>
      </w:tr>
      <w:tr w:rsidR="1FDA4048" w:rsidTr="1FDA4048" w14:paraId="5D8D93FB">
        <w:trPr>
          <w:trHeight w:val="300"/>
        </w:trPr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14E9B7EB" w14:textId="7CF14B64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1–2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2B6D95CB" w14:textId="47D31974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Literature screening; ethics submission; protocol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233FBEAE" w14:textId="166B5203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Screening log, approved definitions</w:t>
            </w:r>
          </w:p>
        </w:tc>
      </w:tr>
      <w:tr w:rsidR="1FDA4048" w:rsidTr="1FDA4048" w14:paraId="28298FF4">
        <w:trPr>
          <w:trHeight w:val="300"/>
        </w:trPr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66BA449F" w14:textId="43592B7B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3–4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590C62A6" w14:textId="7972733F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VM, telemetry, workload and ground truth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63E364A7" w14:textId="1033CD82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Timestamp and recovery checks</w:t>
            </w:r>
          </w:p>
        </w:tc>
      </w:tr>
      <w:tr w:rsidR="1FDA4048" w:rsidTr="1FDA4048" w14:paraId="4C7DF6F6">
        <w:trPr>
          <w:trHeight w:val="300"/>
        </w:trPr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5874AD99" w14:textId="780E396A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5–6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399C4D9B" w14:textId="1C893C3C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Threshold and Isolation Forest baselines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7C0261CB" w14:textId="623E8EEF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Matched validation alarm budget</w:t>
            </w:r>
          </w:p>
        </w:tc>
      </w:tr>
      <w:tr w:rsidR="1FDA4048" w:rsidTr="1FDA4048" w14:paraId="1E5E7FF1">
        <w:trPr>
          <w:trHeight w:val="300"/>
        </w:trPr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638102C6" w14:textId="6F23C0B3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7–8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68020F36" w14:textId="1A7125EB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Twin model, residuals, pilots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0D756F14" w14:textId="310C1E17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Fidelity gates and timing gate</w:t>
            </w:r>
          </w:p>
        </w:tc>
      </w:tr>
      <w:tr w:rsidR="1FDA4048" w:rsidTr="1FDA4048" w14:paraId="54A491F5">
        <w:trPr>
          <w:trHeight w:val="300"/>
        </w:trPr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0DB2A82A" w14:textId="43EF0DFA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9–10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706EC1FA" w14:textId="705901F4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Blocked fault/control trials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6D37B0C5" w14:textId="72A3E5C6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Frozen held-out dataset</w:t>
            </w:r>
          </w:p>
        </w:tc>
      </w:tr>
      <w:tr w:rsidR="1FDA4048" w:rsidTr="1FDA4048" w14:paraId="0D9ACD8F">
        <w:trPr>
          <w:trHeight w:val="300"/>
        </w:trPr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07479758" w14:textId="327A5A5F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11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69CE6F09" w14:textId="03923B0A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Paired analysis, ablations, robustness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1815E515" w14:textId="1DFC3DD5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Intervals and cost comparison</w:t>
            </w:r>
          </w:p>
        </w:tc>
      </w:tr>
      <w:tr w:rsidR="1FDA4048" w:rsidTr="1FDA4048" w14:paraId="1A774B55">
        <w:trPr>
          <w:trHeight w:val="300"/>
        </w:trPr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12F9DD11" w14:textId="613DB9A9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12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1B875732" w14:textId="63F21E80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Report, supervisor feedback, final QA</w:t>
            </w:r>
          </w:p>
        </w:tc>
        <w:tc>
          <w:tcPr>
            <w:tcW w:w="312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top"/>
          </w:tcPr>
          <w:p w:rsidR="1FDA4048" w:rsidP="1FDA4048" w:rsidRDefault="1FDA4048" w14:paraId="322115A8" w14:textId="41D95868">
            <w:pPr>
              <w:spacing w:before="0" w:beforeAutospacing="off" w:after="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1FDA4048" w:rsidR="1FDA40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u w:val="none"/>
              </w:rPr>
              <w:t>Complete submission package</w:t>
            </w:r>
          </w:p>
        </w:tc>
      </w:tr>
    </w:tbl>
    <w:p xmlns:wp14="http://schemas.microsoft.com/office/word/2010/wordml" w:rsidP="1FDA4048" wp14:paraId="6DFBA310" wp14:textId="295900F9">
      <w:pPr>
        <w:shd w:val="clear" w:color="auto" w:fill="FFFFFF" w:themeFill="background1"/>
        <w:bidi w:val="0"/>
        <w:spacing w:before="0" w:beforeAutospacing="off" w:after="16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10. References</w:t>
      </w:r>
    </w:p>
    <w:p xmlns:wp14="http://schemas.microsoft.com/office/word/2010/wordml" w:rsidP="1FDA4048" wp14:paraId="2FCD9CEC" wp14:textId="19C36188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[1] F. Tao, H. Zhang, A. Liu, and A. Y. C. Nee, “Digital Twin in Industry: State-of-the-Art,” IEEE Trans. Ind. Informat., vol. 15, no. 4, pp. 2405–2415, 2019, doi: 10.1109/TII.2018.2873186.</w:t>
      </w:r>
    </w:p>
    <w:p xmlns:wp14="http://schemas.microsoft.com/office/word/2010/wordml" w:rsidP="1FDA4048" wp14:paraId="354C2350" wp14:textId="07E9F74B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[2] D. Jones, C. Snider, A. Nassehi, J. Yon, and B. Hicks, “Characterising the Digital Twin: A systematic literature review,” CIRP J. Manuf. Sci. Technol., vol. 29, pp. 36–52, 2020, doi: 10.1016/j.cirpj.2020.02.002.</w:t>
      </w:r>
    </w:p>
    <w:p xmlns:wp14="http://schemas.microsoft.com/office/word/2010/wordml" w:rsidP="1FDA4048" wp14:paraId="1EACFBC0" wp14:textId="6233D0BA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[3] A. Fuller, Z. Fan, C. Day, and C. Barlow, “Digital Twin: Enabling Technologies, Challenges and Open Research,” IEEE Access, vol. 8, pp. 108952–108971, 2020, doi: 10.1109/ACCESS.2020.2998358.</w:t>
      </w:r>
    </w:p>
    <w:p xmlns:wp14="http://schemas.microsoft.com/office/word/2010/wordml" w:rsidP="1FDA4048" wp14:paraId="4A8A19CA" wp14:textId="647E878C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[4] V. Chandola, A. Banerjee, and V. Kumar, “Anomaly Detection: A Survey,” ACM Comput. Surv., vol. 41, no. 3, Art. no. 15, 2009, doi: 10.1145/1541880.1541882.</w:t>
      </w:r>
    </w:p>
    <w:p xmlns:wp14="http://schemas.microsoft.com/office/word/2010/wordml" w:rsidP="1FDA4048" wp14:paraId="0EE4092E" wp14:textId="6E2CDCCA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[5] F. T. Liu, K. M. Ting, and Z.-H. Zhou, “Isolation Forest,” in Proc. IEEE ICDM, pp. 413–422, 2008, doi: 10.1109/ICDM.2008.17.</w:t>
      </w:r>
    </w:p>
    <w:p xmlns:wp14="http://schemas.microsoft.com/office/word/2010/wordml" w:rsidP="1FDA4048" wp14:paraId="7E92B766" wp14:textId="019860F3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[6] L. Breiman, “Random Forests,” Mach. Learn., vol. 45, pp. 5–32, 2001, doi: 10.1023/A:1010933404324.</w:t>
      </w:r>
    </w:p>
    <w:p xmlns:wp14="http://schemas.microsoft.com/office/word/2010/wordml" w:rsidP="1FDA4048" wp14:paraId="2F4C09AC" wp14:textId="5E21DE3F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[7] J. Audibert, P. Michiardi, F. Guyard, S. Marti, and M. A. Zuluaga, “USAD: Unsupervised Anomaly Detection on Multivariate Time Series,” in Proc. ACM SIGKDD, 2020, doi: 10.1145/3394486.3403392.</w:t>
      </w:r>
    </w:p>
    <w:p xmlns:wp14="http://schemas.microsoft.com/office/word/2010/wordml" w:rsidP="1FDA4048" wp14:paraId="76FEC2C8" wp14:textId="2599F163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[8] S. Tuli, G. Casale, and N. R. Jennings, “TranAD: Deep Transformer Networks for Anomaly Detection in Multivariate Time Series Data,” Proc. VLDB Endow., vol. 15, no. 6, pp. 1201–1214, 2022, doi: 10.14778/3514061.3514067.</w:t>
      </w:r>
    </w:p>
    <w:p xmlns:wp14="http://schemas.microsoft.com/office/word/2010/wordml" w:rsidP="1FDA4048" wp14:paraId="65FEE080" wp14:textId="623DA040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[9] Z. Zamanzadeh Darban, G. I. Webb, S. Pan, C. C. Aggarwal, and M. Salehi, “Deep Learning for Time Series Anomaly Detection: A Survey,” ACM Comput. Surv., vol. 57, no. 1, Art. no. 15, pp. 1–42, 2025, doi: 10.1145/3691338.</w:t>
      </w:r>
    </w:p>
    <w:p xmlns:wp14="http://schemas.microsoft.com/office/word/2010/wordml" w:rsidP="1FDA4048" wp14:paraId="5C81A955" wp14:textId="7225559F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[10] S. Schmidl, P. Wenig, and T. Papenbrock, “Anomaly Detection in Time Series: A Comprehensive Evaluation,” Proc. VLDB Endow., vol. 15, no. 9, pp. 1779–1797, 2022, doi: 10.14778/3538598.3538602.</w:t>
      </w:r>
    </w:p>
    <w:p xmlns:wp14="http://schemas.microsoft.com/office/word/2010/wordml" w:rsidP="1FDA4048" wp14:paraId="719C023D" wp14:textId="3B946F3B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[11] S. Mihai et al., “Digital Twins: A Survey on Enabling Technologies, Challenges, Trends and Future Prospects,” IEEE Commun. Surv. Tutor., vol. 24, no. 4, pp. 2255–2291, 2022, doi: 10.1109/COMST.2022.3208773.</w:t>
      </w:r>
    </w:p>
    <w:p xmlns:wp14="http://schemas.microsoft.com/office/word/2010/wordml" w:rsidP="1FDA4048" wp14:paraId="1824DE77" wp14:textId="45CF2796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[12] A. Sharma, E. Kosasih, J. Zhang, A. Brintrup, and A. Calinescu, “Digital Twins: State of the art theory and practice, challenges, and open research questions,” J. Ind. Inf. Integr., vol. 30, Art. no. 100383, 2022, doi: 10.1016/j.jii.2022.100383.</w:t>
      </w:r>
    </w:p>
    <w:p xmlns:wp14="http://schemas.microsoft.com/office/word/2010/wordml" w:rsidP="1FDA4048" wp14:paraId="6DB5AC5C" wp14:textId="0B0544EE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[13] A. Blázquez-García, A. Conde, U. Mori, and J. A. Lozano, “A Review on Outlier/Anomaly Detection in Time Series Data,” ACM Comput. Surv., vol. 54, no. 3, Art. no. 56, pp. 1–33, 2022, doi: 10.1145/3444690.</w:t>
      </w:r>
    </w:p>
    <w:p xmlns:wp14="http://schemas.microsoft.com/office/word/2010/wordml" w:rsidP="1FDA4048" wp14:paraId="001329AD" wp14:textId="2457C34C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[14] H. Xu et al., “Unsupervised Anomaly Detection via Variational Auto-Encoder for Seasonal KPIs in Web Applications,” in Proc. WWW, pp. 187–196, 2018, doi: 10.1145/3178876.3185996.</w:t>
      </w:r>
    </w:p>
    <w:p xmlns:wp14="http://schemas.microsoft.com/office/word/2010/wordml" w:rsidP="1FDA4048" wp14:paraId="0DC2D09C" wp14:textId="7A04E1CC">
      <w:pPr>
        <w:shd w:val="clear" w:color="auto" w:fill="FFFFFF" w:themeFill="background1"/>
        <w:bidi w:val="0"/>
        <w:spacing w:before="0" w:beforeAutospacing="off" w:after="100" w:afterAutospacing="off"/>
        <w:ind w:left="475" w:right="0" w:hanging="475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1FDA4048" w:rsidR="65E35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[15] P. Malhotra, L. Vig, G. Shroff, and P. Agarwal, “Long Short Term Memory Networks for Anomaly Detection in Time Series,” in Proc. ESANN, 2015. [Online]. Available: </w:t>
      </w:r>
      <w:hyperlink r:id="Rfe9f3ce2d14a4979">
        <w:r w:rsidRPr="1FDA4048" w:rsidR="65E35BB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u w:val="none"/>
            <w:lang w:val="en-US"/>
          </w:rPr>
          <w:t>https://www.esann.org/sites/default/files/proceedings/legacy/es2015-56.pdf</w:t>
        </w:r>
      </w:hyperlink>
    </w:p>
    <w:p xmlns:wp14="http://schemas.microsoft.com/office/word/2010/wordml" w:rsidP="1FDA4048" wp14:paraId="75DFFDA5" wp14:textId="11FC2682">
      <w:pPr>
        <w:bidi w:val="0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</w:p>
    <w:p xmlns:wp14="http://schemas.microsoft.com/office/word/2010/wordml" wp14:paraId="2C078E63" wp14:textId="5B78CABC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4e4af8c3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3048538b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3f53e55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9696fda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203ae43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e8e1537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825cf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7BBBBD"/>
    <w:rsid w:val="0D7BBBBD"/>
    <w:rsid w:val="128836DF"/>
    <w:rsid w:val="1FDA4048"/>
    <w:rsid w:val="362B5D6C"/>
    <w:rsid w:val="38EF88FC"/>
    <w:rsid w:val="3B9A6394"/>
    <w:rsid w:val="3B9A6394"/>
    <w:rsid w:val="4E43A2E8"/>
    <w:rsid w:val="508C8792"/>
    <w:rsid w:val="548E96C9"/>
    <w:rsid w:val="5D02C67E"/>
    <w:rsid w:val="5E784CA3"/>
    <w:rsid w:val="65E3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D6256"/>
  <w15:chartTrackingRefBased/>
  <w15:docId w15:val="{81DB20AB-C9D0-4FF2-9CB6-0A1F802684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FDA404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FDA4048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esann.org/sites/default/files/proceedings/legacy/es2015-56.pdf" TargetMode="External" Id="Rfe9f3ce2d14a4979" /><Relationship Type="http://schemas.openxmlformats.org/officeDocument/2006/relationships/numbering" Target="numbering.xml" Id="Rcad7119e8b4042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2026-10-20T09:20:31.4042003Z</dcterms:created>
  <dcterms:modified xsi:type="dcterms:W3CDTF">2026-10-20T10:08:23.3371966Z</dcterms:modified>
  <dc:creator>Aaron Miles (2404521)</dc:creator>
  <lastModifiedBy>Aaron Miles (2404521)</lastModifiedBy>
</coreProperties>
</file>