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85D547" w14:textId="77777777" w:rsidR="00040E93" w:rsidRPr="00040E93" w:rsidRDefault="00040E93" w:rsidP="00040E93">
      <w:pPr>
        <w:spacing w:line="360" w:lineRule="auto"/>
      </w:pPr>
      <w:r w:rsidRPr="00040E93">
        <w:rPr>
          <w:b/>
          <w:bCs/>
        </w:rPr>
        <w:t>Assignment: Critically evaluate how the Cognitive Science of Religion (CSR) has contributed to the field of Religious Studies, up to and including the present.</w:t>
      </w:r>
    </w:p>
    <w:p w14:paraId="4453DE1C" w14:textId="168334D3" w:rsidR="00040E93" w:rsidRPr="00040E93" w:rsidRDefault="00040E93" w:rsidP="00040E93">
      <w:pPr>
        <w:spacing w:line="360" w:lineRule="auto"/>
      </w:pPr>
    </w:p>
    <w:p w14:paraId="607C9F6D" w14:textId="77777777" w:rsidR="00040E93" w:rsidRPr="00040E93" w:rsidRDefault="00040E93" w:rsidP="00040E93">
      <w:pPr>
        <w:spacing w:line="360" w:lineRule="auto"/>
      </w:pPr>
      <w:r w:rsidRPr="00040E93">
        <w:t xml:space="preserve">Religious Studies is a multidisciplinary field, with the content and implications of religious beliefs and practices being analysed through numerous different lenses and methodologies. One of these disciplines is the cognitive science of religion (henceforth CSR) which attempts to explain religious impulses only in relation to the human brain and/or mind </w:t>
      </w:r>
      <w:r w:rsidRPr="00040E93">
        <w:rPr>
          <w:b/>
          <w:bCs/>
        </w:rPr>
        <w:t>(Barrett, 2011)</w:t>
      </w:r>
      <w:r w:rsidRPr="00040E93">
        <w:t xml:space="preserve">. There is a rich history of scholars exploring the relationship between the mind, the brain, and religion, which has culminated in modern developments in many areas, such as the cognitive neuroscience of religion, experiential studies of rituals, and evolutionary explanations of religion </w:t>
      </w:r>
      <w:r w:rsidRPr="00040E93">
        <w:rPr>
          <w:b/>
          <w:bCs/>
        </w:rPr>
        <w:t>(McCauley, 2020)</w:t>
      </w:r>
      <w:r w:rsidRPr="00040E93">
        <w:t>. Despite these contributions, I posit that the framework of CSR ultimately limits the potential future growth of research within the field of religious studies, as it makes logically baseless claims about the truthfulness of religious beliefs. I will show that this is not just a critique of specific CSR scholars but is rather a systemic issue stemming from the illogical sentiment of ‘scientific superiority’ that this discipline was founded on.</w:t>
      </w:r>
    </w:p>
    <w:p w14:paraId="27FD0ED6" w14:textId="77777777" w:rsidR="00040E93" w:rsidRPr="00040E93" w:rsidRDefault="00040E93" w:rsidP="00040E93">
      <w:pPr>
        <w:spacing w:line="360" w:lineRule="auto"/>
      </w:pPr>
      <w:r w:rsidRPr="00040E93">
        <w:t> </w:t>
      </w:r>
    </w:p>
    <w:p w14:paraId="322EF359" w14:textId="77777777" w:rsidR="00040E93" w:rsidRPr="00040E93" w:rsidRDefault="00040E93" w:rsidP="00040E93">
      <w:pPr>
        <w:spacing w:line="360" w:lineRule="auto"/>
      </w:pPr>
      <w:r w:rsidRPr="00040E93">
        <w:rPr>
          <w:u w:val="single"/>
        </w:rPr>
        <w:t>Cognitive Science and Religion</w:t>
      </w:r>
    </w:p>
    <w:p w14:paraId="4E3A5B5F" w14:textId="77777777" w:rsidR="00040E93" w:rsidRPr="00040E93" w:rsidRDefault="00040E93" w:rsidP="00040E93">
      <w:pPr>
        <w:spacing w:line="360" w:lineRule="auto"/>
      </w:pPr>
      <w:r w:rsidRPr="00040E93">
        <w:t xml:space="preserve">Within everyday speech, we use the terms ‘mind’ and ‘brain’ interchangeably. For example, saying “what’s going on in your brain?” and “what’s going on in your mind?” are both valid ways of enquiring as to what someone is thinking about. However, philosophically speaking, these two are distinct notions. The brain is the name of a physical organ, whereas the mind is characterised as the collection of one’s mental properties, consciousness, and subjective sense of self-awareness </w:t>
      </w:r>
      <w:r w:rsidRPr="00040E93">
        <w:rPr>
          <w:b/>
          <w:bCs/>
        </w:rPr>
        <w:t>(Fischbach, 1992)</w:t>
      </w:r>
      <w:r w:rsidRPr="00040E93">
        <w:t>. The difference between the two can be simply put in the following way: You could cut open a person’s head and see, touch, and study their brain, but (currently) there is no way for you to have firsthand experience of what it’s like to be in their mind.</w:t>
      </w:r>
    </w:p>
    <w:p w14:paraId="2FD034A3" w14:textId="77777777" w:rsidR="00040E93" w:rsidRPr="00040E93" w:rsidRDefault="00040E93" w:rsidP="00040E93">
      <w:pPr>
        <w:spacing w:line="360" w:lineRule="auto"/>
      </w:pPr>
      <w:r w:rsidRPr="00040E93">
        <w:t xml:space="preserve">Cognitive science is the interdisciplinary study of the nature of the mind and its relationship to the brain </w:t>
      </w:r>
      <w:r w:rsidRPr="00040E93">
        <w:rPr>
          <w:b/>
          <w:bCs/>
        </w:rPr>
        <w:t>(Thagard, 2023)</w:t>
      </w:r>
      <w:r w:rsidRPr="00040E93">
        <w:t>. Scholars of cognitive science study the nature of the mind through the employment of philosophical, psychological, linguistic, anthropological, neuroscientific, and even computer scientific methodologies.</w:t>
      </w:r>
      <w:r w:rsidRPr="00040E93">
        <w:rPr>
          <w:b/>
          <w:bCs/>
        </w:rPr>
        <w:t xml:space="preserve"> </w:t>
      </w:r>
      <w:r w:rsidRPr="00040E93">
        <w:t xml:space="preserve">These disparate methodologies are all used to explore the implications of the central hypothesis of cognitive science, which is that thoughts are best understood in terms of representational structures in the mind and the computational </w:t>
      </w:r>
      <w:r w:rsidRPr="00040E93">
        <w:lastRenderedPageBreak/>
        <w:t xml:space="preserve">procedures that operate on those structures. This leads cognitive scientists to broadly accept that the mind operates like a computer, processing data through algorithms. However, whilst operating in a similar way to a computer, there are notable differences. For example, the parallel processing that the human mind exhibits contrasts with traditional serial computing </w:t>
      </w:r>
      <w:r w:rsidRPr="00040E93">
        <w:rPr>
          <w:b/>
          <w:bCs/>
        </w:rPr>
        <w:t>(A Pastur-Romay et al, 2017)</w:t>
      </w:r>
      <w:r w:rsidRPr="00040E93">
        <w:t xml:space="preserve">.  A contemporary line of enquiry within cognitive science is the integration of neuroscience with psychology, which is known as cognitive neuroscience </w:t>
      </w:r>
      <w:r w:rsidRPr="00040E93">
        <w:rPr>
          <w:b/>
          <w:bCs/>
        </w:rPr>
        <w:t>(Thagard, 2023)</w:t>
      </w:r>
      <w:r w:rsidRPr="00040E93">
        <w:t xml:space="preserve">. This has been driven by advancements in brain-imaging tools and a better understanding of neural networks and, is employed </w:t>
      </w:r>
      <w:proofErr w:type="gramStart"/>
      <w:r w:rsidRPr="00040E93">
        <w:t>in an attempt to</w:t>
      </w:r>
      <w:proofErr w:type="gramEnd"/>
      <w:r w:rsidRPr="00040E93">
        <w:t xml:space="preserve"> truly understand how the human mind functions and processes information. An example of such research is that of María del Rosario Rueda Cuerva, who employs the above methodology to present a theory of attention development in early childhood </w:t>
      </w:r>
      <w:r w:rsidRPr="00040E93">
        <w:rPr>
          <w:b/>
          <w:bCs/>
        </w:rPr>
        <w:t>(Cuerva, 2024)</w:t>
      </w:r>
    </w:p>
    <w:p w14:paraId="618024FC" w14:textId="77777777" w:rsidR="00040E93" w:rsidRPr="00040E93" w:rsidRDefault="00040E93" w:rsidP="00040E93">
      <w:pPr>
        <w:spacing w:line="360" w:lineRule="auto"/>
      </w:pPr>
      <w:r w:rsidRPr="00040E93">
        <w:t xml:space="preserve">CSR, as its name suggests, applies the concepts of cognitive science towards understanding religion. At the core of CSR is the notion that religious beliefs and practices are </w:t>
      </w:r>
      <w:r w:rsidRPr="00040E93">
        <w:rPr>
          <w:u w:val="single"/>
        </w:rPr>
        <w:t>human</w:t>
      </w:r>
      <w:r w:rsidRPr="00040E93">
        <w:t xml:space="preserve"> beliefs and practices, and as such, are no different from a cognitive perspective from any other thoughts and practices held by human beings </w:t>
      </w:r>
      <w:r w:rsidRPr="00040E93">
        <w:rPr>
          <w:b/>
          <w:bCs/>
        </w:rPr>
        <w:t>(McCauley, 2020)</w:t>
      </w:r>
      <w:r w:rsidRPr="00040E93">
        <w:t>. Because of this belief, CSR contends that we can analyse and indeed explain the origins of such beliefs and practices through study of the human mind. Put another way, a scholar of CSR would hold that we could analyse a person’s beliefs on the existence of God through the same mechanisms that we could analyse their knowledge of the English language, or their belief that the sun will rise each morning.  </w:t>
      </w:r>
    </w:p>
    <w:p w14:paraId="0C17B43D" w14:textId="7414A8BB" w:rsidR="00040E93" w:rsidRPr="00040E93" w:rsidRDefault="00040E93" w:rsidP="00040E93">
      <w:pPr>
        <w:spacing w:line="360" w:lineRule="auto"/>
      </w:pPr>
      <w:r w:rsidRPr="00040E93">
        <w:t xml:space="preserve">Justin L. Barrett, psychologist and notable CSR scholar, contends that there are four main tenets that frame the CSR approach </w:t>
      </w:r>
      <w:r w:rsidRPr="00040E93">
        <w:rPr>
          <w:b/>
          <w:bCs/>
        </w:rPr>
        <w:t>(Barrett, 2011)</w:t>
      </w:r>
      <w:r w:rsidRPr="00040E93">
        <w:t>. The first of these is the rejection of cultural relativism, insofar as rejecting the idea that human minds are ‘blank slates’ that are only influenced by their surrounding cultures when forming opinions, thoughts, values, and behaviours. According to Barrett, CSR contends that there is a biological element of being Homo sapiens that, at the very least, predisposes humans to natural cognitive biases that transcend cultural barriers.</w:t>
      </w:r>
    </w:p>
    <w:p w14:paraId="046A2FBA" w14:textId="77777777" w:rsidR="00040E93" w:rsidRPr="00040E93" w:rsidRDefault="00040E93" w:rsidP="00040E93">
      <w:pPr>
        <w:spacing w:line="360" w:lineRule="auto"/>
      </w:pPr>
      <w:r w:rsidRPr="00040E93">
        <w:t xml:space="preserve">Following this, the second tenet of CSR is the belief that at least some important foundations of human cognition are extra-cultural. Examples of this that Barrett gives includes the work of Meltzoff and Moore showing that infants imitate and show preferential attention to human faces </w:t>
      </w:r>
      <w:r w:rsidRPr="00040E93">
        <w:rPr>
          <w:b/>
          <w:bCs/>
        </w:rPr>
        <w:t>(Meltzoff &amp; Moore, 1983)</w:t>
      </w:r>
      <w:r w:rsidRPr="00040E93">
        <w:t xml:space="preserve">, and Spelke and Kinzler’s work detailing how infants </w:t>
      </w:r>
      <w:proofErr w:type="gramStart"/>
      <w:r w:rsidRPr="00040E93">
        <w:t>are able to</w:t>
      </w:r>
      <w:proofErr w:type="gramEnd"/>
      <w:r w:rsidRPr="00040E93">
        <w:t xml:space="preserve"> distinguish between inanimate objects and ‘agents’ with motivations and goals </w:t>
      </w:r>
      <w:r w:rsidRPr="00040E93">
        <w:rPr>
          <w:b/>
          <w:bCs/>
        </w:rPr>
        <w:t>(Spelke &amp; Kinzler, 2007)</w:t>
      </w:r>
      <w:r w:rsidRPr="00040E93">
        <w:t xml:space="preserve">. These key cognitive systems </w:t>
      </w:r>
      <w:proofErr w:type="gramStart"/>
      <w:r w:rsidRPr="00040E93">
        <w:t>are considered to be</w:t>
      </w:r>
      <w:proofErr w:type="gramEnd"/>
      <w:r w:rsidRPr="00040E93">
        <w:t xml:space="preserve"> extra-cultural because they </w:t>
      </w:r>
      <w:r w:rsidRPr="00040E93">
        <w:lastRenderedPageBreak/>
        <w:t xml:space="preserve">have been shown to appear in very young infants of various origins; thus, researchers argue that they must not be reliant upon cultural context to develop. Barrett refers to these innate cognitive systems as ‘mental tools’ </w:t>
      </w:r>
      <w:r w:rsidRPr="00040E93">
        <w:rPr>
          <w:b/>
          <w:bCs/>
        </w:rPr>
        <w:t>(Barrett, 2004).</w:t>
      </w:r>
    </w:p>
    <w:p w14:paraId="78B5A272" w14:textId="77777777" w:rsidR="00040E93" w:rsidRPr="00040E93" w:rsidRDefault="00040E93" w:rsidP="00040E93">
      <w:pPr>
        <w:spacing w:line="360" w:lineRule="auto"/>
      </w:pPr>
      <w:r w:rsidRPr="00040E93">
        <w:t>This leads directly to the third tenet, which is the belief that it is these mental tools that typify, and indeed constrain, religious beliefs and expression within the human mind. Because CSR contends that religious impulses originate from and proliferate due to the human mind’s mental tools, and at least some mental tools are held to be pre-cultural and biologically hardwired, it can therefore be held that CSR maintains that human beings are biologically predisposed to religious impulses.</w:t>
      </w:r>
    </w:p>
    <w:p w14:paraId="6B25F23D" w14:textId="77777777" w:rsidR="00040E93" w:rsidRPr="00040E93" w:rsidRDefault="00040E93" w:rsidP="00040E93">
      <w:pPr>
        <w:spacing w:line="360" w:lineRule="auto"/>
      </w:pPr>
      <w:r w:rsidRPr="00040E93">
        <w:t xml:space="preserve">The final tenet of CSR is the focus on studying religious thoughts and behaviours that are held across a community of individuals, as opposed to studying the ideas or experiences of a single individual. Barrett contends that the goal of CSR is to ‘explain religion’ by exploring how certain mental tools, working in certain environments, lead to noticeable patterns of religious thought and expression throughout populations. It is important to note that, because of this emphasis on patterns of religious thought and impulses, individual religious experiences are not considered as relevant to CSR research. This approach draws upon the work of the social and cognitive scientist Dan Sperber, particularly their theory of cultural epidemiology </w:t>
      </w:r>
      <w:r w:rsidRPr="00040E93">
        <w:rPr>
          <w:b/>
          <w:bCs/>
        </w:rPr>
        <w:t>(Sperber, 1996)</w:t>
      </w:r>
      <w:r w:rsidRPr="00040E93">
        <w:t>.</w:t>
      </w:r>
    </w:p>
    <w:p w14:paraId="29CAEDB2" w14:textId="77777777" w:rsidR="00040E93" w:rsidRPr="00040E93" w:rsidRDefault="00040E93" w:rsidP="00040E93">
      <w:pPr>
        <w:spacing w:line="360" w:lineRule="auto"/>
      </w:pPr>
      <w:r w:rsidRPr="00040E93">
        <w:t>These four tenets, therefore, give us a comprehensive picture of the principles that unite researchers under the field of CSR. The next section of this paper will look towards how CSR developed as a discipline, before diving into contemporary theories and assessing their merit as contributions towards the general field of religious studies.</w:t>
      </w:r>
    </w:p>
    <w:p w14:paraId="690D8FEA" w14:textId="77777777" w:rsidR="00040E93" w:rsidRPr="00040E93" w:rsidRDefault="00040E93" w:rsidP="00040E93">
      <w:pPr>
        <w:spacing w:line="360" w:lineRule="auto"/>
      </w:pPr>
      <w:r w:rsidRPr="00040E93">
        <w:t> </w:t>
      </w:r>
    </w:p>
    <w:p w14:paraId="4857046F" w14:textId="77777777" w:rsidR="00040E93" w:rsidRPr="00040E93" w:rsidRDefault="00040E93" w:rsidP="00040E93">
      <w:pPr>
        <w:spacing w:line="360" w:lineRule="auto"/>
      </w:pPr>
      <w:r w:rsidRPr="00040E93">
        <w:rPr>
          <w:u w:val="single"/>
        </w:rPr>
        <w:t xml:space="preserve">The History of CSR </w:t>
      </w:r>
    </w:p>
    <w:p w14:paraId="4D51FCE7" w14:textId="77777777" w:rsidR="00040E93" w:rsidRPr="00040E93" w:rsidRDefault="00040E93" w:rsidP="00040E93">
      <w:pPr>
        <w:spacing w:line="360" w:lineRule="auto"/>
      </w:pPr>
      <w:r w:rsidRPr="00040E93">
        <w:t xml:space="preserve">While CSR (as it is formally recognised now) is a </w:t>
      </w:r>
      <w:proofErr w:type="gramStart"/>
      <w:r w:rsidRPr="00040E93">
        <w:t>fairly new</w:t>
      </w:r>
      <w:proofErr w:type="gramEnd"/>
      <w:r w:rsidRPr="00040E93">
        <w:t xml:space="preserve"> academic discipline, the exploration of the relationship between religion and the human brain and mind is not a uniquely modern endeavour. Within the Atharva Veda, the fourth of the Vedic religious texts, we can see that scholars were considering the nature of the mind and its connection with the divine over 3000 years ago</w:t>
      </w:r>
      <w:r w:rsidRPr="00040E93">
        <w:rPr>
          <w:b/>
          <w:bCs/>
        </w:rPr>
        <w:t xml:space="preserve"> (Singh, 2015). </w:t>
      </w:r>
      <w:r w:rsidRPr="00040E93">
        <w:t>In this text, the mind is said to be the</w:t>
      </w:r>
      <w:r w:rsidRPr="00040E93">
        <w:rPr>
          <w:b/>
          <w:bCs/>
        </w:rPr>
        <w:t xml:space="preserve"> </w:t>
      </w:r>
      <w:r w:rsidRPr="00040E93">
        <w:t xml:space="preserve">sixth sense, that is made active in us by the Supreme </w:t>
      </w:r>
      <w:proofErr w:type="gramStart"/>
      <w:r w:rsidRPr="00040E93">
        <w:t>Being, and</w:t>
      </w:r>
      <w:proofErr w:type="gramEnd"/>
      <w:r w:rsidRPr="00040E93">
        <w:t xml:space="preserve"> is viewed as the source of both the sorrow and joy experienced by humans </w:t>
      </w:r>
      <w:r w:rsidRPr="00040E93">
        <w:rPr>
          <w:b/>
          <w:bCs/>
        </w:rPr>
        <w:t>(Rao, 2002)</w:t>
      </w:r>
      <w:r w:rsidRPr="00040E93">
        <w:t xml:space="preserve">. Not only does this show an early scholarly interest into the nature of the </w:t>
      </w:r>
      <w:r w:rsidRPr="00040E93">
        <w:lastRenderedPageBreak/>
        <w:t>mind, but it also clearly shows an exploration into the link between the human mind and religion. </w:t>
      </w:r>
    </w:p>
    <w:p w14:paraId="5D5FF6F1" w14:textId="77777777" w:rsidR="00040E93" w:rsidRPr="00040E93" w:rsidRDefault="00040E93" w:rsidP="00040E93">
      <w:pPr>
        <w:spacing w:line="360" w:lineRule="auto"/>
      </w:pPr>
      <w:r w:rsidRPr="00040E93">
        <w:t xml:space="preserve">These ideas are expanded upon in the Upanishads, the late and post-Vedic texts, with these texts also showing that the relationship between the mind and the physical body was also being explored. The Katha-Upanishad employs the analogy of a chariot to describe the interrelationship between the mind and the body, with the body being the chariot and the mind being the reins </w:t>
      </w:r>
      <w:r w:rsidRPr="00040E93">
        <w:rPr>
          <w:b/>
          <w:bCs/>
        </w:rPr>
        <w:t>(Katha-Upanishad, 3:3-4)</w:t>
      </w:r>
      <w:r w:rsidRPr="00040E93">
        <w:t xml:space="preserve">. The Upanishads also </w:t>
      </w:r>
      <w:proofErr w:type="gramStart"/>
      <w:r w:rsidRPr="00040E93">
        <w:t>make reference</w:t>
      </w:r>
      <w:proofErr w:type="gramEnd"/>
      <w:r w:rsidRPr="00040E93">
        <w:t xml:space="preserve"> to parietal bones of the skull and the structures held inside the head (which we now know as the brain) when discussing how one may chant to become one with the Brahman </w:t>
      </w:r>
      <w:r w:rsidRPr="00040E93">
        <w:rPr>
          <w:b/>
          <w:bCs/>
        </w:rPr>
        <w:t>(Newberg, 2018)</w:t>
      </w:r>
      <w:r w:rsidRPr="00040E93">
        <w:t>, which shows an early theory on how religious practices affect both a person's mind and physical brain. It is undeniable that this shows the foundation of CSR to come from very ancient thought indeed.</w:t>
      </w:r>
    </w:p>
    <w:p w14:paraId="45917143" w14:textId="77777777" w:rsidR="00040E93" w:rsidRPr="00040E93" w:rsidRDefault="00040E93" w:rsidP="00040E93">
      <w:pPr>
        <w:spacing w:line="360" w:lineRule="auto"/>
      </w:pPr>
      <w:r w:rsidRPr="00040E93">
        <w:t xml:space="preserve">Philosophers and theologians continued to grapple with the concept of the mind and its relationship to the divine throughout the centuries. One of the most famous figures in this regard is French mathematician and philosopher René Descartes, who is best known for his proclamation “cogito, ergo sum” which translates as ‘I think, therefore, I am </w:t>
      </w:r>
      <w:r w:rsidRPr="00040E93">
        <w:rPr>
          <w:b/>
          <w:bCs/>
        </w:rPr>
        <w:t xml:space="preserve">(Descartes, 1637). </w:t>
      </w:r>
      <w:r w:rsidRPr="00040E93">
        <w:t xml:space="preserve">Descartes regarded this ‘first precept’ as the foundation of his metaphysics, through which he developed his argument for the existence of God </w:t>
      </w:r>
      <w:r w:rsidRPr="00040E93">
        <w:rPr>
          <w:b/>
          <w:bCs/>
        </w:rPr>
        <w:t>(Hatfield, 2024)</w:t>
      </w:r>
      <w:r w:rsidRPr="00040E93">
        <w:t>. This was a pivotal moment in both the philosophy of religion and the philosophy of the mind, as this marked the start of considering religion in terms of the mind, rather than the norm of considering the nature of the mind in terms of religion.</w:t>
      </w:r>
    </w:p>
    <w:p w14:paraId="77B2FEE3" w14:textId="77777777" w:rsidR="00040E93" w:rsidRPr="00040E93" w:rsidRDefault="00040E93" w:rsidP="00040E93">
      <w:pPr>
        <w:spacing w:line="360" w:lineRule="auto"/>
      </w:pPr>
      <w:r w:rsidRPr="00040E93">
        <w:t>The Enlightenment era of the 17</w:t>
      </w:r>
      <w:r w:rsidRPr="00040E93">
        <w:rPr>
          <w:vertAlign w:val="superscript"/>
        </w:rPr>
        <w:t>th</w:t>
      </w:r>
      <w:r w:rsidRPr="00040E93">
        <w:t xml:space="preserve"> and 18</w:t>
      </w:r>
      <w:r w:rsidRPr="00040E93">
        <w:rPr>
          <w:vertAlign w:val="superscript"/>
        </w:rPr>
        <w:t>th</w:t>
      </w:r>
      <w:r w:rsidRPr="00040E93">
        <w:t xml:space="preserve"> centuries led to a more scientific approach to the study of religion. This era is defined by its namesake philosophical system of ‘Enlightenment thinking’, which emphasised the importance of reason, empirical evidence and the scientific method, arguing that the exclusive employment of these would lead to the improvement of humanity </w:t>
      </w:r>
      <w:r w:rsidRPr="00040E93">
        <w:rPr>
          <w:b/>
          <w:bCs/>
        </w:rPr>
        <w:t>(Bristow, 2023)</w:t>
      </w:r>
      <w:r w:rsidRPr="00040E93">
        <w:t xml:space="preserve">. Scholars of the Enlightenment era critiqued focus on ‘irrational’ or ‘supernatural’ aspects of religion that could not be quantified through empirical evidence, and instead sought to ‘purify’ religion into its ‘rational’ or ‘natural’ form. The work of philosopher Immanuel Kant exemplifies this ideal; Kant critiqued traditional proofs for God’s existence and instead sought to establish a rational basis for faith, deeming any beliefs that rely upon ‘supernatural’ evidence as senseless </w:t>
      </w:r>
      <w:r w:rsidRPr="00040E93">
        <w:rPr>
          <w:b/>
          <w:bCs/>
        </w:rPr>
        <w:t>(Pasternack &amp; Fugate, 2022)</w:t>
      </w:r>
      <w:r w:rsidRPr="00040E93">
        <w:t xml:space="preserve">. This sentiment comes directly from Kant’s theory of the human mind, in which he asserted that the human mind has access to ultimate reality and understanding by virtue of it being the only way to perceive and </w:t>
      </w:r>
      <w:r w:rsidRPr="00040E93">
        <w:lastRenderedPageBreak/>
        <w:t xml:space="preserve">experience the external world </w:t>
      </w:r>
      <w:r w:rsidRPr="00040E93">
        <w:rPr>
          <w:b/>
          <w:bCs/>
        </w:rPr>
        <w:t>(Brook &amp; Wuerth, 2023)</w:t>
      </w:r>
      <w:r w:rsidRPr="00040E93">
        <w:t>. As seen with Descartes previously, Kant’s philosophy of religion was built upon the foundations of his view of the nature of the mind. However, Kant’s focus on the importance of empirical evidence showcases the shift towards the scientific method that came out of the Enlightenment era scholarship.</w:t>
      </w:r>
    </w:p>
    <w:p w14:paraId="28E94BB8" w14:textId="77777777" w:rsidR="00040E93" w:rsidRPr="00040E93" w:rsidRDefault="00040E93" w:rsidP="00040E93">
      <w:pPr>
        <w:spacing w:line="360" w:lineRule="auto"/>
      </w:pPr>
      <w:r w:rsidRPr="00040E93">
        <w:t>By the 19</w:t>
      </w:r>
      <w:r w:rsidRPr="00040E93">
        <w:rPr>
          <w:vertAlign w:val="superscript"/>
        </w:rPr>
        <w:t>th</w:t>
      </w:r>
      <w:r w:rsidRPr="00040E93">
        <w:t xml:space="preserve"> century, studying religion using the scientific method was becoming more academically organised, and this emerging field was described by German Philologist and University of Oxford scholar Friedrich Max Müller as ‘</w:t>
      </w:r>
      <w:r w:rsidRPr="00040E93">
        <w:rPr>
          <w:i/>
          <w:iCs/>
        </w:rPr>
        <w:t>Religionwissenshaft</w:t>
      </w:r>
      <w:r w:rsidRPr="00040E93">
        <w:t xml:space="preserve">’, or the ‘science of religion’ </w:t>
      </w:r>
      <w:r w:rsidRPr="00040E93">
        <w:rPr>
          <w:b/>
          <w:bCs/>
        </w:rPr>
        <w:t>(Müller, 1873</w:t>
      </w:r>
      <w:proofErr w:type="gramStart"/>
      <w:r w:rsidRPr="00040E93">
        <w:rPr>
          <w:b/>
          <w:bCs/>
        </w:rPr>
        <w:t>)</w:t>
      </w:r>
      <w:r w:rsidRPr="00040E93">
        <w:t>.This</w:t>
      </w:r>
      <w:proofErr w:type="gramEnd"/>
      <w:r w:rsidRPr="00040E93">
        <w:t xml:space="preserve"> was the academic beginning of what we now refer to as the field of religious studies. Moving into the late twentieth century, CSR was born out of the desire to further “science-up” </w:t>
      </w:r>
      <w:r w:rsidRPr="00040E93">
        <w:rPr>
          <w:b/>
          <w:bCs/>
        </w:rPr>
        <w:t>(Barrett, 2011)</w:t>
      </w:r>
      <w:r w:rsidRPr="00040E93">
        <w:t xml:space="preserve"> the study of religion, by quantifying religious impulses solely through analysis of the human mind and brain. In February of 1996, Western Michigan University held a conference titled “Cognition, Culture, and Religion” which is held as the event that marks the official genesis of CSR </w:t>
      </w:r>
      <w:r w:rsidRPr="00040E93">
        <w:rPr>
          <w:b/>
          <w:bCs/>
        </w:rPr>
        <w:t>(Barrett, 2011)</w:t>
      </w:r>
      <w:r w:rsidRPr="00040E93">
        <w:t>. This conference was chaired by the co-founder of the North American Association for the Study of Religion, Ernest Thomas Lawson</w:t>
      </w:r>
      <w:r w:rsidRPr="00040E93">
        <w:rPr>
          <w:b/>
          <w:bCs/>
        </w:rPr>
        <w:t xml:space="preserve"> (Martin &amp; Wiebe, 2004</w:t>
      </w:r>
      <w:proofErr w:type="gramStart"/>
      <w:r w:rsidRPr="00040E93">
        <w:rPr>
          <w:b/>
          <w:bCs/>
        </w:rPr>
        <w:t>)</w:t>
      </w:r>
      <w:r w:rsidRPr="00040E93">
        <w:t>, and</w:t>
      </w:r>
      <w:proofErr w:type="gramEnd"/>
      <w:r w:rsidRPr="00040E93">
        <w:t xml:space="preserve"> was attended by notable scholars such as Justin Barrett (a psychologist), Pascal Boyer (an anthropologist), Brian Malley (a religion scholar), Robert McCauley (a philosopher), and Harvey Whitehouse (an anthropologist). All of these scholars subsequently wrote pivotal literature on the development of CSR: Barrett published a work arguing that the belief in God is an almost inevitable result of the way human minds function </w:t>
      </w:r>
      <w:r w:rsidRPr="00040E93">
        <w:rPr>
          <w:b/>
          <w:bCs/>
        </w:rPr>
        <w:t>(Barrett, 2004)</w:t>
      </w:r>
      <w:r w:rsidRPr="00040E93">
        <w:t>, Boyer wrote on the possible evolutionary origins of religious thoughts (</w:t>
      </w:r>
      <w:r w:rsidRPr="00040E93">
        <w:rPr>
          <w:b/>
          <w:bCs/>
        </w:rPr>
        <w:t>Boyer, 2001)</w:t>
      </w:r>
      <w:r w:rsidRPr="00040E93">
        <w:t>, Malley conducted an anthropological study into evangelical biblicism</w:t>
      </w:r>
      <w:r w:rsidRPr="00040E93">
        <w:rPr>
          <w:b/>
          <w:bCs/>
        </w:rPr>
        <w:t> (Malley, 2004)</w:t>
      </w:r>
      <w:r w:rsidRPr="00040E93">
        <w:t xml:space="preserve">, McCauley collaborated with Lawson to produce a hypothesis linking rituals to functions of the mind </w:t>
      </w:r>
      <w:r w:rsidRPr="00040E93">
        <w:rPr>
          <w:b/>
          <w:bCs/>
        </w:rPr>
        <w:t>(McCauley &amp; Lawson, 2002)</w:t>
      </w:r>
      <w:r w:rsidRPr="00040E93">
        <w:t xml:space="preserve"> which was later tested and expanded upon by Malley and Barrett </w:t>
      </w:r>
      <w:r w:rsidRPr="00040E93">
        <w:rPr>
          <w:b/>
          <w:bCs/>
        </w:rPr>
        <w:t>(Malley &amp; Barrett, 2003)</w:t>
      </w:r>
      <w:r w:rsidRPr="00040E93">
        <w:t xml:space="preserve">, and Whitehouse wrote on the interconnected relationship between the styles of religious transmission, systems of memory, and patterns of political association that he observed within four Melanesian religious traditions </w:t>
      </w:r>
      <w:r w:rsidRPr="00040E93">
        <w:rPr>
          <w:b/>
          <w:bCs/>
        </w:rPr>
        <w:t>(Whitehouse, 2000)</w:t>
      </w:r>
      <w:r w:rsidRPr="00040E93">
        <w:t xml:space="preserve">. It was Barrett that officially named the field the “Cognitive Science of Religion (CSR)” in his work exploring the </w:t>
      </w:r>
      <w:r w:rsidRPr="00040E93">
        <w:rPr>
          <w:i/>
          <w:iCs/>
        </w:rPr>
        <w:t>“natural foundations”</w:t>
      </w:r>
      <w:r w:rsidRPr="00040E93">
        <w:t xml:space="preserve"> of religion in the year 2000 </w:t>
      </w:r>
      <w:r w:rsidRPr="00040E93">
        <w:rPr>
          <w:b/>
          <w:bCs/>
        </w:rPr>
        <w:t>(Barrett, 2000)</w:t>
      </w:r>
      <w:r w:rsidRPr="00040E93">
        <w:t>. It was these initial contributions that helped to launch the field of CSR into academia and paved the way for the contemporary developments by cognitive scientists of religion.</w:t>
      </w:r>
    </w:p>
    <w:p w14:paraId="190A920F" w14:textId="22681168" w:rsidR="00040E93" w:rsidRDefault="00040E93" w:rsidP="00040E93">
      <w:pPr>
        <w:spacing w:line="360" w:lineRule="auto"/>
        <w:rPr>
          <w:b/>
          <w:bCs/>
          <w:u w:val="single"/>
        </w:rPr>
      </w:pPr>
    </w:p>
    <w:p w14:paraId="2CA71F49" w14:textId="77777777" w:rsidR="00040E93" w:rsidRDefault="00040E93" w:rsidP="00040E93">
      <w:pPr>
        <w:spacing w:line="360" w:lineRule="auto"/>
      </w:pPr>
    </w:p>
    <w:p w14:paraId="31E24C35" w14:textId="77777777" w:rsidR="00040E93" w:rsidRPr="00040E93" w:rsidRDefault="00040E93" w:rsidP="00040E93">
      <w:pPr>
        <w:spacing w:line="360" w:lineRule="auto"/>
      </w:pPr>
    </w:p>
    <w:p w14:paraId="4592167A" w14:textId="77777777" w:rsidR="00040E93" w:rsidRPr="00040E93" w:rsidRDefault="00040E93" w:rsidP="00040E93">
      <w:pPr>
        <w:spacing w:line="360" w:lineRule="auto"/>
        <w:rPr>
          <w:u w:val="single"/>
        </w:rPr>
      </w:pPr>
      <w:r w:rsidRPr="00040E93">
        <w:rPr>
          <w:u w:val="single"/>
        </w:rPr>
        <w:lastRenderedPageBreak/>
        <w:t>Contemporary Developments in CSR</w:t>
      </w:r>
    </w:p>
    <w:p w14:paraId="107515AC" w14:textId="77777777" w:rsidR="00040E93" w:rsidRPr="00040E93" w:rsidRDefault="00040E93" w:rsidP="00040E93">
      <w:pPr>
        <w:spacing w:line="360" w:lineRule="auto"/>
      </w:pPr>
      <w:r w:rsidRPr="00040E93">
        <w:t xml:space="preserve">One of the richest areas of contemporary CSR research is in relation to evolutionary explanations of religious thoughts and impulses. This avenue of research attempts to use evolutionary theories to explain certain religious features. These explanations can be categorised as either “ultimate”, which concern the broad processes that affect entire species or cultures over extended periods of time, or “proximate”, which concern immediate causes and mechanisms, including mental tools, that operate in the short term to produce religious thought or impulses </w:t>
      </w:r>
      <w:r w:rsidRPr="00040E93">
        <w:rPr>
          <w:b/>
          <w:bCs/>
        </w:rPr>
        <w:t xml:space="preserve">(McCauley, 2020). </w:t>
      </w:r>
      <w:r w:rsidRPr="00040E93">
        <w:t>In short, the proximate</w:t>
      </w:r>
      <w:r w:rsidRPr="00040E93">
        <w:rPr>
          <w:b/>
          <w:bCs/>
        </w:rPr>
        <w:t xml:space="preserve"> </w:t>
      </w:r>
      <w:r w:rsidRPr="00040E93">
        <w:t>explanations set forward the mental tools that cause religiosity, and the ultimate explanations say why we developed them.</w:t>
      </w:r>
    </w:p>
    <w:p w14:paraId="76CD28AB" w14:textId="77777777" w:rsidR="00040E93" w:rsidRPr="00040E93" w:rsidRDefault="00040E93" w:rsidP="00040E93">
      <w:pPr>
        <w:spacing w:line="360" w:lineRule="auto"/>
      </w:pPr>
      <w:r w:rsidRPr="00040E93">
        <w:t xml:space="preserve">A notable proximate evolutionary theory in CSR is Justin Barrett’s “hyperactive agency detection device” (Henceforth HADD) </w:t>
      </w:r>
      <w:r w:rsidRPr="00040E93">
        <w:rPr>
          <w:b/>
          <w:bCs/>
        </w:rPr>
        <w:t>(Barrett, 2000)</w:t>
      </w:r>
      <w:r w:rsidRPr="00040E93">
        <w:t xml:space="preserve">. According to Barrett, this mental tool causes our minds to constantly scan for other humans and non-human agents as a way of protecting ourselves from predators. This tool is ‘hyperactive’ in the sense that </w:t>
      </w:r>
      <w:proofErr w:type="gramStart"/>
      <w:r w:rsidRPr="00040E93">
        <w:t>it</w:t>
      </w:r>
      <w:proofErr w:type="gramEnd"/>
      <w:r w:rsidRPr="00040E93">
        <w:t xml:space="preserve"> over-attributes agency to non-human objects, as it is much safer to assume the shadow across the cave entrance is a predator rather than the sun moving through the trees. Therefore, Barrett argues that it is this mental tool that causes humans to believe in supernatural agents, such as God.</w:t>
      </w:r>
    </w:p>
    <w:p w14:paraId="379E2960" w14:textId="77777777" w:rsidR="00040E93" w:rsidRPr="00040E93" w:rsidRDefault="00040E93" w:rsidP="00040E93">
      <w:pPr>
        <w:spacing w:line="360" w:lineRule="auto"/>
      </w:pPr>
      <w:r w:rsidRPr="00040E93">
        <w:t xml:space="preserve">Despite first being described by Barrett a quarter of a century ago, scholars continue to research and debate the nature or existence of the HADD within the human mind </w:t>
      </w:r>
      <w:r w:rsidRPr="00040E93">
        <w:rPr>
          <w:b/>
          <w:bCs/>
        </w:rPr>
        <w:t>(Maij, van Schie, &amp; van Elk, 2019)</w:t>
      </w:r>
      <w:r w:rsidRPr="00040E93">
        <w:t xml:space="preserve">, and its implications on the origin of religion </w:t>
      </w:r>
      <w:r w:rsidRPr="00040E93">
        <w:rPr>
          <w:b/>
          <w:bCs/>
        </w:rPr>
        <w:t>(Modern, 2016)</w:t>
      </w:r>
      <w:r w:rsidRPr="00040E93">
        <w:t>. As such, proximate evolutionary explanations of religion, such as Barrett’s HADD, can be argued to be thought-provoking contributions to academic discourse within religious studies.</w:t>
      </w:r>
    </w:p>
    <w:p w14:paraId="49A60817" w14:textId="77777777" w:rsidR="00040E93" w:rsidRPr="00040E93" w:rsidRDefault="00040E93" w:rsidP="00040E93">
      <w:pPr>
        <w:spacing w:line="360" w:lineRule="auto"/>
      </w:pPr>
      <w:r w:rsidRPr="00040E93">
        <w:t xml:space="preserve">Even where scholars come to a consensus on proximate evolutionary theories within CSR, there are still competing schools of thought on the ultimate level. Adaptationalists, for example, hold that religiosity is a direct byproduct of natural selection </w:t>
      </w:r>
      <w:r w:rsidRPr="00040E93">
        <w:rPr>
          <w:b/>
          <w:bCs/>
        </w:rPr>
        <w:t>(Bulbulia, 2004)</w:t>
      </w:r>
      <w:r w:rsidRPr="00040E93">
        <w:t xml:space="preserve">. They would argue that the mental tools that cause religiosity would also have historically provided individuals with a higher likelihood of surviving, mating, and producing offspring, thus passing on these traits. In the case of HADD, an individual who assigned agency to all objects would likely be paranoid of their intentions, and a vigilant enough person to keep their guard up against predators would likely outcompete more naïve individuals who did not ascribe motives to non-human entities. This would allow this mental tool to be passed through the generations and ultimately explain why humans believe in God. In comparison, cultural selectionists would argue that the mental tools that facilitate religiosity also fostered cooperation amongst members to benefit groups, and therefore the individuals themselves on average </w:t>
      </w:r>
      <w:r w:rsidRPr="00040E93">
        <w:rPr>
          <w:b/>
          <w:bCs/>
        </w:rPr>
        <w:t xml:space="preserve">(McCauley, </w:t>
      </w:r>
      <w:r w:rsidRPr="00040E93">
        <w:rPr>
          <w:b/>
          <w:bCs/>
        </w:rPr>
        <w:lastRenderedPageBreak/>
        <w:t>2020)</w:t>
      </w:r>
      <w:r w:rsidRPr="00040E93">
        <w:t xml:space="preserve">. In the case of HADD, a cultural selectionist would argue that being vigilant would benefit a group of people by allowing them to have affective watchers, leading the group </w:t>
      </w:r>
      <w:proofErr w:type="gramStart"/>
      <w:r w:rsidRPr="00040E93">
        <w:t>as a whole to</w:t>
      </w:r>
      <w:proofErr w:type="gramEnd"/>
      <w:r w:rsidRPr="00040E93">
        <w:t xml:space="preserve"> feel safer. And thus, the HADD mental tool would have been praised and encouraged within the culture of that group, allowing it to be passed down through generations. Therefore, we can see that evolutionary research in CSR provides a multitude of perspectives on the origin of religious impulses.</w:t>
      </w:r>
    </w:p>
    <w:p w14:paraId="01912763" w14:textId="77777777" w:rsidR="00040E93" w:rsidRPr="00040E93" w:rsidRDefault="00040E93" w:rsidP="00040E93">
      <w:pPr>
        <w:spacing w:line="360" w:lineRule="auto"/>
      </w:pPr>
      <w:r w:rsidRPr="00040E93">
        <w:t> </w:t>
      </w:r>
    </w:p>
    <w:p w14:paraId="38A0A9F4" w14:textId="77777777" w:rsidR="00040E93" w:rsidRPr="00040E93" w:rsidRDefault="00040E93" w:rsidP="00040E93">
      <w:pPr>
        <w:spacing w:line="360" w:lineRule="auto"/>
      </w:pPr>
      <w:r w:rsidRPr="00040E93">
        <w:t xml:space="preserve">In line with current trends seen in the general field of cognitive, CSR has also shown an increased interest in the combination of psychological and neuroscientific methodologies and research and findings, due to the sentiment that advancements in brain imaging technologies may provide new insights into cognitive processes related to religion </w:t>
      </w:r>
      <w:r w:rsidRPr="00040E93">
        <w:rPr>
          <w:b/>
          <w:bCs/>
        </w:rPr>
        <w:t>(McCauley, 2020)</w:t>
      </w:r>
      <w:r w:rsidRPr="00040E93">
        <w:t xml:space="preserve">. An example of this can be seen through the work of CSR researchers at the University of Aarhus, who have produced multiple brain studies to corroborate theories on the effect of prayer on the mind and brain </w:t>
      </w:r>
      <w:r w:rsidRPr="00040E93">
        <w:rPr>
          <w:b/>
          <w:bCs/>
        </w:rPr>
        <w:t>(Schoedt et al., 2008, 2009 &amp; 2011).  </w:t>
      </w:r>
      <w:r w:rsidRPr="00040E93">
        <w:t xml:space="preserve">The Aarhus researchers have focused their studies on observing the areas of the brain that are activated by both secular and practicing Christian groups during different types of prayer, </w:t>
      </w:r>
      <w:proofErr w:type="gramStart"/>
      <w:r w:rsidRPr="00040E93">
        <w:t>in order to</w:t>
      </w:r>
      <w:proofErr w:type="gramEnd"/>
      <w:r w:rsidRPr="00040E93">
        <w:t xml:space="preserve"> understand the relationship between prayer, belief, and the brain. Research such as this, however, has been limited due in part to the funding available to pay for such cutting-edge technology. However, we are seeing an increase in the number of such research projects at institutions around the world, pointing to this technology becoming more and more accessible to CSR researchers </w:t>
      </w:r>
      <w:r w:rsidRPr="00040E93">
        <w:rPr>
          <w:b/>
          <w:bCs/>
        </w:rPr>
        <w:t>(McCauley, 2020).</w:t>
      </w:r>
      <w:r w:rsidRPr="00040E93">
        <w:t xml:space="preserve"> As such, contemporary CSR researchers are increasingly utilising cognitive neuroscientific findings to refine their hypotheses and are beginning to directly conduct such experiments themselves more and more.</w:t>
      </w:r>
    </w:p>
    <w:p w14:paraId="06A4B6D5" w14:textId="77777777" w:rsidR="00040E93" w:rsidRPr="00040E93" w:rsidRDefault="00040E93" w:rsidP="00040E93">
      <w:pPr>
        <w:spacing w:line="360" w:lineRule="auto"/>
      </w:pPr>
      <w:r w:rsidRPr="00040E93">
        <w:rPr>
          <w:b/>
          <w:bCs/>
        </w:rPr>
        <w:t> </w:t>
      </w:r>
    </w:p>
    <w:p w14:paraId="7806C95D" w14:textId="77777777" w:rsidR="00040E93" w:rsidRPr="00040E93" w:rsidRDefault="00040E93" w:rsidP="00040E93">
      <w:pPr>
        <w:spacing w:line="360" w:lineRule="auto"/>
      </w:pPr>
      <w:r w:rsidRPr="00040E93">
        <w:t>As previously stated within Barrett’s four tenets, individual religious experiences fall outside of the purview of CSR. However, this does not exclude CSR scholars from exploring the relationship between how groups of individuals report their experiences of certain religious rituals and the physical changes that happen within their bodies.</w:t>
      </w:r>
    </w:p>
    <w:p w14:paraId="3767F9A2" w14:textId="77777777" w:rsidR="00040E93" w:rsidRPr="00040E93" w:rsidRDefault="00040E93" w:rsidP="00040E93">
      <w:pPr>
        <w:spacing w:line="360" w:lineRule="auto"/>
      </w:pPr>
      <w:r w:rsidRPr="00040E93">
        <w:t xml:space="preserve">One such study is that of Dimitris Xygalatas and their colleagues, who interviewed and undertook physiological tests on people participating in a fire-walk in San Pedro Manrique, Spain </w:t>
      </w:r>
      <w:r w:rsidRPr="00040E93">
        <w:rPr>
          <w:b/>
          <w:bCs/>
        </w:rPr>
        <w:t>(Xygalatas, et al., 2013</w:t>
      </w:r>
      <w:proofErr w:type="gramStart"/>
      <w:r w:rsidRPr="00040E93">
        <w:rPr>
          <w:b/>
          <w:bCs/>
        </w:rPr>
        <w:t>)  </w:t>
      </w:r>
      <w:r w:rsidRPr="00040E93">
        <w:t>The</w:t>
      </w:r>
      <w:proofErr w:type="gramEnd"/>
      <w:r w:rsidRPr="00040E93">
        <w:t xml:space="preserve"> fire-walkers recalled being comparatively the calmest during their seven-meter-long walk over hot coals, as opposed to at other points throughout the </w:t>
      </w:r>
      <w:r w:rsidRPr="00040E93">
        <w:lastRenderedPageBreak/>
        <w:t xml:space="preserve">festival. However, the heart rate data that was gathered by the researchers pointed towards the opposite and showed that they were experiencing the strongest physiological response as they took part in the fire-walk. The conflict between the subjective reports and the physiological data was of interest to researchers, as it points towards a more complex relationship between how rituals affect the mind versus how they affect the body. From this, Xygalatas and their colleagues concluded that this study corroborates two CSR hypotheses. The first of these, the cognitive resource depletion hypothesis, posits that high-arousal rituals can overload cognitive processes, which then impairs the subject’s memory of their experience </w:t>
      </w:r>
      <w:r w:rsidRPr="00040E93">
        <w:rPr>
          <w:b/>
          <w:bCs/>
        </w:rPr>
        <w:t>(Schjoedt, et al., 2013)</w:t>
      </w:r>
      <w:r w:rsidRPr="00040E93">
        <w:t xml:space="preserve">. The second is the suppression hypothesis, which suggests that social expectations to restrain emotions during intense rituals can compromise memory consolidation, leading to an impaired memory of the experience </w:t>
      </w:r>
      <w:r w:rsidRPr="00040E93">
        <w:rPr>
          <w:b/>
          <w:bCs/>
        </w:rPr>
        <w:t>(Xygalatas, et al., 2013)</w:t>
      </w:r>
      <w:r w:rsidRPr="00040E93">
        <w:t xml:space="preserve">. Both of these hypotheses would provide an explanation as to why the </w:t>
      </w:r>
      <w:proofErr w:type="gramStart"/>
      <w:r w:rsidRPr="00040E93">
        <w:t>fire-walkers</w:t>
      </w:r>
      <w:proofErr w:type="gramEnd"/>
      <w:r w:rsidRPr="00040E93">
        <w:t xml:space="preserve"> recalled their mental state being far calmer than the physiological readings suggested, and pose interesting implications for the differences in how the mind and the body experience religion. Thus, this study backs up prior CSR hypotheses as valuable to the wider academic study of religion.</w:t>
      </w:r>
    </w:p>
    <w:p w14:paraId="2AE097A4" w14:textId="428E2E56" w:rsidR="00040E93" w:rsidRPr="00040E93" w:rsidRDefault="00040E93" w:rsidP="00040E93">
      <w:pPr>
        <w:spacing w:line="360" w:lineRule="auto"/>
      </w:pPr>
    </w:p>
    <w:p w14:paraId="0526359D" w14:textId="77777777" w:rsidR="00040E93" w:rsidRPr="00040E93" w:rsidRDefault="00040E93" w:rsidP="00040E93">
      <w:pPr>
        <w:spacing w:line="360" w:lineRule="auto"/>
      </w:pPr>
      <w:r w:rsidRPr="00040E93">
        <w:rPr>
          <w:u w:val="single"/>
        </w:rPr>
        <w:t>Criticisms of CSR</w:t>
      </w:r>
    </w:p>
    <w:p w14:paraId="24259555" w14:textId="3573DFE7" w:rsidR="00040E93" w:rsidRPr="00040E93" w:rsidRDefault="00040E93" w:rsidP="00040E93">
      <w:pPr>
        <w:spacing w:line="360" w:lineRule="auto"/>
      </w:pPr>
      <w:r w:rsidRPr="00040E93">
        <w:t xml:space="preserve">As we have seen, CSR has made a significant number of contributions to the field of religious studies. However, the question remains as to the overall value of these contributions. CSR, as a framework for studying religion, can be critiqued as a reductive, biased, and incomplete methodology. In trying to further “science-up” the study of religion, CSR scholars follow in the footsteps of Kant and other Enlightenment thinkers by dismissing the supernatural and unquantifiable elements of religious experience. However, by ignoring crucial elements of religion simply because they don’t fit into their methodology, scholars of CSR are not studying the full picture. Thus, the contributions of CSR can be said to be superficial at best and, at worst, are not valuable to the wider academic pursuit of studying religion. This is also known as the protectionist argument </w:t>
      </w:r>
      <w:r w:rsidRPr="00040E93">
        <w:rPr>
          <w:b/>
          <w:bCs/>
        </w:rPr>
        <w:t>(McCauley, 2020).</w:t>
      </w:r>
    </w:p>
    <w:p w14:paraId="06E55170" w14:textId="4955445E" w:rsidR="00040E93" w:rsidRPr="00040E93" w:rsidRDefault="00040E93" w:rsidP="00040E93">
      <w:pPr>
        <w:spacing w:line="360" w:lineRule="auto"/>
      </w:pPr>
      <w:r w:rsidRPr="00040E93">
        <w:t xml:space="preserve">Proponents of CSR reject the notion that it was created by a “conspiracy of scientists” meaning to take over religious studies, but rather that was an inevitable development of the empirical study of religion </w:t>
      </w:r>
      <w:r w:rsidRPr="00040E93">
        <w:rPr>
          <w:b/>
          <w:bCs/>
        </w:rPr>
        <w:t>(Barrett, 2011).  </w:t>
      </w:r>
      <w:r w:rsidRPr="00040E93">
        <w:t xml:space="preserve">It is not logical to argue that the scientific method is not appropriate for contributing to religious studies, because we have previously seen that the whole field of religious studies was founded on this methodology. Furthermore, philosopher Robert McCauley argues that even if the protectionist argument goes uncontested, the insights </w:t>
      </w:r>
      <w:r w:rsidRPr="00040E93">
        <w:lastRenderedPageBreak/>
        <w:t xml:space="preserve">that CSR can provide are still valuable enough to the religious studies community, as they can be considered alongside the work of other disciplines within the field to create a fuller picture </w:t>
      </w:r>
      <w:r w:rsidRPr="00040E93">
        <w:rPr>
          <w:b/>
          <w:bCs/>
        </w:rPr>
        <w:t>(McCauley, 2020)</w:t>
      </w:r>
      <w:r w:rsidRPr="00040E93">
        <w:t>. Thus, CSR can still be regarded as valuably contributing to the field of religious studies.</w:t>
      </w:r>
    </w:p>
    <w:p w14:paraId="2671FA8C" w14:textId="77777777" w:rsidR="00040E93" w:rsidRPr="00040E93" w:rsidRDefault="00040E93" w:rsidP="00040E93">
      <w:pPr>
        <w:spacing w:line="360" w:lineRule="auto"/>
      </w:pPr>
      <w:r w:rsidRPr="00040E93">
        <w:t>However, whilst it can be the case that CSR produces some theories that provide valuable insight into the overall study of religion, significant problems arise when these theories make comments on the truth or falsehood of different religious beliefs. Scientific realism, or the belief that the scientific method can produce absolute knowledge of reality, has been heavily criticised by philosophers of science. This can be most easily exemplified by Bertrand Russell’s story of the chicken:</w:t>
      </w:r>
    </w:p>
    <w:p w14:paraId="7DA5A3EC" w14:textId="77777777" w:rsidR="00040E93" w:rsidRPr="00040E93" w:rsidRDefault="00040E93" w:rsidP="00040E93">
      <w:pPr>
        <w:spacing w:line="360" w:lineRule="auto"/>
      </w:pPr>
      <w:r w:rsidRPr="00040E93">
        <w:t> </w:t>
      </w:r>
    </w:p>
    <w:p w14:paraId="568E977C" w14:textId="77777777" w:rsidR="00040E93" w:rsidRPr="00040E93" w:rsidRDefault="00040E93" w:rsidP="00040E93">
      <w:pPr>
        <w:spacing w:line="360" w:lineRule="auto"/>
      </w:pPr>
      <w:r w:rsidRPr="00040E93">
        <w:t>“</w:t>
      </w:r>
      <w:r w:rsidRPr="00040E93">
        <w:rPr>
          <w:i/>
          <w:iCs/>
        </w:rPr>
        <w:t xml:space="preserve">The man who has fed the chicken every day throughout its life at last wrings its neck instead, showing that more refined views as to the uniformity of nature would have been useful to the chicken.” </w:t>
      </w:r>
      <w:r w:rsidRPr="00040E93">
        <w:rPr>
          <w:b/>
          <w:bCs/>
        </w:rPr>
        <w:t>(Russell, 1912)</w:t>
      </w:r>
    </w:p>
    <w:p w14:paraId="3756488A" w14:textId="77777777" w:rsidR="00040E93" w:rsidRPr="00040E93" w:rsidRDefault="00040E93" w:rsidP="00040E93">
      <w:pPr>
        <w:spacing w:line="360" w:lineRule="auto"/>
      </w:pPr>
      <w:r w:rsidRPr="00040E93">
        <w:t> </w:t>
      </w:r>
    </w:p>
    <w:p w14:paraId="4B8AB512" w14:textId="4A039E92" w:rsidR="00040E93" w:rsidRPr="00040E93" w:rsidRDefault="00040E93" w:rsidP="00040E93">
      <w:pPr>
        <w:spacing w:line="360" w:lineRule="auto"/>
      </w:pPr>
      <w:r w:rsidRPr="00040E93">
        <w:t>In Russell’s example, the chicken used their empirical experience (that of being fed every day) to form a logical conclusion about the nature of the world (that it is true that they will always be fed by the farmer). Despite having countless days of observations, the chicken’s experiences were not justification enough for knowing that they would be fed by the farmer daily for eternity, as this was not the case. This shows that the scientific method cannot produce evidence towards the absolute truth or falsehood of statements on the nature of reality, and that any system that uses empirical evidence as the basis to presuppose the truth or falsehood of features of reality is logically flawed.</w:t>
      </w:r>
    </w:p>
    <w:p w14:paraId="23516163" w14:textId="77777777" w:rsidR="00040E93" w:rsidRPr="00040E93" w:rsidRDefault="00040E93" w:rsidP="00040E93">
      <w:pPr>
        <w:spacing w:line="360" w:lineRule="auto"/>
      </w:pPr>
      <w:r w:rsidRPr="00040E93">
        <w:t xml:space="preserve">The framework of CSR itself can be seen to presuppose the truth/ falsehood of religious beliefs through its base claim that religious thoughts are human in origin. This presupposes </w:t>
      </w:r>
      <w:proofErr w:type="gramStart"/>
      <w:r w:rsidRPr="00040E93">
        <w:t>that religious notions</w:t>
      </w:r>
      <w:proofErr w:type="gramEnd"/>
      <w:r w:rsidRPr="00040E93">
        <w:t xml:space="preserve">, such as God, are mental or abstract entities, as belief in these concepts stems only from byproducts of cognitive processes. Due to this, it also contends that these thoughts and beliefs would not exist without the human mind’s existence. </w:t>
      </w:r>
      <w:proofErr w:type="gramStart"/>
      <w:r w:rsidRPr="00040E93">
        <w:t>In order to</w:t>
      </w:r>
      <w:proofErr w:type="gramEnd"/>
      <w:r w:rsidRPr="00040E93">
        <w:t xml:space="preserve"> undertake CSR, then, one must reject any belief that religious thoughts have a supernatural origin, thus passing judgement on the truth or falsehood of a religious belief. Indulging in this logical fallacy limits the value that CSR could be contributing to the wider field of religious studies, as it limits the avenues of research to only explore a worldview that isn’t even logically justified. As such, </w:t>
      </w:r>
      <w:r w:rsidRPr="00040E93">
        <w:lastRenderedPageBreak/>
        <w:t>CSR limits the value of its contributions to the field of religious studies by way of employing a logically flawed methodology.</w:t>
      </w:r>
    </w:p>
    <w:p w14:paraId="0411D162" w14:textId="77777777" w:rsidR="00040E93" w:rsidRPr="00040E93" w:rsidRDefault="00040E93" w:rsidP="00040E93">
      <w:pPr>
        <w:spacing w:line="360" w:lineRule="auto"/>
      </w:pPr>
      <w:r w:rsidRPr="00040E93">
        <w:t> </w:t>
      </w:r>
    </w:p>
    <w:p w14:paraId="3A9A5BD7" w14:textId="77777777" w:rsidR="00040E93" w:rsidRPr="00040E93" w:rsidRDefault="00040E93" w:rsidP="00040E93">
      <w:pPr>
        <w:spacing w:line="360" w:lineRule="auto"/>
      </w:pPr>
      <w:r w:rsidRPr="00040E93">
        <w:rPr>
          <w:u w:val="single"/>
        </w:rPr>
        <w:t xml:space="preserve">Conclusion </w:t>
      </w:r>
    </w:p>
    <w:p w14:paraId="4EC22CA2" w14:textId="77777777" w:rsidR="00040E93" w:rsidRPr="00040E93" w:rsidRDefault="00040E93" w:rsidP="00040E93">
      <w:pPr>
        <w:spacing w:line="360" w:lineRule="auto"/>
      </w:pPr>
      <w:r w:rsidRPr="00040E93">
        <w:t xml:space="preserve">To conclude, it is undeniable that research into the relationship between the mind, the brain, and religion can be valuable contributions to the field of religious studies. However, the framework of CSR limits the potential future growth of discussion on this topic. The belief that the study of religion needed to be “scienced-up” in the first place denotes a sentiment of superiority of the natural sciences over other research methodologies. This sentiment, as we have seen, is not logically grounded. This is not to say that the contributions of CSR thus far need to be thrown away. Instead, these theories deserve to be understood, shared, and critiqued by religious studies scholars </w:t>
      </w:r>
      <w:proofErr w:type="gramStart"/>
      <w:r w:rsidRPr="00040E93">
        <w:t>on the basis of</w:t>
      </w:r>
      <w:proofErr w:type="gramEnd"/>
      <w:r w:rsidRPr="00040E93">
        <w:t xml:space="preserve"> adding to the conversation about religion, not trying to explain it away.</w:t>
      </w:r>
    </w:p>
    <w:p w14:paraId="0A37216A" w14:textId="77777777" w:rsidR="00040E93" w:rsidRPr="00040E93" w:rsidRDefault="00040E93" w:rsidP="00040E93">
      <w:pPr>
        <w:spacing w:line="360" w:lineRule="auto"/>
      </w:pPr>
      <w:r w:rsidRPr="00040E93">
        <w:t> </w:t>
      </w:r>
    </w:p>
    <w:p w14:paraId="00099BD4" w14:textId="77777777" w:rsidR="00040E93" w:rsidRPr="00040E93" w:rsidRDefault="00040E93" w:rsidP="00040E93">
      <w:pPr>
        <w:spacing w:line="360" w:lineRule="auto"/>
      </w:pPr>
      <w:r w:rsidRPr="00040E93">
        <w:rPr>
          <w:b/>
          <w:bCs/>
        </w:rPr>
        <w:t>Word Count: 3966 words</w:t>
      </w:r>
    </w:p>
    <w:p w14:paraId="0BABCFF6" w14:textId="77777777" w:rsidR="00040E93" w:rsidRPr="00040E93" w:rsidRDefault="00040E93" w:rsidP="00040E93">
      <w:pPr>
        <w:spacing w:line="360" w:lineRule="auto"/>
      </w:pPr>
      <w:r w:rsidRPr="00040E93">
        <w:t> </w:t>
      </w:r>
    </w:p>
    <w:p w14:paraId="50776528" w14:textId="0F707D29" w:rsidR="00040E93" w:rsidRPr="00040E93" w:rsidRDefault="00040E93" w:rsidP="00040E93">
      <w:pPr>
        <w:spacing w:line="360" w:lineRule="auto"/>
        <w:rPr>
          <w:b/>
          <w:bCs/>
          <w:sz w:val="32"/>
          <w:szCs w:val="32"/>
        </w:rPr>
      </w:pPr>
      <w:r w:rsidRPr="00040E93">
        <w:rPr>
          <w:b/>
          <w:bCs/>
          <w:sz w:val="32"/>
          <w:szCs w:val="32"/>
        </w:rPr>
        <w:t>Bibliography</w:t>
      </w:r>
    </w:p>
    <w:p w14:paraId="0FF7D863" w14:textId="77777777" w:rsidR="00040E93" w:rsidRPr="00040E93" w:rsidRDefault="00040E93" w:rsidP="00040E93">
      <w:pPr>
        <w:spacing w:line="360" w:lineRule="auto"/>
      </w:pPr>
      <w:r w:rsidRPr="00040E93">
        <w:t xml:space="preserve">A Pastur-Romay, L. e. (2017). Parallel computing for brain simulation. </w:t>
      </w:r>
      <w:r w:rsidRPr="00040E93">
        <w:rPr>
          <w:i/>
          <w:iCs/>
        </w:rPr>
        <w:t>Current Topics in Medicinal Chemistry, 17</w:t>
      </w:r>
      <w:r w:rsidRPr="00040E93">
        <w:t>(14), 1646-1668.</w:t>
      </w:r>
    </w:p>
    <w:p w14:paraId="323519DE" w14:textId="77777777" w:rsidR="00040E93" w:rsidRPr="00040E93" w:rsidRDefault="00040E93" w:rsidP="00040E93">
      <w:pPr>
        <w:spacing w:line="360" w:lineRule="auto"/>
      </w:pPr>
      <w:r w:rsidRPr="00040E93">
        <w:t xml:space="preserve">Barrett, J. (2004). </w:t>
      </w:r>
      <w:r w:rsidRPr="00040E93">
        <w:rPr>
          <w:i/>
          <w:iCs/>
        </w:rPr>
        <w:t>Why Would Anyone Believe in God?</w:t>
      </w:r>
      <w:r w:rsidRPr="00040E93">
        <w:t xml:space="preserve"> AltaMira.</w:t>
      </w:r>
    </w:p>
    <w:p w14:paraId="3A2E3390" w14:textId="77777777" w:rsidR="00040E93" w:rsidRPr="00040E93" w:rsidRDefault="00040E93" w:rsidP="00040E93">
      <w:pPr>
        <w:spacing w:line="360" w:lineRule="auto"/>
      </w:pPr>
      <w:r w:rsidRPr="00040E93">
        <w:t xml:space="preserve">Barrett, J. L. (2000). Exploring the natural foundations of religion. </w:t>
      </w:r>
      <w:r w:rsidRPr="00040E93">
        <w:rPr>
          <w:i/>
          <w:iCs/>
        </w:rPr>
        <w:t>Trends in Cognitive Sciences, 4</w:t>
      </w:r>
      <w:r w:rsidRPr="00040E93">
        <w:t>(1), 29-34.</w:t>
      </w:r>
    </w:p>
    <w:p w14:paraId="197CF3F5" w14:textId="77777777" w:rsidR="00040E93" w:rsidRPr="00040E93" w:rsidRDefault="00040E93" w:rsidP="00040E93">
      <w:pPr>
        <w:spacing w:line="360" w:lineRule="auto"/>
      </w:pPr>
      <w:r w:rsidRPr="00040E93">
        <w:t xml:space="preserve">Barrett, J. L. (2011). Cognitive Science of Religion: Looking Back, Looking Forward. </w:t>
      </w:r>
      <w:r w:rsidRPr="00040E93">
        <w:rPr>
          <w:i/>
          <w:iCs/>
        </w:rPr>
        <w:t>Journal for the Scientific Study of Religion, 50</w:t>
      </w:r>
      <w:r w:rsidRPr="00040E93">
        <w:t>(2), 229-239.</w:t>
      </w:r>
    </w:p>
    <w:p w14:paraId="69A7ACE8" w14:textId="77777777" w:rsidR="00040E93" w:rsidRPr="00040E93" w:rsidRDefault="00040E93" w:rsidP="00040E93">
      <w:pPr>
        <w:spacing w:line="360" w:lineRule="auto"/>
      </w:pPr>
      <w:r w:rsidRPr="00040E93">
        <w:t xml:space="preserve">Boyer, P. (2001). </w:t>
      </w:r>
      <w:r w:rsidRPr="00040E93">
        <w:rPr>
          <w:i/>
          <w:iCs/>
        </w:rPr>
        <w:t>Religion explained: The evolutionary origins of religious thought.</w:t>
      </w:r>
      <w:r w:rsidRPr="00040E93">
        <w:t xml:space="preserve"> New York: Basic Books.</w:t>
      </w:r>
    </w:p>
    <w:p w14:paraId="60A1353E" w14:textId="77777777" w:rsidR="00040E93" w:rsidRPr="00040E93" w:rsidRDefault="00040E93" w:rsidP="00040E93">
      <w:pPr>
        <w:spacing w:line="360" w:lineRule="auto"/>
      </w:pPr>
      <w:r w:rsidRPr="00040E93">
        <w:t xml:space="preserve">Bristow, W. (2023). </w:t>
      </w:r>
      <w:r w:rsidRPr="00040E93">
        <w:rPr>
          <w:i/>
          <w:iCs/>
        </w:rPr>
        <w:t>Enlightenment</w:t>
      </w:r>
      <w:r w:rsidRPr="00040E93">
        <w:t>. (E. N. Nodelman, Editor) Retrieved December 2024, from The Stanford Encyclopedia of Philosophy: https://plato.stanford.edu/archives/fall2023/entries/enlightenment/</w:t>
      </w:r>
    </w:p>
    <w:p w14:paraId="23847A1F" w14:textId="77777777" w:rsidR="00040E93" w:rsidRPr="00040E93" w:rsidRDefault="00040E93" w:rsidP="00040E93">
      <w:pPr>
        <w:spacing w:line="360" w:lineRule="auto"/>
      </w:pPr>
      <w:r w:rsidRPr="00040E93">
        <w:lastRenderedPageBreak/>
        <w:t xml:space="preserve">Brook, A., &amp; Wuerth, J. (2023). </w:t>
      </w:r>
      <w:r w:rsidRPr="00040E93">
        <w:rPr>
          <w:i/>
          <w:iCs/>
        </w:rPr>
        <w:t>Kant’s View of the Mind and Consciousness of Self</w:t>
      </w:r>
      <w:r w:rsidRPr="00040E93">
        <w:t>. (E. N. Zalta, &amp; U. Nodelman, Editors) Retrieved January 2025, from The Stanford Encyclopedia of Philosophy: https://plato.stanford.edu/archives/spr2023/entries/kant-mind/</w:t>
      </w:r>
    </w:p>
    <w:p w14:paraId="2C4DAEA3" w14:textId="77777777" w:rsidR="00040E93" w:rsidRPr="00040E93" w:rsidRDefault="00040E93" w:rsidP="00040E93">
      <w:pPr>
        <w:spacing w:line="360" w:lineRule="auto"/>
      </w:pPr>
      <w:r w:rsidRPr="00040E93">
        <w:t xml:space="preserve">Bulbulia, J. (2004). The Cognitive and Evolutionary Psychology of Religion. </w:t>
      </w:r>
      <w:r w:rsidRPr="00040E93">
        <w:rPr>
          <w:i/>
          <w:iCs/>
        </w:rPr>
        <w:t>Biology and Philosophy, 19</w:t>
      </w:r>
      <w:r w:rsidRPr="00040E93">
        <w:t>, 664.</w:t>
      </w:r>
    </w:p>
    <w:p w14:paraId="3B315F9C" w14:textId="77777777" w:rsidR="00040E93" w:rsidRPr="00040E93" w:rsidRDefault="00040E93" w:rsidP="00040E93">
      <w:pPr>
        <w:spacing w:line="360" w:lineRule="auto"/>
      </w:pPr>
      <w:r w:rsidRPr="00040E93">
        <w:t xml:space="preserve">Cuerva, M. d. (2024). Developing the Attentive Brain: Contribution of Cognitive Neuroscience to a Theory of Attentional Development. </w:t>
      </w:r>
      <w:r w:rsidRPr="00040E93">
        <w:rPr>
          <w:i/>
          <w:iCs/>
        </w:rPr>
        <w:t>Human Development, 68</w:t>
      </w:r>
      <w:r w:rsidRPr="00040E93">
        <w:t>(5-6), 239-254.</w:t>
      </w:r>
    </w:p>
    <w:p w14:paraId="702DA695" w14:textId="77777777" w:rsidR="00040E93" w:rsidRPr="00040E93" w:rsidRDefault="00040E93" w:rsidP="00040E93">
      <w:pPr>
        <w:spacing w:line="360" w:lineRule="auto"/>
      </w:pPr>
      <w:r w:rsidRPr="00040E93">
        <w:t xml:space="preserve">Descartes, R. (1637). </w:t>
      </w:r>
      <w:r w:rsidRPr="00040E93">
        <w:rPr>
          <w:i/>
          <w:iCs/>
        </w:rPr>
        <w:t>Discours de la Méthode Pour bien conduire sa raison, et chercher la vérité dans les sciences</w:t>
      </w:r>
      <w:r w:rsidRPr="00040E93">
        <w:t xml:space="preserve"> (Vol. 4).</w:t>
      </w:r>
    </w:p>
    <w:p w14:paraId="225C83D6" w14:textId="77777777" w:rsidR="00040E93" w:rsidRPr="00040E93" w:rsidRDefault="00040E93" w:rsidP="00040E93">
      <w:pPr>
        <w:spacing w:line="360" w:lineRule="auto"/>
      </w:pPr>
      <w:r w:rsidRPr="00040E93">
        <w:t xml:space="preserve">Fischbach, G. D. (1992). Mind and Brain. </w:t>
      </w:r>
      <w:r w:rsidRPr="00040E93">
        <w:rPr>
          <w:i/>
          <w:iCs/>
        </w:rPr>
        <w:t>Scientific American, 267</w:t>
      </w:r>
      <w:r w:rsidRPr="00040E93">
        <w:t>(3), 48-59.</w:t>
      </w:r>
    </w:p>
    <w:p w14:paraId="523A7D30" w14:textId="77777777" w:rsidR="00040E93" w:rsidRPr="00040E93" w:rsidRDefault="00040E93" w:rsidP="00040E93">
      <w:pPr>
        <w:spacing w:line="360" w:lineRule="auto"/>
      </w:pPr>
      <w:r w:rsidRPr="00040E93">
        <w:t xml:space="preserve">Hatfield, G. (2024). </w:t>
      </w:r>
      <w:r w:rsidRPr="00040E93">
        <w:rPr>
          <w:i/>
          <w:iCs/>
        </w:rPr>
        <w:t>René Descartes</w:t>
      </w:r>
      <w:r w:rsidRPr="00040E93">
        <w:t>. (E. N. Zalta, &amp; U. Nodelman, Editors) Retrieved January 2025, from Stanford Encyclopedia of Philosophy: https://plato.stanford.edu/archives/sum2024/entries/descartes/</w:t>
      </w:r>
    </w:p>
    <w:p w14:paraId="28E1691D" w14:textId="77777777" w:rsidR="00040E93" w:rsidRPr="00040E93" w:rsidRDefault="00040E93" w:rsidP="00040E93">
      <w:pPr>
        <w:spacing w:line="360" w:lineRule="auto"/>
      </w:pPr>
      <w:r w:rsidRPr="00040E93">
        <w:t xml:space="preserve">Katha Upanishad. (1949). In </w:t>
      </w:r>
      <w:r w:rsidRPr="00040E93">
        <w:rPr>
          <w:i/>
          <w:iCs/>
        </w:rPr>
        <w:t>The Upanishads</w:t>
      </w:r>
      <w:r w:rsidRPr="00040E93">
        <w:t xml:space="preserve"> (S. Nikhilananda, Trans., Vol. 3).</w:t>
      </w:r>
    </w:p>
    <w:p w14:paraId="6A8A4CBB" w14:textId="77777777" w:rsidR="00040E93" w:rsidRPr="00040E93" w:rsidRDefault="00040E93" w:rsidP="00040E93">
      <w:pPr>
        <w:spacing w:line="360" w:lineRule="auto"/>
      </w:pPr>
      <w:r w:rsidRPr="00040E93">
        <w:t xml:space="preserve">Maij, D. L., van Schie, H. T., &amp; van Elk, M. (2019). The boundary conditions of the hypersensitive agency detection device: an empirical investigation of agency detection in threatening situations. </w:t>
      </w:r>
      <w:r w:rsidRPr="00040E93">
        <w:rPr>
          <w:i/>
          <w:iCs/>
        </w:rPr>
        <w:t>Religion, Brain and Behaviour, 9</w:t>
      </w:r>
      <w:r w:rsidRPr="00040E93">
        <w:t>(1), 23-51.</w:t>
      </w:r>
    </w:p>
    <w:p w14:paraId="56AEA1E9" w14:textId="77777777" w:rsidR="00040E93" w:rsidRPr="00040E93" w:rsidRDefault="00040E93" w:rsidP="00040E93">
      <w:pPr>
        <w:spacing w:line="360" w:lineRule="auto"/>
      </w:pPr>
      <w:r w:rsidRPr="00040E93">
        <w:t xml:space="preserve">Malley, B. (2004). </w:t>
      </w:r>
      <w:r w:rsidRPr="00040E93">
        <w:rPr>
          <w:i/>
          <w:iCs/>
        </w:rPr>
        <w:t>How the Bible works: An anthropological study of evangelical biblicism.</w:t>
      </w:r>
      <w:r w:rsidRPr="00040E93">
        <w:t xml:space="preserve"> Walnut Creek, CA: AltaMira Press.</w:t>
      </w:r>
    </w:p>
    <w:p w14:paraId="04864AC7" w14:textId="77777777" w:rsidR="00040E93" w:rsidRPr="00040E93" w:rsidRDefault="00040E93" w:rsidP="00040E93">
      <w:pPr>
        <w:spacing w:line="360" w:lineRule="auto"/>
      </w:pPr>
      <w:r w:rsidRPr="00040E93">
        <w:t xml:space="preserve">Malley, B., &amp; Barrett, J. L. (2003). Does myth inform ritual? A test of the Lawson-McCauley hypothesis. </w:t>
      </w:r>
      <w:r w:rsidRPr="00040E93">
        <w:rPr>
          <w:i/>
          <w:iCs/>
        </w:rPr>
        <w:t>Journal of Ritual Studies, 17</w:t>
      </w:r>
      <w:r w:rsidRPr="00040E93">
        <w:t>(2), 1-14.</w:t>
      </w:r>
    </w:p>
    <w:p w14:paraId="2EEF73AF" w14:textId="77777777" w:rsidR="00040E93" w:rsidRPr="00040E93" w:rsidRDefault="00040E93" w:rsidP="00040E93">
      <w:pPr>
        <w:spacing w:line="360" w:lineRule="auto"/>
      </w:pPr>
      <w:r w:rsidRPr="00040E93">
        <w:t xml:space="preserve">Martin, L. H., &amp; Wiebe, D. (2004). </w:t>
      </w:r>
      <w:r w:rsidRPr="00040E93">
        <w:rPr>
          <w:i/>
          <w:iCs/>
        </w:rPr>
        <w:t>Establishing a Beachhead: NAASR, Twenty Years Later.</w:t>
      </w:r>
      <w:r w:rsidRPr="00040E93">
        <w:t xml:space="preserve"> Retrieved January 2025, from North American Association for the Study of Religion (NAASR): https://naasr.com/wp-content/uploads/2014/01/establishingabeachhead.pdf</w:t>
      </w:r>
    </w:p>
    <w:p w14:paraId="3335CDAD" w14:textId="77777777" w:rsidR="00040E93" w:rsidRPr="00040E93" w:rsidRDefault="00040E93" w:rsidP="00040E93">
      <w:pPr>
        <w:spacing w:line="360" w:lineRule="auto"/>
      </w:pPr>
      <w:r w:rsidRPr="00040E93">
        <w:t xml:space="preserve">McCauley, R. N. (2020). Recent Trends in the Cognitive Science of Religion: Neuroscience, Religious Experience, and the Confluence of Cognitive and Evolutionary Research”. </w:t>
      </w:r>
      <w:r w:rsidRPr="00040E93">
        <w:rPr>
          <w:i/>
          <w:iCs/>
        </w:rPr>
        <w:t>Zygon, 55</w:t>
      </w:r>
      <w:r w:rsidRPr="00040E93">
        <w:t>(1), 97-124.</w:t>
      </w:r>
    </w:p>
    <w:p w14:paraId="32203C2B" w14:textId="77777777" w:rsidR="00040E93" w:rsidRPr="00040E93" w:rsidRDefault="00040E93" w:rsidP="00040E93">
      <w:pPr>
        <w:spacing w:line="360" w:lineRule="auto"/>
      </w:pPr>
      <w:r w:rsidRPr="00040E93">
        <w:t xml:space="preserve">McCauley, R. N., &amp; Lawson, E. T. (2002). </w:t>
      </w:r>
      <w:r w:rsidRPr="00040E93">
        <w:rPr>
          <w:i/>
          <w:iCs/>
        </w:rPr>
        <w:t>Bringing ritual to mind: Psychological foundations of cultural forms.</w:t>
      </w:r>
      <w:r w:rsidRPr="00040E93">
        <w:t xml:space="preserve"> Cambridge: Cambridge University Press.</w:t>
      </w:r>
    </w:p>
    <w:p w14:paraId="19B0FAB1" w14:textId="77777777" w:rsidR="00040E93" w:rsidRPr="00040E93" w:rsidRDefault="00040E93" w:rsidP="00040E93">
      <w:pPr>
        <w:spacing w:line="360" w:lineRule="auto"/>
      </w:pPr>
      <w:r w:rsidRPr="00040E93">
        <w:lastRenderedPageBreak/>
        <w:t xml:space="preserve">Meltzoff, A. N., &amp; Moore, M. K. (1983). Newborn infants imitate adult facial gestures. </w:t>
      </w:r>
      <w:r w:rsidRPr="00040E93">
        <w:rPr>
          <w:i/>
          <w:iCs/>
        </w:rPr>
        <w:t>Child Development</w:t>
      </w:r>
      <w:r w:rsidRPr="00040E93">
        <w:t>, 702-709.</w:t>
      </w:r>
    </w:p>
    <w:p w14:paraId="358E0D33" w14:textId="77777777" w:rsidR="00040E93" w:rsidRPr="00040E93" w:rsidRDefault="00040E93" w:rsidP="00040E93">
      <w:pPr>
        <w:spacing w:line="360" w:lineRule="auto"/>
      </w:pPr>
      <w:r w:rsidRPr="00040E93">
        <w:t xml:space="preserve">Modern, J. (2016). The Hyperactive Agency Detection Device. </w:t>
      </w:r>
      <w:r w:rsidRPr="00040E93">
        <w:rPr>
          <w:i/>
          <w:iCs/>
        </w:rPr>
        <w:t>Material Religion: The Journal of Objects, Art and Belief, 12</w:t>
      </w:r>
      <w:r w:rsidRPr="00040E93">
        <w:t>(1), 102-103.</w:t>
      </w:r>
    </w:p>
    <w:p w14:paraId="259D4082" w14:textId="77777777" w:rsidR="00040E93" w:rsidRPr="00040E93" w:rsidRDefault="00040E93" w:rsidP="00040E93">
      <w:pPr>
        <w:spacing w:line="360" w:lineRule="auto"/>
      </w:pPr>
      <w:r w:rsidRPr="00040E93">
        <w:t xml:space="preserve">Müller, F. M. (1873). </w:t>
      </w:r>
      <w:r w:rsidRPr="00040E93">
        <w:rPr>
          <w:i/>
          <w:iCs/>
        </w:rPr>
        <w:t>Introduction to the Science of Religion.</w:t>
      </w:r>
    </w:p>
    <w:p w14:paraId="1CC0930C" w14:textId="77777777" w:rsidR="00040E93" w:rsidRPr="00040E93" w:rsidRDefault="00040E93" w:rsidP="00040E93">
      <w:pPr>
        <w:spacing w:line="360" w:lineRule="auto"/>
      </w:pPr>
      <w:r w:rsidRPr="00040E93">
        <w:t xml:space="preserve">Newberg, A. (2018). </w:t>
      </w:r>
      <w:r w:rsidRPr="00040E93">
        <w:rPr>
          <w:i/>
          <w:iCs/>
        </w:rPr>
        <w:t>Neurotheology: How science can enlighten us about spirituality.</w:t>
      </w:r>
      <w:r w:rsidRPr="00040E93">
        <w:t xml:space="preserve"> New York: Columbia University Press.</w:t>
      </w:r>
    </w:p>
    <w:p w14:paraId="22D5E257" w14:textId="77777777" w:rsidR="00040E93" w:rsidRPr="00040E93" w:rsidRDefault="00040E93" w:rsidP="00040E93">
      <w:pPr>
        <w:spacing w:line="360" w:lineRule="auto"/>
      </w:pPr>
      <w:r w:rsidRPr="00040E93">
        <w:t xml:space="preserve">Pasternack, L., &amp; Fugate, C. (2022). </w:t>
      </w:r>
      <w:r w:rsidRPr="00040E93">
        <w:rPr>
          <w:i/>
          <w:iCs/>
        </w:rPr>
        <w:t>Kant's Philosophy of Religion</w:t>
      </w:r>
      <w:r w:rsidRPr="00040E93">
        <w:t>. (E. N. Zalta, Editor) Retrieved January 2025, from The Stanford Encyclopedia of Philosophy: https://plato.stanford.edu/archives/sum2022/entries/kant-religion/</w:t>
      </w:r>
    </w:p>
    <w:p w14:paraId="0258F92D" w14:textId="77777777" w:rsidR="00040E93" w:rsidRPr="00040E93" w:rsidRDefault="00040E93" w:rsidP="00040E93">
      <w:pPr>
        <w:spacing w:line="360" w:lineRule="auto"/>
      </w:pPr>
      <w:r w:rsidRPr="00040E93">
        <w:t xml:space="preserve">Rao, A. V. (2002). ‘Mind’ in Indian philosophy. </w:t>
      </w:r>
      <w:r w:rsidRPr="00040E93">
        <w:rPr>
          <w:i/>
          <w:iCs/>
        </w:rPr>
        <w:t>Indian Journal of Psychiatry, 44</w:t>
      </w:r>
      <w:r w:rsidRPr="00040E93">
        <w:t>(4), 315-325.</w:t>
      </w:r>
    </w:p>
    <w:p w14:paraId="2A5BF776" w14:textId="77777777" w:rsidR="00040E93" w:rsidRPr="00040E93" w:rsidRDefault="00040E93" w:rsidP="00040E93">
      <w:pPr>
        <w:spacing w:line="360" w:lineRule="auto"/>
      </w:pPr>
      <w:r w:rsidRPr="00040E93">
        <w:t xml:space="preserve">Russell, B. (1912). </w:t>
      </w:r>
      <w:r w:rsidRPr="00040E93">
        <w:rPr>
          <w:i/>
          <w:iCs/>
        </w:rPr>
        <w:t>The Problems of Philosophy.</w:t>
      </w:r>
      <w:r w:rsidRPr="00040E93">
        <w:t xml:space="preserve"> Oxford University Press.</w:t>
      </w:r>
    </w:p>
    <w:p w14:paraId="2531219E" w14:textId="77777777" w:rsidR="00040E93" w:rsidRPr="00040E93" w:rsidRDefault="00040E93" w:rsidP="00040E93">
      <w:pPr>
        <w:spacing w:line="360" w:lineRule="auto"/>
      </w:pPr>
      <w:r w:rsidRPr="00040E93">
        <w:t xml:space="preserve">Schjoedt, U., Sorensen, J., Laigaard Nielbo, K., Xygalatas, D., Mitkidis, P., &amp; Bulbulia, J. (2013). Cognitive Resource Depletion in Religious Interactions. </w:t>
      </w:r>
      <w:r w:rsidRPr="00040E93">
        <w:rPr>
          <w:i/>
          <w:iCs/>
        </w:rPr>
        <w:t>Religion, Brain, and Behaviour</w:t>
      </w:r>
      <w:r w:rsidRPr="00040E93">
        <w:t>, 39-55.</w:t>
      </w:r>
    </w:p>
    <w:p w14:paraId="68E37A45" w14:textId="77777777" w:rsidR="00040E93" w:rsidRPr="00040E93" w:rsidRDefault="00040E93" w:rsidP="00040E93">
      <w:pPr>
        <w:spacing w:line="360" w:lineRule="auto"/>
      </w:pPr>
      <w:r w:rsidRPr="00040E93">
        <w:t xml:space="preserve">Schjoedt, U., Stødkilde-Jørgensen, H., Geertz, A., &amp; Roepstorff, A. (2008). Rewarding Prayers. </w:t>
      </w:r>
      <w:r w:rsidRPr="00040E93">
        <w:rPr>
          <w:i/>
          <w:iCs/>
        </w:rPr>
        <w:t>Neuroscience Letters, 443</w:t>
      </w:r>
      <w:r w:rsidRPr="00040E93">
        <w:t>(3), 165-68.</w:t>
      </w:r>
    </w:p>
    <w:p w14:paraId="79D69B07" w14:textId="77777777" w:rsidR="00040E93" w:rsidRPr="00040E93" w:rsidRDefault="00040E93" w:rsidP="00040E93">
      <w:pPr>
        <w:spacing w:line="360" w:lineRule="auto"/>
      </w:pPr>
      <w:r w:rsidRPr="00040E93">
        <w:t xml:space="preserve">Schjoedt, U., Stødkilde-Jørgensen, H., Geertz, A., &amp; Roepstorff, A. (2009). Highly Religious Participants Recruit Areas of Social Cognition in Personal Prayer. </w:t>
      </w:r>
      <w:r w:rsidRPr="00040E93">
        <w:rPr>
          <w:i/>
          <w:iCs/>
        </w:rPr>
        <w:t>Social, Cognitive, and Affective Neuroscience (SCAN), 4</w:t>
      </w:r>
      <w:r w:rsidRPr="00040E93">
        <w:t>, 199-207.</w:t>
      </w:r>
    </w:p>
    <w:p w14:paraId="39066650" w14:textId="77777777" w:rsidR="00040E93" w:rsidRPr="00040E93" w:rsidRDefault="00040E93" w:rsidP="00040E93">
      <w:pPr>
        <w:spacing w:line="360" w:lineRule="auto"/>
      </w:pPr>
      <w:r w:rsidRPr="00040E93">
        <w:t xml:space="preserve">Schjoedt, U., Stødkilde-Jørgensen, H., Geertz, A., Lund, T. E., &amp; Roepstorff, A. (2011). “The Power of Charisma—Perceived Charisma Inhibits the Frontal Executive Network of Believers in Intercessory Prayer.”. </w:t>
      </w:r>
      <w:r w:rsidRPr="00040E93">
        <w:rPr>
          <w:i/>
          <w:iCs/>
        </w:rPr>
        <w:t>Social, Cognitive, and Affective Neuroscience (SCAN), 6</w:t>
      </w:r>
      <w:r w:rsidRPr="00040E93">
        <w:t>(1), 119-27.</w:t>
      </w:r>
    </w:p>
    <w:p w14:paraId="458FCDD3" w14:textId="77777777" w:rsidR="00040E93" w:rsidRPr="00040E93" w:rsidRDefault="00040E93" w:rsidP="00040E93">
      <w:pPr>
        <w:spacing w:line="360" w:lineRule="auto"/>
      </w:pPr>
      <w:r w:rsidRPr="00040E93">
        <w:t xml:space="preserve">Singh, R. (2015). History of India: Vedic period. </w:t>
      </w:r>
      <w:r w:rsidRPr="00040E93">
        <w:rPr>
          <w:i/>
          <w:iCs/>
        </w:rPr>
        <w:t>CASIRJ, 6</w:t>
      </w:r>
      <w:r w:rsidRPr="00040E93">
        <w:t>(1), 276.</w:t>
      </w:r>
    </w:p>
    <w:p w14:paraId="38D7EB6C" w14:textId="77777777" w:rsidR="00040E93" w:rsidRPr="00040E93" w:rsidRDefault="00040E93" w:rsidP="00040E93">
      <w:pPr>
        <w:spacing w:line="360" w:lineRule="auto"/>
      </w:pPr>
      <w:r w:rsidRPr="00040E93">
        <w:t xml:space="preserve">Spelke, E. S., &amp; Kinzler, K. D. (2007). Core knowledge. </w:t>
      </w:r>
      <w:r w:rsidRPr="00040E93">
        <w:rPr>
          <w:i/>
          <w:iCs/>
        </w:rPr>
        <w:t>Developmental science, 10</w:t>
      </w:r>
      <w:r w:rsidRPr="00040E93">
        <w:t>(1), 89-96.</w:t>
      </w:r>
    </w:p>
    <w:p w14:paraId="4E6F6AEC" w14:textId="77777777" w:rsidR="00040E93" w:rsidRPr="00040E93" w:rsidRDefault="00040E93" w:rsidP="00040E93">
      <w:pPr>
        <w:spacing w:line="360" w:lineRule="auto"/>
      </w:pPr>
      <w:r w:rsidRPr="00040E93">
        <w:t xml:space="preserve">Sperber, D. (1996). </w:t>
      </w:r>
      <w:r w:rsidRPr="00040E93">
        <w:rPr>
          <w:i/>
          <w:iCs/>
        </w:rPr>
        <w:t>Explaining Culture: a naturalistic approach.</w:t>
      </w:r>
    </w:p>
    <w:p w14:paraId="2365ADA9" w14:textId="77777777" w:rsidR="00040E93" w:rsidRPr="00040E93" w:rsidRDefault="00040E93" w:rsidP="00040E93">
      <w:pPr>
        <w:spacing w:line="360" w:lineRule="auto"/>
      </w:pPr>
      <w:r w:rsidRPr="00040E93">
        <w:t xml:space="preserve">Thagard, P. (2023, December). </w:t>
      </w:r>
      <w:r w:rsidRPr="00040E93">
        <w:rPr>
          <w:i/>
          <w:iCs/>
        </w:rPr>
        <w:t>Cognitive Science</w:t>
      </w:r>
      <w:r w:rsidRPr="00040E93">
        <w:t>. (E. N. Nodelman, Editor) Retrieved January 2025, from The Stanford Encyclopedia of Philosophy: &lt;https://plato.stanford.edu/archives/win2023/entries/cognitive-science/&gt;</w:t>
      </w:r>
    </w:p>
    <w:p w14:paraId="0EC402A4" w14:textId="77777777" w:rsidR="00040E93" w:rsidRPr="00040E93" w:rsidRDefault="00040E93" w:rsidP="00040E93">
      <w:pPr>
        <w:spacing w:line="360" w:lineRule="auto"/>
      </w:pPr>
      <w:r w:rsidRPr="00040E93">
        <w:lastRenderedPageBreak/>
        <w:t xml:space="preserve">Whitehouse, H. (2000). </w:t>
      </w:r>
      <w:r w:rsidRPr="00040E93">
        <w:rPr>
          <w:i/>
          <w:iCs/>
        </w:rPr>
        <w:t>Arguments and icons: Divergent modes of religiosity.</w:t>
      </w:r>
      <w:r w:rsidRPr="00040E93">
        <w:t xml:space="preserve"> Oxford: Oxford University Press.</w:t>
      </w:r>
    </w:p>
    <w:p w14:paraId="10A603AE" w14:textId="77777777" w:rsidR="00040E93" w:rsidRPr="00040E93" w:rsidRDefault="00040E93" w:rsidP="00040E93">
      <w:pPr>
        <w:spacing w:line="360" w:lineRule="auto"/>
      </w:pPr>
      <w:r w:rsidRPr="00040E93">
        <w:t xml:space="preserve">Xygalatas, D., Schjoedt, U., Bulbulia, J., Konvalinka, I., Jegindø, E.-M., Reddish, P., . . . Roepstorff, A. (2013). Autobiographical Memory in a Fire-Walking Ritual. </w:t>
      </w:r>
      <w:r w:rsidRPr="00040E93">
        <w:rPr>
          <w:i/>
          <w:iCs/>
        </w:rPr>
        <w:t>Journal of Cognition and Culture, 13</w:t>
      </w:r>
      <w:r w:rsidRPr="00040E93">
        <w:t>, 1-16.</w:t>
      </w:r>
    </w:p>
    <w:p w14:paraId="4BE7E33B" w14:textId="77777777" w:rsidR="00040E93" w:rsidRPr="00040E93" w:rsidRDefault="00040E93" w:rsidP="00040E93">
      <w:pPr>
        <w:spacing w:line="360" w:lineRule="auto"/>
      </w:pPr>
      <w:r w:rsidRPr="00040E93">
        <w:t> </w:t>
      </w:r>
    </w:p>
    <w:p w14:paraId="1A05310B" w14:textId="77777777" w:rsidR="00040E93" w:rsidRPr="00040E93" w:rsidRDefault="00040E93" w:rsidP="00040E93">
      <w:pPr>
        <w:spacing w:line="360" w:lineRule="auto"/>
      </w:pPr>
      <w:r w:rsidRPr="00040E93">
        <w:t> </w:t>
      </w:r>
    </w:p>
    <w:p w14:paraId="2F4EC6C5" w14:textId="77777777" w:rsidR="000B2802" w:rsidRPr="00F61840" w:rsidRDefault="000B2802" w:rsidP="00E14E41">
      <w:pPr>
        <w:spacing w:line="360" w:lineRule="auto"/>
      </w:pPr>
    </w:p>
    <w:sectPr w:rsidR="000B2802" w:rsidRPr="00F618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6BA75" w14:textId="77777777" w:rsidR="00235B0A" w:rsidRDefault="00235B0A" w:rsidP="00B3335B">
      <w:pPr>
        <w:spacing w:after="0" w:line="240" w:lineRule="auto"/>
      </w:pPr>
      <w:r>
        <w:separator/>
      </w:r>
    </w:p>
  </w:endnote>
  <w:endnote w:type="continuationSeparator" w:id="0">
    <w:p w14:paraId="3671BC93" w14:textId="77777777" w:rsidR="00235B0A" w:rsidRDefault="00235B0A" w:rsidP="00B333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0DE11" w14:textId="77777777" w:rsidR="00235B0A" w:rsidRDefault="00235B0A" w:rsidP="00B3335B">
      <w:pPr>
        <w:spacing w:after="0" w:line="240" w:lineRule="auto"/>
      </w:pPr>
      <w:r>
        <w:separator/>
      </w:r>
    </w:p>
  </w:footnote>
  <w:footnote w:type="continuationSeparator" w:id="0">
    <w:p w14:paraId="1CACC3F8" w14:textId="77777777" w:rsidR="00235B0A" w:rsidRDefault="00235B0A" w:rsidP="00B333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D7637"/>
    <w:multiLevelType w:val="multilevel"/>
    <w:tmpl w:val="B67EB7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416706"/>
    <w:multiLevelType w:val="hybridMultilevel"/>
    <w:tmpl w:val="5E0C543A"/>
    <w:lvl w:ilvl="0" w:tplc="FDD6926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BD25FA"/>
    <w:multiLevelType w:val="multilevel"/>
    <w:tmpl w:val="31027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2C0A47"/>
    <w:multiLevelType w:val="multilevel"/>
    <w:tmpl w:val="EB8E6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F009BA"/>
    <w:multiLevelType w:val="multilevel"/>
    <w:tmpl w:val="CB2CC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0D49D5"/>
    <w:multiLevelType w:val="hybridMultilevel"/>
    <w:tmpl w:val="ED9E6778"/>
    <w:lvl w:ilvl="0" w:tplc="1472C23C">
      <w:start w:val="1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1B601B"/>
    <w:multiLevelType w:val="hybridMultilevel"/>
    <w:tmpl w:val="CBAAC4FE"/>
    <w:lvl w:ilvl="0" w:tplc="1472C23C">
      <w:start w:val="1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F474C2"/>
    <w:multiLevelType w:val="hybridMultilevel"/>
    <w:tmpl w:val="7B7266EE"/>
    <w:lvl w:ilvl="0" w:tplc="C1EE4F6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141FDC"/>
    <w:multiLevelType w:val="multilevel"/>
    <w:tmpl w:val="C68201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66316B"/>
    <w:multiLevelType w:val="hybridMultilevel"/>
    <w:tmpl w:val="DD3263F8"/>
    <w:lvl w:ilvl="0" w:tplc="09624DB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1E38C0"/>
    <w:multiLevelType w:val="multilevel"/>
    <w:tmpl w:val="A4223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164926">
    <w:abstractNumId w:val="1"/>
  </w:num>
  <w:num w:numId="2" w16cid:durableId="1412964589">
    <w:abstractNumId w:val="7"/>
  </w:num>
  <w:num w:numId="3" w16cid:durableId="817382177">
    <w:abstractNumId w:val="9"/>
  </w:num>
  <w:num w:numId="4" w16cid:durableId="1224373226">
    <w:abstractNumId w:val="3"/>
  </w:num>
  <w:num w:numId="5" w16cid:durableId="255526182">
    <w:abstractNumId w:val="2"/>
  </w:num>
  <w:num w:numId="6" w16cid:durableId="1278678343">
    <w:abstractNumId w:val="8"/>
  </w:num>
  <w:num w:numId="7" w16cid:durableId="1127966724">
    <w:abstractNumId w:val="4"/>
  </w:num>
  <w:num w:numId="8" w16cid:durableId="657151696">
    <w:abstractNumId w:val="10"/>
  </w:num>
  <w:num w:numId="9" w16cid:durableId="1606497659">
    <w:abstractNumId w:val="0"/>
  </w:num>
  <w:num w:numId="10" w16cid:durableId="1050955917">
    <w:abstractNumId w:val="5"/>
  </w:num>
  <w:num w:numId="11" w16cid:durableId="17878514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840"/>
    <w:rsid w:val="0000644E"/>
    <w:rsid w:val="00007819"/>
    <w:rsid w:val="00016B2C"/>
    <w:rsid w:val="00025807"/>
    <w:rsid w:val="00030319"/>
    <w:rsid w:val="000308F1"/>
    <w:rsid w:val="00040E93"/>
    <w:rsid w:val="00045EE1"/>
    <w:rsid w:val="00046721"/>
    <w:rsid w:val="00056685"/>
    <w:rsid w:val="00070612"/>
    <w:rsid w:val="000738E8"/>
    <w:rsid w:val="0007439E"/>
    <w:rsid w:val="000859E8"/>
    <w:rsid w:val="0008675E"/>
    <w:rsid w:val="00087C47"/>
    <w:rsid w:val="00092804"/>
    <w:rsid w:val="00094178"/>
    <w:rsid w:val="000A052A"/>
    <w:rsid w:val="000A3121"/>
    <w:rsid w:val="000B2802"/>
    <w:rsid w:val="000B4882"/>
    <w:rsid w:val="000B539A"/>
    <w:rsid w:val="000B5E9E"/>
    <w:rsid w:val="000B6B70"/>
    <w:rsid w:val="000C6CD9"/>
    <w:rsid w:val="000D30D4"/>
    <w:rsid w:val="000D5A13"/>
    <w:rsid w:val="000E75E6"/>
    <w:rsid w:val="000F027E"/>
    <w:rsid w:val="000F0755"/>
    <w:rsid w:val="000F686C"/>
    <w:rsid w:val="00100F97"/>
    <w:rsid w:val="00110D7A"/>
    <w:rsid w:val="00120705"/>
    <w:rsid w:val="00123ADF"/>
    <w:rsid w:val="00126B76"/>
    <w:rsid w:val="00126E40"/>
    <w:rsid w:val="001317D7"/>
    <w:rsid w:val="0014353E"/>
    <w:rsid w:val="00153665"/>
    <w:rsid w:val="00162426"/>
    <w:rsid w:val="00176048"/>
    <w:rsid w:val="0019609A"/>
    <w:rsid w:val="001B2FEB"/>
    <w:rsid w:val="001B3179"/>
    <w:rsid w:val="001B3BC8"/>
    <w:rsid w:val="001B643C"/>
    <w:rsid w:val="001C296D"/>
    <w:rsid w:val="001D2582"/>
    <w:rsid w:val="001D32F6"/>
    <w:rsid w:val="001E0DAF"/>
    <w:rsid w:val="001F1EF8"/>
    <w:rsid w:val="00212D87"/>
    <w:rsid w:val="002222DF"/>
    <w:rsid w:val="0022423B"/>
    <w:rsid w:val="00225A87"/>
    <w:rsid w:val="00232765"/>
    <w:rsid w:val="002341FC"/>
    <w:rsid w:val="00235B0A"/>
    <w:rsid w:val="0024036B"/>
    <w:rsid w:val="0024091D"/>
    <w:rsid w:val="00241C7E"/>
    <w:rsid w:val="00242620"/>
    <w:rsid w:val="00242AFC"/>
    <w:rsid w:val="00245009"/>
    <w:rsid w:val="0024562E"/>
    <w:rsid w:val="00247BBF"/>
    <w:rsid w:val="00250DB9"/>
    <w:rsid w:val="00253D0C"/>
    <w:rsid w:val="00253D6B"/>
    <w:rsid w:val="00255ED5"/>
    <w:rsid w:val="00256215"/>
    <w:rsid w:val="002563E3"/>
    <w:rsid w:val="00262841"/>
    <w:rsid w:val="002639FF"/>
    <w:rsid w:val="0026532C"/>
    <w:rsid w:val="00284B66"/>
    <w:rsid w:val="00286714"/>
    <w:rsid w:val="00291981"/>
    <w:rsid w:val="002971DC"/>
    <w:rsid w:val="0029787D"/>
    <w:rsid w:val="002A625E"/>
    <w:rsid w:val="002C403C"/>
    <w:rsid w:val="002C6A64"/>
    <w:rsid w:val="002D17A7"/>
    <w:rsid w:val="002D2E8F"/>
    <w:rsid w:val="002E3DEE"/>
    <w:rsid w:val="002F05E0"/>
    <w:rsid w:val="002F3AA3"/>
    <w:rsid w:val="002F4033"/>
    <w:rsid w:val="00300FF7"/>
    <w:rsid w:val="00312BFF"/>
    <w:rsid w:val="003255FA"/>
    <w:rsid w:val="00342534"/>
    <w:rsid w:val="00347A9A"/>
    <w:rsid w:val="0035300B"/>
    <w:rsid w:val="0036634C"/>
    <w:rsid w:val="00376ADC"/>
    <w:rsid w:val="003835A0"/>
    <w:rsid w:val="00391F98"/>
    <w:rsid w:val="0039789A"/>
    <w:rsid w:val="00397D63"/>
    <w:rsid w:val="003A16CF"/>
    <w:rsid w:val="003B61E9"/>
    <w:rsid w:val="003B6E8B"/>
    <w:rsid w:val="003C3D3A"/>
    <w:rsid w:val="003D278F"/>
    <w:rsid w:val="003D4EB3"/>
    <w:rsid w:val="003E45BF"/>
    <w:rsid w:val="003F2303"/>
    <w:rsid w:val="003F7A86"/>
    <w:rsid w:val="00404755"/>
    <w:rsid w:val="0040567A"/>
    <w:rsid w:val="00411E47"/>
    <w:rsid w:val="00433E13"/>
    <w:rsid w:val="00435AC8"/>
    <w:rsid w:val="00437A81"/>
    <w:rsid w:val="00437E91"/>
    <w:rsid w:val="004461EE"/>
    <w:rsid w:val="004469D8"/>
    <w:rsid w:val="00451683"/>
    <w:rsid w:val="004540E4"/>
    <w:rsid w:val="00456797"/>
    <w:rsid w:val="0047407C"/>
    <w:rsid w:val="00475B06"/>
    <w:rsid w:val="00477686"/>
    <w:rsid w:val="00480784"/>
    <w:rsid w:val="004841A5"/>
    <w:rsid w:val="00487858"/>
    <w:rsid w:val="00487FCC"/>
    <w:rsid w:val="004914C5"/>
    <w:rsid w:val="004B3B6E"/>
    <w:rsid w:val="004B72D4"/>
    <w:rsid w:val="004C19CB"/>
    <w:rsid w:val="004D7252"/>
    <w:rsid w:val="004E0B54"/>
    <w:rsid w:val="004E496F"/>
    <w:rsid w:val="004E56DE"/>
    <w:rsid w:val="004F530D"/>
    <w:rsid w:val="00501F14"/>
    <w:rsid w:val="00502015"/>
    <w:rsid w:val="0050756C"/>
    <w:rsid w:val="005127AD"/>
    <w:rsid w:val="0051674F"/>
    <w:rsid w:val="00520B96"/>
    <w:rsid w:val="005253A6"/>
    <w:rsid w:val="005253E0"/>
    <w:rsid w:val="00533D39"/>
    <w:rsid w:val="00535854"/>
    <w:rsid w:val="0053660E"/>
    <w:rsid w:val="005425D5"/>
    <w:rsid w:val="0054539C"/>
    <w:rsid w:val="00545E68"/>
    <w:rsid w:val="00551ACB"/>
    <w:rsid w:val="00554425"/>
    <w:rsid w:val="00556905"/>
    <w:rsid w:val="00556D2A"/>
    <w:rsid w:val="005615AD"/>
    <w:rsid w:val="005642D4"/>
    <w:rsid w:val="005753D1"/>
    <w:rsid w:val="0057676A"/>
    <w:rsid w:val="005814C4"/>
    <w:rsid w:val="0058489B"/>
    <w:rsid w:val="00587751"/>
    <w:rsid w:val="00593F9C"/>
    <w:rsid w:val="00595D21"/>
    <w:rsid w:val="005972F0"/>
    <w:rsid w:val="005A2160"/>
    <w:rsid w:val="005A3045"/>
    <w:rsid w:val="005A49CE"/>
    <w:rsid w:val="005C127C"/>
    <w:rsid w:val="005C2C8E"/>
    <w:rsid w:val="005D5D4D"/>
    <w:rsid w:val="00601D94"/>
    <w:rsid w:val="00622A97"/>
    <w:rsid w:val="00625EE4"/>
    <w:rsid w:val="00626260"/>
    <w:rsid w:val="00626686"/>
    <w:rsid w:val="00631B99"/>
    <w:rsid w:val="0063551F"/>
    <w:rsid w:val="00635BCF"/>
    <w:rsid w:val="00646F35"/>
    <w:rsid w:val="006560AB"/>
    <w:rsid w:val="00683717"/>
    <w:rsid w:val="0068418C"/>
    <w:rsid w:val="00687F6C"/>
    <w:rsid w:val="006910BE"/>
    <w:rsid w:val="00692569"/>
    <w:rsid w:val="006928C0"/>
    <w:rsid w:val="00694A3A"/>
    <w:rsid w:val="00696296"/>
    <w:rsid w:val="006A466F"/>
    <w:rsid w:val="006A791F"/>
    <w:rsid w:val="006B128E"/>
    <w:rsid w:val="006B5B88"/>
    <w:rsid w:val="006C0868"/>
    <w:rsid w:val="006C09E9"/>
    <w:rsid w:val="006D7388"/>
    <w:rsid w:val="006E1B02"/>
    <w:rsid w:val="006F22DB"/>
    <w:rsid w:val="006F4261"/>
    <w:rsid w:val="006F593E"/>
    <w:rsid w:val="007007A7"/>
    <w:rsid w:val="007063F1"/>
    <w:rsid w:val="00711622"/>
    <w:rsid w:val="007117AD"/>
    <w:rsid w:val="00717DC8"/>
    <w:rsid w:val="00725EF3"/>
    <w:rsid w:val="007335A4"/>
    <w:rsid w:val="00740691"/>
    <w:rsid w:val="007419A3"/>
    <w:rsid w:val="00743049"/>
    <w:rsid w:val="00744E01"/>
    <w:rsid w:val="00746785"/>
    <w:rsid w:val="00750A8E"/>
    <w:rsid w:val="00751670"/>
    <w:rsid w:val="007558DD"/>
    <w:rsid w:val="00766CBC"/>
    <w:rsid w:val="007726EA"/>
    <w:rsid w:val="00775933"/>
    <w:rsid w:val="007760AA"/>
    <w:rsid w:val="0078072D"/>
    <w:rsid w:val="00785E5D"/>
    <w:rsid w:val="0079064A"/>
    <w:rsid w:val="007A3621"/>
    <w:rsid w:val="007A5D34"/>
    <w:rsid w:val="007B33DB"/>
    <w:rsid w:val="007B44DA"/>
    <w:rsid w:val="007C3074"/>
    <w:rsid w:val="007C319F"/>
    <w:rsid w:val="007C45E1"/>
    <w:rsid w:val="007C7362"/>
    <w:rsid w:val="007D46CC"/>
    <w:rsid w:val="007E117F"/>
    <w:rsid w:val="007E2399"/>
    <w:rsid w:val="007E6043"/>
    <w:rsid w:val="007E682A"/>
    <w:rsid w:val="00810328"/>
    <w:rsid w:val="0081516C"/>
    <w:rsid w:val="008201A0"/>
    <w:rsid w:val="00832BE7"/>
    <w:rsid w:val="00833436"/>
    <w:rsid w:val="00836CF7"/>
    <w:rsid w:val="00840722"/>
    <w:rsid w:val="00843748"/>
    <w:rsid w:val="00853377"/>
    <w:rsid w:val="0086057C"/>
    <w:rsid w:val="008637F0"/>
    <w:rsid w:val="008657EE"/>
    <w:rsid w:val="00870C5F"/>
    <w:rsid w:val="00877A48"/>
    <w:rsid w:val="008802F7"/>
    <w:rsid w:val="00880E7E"/>
    <w:rsid w:val="00887E4D"/>
    <w:rsid w:val="00894FE1"/>
    <w:rsid w:val="008960A4"/>
    <w:rsid w:val="008A1E1A"/>
    <w:rsid w:val="008A48BB"/>
    <w:rsid w:val="008A6687"/>
    <w:rsid w:val="008A789F"/>
    <w:rsid w:val="008B5868"/>
    <w:rsid w:val="008C626F"/>
    <w:rsid w:val="008D0340"/>
    <w:rsid w:val="008D46CC"/>
    <w:rsid w:val="008D623A"/>
    <w:rsid w:val="008D6C7E"/>
    <w:rsid w:val="008E043F"/>
    <w:rsid w:val="008E6E85"/>
    <w:rsid w:val="008F5395"/>
    <w:rsid w:val="008F5C68"/>
    <w:rsid w:val="008F67C5"/>
    <w:rsid w:val="008F72DF"/>
    <w:rsid w:val="008F781A"/>
    <w:rsid w:val="00904E6F"/>
    <w:rsid w:val="00906C70"/>
    <w:rsid w:val="009154F4"/>
    <w:rsid w:val="00916D47"/>
    <w:rsid w:val="00917FA5"/>
    <w:rsid w:val="0094033E"/>
    <w:rsid w:val="009406B1"/>
    <w:rsid w:val="0094121D"/>
    <w:rsid w:val="009507B8"/>
    <w:rsid w:val="00950E17"/>
    <w:rsid w:val="00955ADE"/>
    <w:rsid w:val="009631CA"/>
    <w:rsid w:val="00963756"/>
    <w:rsid w:val="00965D2D"/>
    <w:rsid w:val="00965D7F"/>
    <w:rsid w:val="00970358"/>
    <w:rsid w:val="0097124F"/>
    <w:rsid w:val="00975801"/>
    <w:rsid w:val="00976A16"/>
    <w:rsid w:val="00980775"/>
    <w:rsid w:val="00981C7D"/>
    <w:rsid w:val="00985921"/>
    <w:rsid w:val="009A6EA7"/>
    <w:rsid w:val="009A6F14"/>
    <w:rsid w:val="009B072F"/>
    <w:rsid w:val="009B1D75"/>
    <w:rsid w:val="009B6274"/>
    <w:rsid w:val="009C14C7"/>
    <w:rsid w:val="009C4719"/>
    <w:rsid w:val="009D0A71"/>
    <w:rsid w:val="009D77FB"/>
    <w:rsid w:val="009D79F5"/>
    <w:rsid w:val="009E366C"/>
    <w:rsid w:val="009E72D7"/>
    <w:rsid w:val="009F129B"/>
    <w:rsid w:val="00A05E2D"/>
    <w:rsid w:val="00A113E7"/>
    <w:rsid w:val="00A14272"/>
    <w:rsid w:val="00A17058"/>
    <w:rsid w:val="00A27C19"/>
    <w:rsid w:val="00A37059"/>
    <w:rsid w:val="00A41118"/>
    <w:rsid w:val="00A428FD"/>
    <w:rsid w:val="00A52F45"/>
    <w:rsid w:val="00A61654"/>
    <w:rsid w:val="00A6720F"/>
    <w:rsid w:val="00A67B41"/>
    <w:rsid w:val="00A73055"/>
    <w:rsid w:val="00A73206"/>
    <w:rsid w:val="00A74262"/>
    <w:rsid w:val="00A852B1"/>
    <w:rsid w:val="00A90DC4"/>
    <w:rsid w:val="00A9214A"/>
    <w:rsid w:val="00AB7DB5"/>
    <w:rsid w:val="00AD0539"/>
    <w:rsid w:val="00AD17CA"/>
    <w:rsid w:val="00AE717C"/>
    <w:rsid w:val="00B15148"/>
    <w:rsid w:val="00B16166"/>
    <w:rsid w:val="00B22B16"/>
    <w:rsid w:val="00B24E6E"/>
    <w:rsid w:val="00B308AE"/>
    <w:rsid w:val="00B3335B"/>
    <w:rsid w:val="00B36802"/>
    <w:rsid w:val="00B3777F"/>
    <w:rsid w:val="00B42596"/>
    <w:rsid w:val="00B431EA"/>
    <w:rsid w:val="00B45990"/>
    <w:rsid w:val="00B47CCD"/>
    <w:rsid w:val="00B55320"/>
    <w:rsid w:val="00B614F1"/>
    <w:rsid w:val="00B6230A"/>
    <w:rsid w:val="00B651E0"/>
    <w:rsid w:val="00B65531"/>
    <w:rsid w:val="00B6573E"/>
    <w:rsid w:val="00B67209"/>
    <w:rsid w:val="00B678ED"/>
    <w:rsid w:val="00B720CB"/>
    <w:rsid w:val="00B74A23"/>
    <w:rsid w:val="00B750C8"/>
    <w:rsid w:val="00B765BB"/>
    <w:rsid w:val="00B873B0"/>
    <w:rsid w:val="00B87AD3"/>
    <w:rsid w:val="00B9153B"/>
    <w:rsid w:val="00B9440A"/>
    <w:rsid w:val="00B94FB6"/>
    <w:rsid w:val="00B97E8A"/>
    <w:rsid w:val="00BA5BFC"/>
    <w:rsid w:val="00BB0E67"/>
    <w:rsid w:val="00BC4D43"/>
    <w:rsid w:val="00BD68BD"/>
    <w:rsid w:val="00BE17B4"/>
    <w:rsid w:val="00BE1B14"/>
    <w:rsid w:val="00BE2811"/>
    <w:rsid w:val="00BE64A1"/>
    <w:rsid w:val="00BF3D98"/>
    <w:rsid w:val="00C00E6B"/>
    <w:rsid w:val="00C02C69"/>
    <w:rsid w:val="00C03098"/>
    <w:rsid w:val="00C048FA"/>
    <w:rsid w:val="00C04979"/>
    <w:rsid w:val="00C07E42"/>
    <w:rsid w:val="00C26E68"/>
    <w:rsid w:val="00C4106F"/>
    <w:rsid w:val="00C41E66"/>
    <w:rsid w:val="00C461E1"/>
    <w:rsid w:val="00C50DF0"/>
    <w:rsid w:val="00C51D0A"/>
    <w:rsid w:val="00C62504"/>
    <w:rsid w:val="00C66F15"/>
    <w:rsid w:val="00C70260"/>
    <w:rsid w:val="00C83F2F"/>
    <w:rsid w:val="00C8463E"/>
    <w:rsid w:val="00C944A0"/>
    <w:rsid w:val="00C96C78"/>
    <w:rsid w:val="00CA3176"/>
    <w:rsid w:val="00CA4914"/>
    <w:rsid w:val="00CA7FA8"/>
    <w:rsid w:val="00CB26BB"/>
    <w:rsid w:val="00CB2F4E"/>
    <w:rsid w:val="00CB54E3"/>
    <w:rsid w:val="00CC2D14"/>
    <w:rsid w:val="00CC2E43"/>
    <w:rsid w:val="00CC3832"/>
    <w:rsid w:val="00CC63AB"/>
    <w:rsid w:val="00CC7A40"/>
    <w:rsid w:val="00CD3CCA"/>
    <w:rsid w:val="00CD4498"/>
    <w:rsid w:val="00CD774D"/>
    <w:rsid w:val="00CD7839"/>
    <w:rsid w:val="00CE1221"/>
    <w:rsid w:val="00CE6420"/>
    <w:rsid w:val="00CE77B8"/>
    <w:rsid w:val="00CF3B1A"/>
    <w:rsid w:val="00CF5CBB"/>
    <w:rsid w:val="00D02B98"/>
    <w:rsid w:val="00D13553"/>
    <w:rsid w:val="00D20C44"/>
    <w:rsid w:val="00D27EC6"/>
    <w:rsid w:val="00D37D55"/>
    <w:rsid w:val="00D5045F"/>
    <w:rsid w:val="00D51476"/>
    <w:rsid w:val="00D5584B"/>
    <w:rsid w:val="00D5687C"/>
    <w:rsid w:val="00D64688"/>
    <w:rsid w:val="00D74E55"/>
    <w:rsid w:val="00D77601"/>
    <w:rsid w:val="00D94B58"/>
    <w:rsid w:val="00DA176E"/>
    <w:rsid w:val="00DA3236"/>
    <w:rsid w:val="00DB0AEF"/>
    <w:rsid w:val="00DB23A4"/>
    <w:rsid w:val="00DB3255"/>
    <w:rsid w:val="00DB3B47"/>
    <w:rsid w:val="00DB4379"/>
    <w:rsid w:val="00DB554C"/>
    <w:rsid w:val="00DB79D8"/>
    <w:rsid w:val="00DB7AE8"/>
    <w:rsid w:val="00DC7927"/>
    <w:rsid w:val="00DD157D"/>
    <w:rsid w:val="00DD3F56"/>
    <w:rsid w:val="00DD6A75"/>
    <w:rsid w:val="00DE3C1B"/>
    <w:rsid w:val="00DE4551"/>
    <w:rsid w:val="00DE600C"/>
    <w:rsid w:val="00DF12C5"/>
    <w:rsid w:val="00DF40F9"/>
    <w:rsid w:val="00E0572D"/>
    <w:rsid w:val="00E07AAD"/>
    <w:rsid w:val="00E1489B"/>
    <w:rsid w:val="00E14C89"/>
    <w:rsid w:val="00E14E41"/>
    <w:rsid w:val="00E17869"/>
    <w:rsid w:val="00E27EB9"/>
    <w:rsid w:val="00E31584"/>
    <w:rsid w:val="00E32BBA"/>
    <w:rsid w:val="00E32DF6"/>
    <w:rsid w:val="00E33CBB"/>
    <w:rsid w:val="00E37920"/>
    <w:rsid w:val="00E37D29"/>
    <w:rsid w:val="00E52D52"/>
    <w:rsid w:val="00E52E4A"/>
    <w:rsid w:val="00E5703E"/>
    <w:rsid w:val="00E57B48"/>
    <w:rsid w:val="00E611C8"/>
    <w:rsid w:val="00E63EC9"/>
    <w:rsid w:val="00E668AE"/>
    <w:rsid w:val="00E73FC4"/>
    <w:rsid w:val="00E768AA"/>
    <w:rsid w:val="00E83886"/>
    <w:rsid w:val="00E9539F"/>
    <w:rsid w:val="00EA0ED9"/>
    <w:rsid w:val="00EB2B0F"/>
    <w:rsid w:val="00ED4FCC"/>
    <w:rsid w:val="00ED6A71"/>
    <w:rsid w:val="00EE3F06"/>
    <w:rsid w:val="00EE41BD"/>
    <w:rsid w:val="00EF153F"/>
    <w:rsid w:val="00EF20A0"/>
    <w:rsid w:val="00EF4974"/>
    <w:rsid w:val="00F01834"/>
    <w:rsid w:val="00F1334F"/>
    <w:rsid w:val="00F1594F"/>
    <w:rsid w:val="00F15E53"/>
    <w:rsid w:val="00F22ACC"/>
    <w:rsid w:val="00F24E32"/>
    <w:rsid w:val="00F252CB"/>
    <w:rsid w:val="00F27143"/>
    <w:rsid w:val="00F33315"/>
    <w:rsid w:val="00F36760"/>
    <w:rsid w:val="00F40FD0"/>
    <w:rsid w:val="00F42020"/>
    <w:rsid w:val="00F44E37"/>
    <w:rsid w:val="00F50C2D"/>
    <w:rsid w:val="00F61840"/>
    <w:rsid w:val="00F6491E"/>
    <w:rsid w:val="00F8037E"/>
    <w:rsid w:val="00F80617"/>
    <w:rsid w:val="00F822E9"/>
    <w:rsid w:val="00F845DA"/>
    <w:rsid w:val="00F87F4A"/>
    <w:rsid w:val="00F93774"/>
    <w:rsid w:val="00FA065C"/>
    <w:rsid w:val="00FA0848"/>
    <w:rsid w:val="00FA4D32"/>
    <w:rsid w:val="00FA58CD"/>
    <w:rsid w:val="00FA5D87"/>
    <w:rsid w:val="00FA669D"/>
    <w:rsid w:val="00FB0BE8"/>
    <w:rsid w:val="00FB273A"/>
    <w:rsid w:val="00FB30E8"/>
    <w:rsid w:val="00FB69B3"/>
    <w:rsid w:val="00FB6DF8"/>
    <w:rsid w:val="00FC33A7"/>
    <w:rsid w:val="00FC391D"/>
    <w:rsid w:val="00FC7471"/>
    <w:rsid w:val="00FC761A"/>
    <w:rsid w:val="00FD1673"/>
    <w:rsid w:val="00FE626D"/>
    <w:rsid w:val="00FE6F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7755C"/>
  <w15:chartTrackingRefBased/>
  <w15:docId w15:val="{A9DBDF77-A62A-460D-AB4E-73FDC58C0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18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18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18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18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18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18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18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18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18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18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18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18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18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18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18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18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18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1840"/>
    <w:rPr>
      <w:rFonts w:eastAsiaTheme="majorEastAsia" w:cstheme="majorBidi"/>
      <w:color w:val="272727" w:themeColor="text1" w:themeTint="D8"/>
    </w:rPr>
  </w:style>
  <w:style w:type="paragraph" w:styleId="Title">
    <w:name w:val="Title"/>
    <w:basedOn w:val="Normal"/>
    <w:next w:val="Normal"/>
    <w:link w:val="TitleChar"/>
    <w:uiPriority w:val="10"/>
    <w:qFormat/>
    <w:rsid w:val="00F618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18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18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18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1840"/>
    <w:pPr>
      <w:spacing w:before="160"/>
      <w:jc w:val="center"/>
    </w:pPr>
    <w:rPr>
      <w:i/>
      <w:iCs/>
      <w:color w:val="404040" w:themeColor="text1" w:themeTint="BF"/>
    </w:rPr>
  </w:style>
  <w:style w:type="character" w:customStyle="1" w:styleId="QuoteChar">
    <w:name w:val="Quote Char"/>
    <w:basedOn w:val="DefaultParagraphFont"/>
    <w:link w:val="Quote"/>
    <w:uiPriority w:val="29"/>
    <w:rsid w:val="00F61840"/>
    <w:rPr>
      <w:i/>
      <w:iCs/>
      <w:color w:val="404040" w:themeColor="text1" w:themeTint="BF"/>
    </w:rPr>
  </w:style>
  <w:style w:type="paragraph" w:styleId="ListParagraph">
    <w:name w:val="List Paragraph"/>
    <w:basedOn w:val="Normal"/>
    <w:uiPriority w:val="34"/>
    <w:qFormat/>
    <w:rsid w:val="00F61840"/>
    <w:pPr>
      <w:ind w:left="720"/>
      <w:contextualSpacing/>
    </w:pPr>
  </w:style>
  <w:style w:type="character" w:styleId="IntenseEmphasis">
    <w:name w:val="Intense Emphasis"/>
    <w:basedOn w:val="DefaultParagraphFont"/>
    <w:uiPriority w:val="21"/>
    <w:qFormat/>
    <w:rsid w:val="00F61840"/>
    <w:rPr>
      <w:i/>
      <w:iCs/>
      <w:color w:val="0F4761" w:themeColor="accent1" w:themeShade="BF"/>
    </w:rPr>
  </w:style>
  <w:style w:type="paragraph" w:styleId="IntenseQuote">
    <w:name w:val="Intense Quote"/>
    <w:basedOn w:val="Normal"/>
    <w:next w:val="Normal"/>
    <w:link w:val="IntenseQuoteChar"/>
    <w:uiPriority w:val="30"/>
    <w:qFormat/>
    <w:rsid w:val="00F618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1840"/>
    <w:rPr>
      <w:i/>
      <w:iCs/>
      <w:color w:val="0F4761" w:themeColor="accent1" w:themeShade="BF"/>
    </w:rPr>
  </w:style>
  <w:style w:type="character" w:styleId="IntenseReference">
    <w:name w:val="Intense Reference"/>
    <w:basedOn w:val="DefaultParagraphFont"/>
    <w:uiPriority w:val="32"/>
    <w:qFormat/>
    <w:rsid w:val="00F61840"/>
    <w:rPr>
      <w:b/>
      <w:bCs/>
      <w:smallCaps/>
      <w:color w:val="0F4761" w:themeColor="accent1" w:themeShade="BF"/>
      <w:spacing w:val="5"/>
    </w:rPr>
  </w:style>
  <w:style w:type="paragraph" w:styleId="Header">
    <w:name w:val="header"/>
    <w:basedOn w:val="Normal"/>
    <w:link w:val="HeaderChar"/>
    <w:uiPriority w:val="99"/>
    <w:unhideWhenUsed/>
    <w:rsid w:val="00B333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335B"/>
  </w:style>
  <w:style w:type="paragraph" w:styleId="Footer">
    <w:name w:val="footer"/>
    <w:basedOn w:val="Normal"/>
    <w:link w:val="FooterChar"/>
    <w:uiPriority w:val="99"/>
    <w:unhideWhenUsed/>
    <w:rsid w:val="00B333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335B"/>
  </w:style>
  <w:style w:type="paragraph" w:styleId="NormalWeb">
    <w:name w:val="Normal (Web)"/>
    <w:basedOn w:val="Normal"/>
    <w:uiPriority w:val="99"/>
    <w:semiHidden/>
    <w:unhideWhenUsed/>
    <w:rsid w:val="00950E17"/>
    <w:rPr>
      <w:rFonts w:ascii="Times New Roman" w:hAnsi="Times New Roman" w:cs="Times New Roman"/>
      <w:sz w:val="24"/>
      <w:szCs w:val="24"/>
    </w:rPr>
  </w:style>
  <w:style w:type="character" w:styleId="Hyperlink">
    <w:name w:val="Hyperlink"/>
    <w:basedOn w:val="DefaultParagraphFont"/>
    <w:uiPriority w:val="99"/>
    <w:unhideWhenUsed/>
    <w:rsid w:val="001B2FEB"/>
    <w:rPr>
      <w:color w:val="467886" w:themeColor="hyperlink"/>
      <w:u w:val="single"/>
    </w:rPr>
  </w:style>
  <w:style w:type="character" w:styleId="UnresolvedMention">
    <w:name w:val="Unresolved Mention"/>
    <w:basedOn w:val="DefaultParagraphFont"/>
    <w:uiPriority w:val="99"/>
    <w:semiHidden/>
    <w:unhideWhenUsed/>
    <w:rsid w:val="001B2FEB"/>
    <w:rPr>
      <w:color w:val="605E5C"/>
      <w:shd w:val="clear" w:color="auto" w:fill="E1DFDD"/>
    </w:rPr>
  </w:style>
  <w:style w:type="paragraph" w:styleId="Bibliography">
    <w:name w:val="Bibliography"/>
    <w:basedOn w:val="Normal"/>
    <w:next w:val="Normal"/>
    <w:uiPriority w:val="37"/>
    <w:unhideWhenUsed/>
    <w:rsid w:val="00247B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240126">
      <w:bodyDiv w:val="1"/>
      <w:marLeft w:val="0"/>
      <w:marRight w:val="0"/>
      <w:marTop w:val="0"/>
      <w:marBottom w:val="0"/>
      <w:divBdr>
        <w:top w:val="none" w:sz="0" w:space="0" w:color="auto"/>
        <w:left w:val="none" w:sz="0" w:space="0" w:color="auto"/>
        <w:bottom w:val="none" w:sz="0" w:space="0" w:color="auto"/>
        <w:right w:val="none" w:sz="0" w:space="0" w:color="auto"/>
      </w:divBdr>
    </w:div>
    <w:div w:id="90853422">
      <w:bodyDiv w:val="1"/>
      <w:marLeft w:val="0"/>
      <w:marRight w:val="0"/>
      <w:marTop w:val="0"/>
      <w:marBottom w:val="0"/>
      <w:divBdr>
        <w:top w:val="none" w:sz="0" w:space="0" w:color="auto"/>
        <w:left w:val="none" w:sz="0" w:space="0" w:color="auto"/>
        <w:bottom w:val="none" w:sz="0" w:space="0" w:color="auto"/>
        <w:right w:val="none" w:sz="0" w:space="0" w:color="auto"/>
      </w:divBdr>
    </w:div>
    <w:div w:id="102498770">
      <w:bodyDiv w:val="1"/>
      <w:marLeft w:val="0"/>
      <w:marRight w:val="0"/>
      <w:marTop w:val="0"/>
      <w:marBottom w:val="0"/>
      <w:divBdr>
        <w:top w:val="none" w:sz="0" w:space="0" w:color="auto"/>
        <w:left w:val="none" w:sz="0" w:space="0" w:color="auto"/>
        <w:bottom w:val="none" w:sz="0" w:space="0" w:color="auto"/>
        <w:right w:val="none" w:sz="0" w:space="0" w:color="auto"/>
      </w:divBdr>
    </w:div>
    <w:div w:id="119761719">
      <w:bodyDiv w:val="1"/>
      <w:marLeft w:val="0"/>
      <w:marRight w:val="0"/>
      <w:marTop w:val="0"/>
      <w:marBottom w:val="0"/>
      <w:divBdr>
        <w:top w:val="none" w:sz="0" w:space="0" w:color="auto"/>
        <w:left w:val="none" w:sz="0" w:space="0" w:color="auto"/>
        <w:bottom w:val="none" w:sz="0" w:space="0" w:color="auto"/>
        <w:right w:val="none" w:sz="0" w:space="0" w:color="auto"/>
      </w:divBdr>
    </w:div>
    <w:div w:id="120926878">
      <w:bodyDiv w:val="1"/>
      <w:marLeft w:val="0"/>
      <w:marRight w:val="0"/>
      <w:marTop w:val="0"/>
      <w:marBottom w:val="0"/>
      <w:divBdr>
        <w:top w:val="none" w:sz="0" w:space="0" w:color="auto"/>
        <w:left w:val="none" w:sz="0" w:space="0" w:color="auto"/>
        <w:bottom w:val="none" w:sz="0" w:space="0" w:color="auto"/>
        <w:right w:val="none" w:sz="0" w:space="0" w:color="auto"/>
      </w:divBdr>
    </w:div>
    <w:div w:id="144013906">
      <w:bodyDiv w:val="1"/>
      <w:marLeft w:val="0"/>
      <w:marRight w:val="0"/>
      <w:marTop w:val="0"/>
      <w:marBottom w:val="0"/>
      <w:divBdr>
        <w:top w:val="none" w:sz="0" w:space="0" w:color="auto"/>
        <w:left w:val="none" w:sz="0" w:space="0" w:color="auto"/>
        <w:bottom w:val="none" w:sz="0" w:space="0" w:color="auto"/>
        <w:right w:val="none" w:sz="0" w:space="0" w:color="auto"/>
      </w:divBdr>
    </w:div>
    <w:div w:id="205680537">
      <w:bodyDiv w:val="1"/>
      <w:marLeft w:val="0"/>
      <w:marRight w:val="0"/>
      <w:marTop w:val="0"/>
      <w:marBottom w:val="0"/>
      <w:divBdr>
        <w:top w:val="none" w:sz="0" w:space="0" w:color="auto"/>
        <w:left w:val="none" w:sz="0" w:space="0" w:color="auto"/>
        <w:bottom w:val="none" w:sz="0" w:space="0" w:color="auto"/>
        <w:right w:val="none" w:sz="0" w:space="0" w:color="auto"/>
      </w:divBdr>
    </w:div>
    <w:div w:id="253368240">
      <w:bodyDiv w:val="1"/>
      <w:marLeft w:val="0"/>
      <w:marRight w:val="0"/>
      <w:marTop w:val="0"/>
      <w:marBottom w:val="0"/>
      <w:divBdr>
        <w:top w:val="none" w:sz="0" w:space="0" w:color="auto"/>
        <w:left w:val="none" w:sz="0" w:space="0" w:color="auto"/>
        <w:bottom w:val="none" w:sz="0" w:space="0" w:color="auto"/>
        <w:right w:val="none" w:sz="0" w:space="0" w:color="auto"/>
      </w:divBdr>
    </w:div>
    <w:div w:id="253561121">
      <w:bodyDiv w:val="1"/>
      <w:marLeft w:val="0"/>
      <w:marRight w:val="0"/>
      <w:marTop w:val="0"/>
      <w:marBottom w:val="0"/>
      <w:divBdr>
        <w:top w:val="none" w:sz="0" w:space="0" w:color="auto"/>
        <w:left w:val="none" w:sz="0" w:space="0" w:color="auto"/>
        <w:bottom w:val="none" w:sz="0" w:space="0" w:color="auto"/>
        <w:right w:val="none" w:sz="0" w:space="0" w:color="auto"/>
      </w:divBdr>
    </w:div>
    <w:div w:id="266960400">
      <w:bodyDiv w:val="1"/>
      <w:marLeft w:val="0"/>
      <w:marRight w:val="0"/>
      <w:marTop w:val="0"/>
      <w:marBottom w:val="0"/>
      <w:divBdr>
        <w:top w:val="none" w:sz="0" w:space="0" w:color="auto"/>
        <w:left w:val="none" w:sz="0" w:space="0" w:color="auto"/>
        <w:bottom w:val="none" w:sz="0" w:space="0" w:color="auto"/>
        <w:right w:val="none" w:sz="0" w:space="0" w:color="auto"/>
      </w:divBdr>
    </w:div>
    <w:div w:id="341473566">
      <w:bodyDiv w:val="1"/>
      <w:marLeft w:val="0"/>
      <w:marRight w:val="0"/>
      <w:marTop w:val="0"/>
      <w:marBottom w:val="0"/>
      <w:divBdr>
        <w:top w:val="none" w:sz="0" w:space="0" w:color="auto"/>
        <w:left w:val="none" w:sz="0" w:space="0" w:color="auto"/>
        <w:bottom w:val="none" w:sz="0" w:space="0" w:color="auto"/>
        <w:right w:val="none" w:sz="0" w:space="0" w:color="auto"/>
      </w:divBdr>
    </w:div>
    <w:div w:id="348027237">
      <w:bodyDiv w:val="1"/>
      <w:marLeft w:val="0"/>
      <w:marRight w:val="0"/>
      <w:marTop w:val="0"/>
      <w:marBottom w:val="0"/>
      <w:divBdr>
        <w:top w:val="none" w:sz="0" w:space="0" w:color="auto"/>
        <w:left w:val="none" w:sz="0" w:space="0" w:color="auto"/>
        <w:bottom w:val="none" w:sz="0" w:space="0" w:color="auto"/>
        <w:right w:val="none" w:sz="0" w:space="0" w:color="auto"/>
      </w:divBdr>
    </w:div>
    <w:div w:id="373848802">
      <w:bodyDiv w:val="1"/>
      <w:marLeft w:val="0"/>
      <w:marRight w:val="0"/>
      <w:marTop w:val="0"/>
      <w:marBottom w:val="0"/>
      <w:divBdr>
        <w:top w:val="none" w:sz="0" w:space="0" w:color="auto"/>
        <w:left w:val="none" w:sz="0" w:space="0" w:color="auto"/>
        <w:bottom w:val="none" w:sz="0" w:space="0" w:color="auto"/>
        <w:right w:val="none" w:sz="0" w:space="0" w:color="auto"/>
      </w:divBdr>
    </w:div>
    <w:div w:id="381104028">
      <w:bodyDiv w:val="1"/>
      <w:marLeft w:val="0"/>
      <w:marRight w:val="0"/>
      <w:marTop w:val="0"/>
      <w:marBottom w:val="0"/>
      <w:divBdr>
        <w:top w:val="none" w:sz="0" w:space="0" w:color="auto"/>
        <w:left w:val="none" w:sz="0" w:space="0" w:color="auto"/>
        <w:bottom w:val="none" w:sz="0" w:space="0" w:color="auto"/>
        <w:right w:val="none" w:sz="0" w:space="0" w:color="auto"/>
      </w:divBdr>
    </w:div>
    <w:div w:id="450709999">
      <w:bodyDiv w:val="1"/>
      <w:marLeft w:val="0"/>
      <w:marRight w:val="0"/>
      <w:marTop w:val="0"/>
      <w:marBottom w:val="0"/>
      <w:divBdr>
        <w:top w:val="none" w:sz="0" w:space="0" w:color="auto"/>
        <w:left w:val="none" w:sz="0" w:space="0" w:color="auto"/>
        <w:bottom w:val="none" w:sz="0" w:space="0" w:color="auto"/>
        <w:right w:val="none" w:sz="0" w:space="0" w:color="auto"/>
      </w:divBdr>
    </w:div>
    <w:div w:id="457378028">
      <w:bodyDiv w:val="1"/>
      <w:marLeft w:val="0"/>
      <w:marRight w:val="0"/>
      <w:marTop w:val="0"/>
      <w:marBottom w:val="0"/>
      <w:divBdr>
        <w:top w:val="none" w:sz="0" w:space="0" w:color="auto"/>
        <w:left w:val="none" w:sz="0" w:space="0" w:color="auto"/>
        <w:bottom w:val="none" w:sz="0" w:space="0" w:color="auto"/>
        <w:right w:val="none" w:sz="0" w:space="0" w:color="auto"/>
      </w:divBdr>
    </w:div>
    <w:div w:id="463037757">
      <w:bodyDiv w:val="1"/>
      <w:marLeft w:val="0"/>
      <w:marRight w:val="0"/>
      <w:marTop w:val="0"/>
      <w:marBottom w:val="0"/>
      <w:divBdr>
        <w:top w:val="none" w:sz="0" w:space="0" w:color="auto"/>
        <w:left w:val="none" w:sz="0" w:space="0" w:color="auto"/>
        <w:bottom w:val="none" w:sz="0" w:space="0" w:color="auto"/>
        <w:right w:val="none" w:sz="0" w:space="0" w:color="auto"/>
      </w:divBdr>
    </w:div>
    <w:div w:id="576405444">
      <w:bodyDiv w:val="1"/>
      <w:marLeft w:val="0"/>
      <w:marRight w:val="0"/>
      <w:marTop w:val="0"/>
      <w:marBottom w:val="0"/>
      <w:divBdr>
        <w:top w:val="none" w:sz="0" w:space="0" w:color="auto"/>
        <w:left w:val="none" w:sz="0" w:space="0" w:color="auto"/>
        <w:bottom w:val="none" w:sz="0" w:space="0" w:color="auto"/>
        <w:right w:val="none" w:sz="0" w:space="0" w:color="auto"/>
      </w:divBdr>
    </w:div>
    <w:div w:id="620234691">
      <w:bodyDiv w:val="1"/>
      <w:marLeft w:val="0"/>
      <w:marRight w:val="0"/>
      <w:marTop w:val="0"/>
      <w:marBottom w:val="0"/>
      <w:divBdr>
        <w:top w:val="none" w:sz="0" w:space="0" w:color="auto"/>
        <w:left w:val="none" w:sz="0" w:space="0" w:color="auto"/>
        <w:bottom w:val="none" w:sz="0" w:space="0" w:color="auto"/>
        <w:right w:val="none" w:sz="0" w:space="0" w:color="auto"/>
      </w:divBdr>
    </w:div>
    <w:div w:id="676813305">
      <w:bodyDiv w:val="1"/>
      <w:marLeft w:val="0"/>
      <w:marRight w:val="0"/>
      <w:marTop w:val="0"/>
      <w:marBottom w:val="0"/>
      <w:divBdr>
        <w:top w:val="none" w:sz="0" w:space="0" w:color="auto"/>
        <w:left w:val="none" w:sz="0" w:space="0" w:color="auto"/>
        <w:bottom w:val="none" w:sz="0" w:space="0" w:color="auto"/>
        <w:right w:val="none" w:sz="0" w:space="0" w:color="auto"/>
      </w:divBdr>
    </w:div>
    <w:div w:id="757212754">
      <w:bodyDiv w:val="1"/>
      <w:marLeft w:val="0"/>
      <w:marRight w:val="0"/>
      <w:marTop w:val="0"/>
      <w:marBottom w:val="0"/>
      <w:divBdr>
        <w:top w:val="none" w:sz="0" w:space="0" w:color="auto"/>
        <w:left w:val="none" w:sz="0" w:space="0" w:color="auto"/>
        <w:bottom w:val="none" w:sz="0" w:space="0" w:color="auto"/>
        <w:right w:val="none" w:sz="0" w:space="0" w:color="auto"/>
      </w:divBdr>
    </w:div>
    <w:div w:id="757797759">
      <w:bodyDiv w:val="1"/>
      <w:marLeft w:val="0"/>
      <w:marRight w:val="0"/>
      <w:marTop w:val="0"/>
      <w:marBottom w:val="0"/>
      <w:divBdr>
        <w:top w:val="none" w:sz="0" w:space="0" w:color="auto"/>
        <w:left w:val="none" w:sz="0" w:space="0" w:color="auto"/>
        <w:bottom w:val="none" w:sz="0" w:space="0" w:color="auto"/>
        <w:right w:val="none" w:sz="0" w:space="0" w:color="auto"/>
      </w:divBdr>
    </w:div>
    <w:div w:id="784957250">
      <w:bodyDiv w:val="1"/>
      <w:marLeft w:val="0"/>
      <w:marRight w:val="0"/>
      <w:marTop w:val="0"/>
      <w:marBottom w:val="0"/>
      <w:divBdr>
        <w:top w:val="none" w:sz="0" w:space="0" w:color="auto"/>
        <w:left w:val="none" w:sz="0" w:space="0" w:color="auto"/>
        <w:bottom w:val="none" w:sz="0" w:space="0" w:color="auto"/>
        <w:right w:val="none" w:sz="0" w:space="0" w:color="auto"/>
      </w:divBdr>
      <w:divsChild>
        <w:div w:id="496724557">
          <w:marLeft w:val="0"/>
          <w:marRight w:val="0"/>
          <w:marTop w:val="0"/>
          <w:marBottom w:val="0"/>
          <w:divBdr>
            <w:top w:val="none" w:sz="0" w:space="0" w:color="auto"/>
            <w:left w:val="none" w:sz="0" w:space="0" w:color="auto"/>
            <w:bottom w:val="none" w:sz="0" w:space="0" w:color="auto"/>
            <w:right w:val="none" w:sz="0" w:space="0" w:color="auto"/>
          </w:divBdr>
          <w:divsChild>
            <w:div w:id="91586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512267">
      <w:bodyDiv w:val="1"/>
      <w:marLeft w:val="0"/>
      <w:marRight w:val="0"/>
      <w:marTop w:val="0"/>
      <w:marBottom w:val="0"/>
      <w:divBdr>
        <w:top w:val="none" w:sz="0" w:space="0" w:color="auto"/>
        <w:left w:val="none" w:sz="0" w:space="0" w:color="auto"/>
        <w:bottom w:val="none" w:sz="0" w:space="0" w:color="auto"/>
        <w:right w:val="none" w:sz="0" w:space="0" w:color="auto"/>
      </w:divBdr>
    </w:div>
    <w:div w:id="834221253">
      <w:bodyDiv w:val="1"/>
      <w:marLeft w:val="0"/>
      <w:marRight w:val="0"/>
      <w:marTop w:val="0"/>
      <w:marBottom w:val="0"/>
      <w:divBdr>
        <w:top w:val="none" w:sz="0" w:space="0" w:color="auto"/>
        <w:left w:val="none" w:sz="0" w:space="0" w:color="auto"/>
        <w:bottom w:val="none" w:sz="0" w:space="0" w:color="auto"/>
        <w:right w:val="none" w:sz="0" w:space="0" w:color="auto"/>
      </w:divBdr>
    </w:div>
    <w:div w:id="843863164">
      <w:bodyDiv w:val="1"/>
      <w:marLeft w:val="0"/>
      <w:marRight w:val="0"/>
      <w:marTop w:val="0"/>
      <w:marBottom w:val="0"/>
      <w:divBdr>
        <w:top w:val="none" w:sz="0" w:space="0" w:color="auto"/>
        <w:left w:val="none" w:sz="0" w:space="0" w:color="auto"/>
        <w:bottom w:val="none" w:sz="0" w:space="0" w:color="auto"/>
        <w:right w:val="none" w:sz="0" w:space="0" w:color="auto"/>
      </w:divBdr>
    </w:div>
    <w:div w:id="853881992">
      <w:bodyDiv w:val="1"/>
      <w:marLeft w:val="0"/>
      <w:marRight w:val="0"/>
      <w:marTop w:val="0"/>
      <w:marBottom w:val="0"/>
      <w:divBdr>
        <w:top w:val="none" w:sz="0" w:space="0" w:color="auto"/>
        <w:left w:val="none" w:sz="0" w:space="0" w:color="auto"/>
        <w:bottom w:val="none" w:sz="0" w:space="0" w:color="auto"/>
        <w:right w:val="none" w:sz="0" w:space="0" w:color="auto"/>
      </w:divBdr>
    </w:div>
    <w:div w:id="914826003">
      <w:bodyDiv w:val="1"/>
      <w:marLeft w:val="0"/>
      <w:marRight w:val="0"/>
      <w:marTop w:val="0"/>
      <w:marBottom w:val="0"/>
      <w:divBdr>
        <w:top w:val="none" w:sz="0" w:space="0" w:color="auto"/>
        <w:left w:val="none" w:sz="0" w:space="0" w:color="auto"/>
        <w:bottom w:val="none" w:sz="0" w:space="0" w:color="auto"/>
        <w:right w:val="none" w:sz="0" w:space="0" w:color="auto"/>
      </w:divBdr>
    </w:div>
    <w:div w:id="994648052">
      <w:bodyDiv w:val="1"/>
      <w:marLeft w:val="0"/>
      <w:marRight w:val="0"/>
      <w:marTop w:val="0"/>
      <w:marBottom w:val="0"/>
      <w:divBdr>
        <w:top w:val="none" w:sz="0" w:space="0" w:color="auto"/>
        <w:left w:val="none" w:sz="0" w:space="0" w:color="auto"/>
        <w:bottom w:val="none" w:sz="0" w:space="0" w:color="auto"/>
        <w:right w:val="none" w:sz="0" w:space="0" w:color="auto"/>
      </w:divBdr>
    </w:div>
    <w:div w:id="1016344917">
      <w:bodyDiv w:val="1"/>
      <w:marLeft w:val="0"/>
      <w:marRight w:val="0"/>
      <w:marTop w:val="0"/>
      <w:marBottom w:val="0"/>
      <w:divBdr>
        <w:top w:val="none" w:sz="0" w:space="0" w:color="auto"/>
        <w:left w:val="none" w:sz="0" w:space="0" w:color="auto"/>
        <w:bottom w:val="none" w:sz="0" w:space="0" w:color="auto"/>
        <w:right w:val="none" w:sz="0" w:space="0" w:color="auto"/>
      </w:divBdr>
    </w:div>
    <w:div w:id="1017124401">
      <w:bodyDiv w:val="1"/>
      <w:marLeft w:val="0"/>
      <w:marRight w:val="0"/>
      <w:marTop w:val="0"/>
      <w:marBottom w:val="0"/>
      <w:divBdr>
        <w:top w:val="none" w:sz="0" w:space="0" w:color="auto"/>
        <w:left w:val="none" w:sz="0" w:space="0" w:color="auto"/>
        <w:bottom w:val="none" w:sz="0" w:space="0" w:color="auto"/>
        <w:right w:val="none" w:sz="0" w:space="0" w:color="auto"/>
      </w:divBdr>
    </w:div>
    <w:div w:id="1046831527">
      <w:bodyDiv w:val="1"/>
      <w:marLeft w:val="0"/>
      <w:marRight w:val="0"/>
      <w:marTop w:val="0"/>
      <w:marBottom w:val="0"/>
      <w:divBdr>
        <w:top w:val="none" w:sz="0" w:space="0" w:color="auto"/>
        <w:left w:val="none" w:sz="0" w:space="0" w:color="auto"/>
        <w:bottom w:val="none" w:sz="0" w:space="0" w:color="auto"/>
        <w:right w:val="none" w:sz="0" w:space="0" w:color="auto"/>
      </w:divBdr>
    </w:div>
    <w:div w:id="1091927120">
      <w:bodyDiv w:val="1"/>
      <w:marLeft w:val="0"/>
      <w:marRight w:val="0"/>
      <w:marTop w:val="0"/>
      <w:marBottom w:val="0"/>
      <w:divBdr>
        <w:top w:val="none" w:sz="0" w:space="0" w:color="auto"/>
        <w:left w:val="none" w:sz="0" w:space="0" w:color="auto"/>
        <w:bottom w:val="none" w:sz="0" w:space="0" w:color="auto"/>
        <w:right w:val="none" w:sz="0" w:space="0" w:color="auto"/>
      </w:divBdr>
    </w:div>
    <w:div w:id="1113406651">
      <w:bodyDiv w:val="1"/>
      <w:marLeft w:val="0"/>
      <w:marRight w:val="0"/>
      <w:marTop w:val="0"/>
      <w:marBottom w:val="0"/>
      <w:divBdr>
        <w:top w:val="none" w:sz="0" w:space="0" w:color="auto"/>
        <w:left w:val="none" w:sz="0" w:space="0" w:color="auto"/>
        <w:bottom w:val="none" w:sz="0" w:space="0" w:color="auto"/>
        <w:right w:val="none" w:sz="0" w:space="0" w:color="auto"/>
      </w:divBdr>
    </w:div>
    <w:div w:id="1177038176">
      <w:bodyDiv w:val="1"/>
      <w:marLeft w:val="0"/>
      <w:marRight w:val="0"/>
      <w:marTop w:val="0"/>
      <w:marBottom w:val="0"/>
      <w:divBdr>
        <w:top w:val="none" w:sz="0" w:space="0" w:color="auto"/>
        <w:left w:val="none" w:sz="0" w:space="0" w:color="auto"/>
        <w:bottom w:val="none" w:sz="0" w:space="0" w:color="auto"/>
        <w:right w:val="none" w:sz="0" w:space="0" w:color="auto"/>
      </w:divBdr>
    </w:div>
    <w:div w:id="1200511659">
      <w:bodyDiv w:val="1"/>
      <w:marLeft w:val="0"/>
      <w:marRight w:val="0"/>
      <w:marTop w:val="0"/>
      <w:marBottom w:val="0"/>
      <w:divBdr>
        <w:top w:val="none" w:sz="0" w:space="0" w:color="auto"/>
        <w:left w:val="none" w:sz="0" w:space="0" w:color="auto"/>
        <w:bottom w:val="none" w:sz="0" w:space="0" w:color="auto"/>
        <w:right w:val="none" w:sz="0" w:space="0" w:color="auto"/>
      </w:divBdr>
    </w:div>
    <w:div w:id="1202281553">
      <w:bodyDiv w:val="1"/>
      <w:marLeft w:val="0"/>
      <w:marRight w:val="0"/>
      <w:marTop w:val="0"/>
      <w:marBottom w:val="0"/>
      <w:divBdr>
        <w:top w:val="none" w:sz="0" w:space="0" w:color="auto"/>
        <w:left w:val="none" w:sz="0" w:space="0" w:color="auto"/>
        <w:bottom w:val="none" w:sz="0" w:space="0" w:color="auto"/>
        <w:right w:val="none" w:sz="0" w:space="0" w:color="auto"/>
      </w:divBdr>
    </w:div>
    <w:div w:id="1202598349">
      <w:bodyDiv w:val="1"/>
      <w:marLeft w:val="0"/>
      <w:marRight w:val="0"/>
      <w:marTop w:val="0"/>
      <w:marBottom w:val="0"/>
      <w:divBdr>
        <w:top w:val="none" w:sz="0" w:space="0" w:color="auto"/>
        <w:left w:val="none" w:sz="0" w:space="0" w:color="auto"/>
        <w:bottom w:val="none" w:sz="0" w:space="0" w:color="auto"/>
        <w:right w:val="none" w:sz="0" w:space="0" w:color="auto"/>
      </w:divBdr>
    </w:div>
    <w:div w:id="1203791506">
      <w:bodyDiv w:val="1"/>
      <w:marLeft w:val="0"/>
      <w:marRight w:val="0"/>
      <w:marTop w:val="0"/>
      <w:marBottom w:val="0"/>
      <w:divBdr>
        <w:top w:val="none" w:sz="0" w:space="0" w:color="auto"/>
        <w:left w:val="none" w:sz="0" w:space="0" w:color="auto"/>
        <w:bottom w:val="none" w:sz="0" w:space="0" w:color="auto"/>
        <w:right w:val="none" w:sz="0" w:space="0" w:color="auto"/>
      </w:divBdr>
    </w:div>
    <w:div w:id="1251086918">
      <w:bodyDiv w:val="1"/>
      <w:marLeft w:val="0"/>
      <w:marRight w:val="0"/>
      <w:marTop w:val="0"/>
      <w:marBottom w:val="0"/>
      <w:divBdr>
        <w:top w:val="none" w:sz="0" w:space="0" w:color="auto"/>
        <w:left w:val="none" w:sz="0" w:space="0" w:color="auto"/>
        <w:bottom w:val="none" w:sz="0" w:space="0" w:color="auto"/>
        <w:right w:val="none" w:sz="0" w:space="0" w:color="auto"/>
      </w:divBdr>
    </w:div>
    <w:div w:id="1303729846">
      <w:bodyDiv w:val="1"/>
      <w:marLeft w:val="0"/>
      <w:marRight w:val="0"/>
      <w:marTop w:val="0"/>
      <w:marBottom w:val="0"/>
      <w:divBdr>
        <w:top w:val="none" w:sz="0" w:space="0" w:color="auto"/>
        <w:left w:val="none" w:sz="0" w:space="0" w:color="auto"/>
        <w:bottom w:val="none" w:sz="0" w:space="0" w:color="auto"/>
        <w:right w:val="none" w:sz="0" w:space="0" w:color="auto"/>
      </w:divBdr>
    </w:div>
    <w:div w:id="1364018166">
      <w:bodyDiv w:val="1"/>
      <w:marLeft w:val="0"/>
      <w:marRight w:val="0"/>
      <w:marTop w:val="0"/>
      <w:marBottom w:val="0"/>
      <w:divBdr>
        <w:top w:val="none" w:sz="0" w:space="0" w:color="auto"/>
        <w:left w:val="none" w:sz="0" w:space="0" w:color="auto"/>
        <w:bottom w:val="none" w:sz="0" w:space="0" w:color="auto"/>
        <w:right w:val="none" w:sz="0" w:space="0" w:color="auto"/>
      </w:divBdr>
    </w:div>
    <w:div w:id="1387871850">
      <w:bodyDiv w:val="1"/>
      <w:marLeft w:val="0"/>
      <w:marRight w:val="0"/>
      <w:marTop w:val="0"/>
      <w:marBottom w:val="0"/>
      <w:divBdr>
        <w:top w:val="none" w:sz="0" w:space="0" w:color="auto"/>
        <w:left w:val="none" w:sz="0" w:space="0" w:color="auto"/>
        <w:bottom w:val="none" w:sz="0" w:space="0" w:color="auto"/>
        <w:right w:val="none" w:sz="0" w:space="0" w:color="auto"/>
      </w:divBdr>
    </w:div>
    <w:div w:id="1451589375">
      <w:bodyDiv w:val="1"/>
      <w:marLeft w:val="0"/>
      <w:marRight w:val="0"/>
      <w:marTop w:val="0"/>
      <w:marBottom w:val="0"/>
      <w:divBdr>
        <w:top w:val="none" w:sz="0" w:space="0" w:color="auto"/>
        <w:left w:val="none" w:sz="0" w:space="0" w:color="auto"/>
        <w:bottom w:val="none" w:sz="0" w:space="0" w:color="auto"/>
        <w:right w:val="none" w:sz="0" w:space="0" w:color="auto"/>
      </w:divBdr>
    </w:div>
    <w:div w:id="1565022195">
      <w:bodyDiv w:val="1"/>
      <w:marLeft w:val="0"/>
      <w:marRight w:val="0"/>
      <w:marTop w:val="0"/>
      <w:marBottom w:val="0"/>
      <w:divBdr>
        <w:top w:val="none" w:sz="0" w:space="0" w:color="auto"/>
        <w:left w:val="none" w:sz="0" w:space="0" w:color="auto"/>
        <w:bottom w:val="none" w:sz="0" w:space="0" w:color="auto"/>
        <w:right w:val="none" w:sz="0" w:space="0" w:color="auto"/>
      </w:divBdr>
    </w:div>
    <w:div w:id="1590770865">
      <w:bodyDiv w:val="1"/>
      <w:marLeft w:val="0"/>
      <w:marRight w:val="0"/>
      <w:marTop w:val="0"/>
      <w:marBottom w:val="0"/>
      <w:divBdr>
        <w:top w:val="none" w:sz="0" w:space="0" w:color="auto"/>
        <w:left w:val="none" w:sz="0" w:space="0" w:color="auto"/>
        <w:bottom w:val="none" w:sz="0" w:space="0" w:color="auto"/>
        <w:right w:val="none" w:sz="0" w:space="0" w:color="auto"/>
      </w:divBdr>
    </w:div>
    <w:div w:id="1630164663">
      <w:bodyDiv w:val="1"/>
      <w:marLeft w:val="0"/>
      <w:marRight w:val="0"/>
      <w:marTop w:val="0"/>
      <w:marBottom w:val="0"/>
      <w:divBdr>
        <w:top w:val="none" w:sz="0" w:space="0" w:color="auto"/>
        <w:left w:val="none" w:sz="0" w:space="0" w:color="auto"/>
        <w:bottom w:val="none" w:sz="0" w:space="0" w:color="auto"/>
        <w:right w:val="none" w:sz="0" w:space="0" w:color="auto"/>
      </w:divBdr>
    </w:div>
    <w:div w:id="1639726779">
      <w:bodyDiv w:val="1"/>
      <w:marLeft w:val="0"/>
      <w:marRight w:val="0"/>
      <w:marTop w:val="0"/>
      <w:marBottom w:val="0"/>
      <w:divBdr>
        <w:top w:val="none" w:sz="0" w:space="0" w:color="auto"/>
        <w:left w:val="none" w:sz="0" w:space="0" w:color="auto"/>
        <w:bottom w:val="none" w:sz="0" w:space="0" w:color="auto"/>
        <w:right w:val="none" w:sz="0" w:space="0" w:color="auto"/>
      </w:divBdr>
    </w:div>
    <w:div w:id="1655332617">
      <w:bodyDiv w:val="1"/>
      <w:marLeft w:val="0"/>
      <w:marRight w:val="0"/>
      <w:marTop w:val="0"/>
      <w:marBottom w:val="0"/>
      <w:divBdr>
        <w:top w:val="none" w:sz="0" w:space="0" w:color="auto"/>
        <w:left w:val="none" w:sz="0" w:space="0" w:color="auto"/>
        <w:bottom w:val="none" w:sz="0" w:space="0" w:color="auto"/>
        <w:right w:val="none" w:sz="0" w:space="0" w:color="auto"/>
      </w:divBdr>
    </w:div>
    <w:div w:id="1677417730">
      <w:bodyDiv w:val="1"/>
      <w:marLeft w:val="0"/>
      <w:marRight w:val="0"/>
      <w:marTop w:val="0"/>
      <w:marBottom w:val="0"/>
      <w:divBdr>
        <w:top w:val="none" w:sz="0" w:space="0" w:color="auto"/>
        <w:left w:val="none" w:sz="0" w:space="0" w:color="auto"/>
        <w:bottom w:val="none" w:sz="0" w:space="0" w:color="auto"/>
        <w:right w:val="none" w:sz="0" w:space="0" w:color="auto"/>
      </w:divBdr>
    </w:div>
    <w:div w:id="1742363184">
      <w:bodyDiv w:val="1"/>
      <w:marLeft w:val="0"/>
      <w:marRight w:val="0"/>
      <w:marTop w:val="0"/>
      <w:marBottom w:val="0"/>
      <w:divBdr>
        <w:top w:val="none" w:sz="0" w:space="0" w:color="auto"/>
        <w:left w:val="none" w:sz="0" w:space="0" w:color="auto"/>
        <w:bottom w:val="none" w:sz="0" w:space="0" w:color="auto"/>
        <w:right w:val="none" w:sz="0" w:space="0" w:color="auto"/>
      </w:divBdr>
    </w:div>
    <w:div w:id="1795826631">
      <w:bodyDiv w:val="1"/>
      <w:marLeft w:val="0"/>
      <w:marRight w:val="0"/>
      <w:marTop w:val="0"/>
      <w:marBottom w:val="0"/>
      <w:divBdr>
        <w:top w:val="none" w:sz="0" w:space="0" w:color="auto"/>
        <w:left w:val="none" w:sz="0" w:space="0" w:color="auto"/>
        <w:bottom w:val="none" w:sz="0" w:space="0" w:color="auto"/>
        <w:right w:val="none" w:sz="0" w:space="0" w:color="auto"/>
      </w:divBdr>
    </w:div>
    <w:div w:id="1874465773">
      <w:bodyDiv w:val="1"/>
      <w:marLeft w:val="0"/>
      <w:marRight w:val="0"/>
      <w:marTop w:val="0"/>
      <w:marBottom w:val="0"/>
      <w:divBdr>
        <w:top w:val="none" w:sz="0" w:space="0" w:color="auto"/>
        <w:left w:val="none" w:sz="0" w:space="0" w:color="auto"/>
        <w:bottom w:val="none" w:sz="0" w:space="0" w:color="auto"/>
        <w:right w:val="none" w:sz="0" w:space="0" w:color="auto"/>
      </w:divBdr>
    </w:div>
    <w:div w:id="1911962744">
      <w:bodyDiv w:val="1"/>
      <w:marLeft w:val="0"/>
      <w:marRight w:val="0"/>
      <w:marTop w:val="0"/>
      <w:marBottom w:val="0"/>
      <w:divBdr>
        <w:top w:val="none" w:sz="0" w:space="0" w:color="auto"/>
        <w:left w:val="none" w:sz="0" w:space="0" w:color="auto"/>
        <w:bottom w:val="none" w:sz="0" w:space="0" w:color="auto"/>
        <w:right w:val="none" w:sz="0" w:space="0" w:color="auto"/>
      </w:divBdr>
    </w:div>
    <w:div w:id="1926260075">
      <w:bodyDiv w:val="1"/>
      <w:marLeft w:val="0"/>
      <w:marRight w:val="0"/>
      <w:marTop w:val="0"/>
      <w:marBottom w:val="0"/>
      <w:divBdr>
        <w:top w:val="none" w:sz="0" w:space="0" w:color="auto"/>
        <w:left w:val="none" w:sz="0" w:space="0" w:color="auto"/>
        <w:bottom w:val="none" w:sz="0" w:space="0" w:color="auto"/>
        <w:right w:val="none" w:sz="0" w:space="0" w:color="auto"/>
      </w:divBdr>
    </w:div>
    <w:div w:id="1941907094">
      <w:bodyDiv w:val="1"/>
      <w:marLeft w:val="0"/>
      <w:marRight w:val="0"/>
      <w:marTop w:val="0"/>
      <w:marBottom w:val="0"/>
      <w:divBdr>
        <w:top w:val="none" w:sz="0" w:space="0" w:color="auto"/>
        <w:left w:val="none" w:sz="0" w:space="0" w:color="auto"/>
        <w:bottom w:val="none" w:sz="0" w:space="0" w:color="auto"/>
        <w:right w:val="none" w:sz="0" w:space="0" w:color="auto"/>
      </w:divBdr>
      <w:divsChild>
        <w:div w:id="1160006634">
          <w:marLeft w:val="0"/>
          <w:marRight w:val="0"/>
          <w:marTop w:val="0"/>
          <w:marBottom w:val="0"/>
          <w:divBdr>
            <w:top w:val="none" w:sz="0" w:space="0" w:color="auto"/>
            <w:left w:val="none" w:sz="0" w:space="0" w:color="auto"/>
            <w:bottom w:val="none" w:sz="0" w:space="0" w:color="auto"/>
            <w:right w:val="none" w:sz="0" w:space="0" w:color="auto"/>
          </w:divBdr>
          <w:divsChild>
            <w:div w:id="1755667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275908">
      <w:bodyDiv w:val="1"/>
      <w:marLeft w:val="0"/>
      <w:marRight w:val="0"/>
      <w:marTop w:val="0"/>
      <w:marBottom w:val="0"/>
      <w:divBdr>
        <w:top w:val="none" w:sz="0" w:space="0" w:color="auto"/>
        <w:left w:val="none" w:sz="0" w:space="0" w:color="auto"/>
        <w:bottom w:val="none" w:sz="0" w:space="0" w:color="auto"/>
        <w:right w:val="none" w:sz="0" w:space="0" w:color="auto"/>
      </w:divBdr>
    </w:div>
    <w:div w:id="1992783125">
      <w:bodyDiv w:val="1"/>
      <w:marLeft w:val="0"/>
      <w:marRight w:val="0"/>
      <w:marTop w:val="0"/>
      <w:marBottom w:val="0"/>
      <w:divBdr>
        <w:top w:val="none" w:sz="0" w:space="0" w:color="auto"/>
        <w:left w:val="none" w:sz="0" w:space="0" w:color="auto"/>
        <w:bottom w:val="none" w:sz="0" w:space="0" w:color="auto"/>
        <w:right w:val="none" w:sz="0" w:space="0" w:color="auto"/>
      </w:divBdr>
    </w:div>
    <w:div w:id="1996298689">
      <w:bodyDiv w:val="1"/>
      <w:marLeft w:val="0"/>
      <w:marRight w:val="0"/>
      <w:marTop w:val="0"/>
      <w:marBottom w:val="0"/>
      <w:divBdr>
        <w:top w:val="none" w:sz="0" w:space="0" w:color="auto"/>
        <w:left w:val="none" w:sz="0" w:space="0" w:color="auto"/>
        <w:bottom w:val="none" w:sz="0" w:space="0" w:color="auto"/>
        <w:right w:val="none" w:sz="0" w:space="0" w:color="auto"/>
      </w:divBdr>
    </w:div>
    <w:div w:id="2008249165">
      <w:bodyDiv w:val="1"/>
      <w:marLeft w:val="0"/>
      <w:marRight w:val="0"/>
      <w:marTop w:val="0"/>
      <w:marBottom w:val="0"/>
      <w:divBdr>
        <w:top w:val="none" w:sz="0" w:space="0" w:color="auto"/>
        <w:left w:val="none" w:sz="0" w:space="0" w:color="auto"/>
        <w:bottom w:val="none" w:sz="0" w:space="0" w:color="auto"/>
        <w:right w:val="none" w:sz="0" w:space="0" w:color="auto"/>
      </w:divBdr>
    </w:div>
    <w:div w:id="2016570001">
      <w:bodyDiv w:val="1"/>
      <w:marLeft w:val="0"/>
      <w:marRight w:val="0"/>
      <w:marTop w:val="0"/>
      <w:marBottom w:val="0"/>
      <w:divBdr>
        <w:top w:val="none" w:sz="0" w:space="0" w:color="auto"/>
        <w:left w:val="none" w:sz="0" w:space="0" w:color="auto"/>
        <w:bottom w:val="none" w:sz="0" w:space="0" w:color="auto"/>
        <w:right w:val="none" w:sz="0" w:space="0" w:color="auto"/>
      </w:divBdr>
    </w:div>
    <w:div w:id="2037733208">
      <w:bodyDiv w:val="1"/>
      <w:marLeft w:val="0"/>
      <w:marRight w:val="0"/>
      <w:marTop w:val="0"/>
      <w:marBottom w:val="0"/>
      <w:divBdr>
        <w:top w:val="none" w:sz="0" w:space="0" w:color="auto"/>
        <w:left w:val="none" w:sz="0" w:space="0" w:color="auto"/>
        <w:bottom w:val="none" w:sz="0" w:space="0" w:color="auto"/>
        <w:right w:val="none" w:sz="0" w:space="0" w:color="auto"/>
      </w:divBdr>
    </w:div>
    <w:div w:id="2038654037">
      <w:bodyDiv w:val="1"/>
      <w:marLeft w:val="0"/>
      <w:marRight w:val="0"/>
      <w:marTop w:val="0"/>
      <w:marBottom w:val="0"/>
      <w:divBdr>
        <w:top w:val="none" w:sz="0" w:space="0" w:color="auto"/>
        <w:left w:val="none" w:sz="0" w:space="0" w:color="auto"/>
        <w:bottom w:val="none" w:sz="0" w:space="0" w:color="auto"/>
        <w:right w:val="none" w:sz="0" w:space="0" w:color="auto"/>
      </w:divBdr>
    </w:div>
    <w:div w:id="2102099131">
      <w:bodyDiv w:val="1"/>
      <w:marLeft w:val="0"/>
      <w:marRight w:val="0"/>
      <w:marTop w:val="0"/>
      <w:marBottom w:val="0"/>
      <w:divBdr>
        <w:top w:val="none" w:sz="0" w:space="0" w:color="auto"/>
        <w:left w:val="none" w:sz="0" w:space="0" w:color="auto"/>
        <w:bottom w:val="none" w:sz="0" w:space="0" w:color="auto"/>
        <w:right w:val="none" w:sz="0" w:space="0" w:color="auto"/>
      </w:divBdr>
    </w:div>
    <w:div w:id="2114588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Tha23</b:Tag>
    <b:SourceType>InternetSite</b:SourceType>
    <b:Guid>{8266CCC1-E7FD-4B8A-8F4E-697442F5016E}</b:Guid>
    <b:Title>Cognitive Science</b:Title>
    <b:Year>2023</b:Year>
    <b:Author>
      <b:Author>
        <b:NameList>
          <b:Person>
            <b:Last>Thagard</b:Last>
            <b:First>Paul</b:First>
          </b:Person>
        </b:NameList>
      </b:Author>
      <b:Editor>
        <b:NameList>
          <b:Person>
            <b:Last>Nodelman</b:Last>
            <b:First>Edward</b:First>
            <b:Middle>N. Zalta &amp; Uri</b:Middle>
          </b:Person>
        </b:NameList>
      </b:Editor>
    </b:Author>
    <b:InternetSiteTitle>The Stanford Encyclopedia of Philosophy</b:InternetSiteTitle>
    <b:Month>December</b:Month>
    <b:URL>&lt;https://plato.stanford.edu/archives/win2023/entries/cognitive-science/&gt;</b:URL>
    <b:YearAccessed>2025</b:YearAccessed>
    <b:MonthAccessed>January</b:MonthAccessed>
    <b:RefOrder>2</b:RefOrder>
  </b:Source>
  <b:Source>
    <b:Tag>McC20</b:Tag>
    <b:SourceType>JournalArticle</b:SourceType>
    <b:Guid>{8B6AFF21-3A20-49BD-9BB6-19B10CEC8E89}</b:Guid>
    <b:Title>Recent Trends in the Cognitive Science of Religion: Neuroscience, Religious Experience, and the Confluence of Cognitive and Evolutionary Research”</b:Title>
    <b:Year>2020</b:Year>
    <b:JournalName>Zygon</b:JournalName>
    <b:Pages>97-124</b:Pages>
    <b:Author>
      <b:Author>
        <b:NameList>
          <b:Person>
            <b:Last>McCauley</b:Last>
            <b:Middle>N.</b:Middle>
            <b:First>Robert</b:First>
          </b:Person>
        </b:NameList>
      </b:Author>
    </b:Author>
    <b:Volume>55</b:Volume>
    <b:Issue>1</b:Issue>
    <b:ShortTitle>The New Scientific Study of Religion Moving On</b:ShortTitle>
    <b:RefOrder>4</b:RefOrder>
  </b:Source>
  <b:Source>
    <b:Tag>Bri231</b:Tag>
    <b:SourceType>InternetSite</b:SourceType>
    <b:Guid>{191E8089-4842-41CA-A0D2-5BC7AC9D71F1}</b:Guid>
    <b:Title>Enlightenment</b:Title>
    <b:Year>2023</b:Year>
    <b:Author>
      <b:Author>
        <b:NameList>
          <b:Person>
            <b:Last>Bristow</b:Last>
            <b:First>W</b:First>
          </b:Person>
        </b:NameList>
      </b:Author>
      <b:Editor>
        <b:NameList>
          <b:Person>
            <b:Last>Nodelman</b:Last>
            <b:First>E.</b:First>
            <b:Middle>N.</b:Middle>
          </b:Person>
        </b:NameList>
      </b:Editor>
    </b:Author>
    <b:InternetSiteTitle>The Stanford Encyclopedia of Philosophy</b:InternetSiteTitle>
    <b:URL>https://plato.stanford.edu/archives/fall2023/entries/enlightenment/</b:URL>
    <b:YearAccessed>2024</b:YearAccessed>
    <b:MonthAccessed>December</b:MonthAccessed>
    <b:RefOrder>14</b:RefOrder>
  </b:Source>
  <b:Source>
    <b:Tag>Fis92</b:Tag>
    <b:SourceType>JournalArticle</b:SourceType>
    <b:Guid>{C598D088-EE02-4D5D-8D36-F44CBB43F9BB}</b:Guid>
    <b:Author>
      <b:Author>
        <b:NameList>
          <b:Person>
            <b:Last>Fischbach</b:Last>
            <b:First>Gerald</b:First>
            <b:Middle>D</b:Middle>
          </b:Person>
        </b:NameList>
      </b:Author>
    </b:Author>
    <b:Title>Mind and Brain</b:Title>
    <b:Year>1992</b:Year>
    <b:JournalName>Scientific American</b:JournalName>
    <b:Pages>48-59</b:Pages>
    <b:Volume>267</b:Volume>
    <b:Issue>3</b:Issue>
    <b:RefOrder>1</b:RefOrder>
  </b:Source>
  <b:Source>
    <b:Tag>APa17</b:Tag>
    <b:SourceType>JournalArticle</b:SourceType>
    <b:Guid>{53114213-FCA4-4A30-95B8-DE4E366F7E54}</b:Guid>
    <b:Author>
      <b:Author>
        <b:NameList>
          <b:Person>
            <b:Last>A Pastur-Romay</b:Last>
            <b:First>L.,</b:First>
            <b:Middle>et al.</b:Middle>
          </b:Person>
        </b:NameList>
      </b:Author>
    </b:Author>
    <b:Title>Parallel computing for brain simulation</b:Title>
    <b:JournalName>Current Topics in Medicinal Chemistry</b:JournalName>
    <b:Year>2017</b:Year>
    <b:Pages>1646-1668</b:Pages>
    <b:Volume>17</b:Volume>
    <b:Issue>14</b:Issue>
    <b:RefOrder>26</b:RefOrder>
  </b:Source>
  <b:Source>
    <b:Tag>Cue24</b:Tag>
    <b:SourceType>JournalArticle</b:SourceType>
    <b:Guid>{67C521C7-0FCD-454E-937D-622688C2D79C}</b:Guid>
    <b:Author>
      <b:Author>
        <b:NameList>
          <b:Person>
            <b:Last>Cuerva</b:Last>
            <b:First>María</b:First>
            <b:Middle>del Rosario Rueda</b:Middle>
          </b:Person>
        </b:NameList>
      </b:Author>
    </b:Author>
    <b:Title>Developing the Attentive Brain: Contribution of Cognitive Neuroscience to a Theory of Attentional Development</b:Title>
    <b:JournalName>Human Development</b:JournalName>
    <b:Year>2024</b:Year>
    <b:Pages>239-254</b:Pages>
    <b:Volume>68</b:Volume>
    <b:Issue>5-6</b:Issue>
    <b:RefOrder>3</b:RefOrder>
  </b:Source>
  <b:Source>
    <b:Tag>Mel83</b:Tag>
    <b:SourceType>JournalArticle</b:SourceType>
    <b:Guid>{BB017130-351B-42C3-A672-6DEE8107B88D}</b:Guid>
    <b:Author>
      <b:Author>
        <b:NameList>
          <b:Person>
            <b:Last>Meltzoff</b:Last>
            <b:First>Andrew</b:First>
            <b:Middle>N</b:Middle>
          </b:Person>
          <b:Person>
            <b:Last>Moore</b:Last>
            <b:First>M.</b:First>
            <b:Middle>Keith</b:Middle>
          </b:Person>
        </b:NameList>
      </b:Author>
    </b:Author>
    <b:Title>Newborn infants imitate adult facial gestures</b:Title>
    <b:JournalName>Child Development</b:JournalName>
    <b:Year>1983</b:Year>
    <b:Pages>702-709</b:Pages>
    <b:RefOrder>6</b:RefOrder>
  </b:Source>
  <b:Source>
    <b:Tag>Bar04</b:Tag>
    <b:SourceType>Book</b:SourceType>
    <b:Guid>{78E7CCCC-84F9-4E87-B77C-F674F5B2D929}</b:Guid>
    <b:Author>
      <b:Author>
        <b:NameList>
          <b:Person>
            <b:Last>Barrett</b:Last>
            <b:First>Justin</b:First>
          </b:Person>
        </b:NameList>
      </b:Author>
    </b:Author>
    <b:Title>Why Would Anyone Believe in God?</b:Title>
    <b:Year>2004</b:Year>
    <b:Publisher>AltaMira</b:Publisher>
    <b:RefOrder>27</b:RefOrder>
  </b:Source>
  <b:Source>
    <b:Tag>Spe07</b:Tag>
    <b:SourceType>JournalArticle</b:SourceType>
    <b:Guid>{0BFE4939-8983-43A2-904B-4948FB3D6965}</b:Guid>
    <b:Title>Core knowledge</b:Title>
    <b:Year>2007</b:Year>
    <b:Author>
      <b:Author>
        <b:NameList>
          <b:Person>
            <b:Last>Spelke</b:Last>
            <b:First>Elizabeth</b:First>
            <b:Middle>S.</b:Middle>
          </b:Person>
          <b:Person>
            <b:Last>Kinzler</b:Last>
            <b:First>Katherine</b:First>
            <b:Middle>D.</b:Middle>
          </b:Person>
        </b:NameList>
      </b:Author>
    </b:Author>
    <b:JournalName>Developmental science</b:JournalName>
    <b:Pages>89-96</b:Pages>
    <b:Volume>10</b:Volume>
    <b:Issue>1</b:Issue>
    <b:RefOrder>7</b:RefOrder>
  </b:Source>
  <b:Source>
    <b:Tag>Spe96</b:Tag>
    <b:SourceType>Book</b:SourceType>
    <b:Guid>{C03B8652-8516-4F1B-9305-A6B1640C58B3}</b:Guid>
    <b:Author>
      <b:Author>
        <b:NameList>
          <b:Person>
            <b:Last>Sperber</b:Last>
            <b:First>Dan</b:First>
          </b:Person>
        </b:NameList>
      </b:Author>
    </b:Author>
    <b:Title>Explaining Culture: a naturalistic approach</b:Title>
    <b:Year>1996</b:Year>
    <b:RefOrder>8</b:RefOrder>
  </b:Source>
  <b:Source>
    <b:Tag>Sin15</b:Tag>
    <b:SourceType>JournalArticle</b:SourceType>
    <b:Guid>{D0F74627-C3CC-4262-8AB3-A3CE7242BA79}</b:Guid>
    <b:Title>History of India: Vedic period</b:Title>
    <b:Year>2015</b:Year>
    <b:Author>
      <b:Author>
        <b:NameList>
          <b:Person>
            <b:Last>Singh</b:Last>
            <b:First>Ravinder</b:First>
          </b:Person>
        </b:NameList>
      </b:Author>
    </b:Author>
    <b:JournalName>CASIRJ</b:JournalName>
    <b:Pages>276</b:Pages>
    <b:Volume>6</b:Volume>
    <b:Issue>1</b:Issue>
    <b:RefOrder>9</b:RefOrder>
  </b:Source>
  <b:Source>
    <b:Tag>Rao02</b:Tag>
    <b:SourceType>JournalArticle</b:SourceType>
    <b:Guid>{12B85662-D1E5-49E1-81C5-E59240D11C0A}</b:Guid>
    <b:Author>
      <b:Author>
        <b:NameList>
          <b:Person>
            <b:Last>Rao</b:Last>
            <b:First>A.</b:First>
            <b:Middle>Venkoba</b:Middle>
          </b:Person>
        </b:NameList>
      </b:Author>
    </b:Author>
    <b:Title>‘Mind’ in Indian philosophy</b:Title>
    <b:JournalName>Indian Journal of Psychiatry</b:JournalName>
    <b:Year>2002</b:Year>
    <b:Pages>315-325</b:Pages>
    <b:Volume>44</b:Volume>
    <b:Issue>4</b:Issue>
    <b:RefOrder>10</b:RefOrder>
  </b:Source>
  <b:Source>
    <b:Tag>Nik49</b:Tag>
    <b:SourceType>BookSection</b:SourceType>
    <b:Guid>{A2C6B15C-D2C5-4D11-95F2-6FD670714AD7}</b:Guid>
    <b:Title>Katha Upanishad</b:Title>
    <b:Year>1949</b:Year>
    <b:Volume>3</b:Volume>
    <b:Author>
      <b:Translator>
        <b:NameList>
          <b:Person>
            <b:Last>Nikhilananda</b:Last>
            <b:First>Swami</b:First>
          </b:Person>
        </b:NameList>
      </b:Translator>
    </b:Author>
    <b:BookTitle>The Upanishads</b:BookTitle>
    <b:ChapterNumber>3-4</b:ChapterNumber>
    <b:RefOrder>28</b:RefOrder>
  </b:Source>
  <b:Source xmlns:b="http://schemas.openxmlformats.org/officeDocument/2006/bibliography">
    <b:Tag>Bar11</b:Tag>
    <b:SourceType>JournalArticle</b:SourceType>
    <b:Guid>{E50B4087-00A2-4682-93F5-23F555A50EDE}</b:Guid>
    <b:Title>Cognitive Science of Religion: Looking Back, Looking Forward</b:Title>
    <b:JournalName>Journal for the Scientific Study of Religion</b:JournalName>
    <b:Year>2011</b:Year>
    <b:Pages>229-239</b:Pages>
    <b:Author>
      <b:Author>
        <b:NameList>
          <b:Person>
            <b:Last>Barrett</b:Last>
            <b:Middle>L.</b:Middle>
            <b:First>Justin</b:First>
          </b:Person>
        </b:NameList>
      </b:Author>
    </b:Author>
    <b:Volume>50</b:Volume>
    <b:Issue>2</b:Issue>
    <b:RefOrder>5</b:RefOrder>
  </b:Source>
  <b:Source>
    <b:Tag>New18</b:Tag>
    <b:SourceType>Book</b:SourceType>
    <b:Guid>{39D8EDDA-62E2-450E-A422-060F741F3762}</b:Guid>
    <b:Author>
      <b:Author>
        <b:NameList>
          <b:Person>
            <b:Last>Newberg</b:Last>
            <b:First>Andrew</b:First>
          </b:Person>
        </b:NameList>
      </b:Author>
    </b:Author>
    <b:Title>Neurotheology: How science can enlighten us about spirituality</b:Title>
    <b:Year>2018</b:Year>
    <b:City>New York</b:City>
    <b:Publisher>Columbia University Press</b:Publisher>
    <b:Pages>29</b:Pages>
    <b:RefOrder>11</b:RefOrder>
  </b:Source>
  <b:Source>
    <b:Tag>Hat24</b:Tag>
    <b:SourceType>InternetSite</b:SourceType>
    <b:Guid>{ACC6F0A2-4DD0-4FD8-AA40-80F753C8FC0F}</b:Guid>
    <b:Author>
      <b:Author>
        <b:NameList>
          <b:Person>
            <b:Last>Hatfield</b:Last>
            <b:First>Gary</b:First>
          </b:Person>
        </b:NameList>
      </b:Author>
      <b:Editor>
        <b:NameList>
          <b:Person>
            <b:Last>Zalta</b:Last>
            <b:First>Edward</b:First>
            <b:Middle>N.</b:Middle>
          </b:Person>
          <b:Person>
            <b:Last>Nodelman</b:Last>
            <b:First>Uri</b:First>
          </b:Person>
        </b:NameList>
      </b:Editor>
    </b:Author>
    <b:Title>René Descartes</b:Title>
    <b:Year>2024</b:Year>
    <b:YearAccessed>2025</b:YearAccessed>
    <b:MonthAccessed>January</b:MonthAccessed>
    <b:URL>https://plato.stanford.edu/archives/sum2024/entries/descartes/</b:URL>
    <b:InternetSiteTitle>Stanford Encyclopedia of Philosophy </b:InternetSiteTitle>
    <b:RefOrder>13</b:RefOrder>
  </b:Source>
  <b:Source>
    <b:Tag>Ren37</b:Tag>
    <b:SourceType>Book</b:SourceType>
    <b:Guid>{F5261E12-6287-4797-AEA5-C74DF4F81E7D}</b:Guid>
    <b:Title>Discours de la Méthode Pour bien conduire sa raison, et chercher la vérité dans les sciences</b:Title>
    <b:Year>1637</b:Year>
    <b:Author>
      <b:Author>
        <b:NameList>
          <b:Person>
            <b:Last>Descartes</b:Last>
            <b:First>René</b:First>
          </b:Person>
        </b:NameList>
      </b:Author>
    </b:Author>
    <b:Volume>4</b:Volume>
    <b:ShortTitle>Discourse on the Method</b:ShortTitle>
    <b:RefOrder>12</b:RefOrder>
  </b:Source>
  <b:Source>
    <b:Tag>Pas22</b:Tag>
    <b:SourceType>InternetSite</b:SourceType>
    <b:Guid>{8A0A60DB-2748-42A4-83D2-EDC979640345}</b:Guid>
    <b:Title>Kant's Philosophy of Religion</b:Title>
    <b:Year>2022</b:Year>
    <b:Author>
      <b:Author>
        <b:NameList>
          <b:Person>
            <b:Last>Pasternack</b:Last>
            <b:First>Lawrence</b:First>
          </b:Person>
          <b:Person>
            <b:Last>Fugate</b:Last>
            <b:First>Courtney</b:First>
          </b:Person>
        </b:NameList>
      </b:Author>
      <b:Editor>
        <b:NameList>
          <b:Person>
            <b:Last>Zalta</b:Last>
            <b:First>Edward</b:First>
            <b:Middle>N.</b:Middle>
          </b:Person>
        </b:NameList>
      </b:Editor>
    </b:Author>
    <b:InternetSiteTitle>The Stanford Encyclopedia of Philosophy</b:InternetSiteTitle>
    <b:URL>https://plato.stanford.edu/archives/sum2022/entries/kant-religion/</b:URL>
    <b:YearAccessed>2025</b:YearAccessed>
    <b:MonthAccessed>January</b:MonthAccessed>
    <b:RefOrder>15</b:RefOrder>
  </b:Source>
  <b:Source>
    <b:Tag>Bro23</b:Tag>
    <b:SourceType>InternetSite</b:SourceType>
    <b:Guid>{FBCDBA2C-3D7A-4F23-9903-EC3D44495700}</b:Guid>
    <b:Author>
      <b:Author>
        <b:NameList>
          <b:Person>
            <b:Last>Brook</b:Last>
            <b:First>Andrew</b:First>
          </b:Person>
          <b:Person>
            <b:Last>Wuerth</b:Last>
            <b:First>Julian</b:First>
          </b:Person>
        </b:NameList>
      </b:Author>
      <b:Editor>
        <b:NameList>
          <b:Person>
            <b:Last>Zalta</b:Last>
            <b:First>Edward</b:First>
            <b:Middle>N.</b:Middle>
          </b:Person>
          <b:Person>
            <b:Last>Nodelman</b:Last>
            <b:First>Uri</b:First>
          </b:Person>
        </b:NameList>
      </b:Editor>
    </b:Author>
    <b:Title>Kant’s View of the Mind and Consciousness of Self</b:Title>
    <b:InternetSiteTitle>The Stanford Encyclopedia of Philosophy</b:InternetSiteTitle>
    <b:Year>2023</b:Year>
    <b:URL>https://plato.stanford.edu/archives/spr2023/entries/kant-mind/</b:URL>
    <b:YearAccessed>2025</b:YearAccessed>
    <b:MonthAccessed>January</b:MonthAccessed>
    <b:RefOrder>16</b:RefOrder>
  </b:Source>
  <b:Source>
    <b:Tag>Mül73</b:Tag>
    <b:SourceType>Book</b:SourceType>
    <b:Guid>{BEBFD734-10A9-4444-A42F-2CCDC412FBBF}</b:Guid>
    <b:Author>
      <b:Author>
        <b:NameList>
          <b:Person>
            <b:Last>Müller</b:Last>
            <b:First>Friedrich</b:First>
            <b:Middle>Max</b:Middle>
          </b:Person>
        </b:NameList>
      </b:Author>
    </b:Author>
    <b:Title>Introduction to the Science of Religion</b:Title>
    <b:Year>1873</b:Year>
    <b:RefOrder>17</b:RefOrder>
  </b:Source>
  <b:Source>
    <b:Tag>Mar04</b:Tag>
    <b:SourceType>DocumentFromInternetSite</b:SourceType>
    <b:Guid>{B90CB381-E57A-41AD-8BA5-41076D2B981A}</b:Guid>
    <b:Title>Establishing a Beachhead: NAASR, Twenty Years Later</b:Title>
    <b:Year>2004</b:Year>
    <b:Author>
      <b:Author>
        <b:NameList>
          <b:Person>
            <b:Last>Martin</b:Last>
            <b:First>Luther</b:First>
            <b:Middle>H.</b:Middle>
          </b:Person>
          <b:Person>
            <b:Last>Wiebe</b:Last>
            <b:First>Donald</b:First>
          </b:Person>
        </b:NameList>
      </b:Author>
    </b:Author>
    <b:InternetSiteTitle>North American Association for the Study of Religion (NAASR)</b:InternetSiteTitle>
    <b:URL>https://naasr.com/wp-content/uploads/2014/01/establishingabeachhead.pdf</b:URL>
    <b:YearAccessed>2025</b:YearAccessed>
    <b:MonthAccessed>January</b:MonthAccessed>
    <b:RefOrder>18</b:RefOrder>
  </b:Source>
  <b:Source>
    <b:Tag>Boy01</b:Tag>
    <b:SourceType>Book</b:SourceType>
    <b:Guid>{4D9F6A07-4BB8-4E71-BE9D-9738D97A2542}</b:Guid>
    <b:Title>Religion explained: The evolutionary origins of religious thought.</b:Title>
    <b:Year>2001</b:Year>
    <b:Author>
      <b:Author>
        <b:NameList>
          <b:Person>
            <b:Last>Boyer</b:Last>
            <b:First>Pascal</b:First>
          </b:Person>
        </b:NameList>
      </b:Author>
    </b:Author>
    <b:City>New York</b:City>
    <b:Publisher>Basic Books</b:Publisher>
    <b:RefOrder>19</b:RefOrder>
  </b:Source>
  <b:Source>
    <b:Tag>Mal04</b:Tag>
    <b:SourceType>Book</b:SourceType>
    <b:Guid>{4050D640-5B26-46F5-9827-9C5702B7F64A}</b:Guid>
    <b:Author>
      <b:Author>
        <b:NameList>
          <b:Person>
            <b:Last>Malley</b:Last>
            <b:First>Brian</b:First>
          </b:Person>
        </b:NameList>
      </b:Author>
    </b:Author>
    <b:Title>How the Bible works: An anthropological study of evangelical biblicism.</b:Title>
    <b:Year>2004</b:Year>
    <b:City>Walnut Creek, CA</b:City>
    <b:Publisher>AltaMira Press</b:Publisher>
    <b:RefOrder>20</b:RefOrder>
  </b:Source>
  <b:Source>
    <b:Tag>McC02</b:Tag>
    <b:SourceType>Book</b:SourceType>
    <b:Guid>{C5E24598-AA69-4D1A-8A57-DCB8B76AC52D}</b:Guid>
    <b:Author>
      <b:Author>
        <b:NameList>
          <b:Person>
            <b:Last>McCauley</b:Last>
            <b:First>Robert</b:First>
            <b:Middle>N.</b:Middle>
          </b:Person>
          <b:Person>
            <b:Last>Lawson</b:Last>
            <b:First>Ernest</b:First>
            <b:Middle>T.</b:Middle>
          </b:Person>
        </b:NameList>
      </b:Author>
    </b:Author>
    <b:Title>Bringing ritual to mind: Psychological foundations of cultural forms</b:Title>
    <b:Year>2002</b:Year>
    <b:City>Cambridge</b:City>
    <b:Publisher>Cambridge University Press</b:Publisher>
    <b:RefOrder>29</b:RefOrder>
  </b:Source>
  <b:Source>
    <b:Tag>Mal03</b:Tag>
    <b:SourceType>JournalArticle</b:SourceType>
    <b:Guid>{8BBA75ED-942B-48E1-8B4A-52C958548967}</b:Guid>
    <b:Title>Does myth inform ritual? A test of the Lawson-McCauley hypothesis</b:Title>
    <b:Year>2003</b:Year>
    <b:Author>
      <b:Author>
        <b:NameList>
          <b:Person>
            <b:Last>Malley</b:Last>
            <b:First>Brian</b:First>
          </b:Person>
          <b:Person>
            <b:Last>Barrett</b:Last>
            <b:First>Justin</b:First>
            <b:Middle>L.</b:Middle>
          </b:Person>
        </b:NameList>
      </b:Author>
    </b:Author>
    <b:JournalName>Journal of Ritual Studies</b:JournalName>
    <b:Pages>1-14</b:Pages>
    <b:Volume>17</b:Volume>
    <b:Issue>2</b:Issue>
    <b:RefOrder>30</b:RefOrder>
  </b:Source>
  <b:Source>
    <b:Tag>Whi00</b:Tag>
    <b:SourceType>Book</b:SourceType>
    <b:Guid>{EEB6175D-28E3-4717-8426-5CC0BB546BF9}</b:Guid>
    <b:Author>
      <b:Author>
        <b:NameList>
          <b:Person>
            <b:Last>Whitehouse</b:Last>
            <b:First>Harvey</b:First>
          </b:Person>
        </b:NameList>
      </b:Author>
    </b:Author>
    <b:Title>Arguments and icons: Divergent modes of religiosity</b:Title>
    <b:Year>2000</b:Year>
    <b:City>Oxford</b:City>
    <b:Publisher>Oxford University Press</b:Publisher>
    <b:RefOrder>21</b:RefOrder>
  </b:Source>
  <b:Source>
    <b:Tag>Bar00</b:Tag>
    <b:SourceType>JournalArticle</b:SourceType>
    <b:Guid>{B6B10ECD-8F6E-47AF-9C75-760475240B1E}</b:Guid>
    <b:Title>Exploring the natural foundations of religion</b:Title>
    <b:Year>2000</b:Year>
    <b:Author>
      <b:Author>
        <b:NameList>
          <b:Person>
            <b:Last>Barrett</b:Last>
            <b:First>Justin</b:First>
            <b:Middle>L.</b:Middle>
          </b:Person>
        </b:NameList>
      </b:Author>
    </b:Author>
    <b:JournalName>Trends in Cognitive Sciences</b:JournalName>
    <b:Pages>29-34</b:Pages>
    <b:Volume>4</b:Volume>
    <b:Issue>1</b:Issue>
    <b:RefOrder>31</b:RefOrder>
  </b:Source>
  <b:Source>
    <b:Tag>Sch11</b:Tag>
    <b:SourceType>JournalArticle</b:SourceType>
    <b:Guid>{8240CCFC-FC0B-49D1-AA29-451597D22AB8}</b:Guid>
    <b:Author>
      <b:Author>
        <b:NameList>
          <b:Person>
            <b:Last>Schjoedt</b:Last>
            <b:First>Uffe</b:First>
          </b:Person>
          <b:Person>
            <b:Last>Stødkilde-Jørgensen</b:Last>
            <b:First>Hans</b:First>
          </b:Person>
          <b:Person>
            <b:Last>Geertz</b:Last>
            <b:First>Armin</b:First>
          </b:Person>
          <b:Person>
            <b:Last>Lund</b:Last>
            <b:First>Torben</b:First>
            <b:Middle>E.</b:Middle>
          </b:Person>
          <b:Person>
            <b:Last>Roepstorff</b:Last>
            <b:First>Andreas</b:First>
          </b:Person>
        </b:NameList>
      </b:Author>
    </b:Author>
    <b:Title>“The Power of Charisma—Perceived Charisma Inhibits the Frontal Executive Network of Believers in Intercessory Prayer.”</b:Title>
    <b:JournalName>Social, Cognitive, and Affective Neuroscience (SCAN)</b:JournalName>
    <b:Year>2011</b:Year>
    <b:Pages>119-27</b:Pages>
    <b:Volume>6</b:Volume>
    <b:Issue>1</b:Issue>
    <b:RefOrder>32</b:RefOrder>
  </b:Source>
  <b:Source>
    <b:Tag>Sch08</b:Tag>
    <b:SourceType>JournalArticle</b:SourceType>
    <b:Guid>{3FB7E982-653F-4C1B-920B-6C810FBDB5D9}</b:Guid>
    <b:Author>
      <b:Author>
        <b:NameList>
          <b:Person>
            <b:Last>Schjoedt</b:Last>
            <b:First>Uffe</b:First>
          </b:Person>
          <b:Person>
            <b:Last>Stødkilde-Jørgensen</b:Last>
            <b:First>Hans</b:First>
          </b:Person>
          <b:Person>
            <b:Last>Geertz</b:Last>
            <b:First>Armin</b:First>
          </b:Person>
          <b:Person>
            <b:Last>Roepstorff</b:Last>
            <b:First>Andreas</b:First>
          </b:Person>
        </b:NameList>
      </b:Author>
    </b:Author>
    <b:Title>Rewarding Prayers</b:Title>
    <b:JournalName>Neuroscience Letters</b:JournalName>
    <b:Year>2008</b:Year>
    <b:Pages>165-68</b:Pages>
    <b:Volume>443</b:Volume>
    <b:Issue>3</b:Issue>
    <b:RefOrder>33</b:RefOrder>
  </b:Source>
  <b:Source>
    <b:Tag>Sch09</b:Tag>
    <b:SourceType>JournalArticle</b:SourceType>
    <b:Guid>{E22BDF5B-75FD-417F-A6EE-45A9A9EA7D83}</b:Guid>
    <b:Author>
      <b:Author>
        <b:NameList>
          <b:Person>
            <b:Last>Schjoedt</b:Last>
            <b:First>Uffe</b:First>
          </b:Person>
          <b:Person>
            <b:Last>Stødkilde-Jørgensen</b:Last>
            <b:First>Hans</b:First>
          </b:Person>
          <b:Person>
            <b:Last>Geertz</b:Last>
            <b:First>Armin</b:First>
          </b:Person>
          <b:Person>
            <b:Last>Roepstorff</b:Last>
            <b:First>Andreas</b:First>
          </b:Person>
        </b:NameList>
      </b:Author>
    </b:Author>
    <b:Title>Highly Religious Participants Recruit Areas of Social Cognition in Personal Prayer.</b:Title>
    <b:JournalName>Social, Cognitive, and Afftective Neuroscience (SCAN)</b:JournalName>
    <b:Year>2009</b:Year>
    <b:Pages>199-207</b:Pages>
    <b:Volume>4</b:Volume>
    <b:RefOrder>34</b:RefOrder>
  </b:Source>
  <b:Source>
    <b:Tag>Xyg13</b:Tag>
    <b:SourceType>JournalArticle</b:SourceType>
    <b:Guid>{3873FA5B-CF27-4873-AA43-FDC997D4BEC9}</b:Guid>
    <b:Author>
      <b:Author>
        <b:NameList>
          <b:Person>
            <b:Last>Xygalatas</b:Last>
            <b:First>Dimitris</b:First>
          </b:Person>
          <b:Person>
            <b:Last>Schjoedt</b:Last>
            <b:First>Uffe</b:First>
          </b:Person>
          <b:Person>
            <b:Last>Bulbulia</b:Last>
            <b:First>Joseph</b:First>
          </b:Person>
          <b:Person>
            <b:Last>Konvalinka</b:Last>
            <b:First>Ivana</b:First>
          </b:Person>
          <b:Person>
            <b:Last>Jegindø</b:Last>
            <b:First>Else-Marie</b:First>
          </b:Person>
          <b:Person>
            <b:Last>Reddish</b:Last>
            <b:First>Paul</b:First>
          </b:Person>
          <b:Person>
            <b:Last>Geertz</b:Last>
            <b:First>Armin</b:First>
            <b:Middle>W.</b:Middle>
          </b:Person>
          <b:Person>
            <b:Last>Roepstorff</b:Last>
            <b:First>Andreas</b:First>
          </b:Person>
        </b:NameList>
      </b:Author>
    </b:Author>
    <b:Title>Autobiographical Memory in a Fire-Walking Ritual</b:Title>
    <b:JournalName>Journal of Cognition and Culture</b:JournalName>
    <b:Year>2013</b:Year>
    <b:Pages>1-16</b:Pages>
    <b:Volume>13</b:Volume>
    <b:RefOrder>24</b:RefOrder>
  </b:Source>
  <b:Source>
    <b:Tag>Sch13</b:Tag>
    <b:SourceType>JournalArticle</b:SourceType>
    <b:Guid>{DB9BDD4A-0C4A-44CC-B297-864C8177FFD9}</b:Guid>
    <b:Author>
      <b:Author>
        <b:NameList>
          <b:Person>
            <b:Last>Schjoedt</b:Last>
            <b:First>Uffe</b:First>
          </b:Person>
          <b:Person>
            <b:Last>Sorensen</b:Last>
            <b:First>Jesper</b:First>
          </b:Person>
          <b:Person>
            <b:Last>Laigaard Nielbo</b:Last>
            <b:First>Kristoffer</b:First>
          </b:Person>
          <b:Person>
            <b:Last>Xygalatas</b:Last>
            <b:First>Dimitris</b:First>
          </b:Person>
          <b:Person>
            <b:Last>Mitkidis</b:Last>
            <b:First>Panagiotis</b:First>
          </b:Person>
          <b:Person>
            <b:Last>Bulbulia</b:Last>
            <b:First>Joseph</b:First>
          </b:Person>
        </b:NameList>
      </b:Author>
    </b:Author>
    <b:Title>Cognitive Resource Depletion in Religious Interactions</b:Title>
    <b:JournalName>Religion, Brain and Behavior</b:JournalName>
    <b:Year>2013</b:Year>
    <b:Pages>39-55</b:Pages>
    <b:RefOrder>25</b:RefOrder>
  </b:Source>
  <b:Source>
    <b:Tag>Bul04</b:Tag>
    <b:SourceType>JournalArticle</b:SourceType>
    <b:Guid>{AFD4C282-B9CC-4541-B2BD-CADFC4B7CCCF}</b:Guid>
    <b:Author>
      <b:Author>
        <b:NameList>
          <b:Person>
            <b:Last>Bulbulia</b:Last>
            <b:First>Joseph</b:First>
          </b:Person>
        </b:NameList>
      </b:Author>
    </b:Author>
    <b:Title>The Cognitive and Evolutionary Psychology of Religion</b:Title>
    <b:JournalName>Biology and Philosophy</b:JournalName>
    <b:Year>2004</b:Year>
    <b:Pages>664</b:Pages>
    <b:Volume>19</b:Volume>
    <b:RefOrder>23</b:RefOrder>
  </b:Source>
  <b:Source>
    <b:Tag>Ber12</b:Tag>
    <b:SourceType>Book</b:SourceType>
    <b:Guid>{DC2021FF-BB8A-4ED2-B235-6D4B77AB0836}</b:Guid>
    <b:Author>
      <b:Author>
        <b:NameList>
          <b:Person>
            <b:Last>Russell</b:Last>
            <b:First>Bertrand</b:First>
          </b:Person>
        </b:NameList>
      </b:Author>
    </b:Author>
    <b:Title>The Problems of Philosophy</b:Title>
    <b:Year>1912</b:Year>
    <b:Publisher>Oxford University Press</b:Publisher>
    <b:RefOrder>35</b:RefOrder>
  </b:Source>
  <b:Source>
    <b:Tag>Mod16</b:Tag>
    <b:SourceType>JournalArticle</b:SourceType>
    <b:Guid>{7C1C68A7-761D-48A6-93C2-1A93E00B8FE3}</b:Guid>
    <b:Author>
      <b:Author>
        <b:NameList>
          <b:Person>
            <b:Last>Modern</b:Last>
            <b:First>John</b:First>
          </b:Person>
        </b:NameList>
      </b:Author>
    </b:Author>
    <b:Title>The Hyperactive Agency Detection Device</b:Title>
    <b:JournalName>Material Religion: The Journal of Objects, Art and Belief</b:JournalName>
    <b:Year>2016</b:Year>
    <b:Pages>102-103</b:Pages>
    <b:Volume>12</b:Volume>
    <b:Issue>1</b:Issue>
    <b:RefOrder>22</b:RefOrder>
  </b:Source>
  <b:Source>
    <b:Tag>Mai19</b:Tag>
    <b:SourceType>JournalArticle</b:SourceType>
    <b:Guid>{5D2C88A7-2EB9-4A04-842A-7965920F8BC1}</b:Guid>
    <b:Author>
      <b:Author>
        <b:NameList>
          <b:Person>
            <b:Last>Maij</b:Last>
            <b:First>David</b:First>
            <b:Middle>L. R.</b:Middle>
          </b:Person>
          <b:Person>
            <b:Last>van Schie</b:Last>
            <b:First>Hein</b:First>
            <b:Middle>T.</b:Middle>
          </b:Person>
          <b:Person>
            <b:Last>van Elk</b:Last>
            <b:First>Michiel</b:First>
          </b:Person>
        </b:NameList>
      </b:Author>
    </b:Author>
    <b:Title>The boundary conditions of the hypersensitive agency detection device: an empirical investigation of agency detection in threatening situations</b:Title>
    <b:JournalName>Religion, Brain and Behavior</b:JournalName>
    <b:Year>2019</b:Year>
    <b:Pages>23-51</b:Pages>
    <b:Volume>9</b:Volume>
    <b:Issue>1</b:Issue>
    <b:RefOrder>36</b:RefOrder>
  </b:Source>
</b:Sources>
</file>

<file path=customXml/itemProps1.xml><?xml version="1.0" encoding="utf-8"?>
<ds:datastoreItem xmlns:ds="http://schemas.openxmlformats.org/officeDocument/2006/customXml" ds:itemID="{DF62FAAF-8D88-4C22-BC49-98AD54CB2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13</Pages>
  <Words>4765</Words>
  <Characters>26067</Characters>
  <Application>Microsoft Office Word</Application>
  <DocSecurity>0</DocSecurity>
  <Lines>554</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Hough (staff)</dc:creator>
  <cp:keywords/>
  <dc:description/>
  <cp:lastModifiedBy>Olivia Hough (staff)</cp:lastModifiedBy>
  <cp:revision>4</cp:revision>
  <dcterms:created xsi:type="dcterms:W3CDTF">2025-01-08T23:28:00Z</dcterms:created>
  <dcterms:modified xsi:type="dcterms:W3CDTF">2025-01-08T23:39:00Z</dcterms:modified>
</cp:coreProperties>
</file>