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SimSun"/>
          <w:lang w:eastAsia="zh-CN"/>
        </w:rPr>
      </w:pPr>
      <w:r>
        <w:pict>
          <v:rect id="_x0000_s1027" o:spid="_x0000_s1027" o:spt="1" style="position:absolute;left:0pt;margin-left:31.25pt;margin-top:103.5pt;height:69.6pt;width:442.4pt;mso-wrap-style:none;z-index:251660288;mso-width-relative:page;mso-height-relative:page;" stroked="f" coordsize="21600,21600">
            <v:path/>
            <v:fill focussize="0,0"/>
            <v:stroke on="f"/>
            <v:imagedata o:title=""/>
            <o:lock v:ext="edit" grouping="f" rotation="f" text="f" aspectratio="f"/>
            <v:textbox style="mso-fit-shape-to-text:t;">
              <w:txbxContent>
                <w:p>
                  <w:pPr>
                    <w:pStyle w:val="20"/>
                    <w:ind w:left="0" w:leftChars="0" w:right="0" w:rightChars="0" w:firstLine="0" w:firstLineChars="0"/>
                    <w:jc w:val="center"/>
                    <w:rPr>
                      <w:rFonts w:hint="default"/>
                      <w:sz w:val="52"/>
                      <w:szCs w:val="52"/>
                      <w:lang w:val="zh-CN"/>
                    </w:rPr>
                  </w:pPr>
                  <w:r>
                    <w:rPr>
                      <w:rFonts w:hint="eastAsia"/>
                      <w:sz w:val="52"/>
                      <w:szCs w:val="52"/>
                      <w:lang w:val="zh-CN"/>
                    </w:rPr>
                    <w:t>[</w:t>
                  </w:r>
                  <w:r>
                    <w:rPr>
                      <w:rFonts w:hint="default" w:ascii="Times New Roman" w:hAnsi="Times New Roman" w:cs="Times New Roman"/>
                      <w:b/>
                      <w:sz w:val="52"/>
                      <w:szCs w:val="52"/>
                    </w:rPr>
                    <w:t xml:space="preserve"> STRATEGIC MANAGEMENT</w:t>
                  </w:r>
                  <w:r>
                    <w:rPr>
                      <w:rFonts w:hint="eastAsia"/>
                      <w:sz w:val="52"/>
                      <w:szCs w:val="52"/>
                      <w:lang w:val="zh-CN"/>
                    </w:rPr>
                    <w:t>]</w:t>
                  </w:r>
                </w:p>
              </w:txbxContent>
            </v:textbox>
          </v:rect>
        </w:pict>
      </w:r>
      <w:r>
        <w:rPr>
          <w:rFonts w:hint="eastAsia" w:eastAsia="SimSun"/>
          <w:lang w:eastAsia="zh-CN"/>
        </w:rPr>
        <w:pict>
          <v:shape id="_x0000_s1029" o:spid="_x0000_s1029" o:spt="75" type="#_x0000_t75" style="position:absolute;left:0pt;height:612.05pt;width:791.5pt;mso-position-horizontal:left;mso-position-horizontal-relative:page;mso-position-vertical:top;mso-position-vertical-relative:page;z-index:-251657216;mso-width-relative:page;mso-height-relative:page;" filled="f" o:preferrelative="f" stroked="f" coordsize="21600,21600">
            <v:path/>
            <v:fill on="f" focussize="0,0"/>
            <v:stroke on="f"/>
            <v:imagedata r:id="rId7" o:title="20-20副本"/>
            <o:lock v:ext="edit" grouping="f" rotation="f" text="f" aspectratio="f"/>
          </v:shape>
        </w:pict>
      </w:r>
    </w:p>
    <w:p>
      <w:pPr>
        <w:tabs>
          <w:tab w:val="left" w:pos="3885"/>
          <w:tab w:val="center" w:pos="4680"/>
        </w:tabs>
        <w:spacing w:line="259" w:lineRule="auto"/>
        <w:jc w:val="center"/>
        <w:rPr>
          <w:rFonts w:hint="default" w:ascii="Times New Roman" w:hAnsi="Times New Roman" w:cs="Times New Roman"/>
          <w:b/>
          <w:sz w:val="36"/>
          <w:szCs w:val="36"/>
        </w:rPr>
        <w:sectPr>
          <w:footerReference r:id="rId5" w:type="default"/>
          <w:pgSz w:w="15840" w:h="12240" w:orient="landscape"/>
          <w:pgMar w:top="1440" w:right="1440" w:bottom="1440" w:left="1440" w:header="720" w:footer="720" w:gutter="0"/>
          <w:cols w:space="720" w:num="1"/>
          <w:titlePg/>
          <w:docGrid w:linePitch="360" w:charSpace="0"/>
        </w:sectPr>
      </w:pPr>
      <w:r>
        <w:pict>
          <v:rect id="_x0000_s1026" o:spid="_x0000_s1026" o:spt="1" style="position:absolute;left:0pt;margin-left:329.25pt;margin-top:132.25pt;height:208.3pt;width:319.6pt;z-index:251661312;v-text-anchor:bottom;mso-width-relative:page;mso-height-relative:page;" filled="f" stroked="f" coordsize="21600,21600">
            <v:path/>
            <v:fill on="f" focussize="0,0"/>
            <v:stroke on="f"/>
            <v:imagedata o:title=""/>
            <o:lock v:ext="edit" aspectratio="f"/>
            <v:textbox inset="0mm,1.27mm,2.54mm,1.27mm">
              <w:txbxContent>
                <w:p>
                  <w:pPr>
                    <w:tabs>
                      <w:tab w:val="left" w:pos="3885"/>
                      <w:tab w:val="center" w:pos="4680"/>
                    </w:tabs>
                    <w:spacing w:line="259" w:lineRule="auto"/>
                    <w:jc w:val="both"/>
                    <w:rPr>
                      <w:rFonts w:hint="default" w:ascii="Times New Roman" w:hAnsi="Times New Roman" w:cs="Times New Roman"/>
                      <w:b/>
                      <w:sz w:val="36"/>
                      <w:szCs w:val="36"/>
                    </w:rPr>
                  </w:pPr>
                </w:p>
                <w:p>
                  <w:pPr>
                    <w:tabs>
                      <w:tab w:val="left" w:pos="3885"/>
                      <w:tab w:val="center" w:pos="4680"/>
                    </w:tabs>
                    <w:jc w:val="center"/>
                    <w:rPr>
                      <w:rFonts w:hint="default" w:ascii="Times New Roman" w:hAnsi="Times New Roman" w:cs="Times New Roman"/>
                      <w:b/>
                      <w:szCs w:val="24"/>
                      <w:lang w:val="en-IN"/>
                    </w:rPr>
                  </w:pPr>
                  <w:r>
                    <w:rPr>
                      <w:rFonts w:hint="default" w:ascii="Times New Roman" w:hAnsi="Times New Roman" w:cs="Times New Roman"/>
                      <w:b/>
                      <w:szCs w:val="24"/>
                    </w:rPr>
                    <w:t>Student’s Name:</w:t>
                  </w:r>
                  <w:r>
                    <w:rPr>
                      <w:rFonts w:hint="default" w:ascii="Times New Roman" w:hAnsi="Times New Roman" w:cs="Times New Roman"/>
                      <w:b/>
                      <w:szCs w:val="24"/>
                      <w:lang w:val="en-IN"/>
                    </w:rPr>
                    <w:t xml:space="preserve"> Ramanjan Reddy Kolagatla</w:t>
                  </w:r>
                </w:p>
                <w:p>
                  <w:pPr>
                    <w:tabs>
                      <w:tab w:val="left" w:pos="3885"/>
                      <w:tab w:val="center" w:pos="4680"/>
                    </w:tabs>
                    <w:ind w:firstLine="1321" w:firstLineChars="550"/>
                    <w:jc w:val="both"/>
                    <w:rPr>
                      <w:rFonts w:hint="default" w:cs="Times New Roman"/>
                      <w:b/>
                      <w:szCs w:val="24"/>
                      <w:lang w:val="en-IN"/>
                    </w:rPr>
                  </w:pPr>
                  <w:r>
                    <w:rPr>
                      <w:rFonts w:hint="default" w:cs="Times New Roman"/>
                      <w:b/>
                      <w:szCs w:val="24"/>
                      <w:lang w:val="en-IN"/>
                    </w:rPr>
                    <w:t>Student Id</w:t>
                  </w:r>
                  <w:r>
                    <w:rPr>
                      <w:rFonts w:hint="default" w:ascii="Times New Roman" w:hAnsi="Times New Roman" w:cs="Times New Roman"/>
                      <w:b/>
                      <w:szCs w:val="24"/>
                    </w:rPr>
                    <w:t>:</w:t>
                  </w:r>
                  <w:r>
                    <w:rPr>
                      <w:rFonts w:hint="default" w:cs="Times New Roman"/>
                      <w:b/>
                      <w:szCs w:val="24"/>
                      <w:lang w:val="en-IN"/>
                    </w:rPr>
                    <w:t xml:space="preserve"> 2228065</w:t>
                  </w:r>
                </w:p>
                <w:p>
                  <w:pPr>
                    <w:tabs>
                      <w:tab w:val="left" w:pos="3885"/>
                      <w:tab w:val="center" w:pos="4680"/>
                    </w:tabs>
                    <w:jc w:val="center"/>
                    <w:rPr>
                      <w:rFonts w:hint="default" w:cs="Times New Roman"/>
                      <w:b/>
                      <w:szCs w:val="24"/>
                      <w:lang w:val="en-IN"/>
                    </w:rPr>
                  </w:pPr>
                  <w:r>
                    <w:rPr>
                      <w:rFonts w:hint="default" w:cs="Times New Roman"/>
                      <w:b/>
                      <w:szCs w:val="24"/>
                      <w:lang w:val="en-IN"/>
                    </w:rPr>
                    <w:t>Email</w:t>
                  </w:r>
                  <w:r>
                    <w:rPr>
                      <w:rFonts w:hint="default" w:ascii="Times New Roman" w:hAnsi="Times New Roman" w:cs="Times New Roman"/>
                      <w:b/>
                      <w:szCs w:val="24"/>
                    </w:rPr>
                    <w:t>:</w:t>
                  </w:r>
                  <w:r>
                    <w:rPr>
                      <w:rFonts w:hint="default" w:ascii="Times New Roman" w:hAnsi="Times New Roman" w:cs="Times New Roman"/>
                      <w:b/>
                      <w:szCs w:val="24"/>
                      <w:lang w:val="en-IN"/>
                    </w:rPr>
                    <w:t xml:space="preserve"> </w:t>
                  </w:r>
                  <w:r>
                    <w:rPr>
                      <w:rFonts w:hint="default" w:cs="Times New Roman"/>
                      <w:b/>
                      <w:szCs w:val="24"/>
                      <w:lang w:val="en-IN"/>
                    </w:rPr>
                    <w:t>ramanjan.kolagatla@gmail.com</w:t>
                  </w:r>
                </w:p>
                <w:p>
                  <w:pPr>
                    <w:tabs>
                      <w:tab w:val="left" w:pos="3885"/>
                      <w:tab w:val="center" w:pos="4680"/>
                    </w:tabs>
                    <w:jc w:val="center"/>
                    <w:rPr>
                      <w:rFonts w:hint="default" w:ascii="Times New Roman" w:hAnsi="Times New Roman" w:cs="Times New Roman"/>
                      <w:b/>
                      <w:szCs w:val="24"/>
                      <w:lang w:val="en-IN"/>
                    </w:rPr>
                  </w:pPr>
                  <w:r>
                    <w:rPr>
                      <w:rFonts w:hint="default" w:ascii="Times New Roman" w:hAnsi="Times New Roman" w:cs="Times New Roman"/>
                      <w:b/>
                      <w:szCs w:val="24"/>
                    </w:rPr>
                    <w:t>University:</w:t>
                  </w:r>
                  <w:r>
                    <w:rPr>
                      <w:rFonts w:hint="default" w:ascii="Times New Roman" w:hAnsi="Times New Roman" w:cs="Times New Roman"/>
                      <w:b/>
                      <w:szCs w:val="24"/>
                      <w:lang w:val="en-IN"/>
                    </w:rPr>
                    <w:t xml:space="preserve"> University Of Wales Trinity Saint David</w:t>
                  </w:r>
                </w:p>
                <w:p>
                  <w:pPr>
                    <w:tabs>
                      <w:tab w:val="left" w:pos="3885"/>
                      <w:tab w:val="center" w:pos="4680"/>
                    </w:tabs>
                    <w:jc w:val="center"/>
                    <w:rPr>
                      <w:rFonts w:hint="default" w:ascii="Times New Roman" w:hAnsi="Times New Roman" w:cs="Times New Roman"/>
                      <w:b/>
                      <w:sz w:val="36"/>
                      <w:szCs w:val="36"/>
                      <w:lang w:val="en-IN"/>
                    </w:rPr>
                  </w:pPr>
                  <w:r>
                    <w:rPr>
                      <w:rFonts w:hint="default" w:ascii="Times New Roman" w:hAnsi="Times New Roman" w:cs="Times New Roman"/>
                      <w:b/>
                      <w:szCs w:val="24"/>
                    </w:rPr>
                    <w:t>Date:</w:t>
                  </w:r>
                  <w:r>
                    <w:rPr>
                      <w:rFonts w:hint="default" w:ascii="Times New Roman" w:hAnsi="Times New Roman" w:cs="Times New Roman"/>
                      <w:b/>
                      <w:szCs w:val="24"/>
                      <w:lang w:val="en-IN"/>
                    </w:rPr>
                    <w:t xml:space="preserve"> 21/07/2023</w:t>
                  </w:r>
                </w:p>
                <w:p>
                  <w:pPr>
                    <w:rPr>
                      <w:rFonts w:hint="default"/>
                    </w:rPr>
                  </w:pPr>
                </w:p>
                <w:p>
                  <w:pPr>
                    <w:rPr>
                      <w:rFonts w:hint="default"/>
                    </w:rPr>
                  </w:pPr>
                </w:p>
                <w:p>
                  <w:pPr>
                    <w:rPr>
                      <w:rFonts w:hint="default"/>
                    </w:rPr>
                  </w:pPr>
                </w:p>
                <w:p>
                  <w:pPr>
                    <w:rPr>
                      <w:rFonts w:hint="default"/>
                    </w:rPr>
                  </w:pPr>
                </w:p>
                <w:p>
                  <w:pPr>
                    <w:rPr>
                      <w:rFonts w:hint="default"/>
                    </w:rPr>
                  </w:pPr>
                </w:p>
                <w:p/>
              </w:txbxContent>
            </v:textbox>
          </v:rect>
        </w:pict>
      </w: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bookmarkStart w:id="21" w:name="_GoBack"/>
      <w:bookmarkEnd w:id="21"/>
      <w:r>
        <w:rPr>
          <w:rFonts w:hint="default" w:ascii="Times New Roman" w:hAnsi="Times New Roman" w:cs="Times New Roman"/>
          <w:b/>
          <w:sz w:val="36"/>
          <w:szCs w:val="36"/>
        </w:rPr>
        <w:t>Module Title: Strategic Management</w:t>
      </w:r>
    </w:p>
    <w:p>
      <w:pPr>
        <w:tabs>
          <w:tab w:val="left" w:pos="3885"/>
          <w:tab w:val="center" w:pos="4680"/>
        </w:tabs>
        <w:spacing w:line="259" w:lineRule="auto"/>
        <w:jc w:val="center"/>
        <w:rPr>
          <w:rFonts w:hint="default" w:ascii="Times New Roman" w:hAnsi="Times New Roman" w:cs="Times New Roman"/>
          <w:b/>
          <w:sz w:val="36"/>
          <w:szCs w:val="36"/>
        </w:rPr>
      </w:pPr>
      <w:r>
        <w:rPr>
          <w:rFonts w:hint="default" w:ascii="Times New Roman" w:hAnsi="Times New Roman" w:cs="Times New Roman"/>
          <w:b/>
          <w:sz w:val="36"/>
          <w:szCs w:val="36"/>
        </w:rPr>
        <w:t>Module code: BMMB7013</w:t>
      </w:r>
    </w:p>
    <w:p>
      <w:pPr>
        <w:tabs>
          <w:tab w:val="left" w:pos="3885"/>
          <w:tab w:val="center" w:pos="4680"/>
        </w:tabs>
        <w:spacing w:line="259" w:lineRule="auto"/>
        <w:jc w:val="center"/>
        <w:rPr>
          <w:rFonts w:hint="default" w:ascii="Times New Roman" w:hAnsi="Times New Roman" w:cs="Times New Roman"/>
          <w:b/>
          <w:sz w:val="36"/>
          <w:szCs w:val="36"/>
        </w:rPr>
      </w:pPr>
      <w:r>
        <w:rPr>
          <w:rFonts w:hint="default" w:ascii="Times New Roman" w:hAnsi="Times New Roman" w:cs="Times New Roman"/>
          <w:b/>
          <w:sz w:val="36"/>
          <w:szCs w:val="36"/>
        </w:rPr>
        <w:t>Assignment Title: Report: Developing a new landscape for customer care</w:t>
      </w: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spacing w:line="259" w:lineRule="auto"/>
        <w:jc w:val="center"/>
        <w:rPr>
          <w:rFonts w:hint="default" w:ascii="Times New Roman" w:hAnsi="Times New Roman" w:cs="Times New Roman"/>
          <w:b/>
          <w:sz w:val="36"/>
          <w:szCs w:val="36"/>
        </w:rPr>
      </w:pPr>
    </w:p>
    <w:p>
      <w:pPr>
        <w:tabs>
          <w:tab w:val="left" w:pos="3885"/>
          <w:tab w:val="center" w:pos="4680"/>
        </w:tabs>
        <w:jc w:val="center"/>
        <w:rPr>
          <w:rFonts w:hint="default" w:ascii="Times New Roman" w:hAnsi="Times New Roman" w:cs="Times New Roman"/>
          <w:b/>
          <w:sz w:val="28"/>
          <w:szCs w:val="28"/>
        </w:rPr>
      </w:pPr>
      <w:r>
        <w:rPr>
          <w:rFonts w:hint="default" w:ascii="Times New Roman" w:hAnsi="Times New Roman" w:cs="Times New Roman"/>
          <w:b/>
          <w:sz w:val="28"/>
          <w:szCs w:val="28"/>
        </w:rPr>
        <w:t>Executive summary</w:t>
      </w:r>
    </w:p>
    <w:p>
      <w:pPr>
        <w:rPr>
          <w:rFonts w:hint="default" w:ascii="Times New Roman" w:hAnsi="Times New Roman" w:cs="Times New Roman"/>
        </w:rPr>
      </w:pPr>
      <w:r>
        <w:rPr>
          <w:rFonts w:hint="default" w:ascii="Times New Roman" w:hAnsi="Times New Roman" w:cs="Times New Roman"/>
        </w:rPr>
        <w:t xml:space="preserve">The purpose of making this report is to reshape the strategic direction of Rio Tinto towards the development of innovative and personalised customer care. As per the findings of the report, various types of frameworks and models have been applied to the company to get a clear understanding of the strategic choices and decisions that can be applied in the business of the company towards delivering personalised customer care. According to the relevant marketing models, offering quality products at affordable prices can facilitate the company towards achieving huge business growth and higher market share. </w:t>
      </w:r>
    </w:p>
    <w:p>
      <w:pPr>
        <w:spacing w:line="259" w:lineRule="auto"/>
        <w:jc w:val="left"/>
        <w:rPr>
          <w:rFonts w:hint="default" w:ascii="Times New Roman" w:hAnsi="Times New Roman" w:cs="Times New Roman"/>
        </w:rPr>
      </w:pPr>
      <w:r>
        <w:rPr>
          <w:rFonts w:hint="default" w:ascii="Times New Roman" w:hAnsi="Times New Roman" w:cs="Times New Roman"/>
        </w:rPr>
        <w:br w:type="page"/>
      </w:r>
    </w:p>
    <w:sdt>
      <w:sdtPr>
        <w:rPr>
          <w:rFonts w:hint="default" w:ascii="Times New Roman" w:hAnsi="Times New Roman" w:cs="Times New Roman" w:eastAsiaTheme="minorHAnsi"/>
          <w:color w:val="auto"/>
          <w:sz w:val="24"/>
          <w:szCs w:val="22"/>
          <w:lang w:val="en-GB"/>
        </w:rPr>
        <w:id w:val="893788239"/>
        <w:docPartObj>
          <w:docPartGallery w:val="Table of Contents"/>
          <w:docPartUnique/>
        </w:docPartObj>
      </w:sdtPr>
      <w:sdtEndPr>
        <w:rPr>
          <w:rFonts w:hint="default" w:ascii="Times New Roman" w:hAnsi="Times New Roman" w:cs="Times New Roman" w:eastAsiaTheme="minorHAnsi"/>
          <w:b/>
          <w:bCs/>
          <w:color w:val="auto"/>
          <w:sz w:val="24"/>
          <w:szCs w:val="22"/>
          <w:lang w:val="en-GB"/>
        </w:rPr>
      </w:sdtEndPr>
      <w:sdtContent>
        <w:p>
          <w:pPr>
            <w:pStyle w:val="15"/>
            <w:jc w:val="cente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Table of Contents</w:t>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TOC \o "1-3" \h \z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"_Toc140179270" </w:instrText>
          </w:r>
          <w:r>
            <w:rPr>
              <w:rFonts w:hint="default" w:ascii="Times New Roman" w:hAnsi="Times New Roman" w:cs="Times New Roman"/>
            </w:rPr>
            <w:fldChar w:fldCharType="separate"/>
          </w:r>
          <w:r>
            <w:rPr>
              <w:rStyle w:val="8"/>
              <w:rFonts w:hint="default" w:ascii="Times New Roman" w:hAnsi="Times New Roman" w:eastAsia="Times New Roman" w:cs="Times New Roman"/>
            </w:rPr>
            <w:t>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_Toc140179270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"_Toc140179271" </w:instrText>
          </w:r>
          <w:r>
            <w:rPr>
              <w:rFonts w:hint="default" w:ascii="Times New Roman" w:hAnsi="Times New Roman" w:cs="Times New Roman"/>
            </w:rPr>
            <w:fldChar w:fldCharType="separate"/>
          </w:r>
          <w:r>
            <w:rPr>
              <w:rStyle w:val="8"/>
              <w:rFonts w:hint="default" w:ascii="Times New Roman" w:hAnsi="Times New Roman" w:eastAsia="Times New Roman" w:cs="Times New Roman"/>
              <w:lang w:eastAsia="en-IN"/>
            </w:rPr>
            <w:t>Strategic analysis of the company and main findings drawn from it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_Toc140179271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"_Toc140179272" </w:instrText>
          </w:r>
          <w:r>
            <w:rPr>
              <w:rFonts w:hint="default" w:ascii="Times New Roman" w:hAnsi="Times New Roman" w:cs="Times New Roman"/>
            </w:rPr>
            <w:fldChar w:fldCharType="separate"/>
          </w:r>
          <w:r>
            <w:rPr>
              <w:rStyle w:val="8"/>
              <w:rFonts w:hint="default" w:ascii="Times New Roman" w:hAnsi="Times New Roman" w:eastAsia="Times New Roman" w:cs="Times New Roman"/>
              <w:lang w:eastAsia="en-IN"/>
            </w:rPr>
            <w:t>External Environmental Analysis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_Toc140179272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"_Toc140179273" </w:instrText>
          </w:r>
          <w:r>
            <w:rPr>
              <w:rFonts w:hint="default" w:ascii="Times New Roman" w:hAnsi="Times New Roman" w:cs="Times New Roman"/>
            </w:rPr>
            <w:fldChar w:fldCharType="separate"/>
          </w:r>
          <w:r>
            <w:rPr>
              <w:rStyle w:val="8"/>
              <w:rFonts w:hint="default" w:ascii="Times New Roman" w:hAnsi="Times New Roman" w:eastAsia="Times New Roman" w:cs="Times New Roman"/>
              <w:lang w:eastAsia="en-IN"/>
            </w:rPr>
            <w:t>Internal Environment Analysis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_Toc140179273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"_Toc140179274" </w:instrText>
          </w:r>
          <w:r>
            <w:rPr>
              <w:rFonts w:hint="default" w:ascii="Times New Roman" w:hAnsi="Times New Roman" w:cs="Times New Roman"/>
            </w:rPr>
            <w:fldChar w:fldCharType="separate"/>
          </w:r>
          <w:r>
            <w:rPr>
              <w:rStyle w:val="8"/>
              <w:rFonts w:hint="default" w:ascii="Times New Roman" w:hAnsi="Times New Roman" w:eastAsia="Times New Roman" w:cs="Times New Roman"/>
              <w:lang w:eastAsia="en-IN"/>
            </w:rPr>
            <w:t>Analysis of the main results drawn from it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_Toc140179274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"_Toc140179275" </w:instrText>
          </w:r>
          <w:r>
            <w:rPr>
              <w:rFonts w:hint="default" w:ascii="Times New Roman" w:hAnsi="Times New Roman" w:cs="Times New Roman"/>
            </w:rPr>
            <w:fldChar w:fldCharType="separate"/>
          </w:r>
          <w:r>
            <w:rPr>
              <w:rStyle w:val="8"/>
              <w:rFonts w:hint="default" w:ascii="Times New Roman" w:hAnsi="Times New Roman" w:eastAsia="Times New Roman" w:cs="Times New Roman"/>
            </w:rPr>
            <w:t>Critical evaluation of the strategic options for more personalised customer care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_Toc140179275 \h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"_Toc140179276" </w:instrText>
          </w:r>
          <w:r>
            <w:rPr>
              <w:rFonts w:hint="default" w:ascii="Times New Roman" w:hAnsi="Times New Roman" w:cs="Times New Roman"/>
            </w:rPr>
            <w:fldChar w:fldCharType="separate"/>
          </w:r>
          <w:r>
            <w:rPr>
              <w:rStyle w:val="8"/>
              <w:rFonts w:hint="default" w:ascii="Times New Roman" w:hAnsi="Times New Roman" w:cs="Times New Roman"/>
            </w:rPr>
            <w:t>Critical analysis of the strategic options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_Toc140179276 \h </w:instrText>
          </w:r>
          <w:r>
            <w:rPr>
              <w:rFonts w:hint="default" w:ascii="Times New Roman" w:hAnsi="Times New Roman" w:cs="Times New Roman"/>
            </w:rPr>
            <w:fldChar w:fldCharType="separate"/>
          </w:r>
          <w:r>
            <w:rPr>
              <w:rFonts w:hint="default" w:ascii="Times New Roman" w:hAnsi="Times New Roman" w:cs="Times New Roman"/>
            </w:rPr>
            <w:t>15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"_Toc140179277" </w:instrText>
          </w:r>
          <w:r>
            <w:rPr>
              <w:rFonts w:hint="default" w:ascii="Times New Roman" w:hAnsi="Times New Roman" w:cs="Times New Roman"/>
            </w:rPr>
            <w:fldChar w:fldCharType="separate"/>
          </w:r>
          <w:r>
            <w:rPr>
              <w:rStyle w:val="8"/>
              <w:rFonts w:hint="default" w:ascii="Times New Roman" w:hAnsi="Times New Roman" w:cs="Times New Roman"/>
            </w:rPr>
            <w:t>Ansoff Matrix</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_Toc140179277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"_Toc140179278" </w:instrText>
          </w:r>
          <w:r>
            <w:rPr>
              <w:rFonts w:hint="default" w:ascii="Times New Roman" w:hAnsi="Times New Roman" w:cs="Times New Roman"/>
            </w:rPr>
            <w:fldChar w:fldCharType="separate"/>
          </w:r>
          <w:r>
            <w:rPr>
              <w:rStyle w:val="8"/>
              <w:rFonts w:hint="default" w:ascii="Times New Roman" w:hAnsi="Times New Roman" w:cs="Times New Roman"/>
            </w:rPr>
            <w:t>Porter Generic Strategies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_Toc140179278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"_Toc140179279" </w:instrText>
          </w:r>
          <w:r>
            <w:rPr>
              <w:rFonts w:hint="default" w:ascii="Times New Roman" w:hAnsi="Times New Roman" w:cs="Times New Roman"/>
            </w:rPr>
            <w:fldChar w:fldCharType="separate"/>
          </w:r>
          <w:r>
            <w:rPr>
              <w:rStyle w:val="8"/>
              <w:rFonts w:hint="default" w:ascii="Times New Roman" w:hAnsi="Times New Roman" w:cs="Times New Roman"/>
            </w:rPr>
            <w:t>Implications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_Toc140179279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"_Toc140179280" </w:instrText>
          </w:r>
          <w:r>
            <w:rPr>
              <w:rFonts w:hint="default" w:ascii="Times New Roman" w:hAnsi="Times New Roman" w:cs="Times New Roman"/>
            </w:rPr>
            <w:fldChar w:fldCharType="separate"/>
          </w:r>
          <w:r>
            <w:rPr>
              <w:rStyle w:val="8"/>
              <w:rFonts w:hint="default" w:ascii="Times New Roman" w:hAnsi="Times New Roman" w:cs="Times New Roman"/>
            </w:rPr>
            <w:t>Implications of the proposed strategy on different areas of the organisation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_Toc140179280 \h </w:instrText>
          </w:r>
          <w:r>
            <w:rPr>
              <w:rFonts w:hint="default" w:ascii="Times New Roman" w:hAnsi="Times New Roman" w:cs="Times New Roman"/>
            </w:rPr>
            <w:fldChar w:fldCharType="separate"/>
          </w:r>
          <w:r>
            <w:rPr>
              <w:rFonts w:hint="default" w:ascii="Times New Roman" w:hAnsi="Times New Roman" w:cs="Times New Roman"/>
            </w:rPr>
            <w:t>19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2"/>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"_Toc140179281" </w:instrText>
          </w:r>
          <w:r>
            <w:rPr>
              <w:rFonts w:hint="default" w:ascii="Times New Roman" w:hAnsi="Times New Roman" w:cs="Times New Roman"/>
            </w:rPr>
            <w:fldChar w:fldCharType="separate"/>
          </w:r>
          <w:r>
            <w:rPr>
              <w:rStyle w:val="8"/>
              <w:rFonts w:hint="default" w:ascii="Times New Roman" w:hAnsi="Times New Roman" w:eastAsia="Times New Roman" w:cs="Times New Roman"/>
            </w:rPr>
            <w:t>Implication of the proposed strategy using Bowman’s Strategy Clock</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_Toc140179281 \h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"_Toc140179282" </w:instrText>
          </w:r>
          <w:r>
            <w:rPr>
              <w:rFonts w:hint="default" w:ascii="Times New Roman" w:hAnsi="Times New Roman" w:cs="Times New Roman"/>
            </w:rPr>
            <w:fldChar w:fldCharType="separate"/>
          </w:r>
          <w:r>
            <w:rPr>
              <w:rStyle w:val="8"/>
              <w:rFonts w:hint="default" w:ascii="Times New Roman" w:hAnsi="Times New Roman" w:eastAsia="Times New Roman" w:cs="Times New Roman"/>
              <w:lang w:eastAsia="en-IN"/>
            </w:rPr>
            <w:t>Conclusions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_Toc140179282 \h </w:instrText>
          </w:r>
          <w:r>
            <w:rPr>
              <w:rFonts w:hint="default" w:ascii="Times New Roman" w:hAnsi="Times New Roman" w:cs="Times New Roman"/>
            </w:rPr>
            <w:fldChar w:fldCharType="separate"/>
          </w:r>
          <w:r>
            <w:rPr>
              <w:rFonts w:hint="default" w:ascii="Times New Roman" w:hAnsi="Times New Roman" w:cs="Times New Roman"/>
            </w:rPr>
            <w:t>23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"_Toc140179283" </w:instrText>
          </w:r>
          <w:r>
            <w:rPr>
              <w:rFonts w:hint="default" w:ascii="Times New Roman" w:hAnsi="Times New Roman" w:cs="Times New Roman"/>
            </w:rPr>
            <w:fldChar w:fldCharType="separate"/>
          </w:r>
          <w:r>
            <w:rPr>
              <w:rStyle w:val="8"/>
              <w:rFonts w:hint="default" w:ascii="Times New Roman" w:hAnsi="Times New Roman" w:eastAsia="Times New Roman" w:cs="Times New Roman"/>
              <w:lang w:eastAsia="en-IN"/>
            </w:rPr>
            <w:t>Recommendations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_Toc140179283 \h </w:instrText>
          </w:r>
          <w:r>
            <w:rPr>
              <w:rFonts w:hint="default" w:ascii="Times New Roman" w:hAnsi="Times New Roman" w:cs="Times New Roman"/>
            </w:rPr>
            <w:fldChar w:fldCharType="separate"/>
          </w:r>
          <w:r>
            <w:rPr>
              <w:rFonts w:hint="default" w:ascii="Times New Roman" w:hAnsi="Times New Roman" w:cs="Times New Roman"/>
            </w:rPr>
            <w:t>23</w:t>
          </w:r>
          <w:r>
            <w:rPr>
              <w:rFonts w:hint="default" w:ascii="Times New Roman" w:hAnsi="Times New Roman" w:cs="Times New Roman"/>
            </w:rPr>
            <w:fldChar w:fldCharType="end"/>
          </w:r>
          <w:r>
            <w:rPr>
              <w:rFonts w:hint="default" w:ascii="Times New Roman" w:hAnsi="Times New Roman" w:cs="Times New Roman"/>
            </w:rPr>
            <w:fldChar w:fldCharType="end"/>
          </w:r>
        </w:p>
        <w:p>
          <w:pPr>
            <w:pStyle w:val="11"/>
            <w:tabs>
              <w:tab w:val="right" w:leader="dot" w:pos="9350"/>
            </w:tabs>
            <w:rPr>
              <w:rFonts w:hint="default" w:ascii="Times New Roman" w:hAnsi="Times New Roman" w:cs="Times New Roman" w:eastAsiaTheme="minorEastAsia"/>
              <w:kern w:val="2"/>
              <w:sz w:val="22"/>
              <w:lang w:val="en-IN" w:eastAsia="en-IN"/>
              <w14:ligatures w14:val="standardContextual"/>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"_Toc140179284" </w:instrText>
          </w:r>
          <w:r>
            <w:rPr>
              <w:rFonts w:hint="default" w:ascii="Times New Roman" w:hAnsi="Times New Roman" w:cs="Times New Roman"/>
            </w:rPr>
            <w:fldChar w:fldCharType="separate"/>
          </w:r>
          <w:r>
            <w:rPr>
              <w:rStyle w:val="8"/>
              <w:rFonts w:hint="default" w:ascii="Times New Roman" w:hAnsi="Times New Roman" w:cs="Times New Roman"/>
            </w:rPr>
            <w:t>Reference List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_Toc140179284 \h </w:instrText>
          </w:r>
          <w:r>
            <w:rPr>
              <w:rFonts w:hint="default" w:ascii="Times New Roman" w:hAnsi="Times New Roman" w:cs="Times New Roman"/>
            </w:rPr>
            <w:fldChar w:fldCharType="separate"/>
          </w:r>
          <w:r>
            <w:rPr>
              <w:rFonts w:hint="default" w:ascii="Times New Roman" w:hAnsi="Times New Roman" w:cs="Times New Roman"/>
            </w:rPr>
            <w:t>25</w:t>
          </w:r>
          <w:r>
            <w:rPr>
              <w:rFonts w:hint="default" w:ascii="Times New Roman" w:hAnsi="Times New Roman" w:cs="Times New Roman"/>
            </w:rPr>
            <w:fldChar w:fldCharType="end"/>
          </w:r>
          <w:r>
            <w:rPr>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b/>
              <w:bCs/>
            </w:rPr>
            <w:fldChar w:fldCharType="end"/>
          </w:r>
        </w:p>
      </w:sdtContent>
    </w:sdt>
    <w:p>
      <w:pPr>
        <w:pStyle w:val="2"/>
        <w:rPr>
          <w:rFonts w:hint="default" w:ascii="Times New Roman" w:hAnsi="Times New Roman" w:cs="Times New Roman"/>
        </w:rPr>
      </w:pPr>
    </w:p>
    <w:p>
      <w:pPr>
        <w:pStyle w:val="2"/>
        <w:rPr>
          <w:rFonts w:hint="default" w:ascii="Times New Roman" w:hAnsi="Times New Roman" w:cs="Times New Roman"/>
        </w:rPr>
      </w:pPr>
    </w:p>
    <w:p>
      <w:pPr>
        <w:spacing w:line="259" w:lineRule="auto"/>
        <w:jc w:val="left"/>
        <w:rPr>
          <w:rFonts w:hint="default" w:ascii="Times New Roman" w:hAnsi="Times New Roman" w:cs="Times New Roman" w:eastAsiaTheme="majorEastAsia"/>
          <w:b/>
          <w:color w:val="000000" w:themeColor="text1"/>
          <w:szCs w:val="32"/>
          <w:lang w:val="en-US"/>
          <w14:textFill>
            <w14:solidFill>
              <w14:schemeClr w14:val="tx1"/>
            </w14:solidFill>
          </w14:textFill>
        </w:rPr>
      </w:pPr>
      <w:r>
        <w:rPr>
          <w:rFonts w:hint="default" w:ascii="Times New Roman" w:hAnsi="Times New Roman" w:cs="Times New Roman"/>
        </w:rPr>
        <w:br w:type="page"/>
      </w:r>
    </w:p>
    <w:p>
      <w:pPr>
        <w:pStyle w:val="2"/>
        <w:rPr>
          <w:rFonts w:hint="default" w:ascii="Times New Roman" w:hAnsi="Times New Roman" w:eastAsia="Times New Roman" w:cs="Times New Roman"/>
          <w:b w:val="0"/>
        </w:rPr>
      </w:pPr>
      <w:bookmarkStart w:id="0" w:name="_6m44u0mxmvxr" w:colFirst="0" w:colLast="0"/>
      <w:bookmarkEnd w:id="0"/>
      <w:bookmarkStart w:id="1" w:name="_Toc140179270"/>
      <w:r>
        <w:rPr>
          <w:rFonts w:hint="default" w:ascii="Times New Roman" w:hAnsi="Times New Roman" w:eastAsia="Times New Roman" w:cs="Times New Roman"/>
        </w:rPr>
        <w:t>Introduction</w:t>
      </w:r>
      <w:bookmarkEnd w:id="1"/>
      <w:r>
        <w:rPr>
          <w:rFonts w:hint="default" w:ascii="Times New Roman" w:hAnsi="Times New Roman" w:eastAsia="Times New Roman" w:cs="Times New Roman"/>
        </w:rPr>
        <w:t xml:space="preserve"> </w:t>
      </w:r>
    </w:p>
    <w:p>
      <w:pPr>
        <w:ind w:firstLine="720"/>
        <w:rPr>
          <w:rFonts w:hint="default" w:ascii="Times New Roman" w:hAnsi="Times New Roman" w:cs="Times New Roman"/>
        </w:rPr>
      </w:pPr>
      <w:r>
        <w:rPr>
          <w:rFonts w:hint="default" w:ascii="Times New Roman" w:hAnsi="Times New Roman" w:cs="Times New Roman"/>
        </w:rPr>
        <w:t>The business growth and success of an organisation greatly depends on their adopted strategic decision and choices. Strategy decision-making is the process of identifying, evaluating and selecting the best strategy that assists the business in achieving the organisational goals and objectives and obtaining customer satisfaction and major competitive advantages (Proctor, 2018). Strategic decisions must be aligned with the company’s mission, vision, objectives and interest of the key stakeholders to gain the maximum competitive edge in the business market. According to the business trends, customer preferences and requirements, and available business and technological infrastructure, organisations often need to modify their strategic direction in order to stay relevant in the contemporary business environment (Habib and Habib, 2019). This report will provide potential effective strategies to reshape the strategic direction of Rio Tinto. There is a need to reshape the strategic direction of this company to deliver innovative and personalised customer care for the purpose of attaining more sustainable competitive benefits.</w:t>
      </w:r>
    </w:p>
    <w:p>
      <w:pPr>
        <w:rPr>
          <w:rFonts w:hint="default" w:ascii="Times New Roman" w:hAnsi="Times New Roman" w:cs="Times New Roman"/>
        </w:rPr>
      </w:pPr>
      <w:r>
        <w:rPr>
          <w:rFonts w:hint="default" w:ascii="Times New Roman" w:hAnsi="Times New Roman" w:cs="Times New Roman"/>
        </w:rPr>
        <w:t xml:space="preserve">Rio Tinto Plc is regarded as the second largest multinational metals and mining corporation in the world, which was established in the year 1873. The company operates in 35 countries across the world in the mines, refineries, and smelters, as well as in the research and development labs, sales office, data centres and artificial intelligence. The organisation is always struggling to find a better way to offer the materials that the world requires (Secundo, 2022). The company has near about 52000 employees with more than 2000 customers. To provide the best strategic options for the company to deliver better customer care, a thorough strategic analysis will be conducted in this report. For the strategic analysis and options, various frameworks or models like PESTLE analysis, SWOT analysis, Ansoff matrix, Bowman’s Strategy Clock and Porter Generic Strategies will be undertaken here. Moreover, the implication of the proposed strategy in the organisation will be described here. </w:t>
      </w:r>
    </w:p>
    <w:p>
      <w:pPr>
        <w:rPr>
          <w:rFonts w:hint="default" w:ascii="Times New Roman" w:hAnsi="Times New Roman" w:cs="Times New Roman"/>
        </w:rPr>
      </w:pPr>
    </w:p>
    <w:p>
      <w:pPr>
        <w:pStyle w:val="2"/>
        <w:rPr>
          <w:rFonts w:hint="default" w:ascii="Times New Roman" w:hAnsi="Times New Roman" w:eastAsia="Times New Roman" w:cs="Times New Roman"/>
          <w:sz w:val="48"/>
          <w:szCs w:val="48"/>
          <w:lang w:eastAsia="en-IN"/>
        </w:rPr>
      </w:pPr>
      <w:bookmarkStart w:id="2" w:name="_Toc140179271"/>
      <w:r>
        <w:rPr>
          <w:rFonts w:hint="default" w:ascii="Times New Roman" w:hAnsi="Times New Roman" w:eastAsia="Times New Roman" w:cs="Times New Roman"/>
          <w:lang w:eastAsia="en-IN"/>
        </w:rPr>
        <w:t>Strategic analysis of the company and main findings drawn from it</w:t>
      </w:r>
      <w:bookmarkEnd w:id="2"/>
    </w:p>
    <w:p>
      <w:pPr>
        <w:pStyle w:val="3"/>
        <w:rPr>
          <w:rFonts w:hint="default" w:ascii="Times New Roman" w:hAnsi="Times New Roman" w:eastAsia="Times New Roman" w:cs="Times New Roman"/>
          <w:lang w:eastAsia="en-IN"/>
        </w:rPr>
      </w:pPr>
      <w:bookmarkStart w:id="3" w:name="_Toc140179272"/>
      <w:r>
        <w:rPr>
          <w:rFonts w:hint="default" w:ascii="Times New Roman" w:hAnsi="Times New Roman" w:eastAsia="Times New Roman" w:cs="Times New Roman"/>
          <w:lang w:eastAsia="en-IN"/>
        </w:rPr>
        <w:t>External Environmental Analysis</w:t>
      </w:r>
      <w:bookmarkEnd w:id="3"/>
    </w:p>
    <w:p>
      <w:pPr>
        <w:spacing w:after="0" w:line="240" w:lineRule="auto"/>
        <w:rPr>
          <w:rFonts w:hint="default" w:ascii="Times New Roman" w:hAnsi="Times New Roman" w:eastAsia="Times New Roman" w:cs="Times New Roman"/>
          <w:szCs w:val="24"/>
          <w:lang w:eastAsia="en-IN"/>
        </w:rPr>
      </w:pPr>
    </w:p>
    <w:p>
      <w:pPr>
        <w:rPr>
          <w:rFonts w:hint="default" w:ascii="Times New Roman" w:hAnsi="Times New Roman" w:cs="Times New Roman"/>
        </w:rPr>
      </w:pPr>
      <w:r>
        <w:rPr>
          <w:rFonts w:hint="default" w:ascii="Times New Roman" w:hAnsi="Times New Roman" w:cs="Times New Roman"/>
        </w:rPr>
        <w:t>The PESTLE analysis is a strategic tool for analysing the organisation's macro environment. The PESTLE analysis is an acronym for - Political, Economic, Social, Technological, Environmental &amp; Legal factors. In this scenario, the PESTLE analysis is being utilised to identify the factors that impact the macro environment of Rio Tinto. </w:t>
      </w:r>
    </w:p>
    <w:p>
      <w:pPr>
        <w:rPr>
          <w:rFonts w:hint="default" w:ascii="Times New Roman" w:hAnsi="Times New Roman" w:cs="Times New Roman"/>
        </w:rPr>
      </w:pPr>
      <w:r>
        <w:rPr>
          <w:rFonts w:hint="default" w:ascii="Times New Roman" w:hAnsi="Times New Roman" w:cs="Times New Roman"/>
          <w:lang w:val="en-IN" w:eastAsia="en-IN"/>
        </w:rPr>
        <w:drawing>
          <wp:inline distT="0" distB="0" distL="0" distR="0">
            <wp:extent cx="5731510" cy="3983355"/>
            <wp:effectExtent l="0" t="0" r="0" b="0"/>
            <wp:docPr id="1" name="Picture 1"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estle Analysis Examples to Unlock Business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731510" cy="3983930"/>
                    </a:xfrm>
                    <a:prstGeom prst="rect">
                      <a:avLst/>
                    </a:prstGeom>
                    <a:noFill/>
                    <a:ln>
                      <a:noFill/>
                    </a:ln>
                  </pic:spPr>
                </pic:pic>
              </a:graphicData>
            </a:graphic>
          </wp:inline>
        </w:drawing>
      </w:r>
    </w:p>
    <w:p>
      <w:pPr>
        <w:jc w:val="center"/>
        <w:rPr>
          <w:rFonts w:hint="default" w:ascii="Times New Roman" w:hAnsi="Times New Roman" w:cs="Times New Roman"/>
          <w:b/>
        </w:rPr>
      </w:pPr>
      <w:r>
        <w:rPr>
          <w:rFonts w:hint="default" w:ascii="Times New Roman" w:hAnsi="Times New Roman" w:cs="Times New Roman"/>
          <w:b/>
        </w:rPr>
        <w:t>Figure 1: PESTLE Analysis</w:t>
      </w:r>
    </w:p>
    <w:p>
      <w:pPr>
        <w:jc w:val="center"/>
        <w:rPr>
          <w:rFonts w:hint="default" w:ascii="Times New Roman" w:hAnsi="Times New Roman" w:cs="Times New Roman"/>
        </w:rPr>
      </w:pPr>
      <w:r>
        <w:rPr>
          <w:rFonts w:hint="default" w:ascii="Times New Roman" w:hAnsi="Times New Roman" w:cs="Times New Roman"/>
        </w:rPr>
        <w:t>(Source: Capobianco et al., 2021)</w:t>
      </w:r>
    </w:p>
    <w:p>
      <w:pPr>
        <w:jc w:val="center"/>
        <w:rPr>
          <w:rFonts w:hint="default" w:ascii="Times New Roman" w:hAnsi="Times New Roman" w:cs="Times New Roman"/>
        </w:rPr>
      </w:pPr>
      <w:r>
        <w:rPr>
          <w:rFonts w:hint="default" w:ascii="Times New Roman" w:hAnsi="Times New Roman" w:cs="Times New Roman"/>
          <w:lang w:val="en-IN" w:eastAsia="en-IN"/>
        </w:rPr>
        <w:drawing>
          <wp:inline distT="0" distB="0" distL="0" distR="0">
            <wp:extent cx="4572000" cy="3323590"/>
            <wp:effectExtent l="0" t="0" r="0" b="0"/>
            <wp:docPr id="4" name="Picture 4" descr="https://lh4.googleusercontent.com/WQ_a_tf57xRF-8JHMRj3AsQlzOMtuUdOcb0RJmdpb7dvqi_Tb3an8sq8pjKvDg8iBU4Iomy8-HFZ85WYX0pLPPzZYuvJsHPDoUdzCxKgmRspZQcTS9zmo4ATbR9zD-0lPloL9laqbg53dWCpVV4_d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4.googleusercontent.com/WQ_a_tf57xRF-8JHMRj3AsQlzOMtuUdOcb0RJmdpb7dvqi_Tb3an8sq8pjKvDg8iBU4Iomy8-HFZ85WYX0pLPPzZYuvJsHPDoUdzCxKgmRspZQcTS9zmo4ATbR9zD-0lPloL9laqbg53dWCpVV4_d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572000" cy="3323590"/>
                    </a:xfrm>
                    <a:prstGeom prst="rect">
                      <a:avLst/>
                    </a:prstGeom>
                    <a:noFill/>
                    <a:ln>
                      <a:noFill/>
                    </a:ln>
                  </pic:spPr>
                </pic:pic>
              </a:graphicData>
            </a:graphic>
          </wp:inline>
        </w:drawing>
      </w:r>
    </w:p>
    <w:p>
      <w:pPr>
        <w:jc w:val="center"/>
        <w:rPr>
          <w:rFonts w:hint="default" w:ascii="Times New Roman" w:hAnsi="Times New Roman" w:cs="Times New Roman"/>
          <w:b/>
        </w:rPr>
      </w:pPr>
      <w:r>
        <w:rPr>
          <w:rFonts w:hint="default" w:ascii="Times New Roman" w:hAnsi="Times New Roman" w:cs="Times New Roman"/>
          <w:b/>
        </w:rPr>
        <w:t>Figure 2: Distribution of Rio Tinto's revenue from 2011 to 2022</w:t>
      </w:r>
    </w:p>
    <w:p>
      <w:pPr>
        <w:jc w:val="center"/>
        <w:rPr>
          <w:rFonts w:hint="default" w:ascii="Times New Roman" w:hAnsi="Times New Roman" w:cs="Times New Roman"/>
        </w:rPr>
      </w:pPr>
      <w:r>
        <w:rPr>
          <w:rFonts w:hint="default" w:ascii="Times New Roman" w:hAnsi="Times New Roman" w:cs="Times New Roman"/>
        </w:rPr>
        <w:t>(Source: Garside, 2023)</w:t>
      </w:r>
    </w:p>
    <w:p>
      <w:pPr>
        <w:rPr>
          <w:rFonts w:hint="default" w:ascii="Times New Roman" w:hAnsi="Times New Roman" w:cs="Times New Roman"/>
        </w:rPr>
      </w:pPr>
      <w:r>
        <w:rPr>
          <w:rFonts w:hint="default" w:ascii="Times New Roman" w:hAnsi="Times New Roman" w:cs="Times New Roman"/>
          <w:b/>
        </w:rPr>
        <w:t xml:space="preserve">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85"/>
        <w:gridCol w:w="65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jc w:val="center"/>
              <w:rPr>
                <w:rFonts w:hint="default" w:ascii="Times New Roman" w:hAnsi="Times New Roman" w:cs="Times New Roman"/>
                <w:b/>
              </w:rPr>
            </w:pPr>
            <w:r>
              <w:rPr>
                <w:rFonts w:hint="default" w:ascii="Times New Roman" w:hAnsi="Times New Roman" w:cs="Times New Roman"/>
                <w:b/>
              </w:rPr>
              <w:t>Factors</w:t>
            </w:r>
          </w:p>
        </w:tc>
        <w:tc>
          <w:tcPr>
            <w:tcW w:w="6565" w:type="dxa"/>
          </w:tcPr>
          <w:p>
            <w:pPr>
              <w:jc w:val="center"/>
              <w:rPr>
                <w:rFonts w:hint="default" w:ascii="Times New Roman" w:hAnsi="Times New Roman" w:cs="Times New Roman"/>
                <w:b/>
              </w:rPr>
            </w:pPr>
            <w:r>
              <w:rPr>
                <w:rFonts w:hint="default" w:ascii="Times New Roman" w:hAnsi="Times New Roman" w:cs="Times New Roman"/>
                <w:b/>
              </w:rPr>
              <w:t>Impact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rPr>
                <w:rFonts w:hint="default" w:ascii="Times New Roman" w:hAnsi="Times New Roman" w:cs="Times New Roman"/>
              </w:rPr>
            </w:pPr>
            <w:r>
              <w:rPr>
                <w:rFonts w:hint="default" w:ascii="Times New Roman" w:hAnsi="Times New Roman" w:cs="Times New Roman"/>
              </w:rPr>
              <w:t>Political</w:t>
            </w:r>
          </w:p>
        </w:tc>
        <w:tc>
          <w:tcPr>
            <w:tcW w:w="6565" w:type="dxa"/>
          </w:tcPr>
          <w:p>
            <w:pPr>
              <w:pStyle w:val="19"/>
              <w:numPr>
                <w:ilvl w:val="0"/>
                <w:numId w:val="1"/>
              </w:numPr>
              <w:rPr>
                <w:rFonts w:hint="default" w:ascii="Times New Roman" w:hAnsi="Times New Roman" w:cs="Times New Roman"/>
              </w:rPr>
            </w:pPr>
            <w:r>
              <w:rPr>
                <w:rFonts w:hint="default" w:ascii="Times New Roman" w:hAnsi="Times New Roman" w:cs="Times New Roman"/>
              </w:rPr>
              <w:t>As per Figure 1, political factors play a significant role in determining the impacts on Rio Tinto Ltd. mining industries is one of the industries which are primarily impacted by changes in international political relations (Capobianco et al., 2021).</w:t>
            </w:r>
          </w:p>
          <w:p>
            <w:pPr>
              <w:pStyle w:val="19"/>
              <w:numPr>
                <w:ilvl w:val="0"/>
                <w:numId w:val="1"/>
              </w:numPr>
              <w:rPr>
                <w:rFonts w:hint="default" w:ascii="Times New Roman" w:hAnsi="Times New Roman" w:cs="Times New Roman"/>
              </w:rPr>
            </w:pPr>
            <w:r>
              <w:rPr>
                <w:rFonts w:hint="default" w:ascii="Times New Roman" w:hAnsi="Times New Roman" w:cs="Times New Roman"/>
              </w:rPr>
              <w:t xml:space="preserve"> The conflict between the US-China led to severe optimism in many other parts of the world, making the superpowers look for new sources for generating critical minerals (Wang et al., 2021). </w:t>
            </w:r>
          </w:p>
          <w:p>
            <w:pPr>
              <w:pStyle w:val="19"/>
              <w:numPr>
                <w:ilvl w:val="0"/>
                <w:numId w:val="1"/>
              </w:numPr>
              <w:rPr>
                <w:rFonts w:hint="default" w:ascii="Times New Roman" w:hAnsi="Times New Roman" w:cs="Times New Roman"/>
              </w:rPr>
            </w:pPr>
            <w:r>
              <w:rPr>
                <w:rFonts w:hint="default" w:ascii="Times New Roman" w:hAnsi="Times New Roman" w:cs="Times New Roman"/>
              </w:rPr>
              <w:t xml:space="preserve">But Australia benefits from the low reliance on US-China goods and Rio Tinto. The global miner Rio Tinto was significantly concerned about the escalating trade war but had no issues with the orders from the US and Chinese customers and reported a 12 per cent rise in the first-half profit. </w:t>
            </w:r>
          </w:p>
          <w:p>
            <w:pPr>
              <w:pStyle w:val="19"/>
              <w:numPr>
                <w:ilvl w:val="0"/>
                <w:numId w:val="1"/>
              </w:numPr>
              <w:rPr>
                <w:rFonts w:hint="default" w:ascii="Times New Roman" w:hAnsi="Times New Roman" w:cs="Times New Roman"/>
              </w:rPr>
            </w:pPr>
            <w:r>
              <w:rPr>
                <w:rFonts w:hint="default" w:ascii="Times New Roman" w:hAnsi="Times New Roman" w:cs="Times New Roman"/>
              </w:rPr>
              <w:t xml:space="preserve">After the sanctions imposed by the US on Rusal, Rio Tinto missed out on the recent price gains in alumina, which cost them numerous million dollars for not considering the pricing in old alumina contracts. </w:t>
            </w:r>
          </w:p>
          <w:p>
            <w:pPr>
              <w:pStyle w:val="19"/>
              <w:numPr>
                <w:ilvl w:val="0"/>
                <w:numId w:val="1"/>
              </w:numPr>
              <w:rPr>
                <w:rFonts w:hint="default" w:ascii="Times New Roman" w:hAnsi="Times New Roman" w:cs="Times New Roman"/>
              </w:rPr>
            </w:pPr>
            <w:r>
              <w:rPr>
                <w:rFonts w:hint="default" w:ascii="Times New Roman" w:hAnsi="Times New Roman" w:cs="Times New Roman"/>
              </w:rPr>
              <w:t>The influence of the Brexit partition is minimal on Rio Tinto as the mining company does not trade much in the UK and EU (Popham, 2021). Thus Rio Tinto pledged to keep its head office in London even after the Brexit partition.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rPr>
                <w:rFonts w:hint="default" w:ascii="Times New Roman" w:hAnsi="Times New Roman" w:cs="Times New Roman"/>
              </w:rPr>
            </w:pPr>
            <w:r>
              <w:rPr>
                <w:rFonts w:hint="default" w:ascii="Times New Roman" w:hAnsi="Times New Roman" w:cs="Times New Roman"/>
              </w:rPr>
              <w:t>Economical</w:t>
            </w:r>
          </w:p>
        </w:tc>
        <w:tc>
          <w:tcPr>
            <w:tcW w:w="6565" w:type="dxa"/>
          </w:tcPr>
          <w:p>
            <w:pPr>
              <w:pStyle w:val="19"/>
              <w:numPr>
                <w:ilvl w:val="0"/>
                <w:numId w:val="2"/>
              </w:numPr>
              <w:rPr>
                <w:rFonts w:hint="default" w:ascii="Times New Roman" w:hAnsi="Times New Roman" w:cs="Times New Roman"/>
              </w:rPr>
            </w:pPr>
            <w:r>
              <w:rPr>
                <w:rFonts w:hint="default" w:ascii="Times New Roman" w:hAnsi="Times New Roman" w:cs="Times New Roman"/>
              </w:rPr>
              <w:t xml:space="preserve">The mining corporation Rio Tinto's revenue in 2022 globally amounted to </w:t>
            </w:r>
            <w:r>
              <w:rPr>
                <w:rFonts w:hint="default" w:ascii="Times New Roman" w:hAnsi="Times New Roman" w:eastAsia="MS Gothic" w:cs="Times New Roman"/>
              </w:rPr>
              <w:t>＄</w:t>
            </w:r>
            <w:r>
              <w:rPr>
                <w:rFonts w:hint="default" w:ascii="Times New Roman" w:hAnsi="Times New Roman" w:cs="Times New Roman"/>
              </w:rPr>
              <w:t xml:space="preserve">55.55 Billion, and the net income approximately amounted to </w:t>
            </w:r>
            <w:r>
              <w:rPr>
                <w:rFonts w:hint="default" w:ascii="Times New Roman" w:hAnsi="Times New Roman" w:eastAsia="MS Gothic" w:cs="Times New Roman"/>
              </w:rPr>
              <w:t>＄</w:t>
            </w:r>
            <w:r>
              <w:rPr>
                <w:rFonts w:hint="default" w:ascii="Times New Roman" w:hAnsi="Times New Roman" w:cs="Times New Roman"/>
              </w:rPr>
              <w:t>12.4 Billion. The company's operation in China accounted for its most significant revenue share. </w:t>
            </w:r>
          </w:p>
          <w:p>
            <w:pPr>
              <w:pStyle w:val="19"/>
              <w:numPr>
                <w:ilvl w:val="0"/>
                <w:numId w:val="2"/>
              </w:numPr>
              <w:rPr>
                <w:rFonts w:hint="default" w:ascii="Times New Roman" w:hAnsi="Times New Roman" w:cs="Times New Roman"/>
              </w:rPr>
            </w:pPr>
            <w:r>
              <w:rPr>
                <w:rFonts w:hint="default" w:ascii="Times New Roman" w:hAnsi="Times New Roman" w:cs="Times New Roman"/>
              </w:rPr>
              <w:t xml:space="preserve">The above Figure 2 shows that Rio Tinto generated sales revenue of more than </w:t>
            </w:r>
            <w:r>
              <w:rPr>
                <w:rFonts w:hint="default" w:ascii="Times New Roman" w:hAnsi="Times New Roman" w:eastAsia="MS Gothic" w:cs="Times New Roman"/>
              </w:rPr>
              <w:t>＄</w:t>
            </w:r>
            <w:r>
              <w:rPr>
                <w:rFonts w:hint="default" w:ascii="Times New Roman" w:hAnsi="Times New Roman" w:cs="Times New Roman"/>
              </w:rPr>
              <w:t xml:space="preserve">54 Billion in the year 2022 (Garside, 2023). </w:t>
            </w:r>
          </w:p>
          <w:p>
            <w:pPr>
              <w:pStyle w:val="19"/>
              <w:numPr>
                <w:ilvl w:val="0"/>
                <w:numId w:val="2"/>
              </w:numPr>
              <w:rPr>
                <w:rFonts w:hint="default" w:ascii="Times New Roman" w:hAnsi="Times New Roman" w:cs="Times New Roman"/>
              </w:rPr>
            </w:pPr>
            <w:r>
              <w:rPr>
                <w:rFonts w:hint="default" w:ascii="Times New Roman" w:hAnsi="Times New Roman" w:cs="Times New Roman"/>
              </w:rPr>
              <w:t xml:space="preserve">The United States is always considered the second largest market in revenue, generating more than 18 per cent in sales revenue. As of 2022, the Corporate tax paid by the company was </w:t>
            </w:r>
            <w:r>
              <w:rPr>
                <w:rFonts w:hint="default" w:ascii="Times New Roman" w:hAnsi="Times New Roman" w:eastAsia="MS Gothic" w:cs="Times New Roman"/>
              </w:rPr>
              <w:t>＄</w:t>
            </w:r>
            <w:r>
              <w:rPr>
                <w:rFonts w:hint="default" w:ascii="Times New Roman" w:hAnsi="Times New Roman" w:cs="Times New Roman"/>
              </w:rPr>
              <w:t xml:space="preserve">6.9 Billion, and the community investment amounted to </w:t>
            </w:r>
            <w:r>
              <w:rPr>
                <w:rFonts w:hint="default" w:ascii="Times New Roman" w:hAnsi="Times New Roman" w:eastAsia="MS Gothic" w:cs="Times New Roman"/>
              </w:rPr>
              <w:t>＄</w:t>
            </w:r>
            <w:r>
              <w:rPr>
                <w:rFonts w:hint="default" w:ascii="Times New Roman" w:hAnsi="Times New Roman" w:cs="Times New Roman"/>
              </w:rPr>
              <w:t>62.6 Million (Garside, 2023).</w:t>
            </w:r>
          </w:p>
          <w:p>
            <w:pPr>
              <w:pStyle w:val="19"/>
              <w:numPr>
                <w:ilvl w:val="0"/>
                <w:numId w:val="2"/>
              </w:numPr>
              <w:rPr>
                <w:rFonts w:hint="default" w:ascii="Times New Roman" w:hAnsi="Times New Roman" w:cs="Times New Roman"/>
              </w:rPr>
            </w:pPr>
            <w:r>
              <w:rPr>
                <w:rFonts w:hint="default" w:ascii="Times New Roman" w:hAnsi="Times New Roman" w:cs="Times New Roman"/>
              </w:rPr>
              <w:t xml:space="preserve"> The contributions to the development programmes accounted for </w:t>
            </w:r>
            <w:r>
              <w:rPr>
                <w:rFonts w:hint="default" w:ascii="Times New Roman" w:hAnsi="Times New Roman" w:eastAsia="MS Gothic" w:cs="Times New Roman"/>
              </w:rPr>
              <w:t>＄</w:t>
            </w:r>
            <w:r>
              <w:rPr>
                <w:rFonts w:hint="default" w:ascii="Times New Roman" w:hAnsi="Times New Roman" w:cs="Times New Roman"/>
              </w:rPr>
              <w:t xml:space="preserve">18.2 Million, while the payment in employment costs was </w:t>
            </w:r>
            <w:r>
              <w:rPr>
                <w:rFonts w:hint="default" w:ascii="Times New Roman" w:hAnsi="Times New Roman" w:eastAsia="MS Gothic" w:cs="Times New Roman"/>
              </w:rPr>
              <w:t>＄</w:t>
            </w:r>
            <w:r>
              <w:rPr>
                <w:rFonts w:hint="default" w:ascii="Times New Roman" w:hAnsi="Times New Roman" w:cs="Times New Roman"/>
              </w:rPr>
              <w:t xml:space="preserve">6.0 Billion in 2022. The mining company also spent </w:t>
            </w:r>
            <w:r>
              <w:rPr>
                <w:rFonts w:hint="default" w:ascii="Times New Roman" w:hAnsi="Times New Roman" w:eastAsia="MS Gothic" w:cs="Times New Roman"/>
              </w:rPr>
              <w:t>＄</w:t>
            </w:r>
            <w:r>
              <w:rPr>
                <w:rFonts w:hint="default" w:ascii="Times New Roman" w:hAnsi="Times New Roman" w:cs="Times New Roman"/>
              </w:rPr>
              <w:t xml:space="preserve">2.7 Billion with local suppliers, which is 14.5 per cent of their accumulated contestable spend. </w:t>
            </w:r>
          </w:p>
          <w:p>
            <w:pPr>
              <w:pStyle w:val="19"/>
              <w:numPr>
                <w:ilvl w:val="0"/>
                <w:numId w:val="2"/>
              </w:numPr>
              <w:rPr>
                <w:rFonts w:hint="default" w:ascii="Times New Roman" w:hAnsi="Times New Roman" w:cs="Times New Roman"/>
              </w:rPr>
            </w:pPr>
            <w:r>
              <w:rPr>
                <w:rFonts w:hint="default" w:ascii="Times New Roman" w:hAnsi="Times New Roman" w:cs="Times New Roman"/>
              </w:rPr>
              <w:t xml:space="preserve">The amount paid to landowners was </w:t>
            </w:r>
            <w:r>
              <w:rPr>
                <w:rFonts w:hint="default" w:ascii="Times New Roman" w:hAnsi="Times New Roman" w:eastAsia="MS Gothic" w:cs="Times New Roman"/>
              </w:rPr>
              <w:t>＄</w:t>
            </w:r>
            <w:r>
              <w:rPr>
                <w:rFonts w:hint="default" w:ascii="Times New Roman" w:hAnsi="Times New Roman" w:cs="Times New Roman"/>
              </w:rPr>
              <w:t>229 Million in 2022. The economic contributions generally include the taxes paid to the local and national governments with the dividends paid to shareholders.</w:t>
            </w:r>
          </w:p>
          <w:p>
            <w:pPr>
              <w:ind w:left="360"/>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rPr>
                <w:rFonts w:hint="default" w:ascii="Times New Roman" w:hAnsi="Times New Roman" w:cs="Times New Roman"/>
              </w:rPr>
            </w:pPr>
            <w:r>
              <w:rPr>
                <w:rFonts w:hint="default" w:ascii="Times New Roman" w:hAnsi="Times New Roman" w:cs="Times New Roman"/>
              </w:rPr>
              <w:t>Social</w:t>
            </w:r>
          </w:p>
        </w:tc>
        <w:tc>
          <w:tcPr>
            <w:tcW w:w="6565" w:type="dxa"/>
          </w:tcPr>
          <w:p>
            <w:pPr>
              <w:pStyle w:val="19"/>
              <w:numPr>
                <w:ilvl w:val="0"/>
                <w:numId w:val="2"/>
              </w:numPr>
              <w:rPr>
                <w:rFonts w:hint="default" w:ascii="Times New Roman" w:hAnsi="Times New Roman" w:cs="Times New Roman"/>
              </w:rPr>
            </w:pPr>
            <w:r>
              <w:rPr>
                <w:rFonts w:hint="default" w:ascii="Times New Roman" w:hAnsi="Times New Roman" w:cs="Times New Roman"/>
              </w:rPr>
              <w:t xml:space="preserve">The company in 2021 had contributed an amount which is more than </w:t>
            </w:r>
            <w:r>
              <w:rPr>
                <w:rFonts w:hint="default" w:ascii="Times New Roman" w:hAnsi="Times New Roman" w:eastAsia="MS Gothic" w:cs="Times New Roman"/>
              </w:rPr>
              <w:t>＄</w:t>
            </w:r>
            <w:r>
              <w:rPr>
                <w:rFonts w:hint="default" w:ascii="Times New Roman" w:hAnsi="Times New Roman" w:cs="Times New Roman"/>
              </w:rPr>
              <w:t xml:space="preserve">72 Million to the community programs that generally cover health, community infrastructure, services and education. </w:t>
            </w:r>
          </w:p>
          <w:p>
            <w:pPr>
              <w:pStyle w:val="19"/>
              <w:numPr>
                <w:ilvl w:val="0"/>
                <w:numId w:val="2"/>
              </w:numPr>
              <w:rPr>
                <w:rFonts w:hint="default" w:ascii="Times New Roman" w:hAnsi="Times New Roman" w:cs="Times New Roman"/>
              </w:rPr>
            </w:pPr>
            <w:r>
              <w:rPr>
                <w:rFonts w:hint="default" w:ascii="Times New Roman" w:hAnsi="Times New Roman" w:cs="Times New Roman"/>
              </w:rPr>
              <w:t xml:space="preserve">The company collaborated with Gumatj Corporation, Northern Territory, and Australian governments to establish the "Gulkula Regional Training Centre" to offer job training to the local Yolngu people (Holcombe and Kemp, 2020). </w:t>
            </w:r>
          </w:p>
          <w:p>
            <w:pPr>
              <w:pStyle w:val="19"/>
              <w:numPr>
                <w:ilvl w:val="0"/>
                <w:numId w:val="2"/>
              </w:num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rPr>
              <w:t xml:space="preserve">It has also supported the first native-owned and operated "Gulkula Mine" by buying and exporting the </w:t>
            </w:r>
            <w:r>
              <w:rPr>
                <w:rFonts w:hint="default" w:ascii="Times New Roman" w:hAnsi="Times New Roman" w:cs="Times New Roman"/>
                <w:color w:val="000000" w:themeColor="text1"/>
                <w14:textFill>
                  <w14:solidFill>
                    <w14:schemeClr w14:val="tx1"/>
                  </w14:solidFill>
                </w14:textFill>
              </w:rPr>
              <w:t xml:space="preserve">bauxite. In the lands of Mongolia, the "Oyu Tolgoi" mine of Rio Tinto collaborated with "the Wildlife Conservation Society", NASA, Stanford University and Kering (Luxury Group) to implement the "Sustainable Cashmere Project". </w:t>
            </w:r>
          </w:p>
          <w:p>
            <w:pPr>
              <w:pStyle w:val="19"/>
              <w:numPr>
                <w:ilvl w:val="0"/>
                <w:numId w:val="2"/>
              </w:numPr>
              <w:rPr>
                <w:rFonts w:hint="default" w:ascii="Times New Roman" w:hAnsi="Times New Roman" w:cs="Times New Roman"/>
              </w:rPr>
            </w:pPr>
            <w:r>
              <w:rPr>
                <w:rFonts w:hint="default" w:ascii="Times New Roman" w:hAnsi="Times New Roman" w:cs="Times New Roman"/>
              </w:rPr>
              <w:t>The initiative aims to increase and diversify the incomes of the local herder by improving access to new markets through technical and financial support (Johansson, Martin and Mapunda, 2023). In Madagascar, for diversification of the local economy, the QIT Madagascar Minerals team of Rio Tinto generally provides funding for modernised equipment and business skills with training for supporting the local agricultural companies. </w:t>
            </w:r>
          </w:p>
          <w:p>
            <w:pPr>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rPr>
                <w:rFonts w:hint="default" w:ascii="Times New Roman" w:hAnsi="Times New Roman" w:cs="Times New Roman"/>
              </w:rPr>
            </w:pPr>
            <w:r>
              <w:rPr>
                <w:rFonts w:hint="default" w:ascii="Times New Roman" w:hAnsi="Times New Roman" w:cs="Times New Roman"/>
              </w:rPr>
              <w:t>Technological</w:t>
            </w:r>
          </w:p>
        </w:tc>
        <w:tc>
          <w:tcPr>
            <w:tcW w:w="6565" w:type="dxa"/>
          </w:tcPr>
          <w:p>
            <w:pPr>
              <w:pStyle w:val="19"/>
              <w:numPr>
                <w:ilvl w:val="0"/>
                <w:numId w:val="3"/>
              </w:numPr>
              <w:rPr>
                <w:rFonts w:hint="default" w:ascii="Times New Roman" w:hAnsi="Times New Roman" w:cs="Times New Roman"/>
              </w:rPr>
            </w:pPr>
            <w:r>
              <w:rPr>
                <w:rFonts w:hint="default" w:ascii="Times New Roman" w:hAnsi="Times New Roman" w:cs="Times New Roman"/>
              </w:rPr>
              <w:t xml:space="preserve">In 2021, Rio Tinto launched the "Safe Production System" to improve its operations in managing assets and performance and helping its people innovate (Zhou et al., 2020). </w:t>
            </w:r>
          </w:p>
          <w:p>
            <w:pPr>
              <w:pStyle w:val="19"/>
              <w:numPr>
                <w:ilvl w:val="0"/>
                <w:numId w:val="3"/>
              </w:numPr>
              <w:rPr>
                <w:rFonts w:hint="default" w:ascii="Times New Roman" w:hAnsi="Times New Roman" w:cs="Times New Roman"/>
              </w:rPr>
            </w:pPr>
            <w:r>
              <w:rPr>
                <w:rFonts w:hint="default" w:ascii="Times New Roman" w:hAnsi="Times New Roman" w:cs="Times New Roman"/>
              </w:rPr>
              <w:t xml:space="preserve">Through the SPS, the company draws data more efficiently by understanding the health of the assets, maintenance scheduling and effective bottleneck solutions. Thus it improves production efficiency by increasing safety management at sites where SPS are deployed. </w:t>
            </w:r>
          </w:p>
          <w:p>
            <w:pPr>
              <w:pStyle w:val="19"/>
              <w:numPr>
                <w:ilvl w:val="0"/>
                <w:numId w:val="3"/>
              </w:numPr>
              <w:rPr>
                <w:rFonts w:hint="default" w:ascii="Times New Roman" w:hAnsi="Times New Roman" w:cs="Times New Roman"/>
              </w:rPr>
            </w:pPr>
            <w:r>
              <w:rPr>
                <w:rFonts w:hint="default" w:ascii="Times New Roman" w:hAnsi="Times New Roman" w:cs="Times New Roman"/>
                <w:color w:val="000000" w:themeColor="text1"/>
                <w14:textFill>
                  <w14:solidFill>
                    <w14:schemeClr w14:val="tx1"/>
                  </w14:solidFill>
                </w14:textFill>
              </w:rPr>
              <w:t>The mining company Rio Tinto has implemented a new technology for delivering low-carbon steel by utilising sustainable biomass with microwave technology instead of coking coal in the steel-making process (Rissman et al., 2020).</w:t>
            </w:r>
            <w:r>
              <w:rPr>
                <w:rFonts w:hint="default" w:ascii="Times New Roman" w:hAnsi="Times New Roman" w:cs="Times New Roman"/>
                <w:color w:val="FF0000"/>
              </w:rPr>
              <w:t xml:space="preserve"> </w:t>
            </w:r>
            <w:r>
              <w:rPr>
                <w:rFonts w:hint="default" w:ascii="Times New Roman" w:hAnsi="Times New Roman" w:cs="Times New Roman"/>
              </w:rPr>
              <w:t>This is potentially a cost-effective option for reducing the industry's carbon emissions. </w:t>
            </w:r>
          </w:p>
          <w:p>
            <w:pPr>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rPr>
                <w:rFonts w:hint="default" w:ascii="Times New Roman" w:hAnsi="Times New Roman" w:cs="Times New Roman"/>
              </w:rPr>
            </w:pPr>
            <w:r>
              <w:rPr>
                <w:rFonts w:hint="default" w:ascii="Times New Roman" w:hAnsi="Times New Roman" w:cs="Times New Roman"/>
              </w:rPr>
              <w:t>Legal</w:t>
            </w:r>
          </w:p>
        </w:tc>
        <w:tc>
          <w:tcPr>
            <w:tcW w:w="6565" w:type="dxa"/>
          </w:tcPr>
          <w:p>
            <w:pPr>
              <w:pStyle w:val="19"/>
              <w:numPr>
                <w:ilvl w:val="0"/>
                <w:numId w:val="4"/>
              </w:numPr>
              <w:rPr>
                <w:rFonts w:hint="default" w:ascii="Times New Roman" w:hAnsi="Times New Roman" w:cs="Times New Roman"/>
              </w:rPr>
            </w:pPr>
            <w:r>
              <w:rPr>
                <w:rFonts w:hint="default" w:ascii="Times New Roman" w:hAnsi="Times New Roman" w:cs="Times New Roman"/>
              </w:rPr>
              <w:t xml:space="preserve">The mining company Rio Tinto has been held accountable and charged for illegal activities numerous times for the harm it caused to the environment. For this new law of the UK has been proposed, the Business, Human Rights and Environment Act to bring any company to court for violating the environmental laws. </w:t>
            </w:r>
          </w:p>
          <w:p>
            <w:pPr>
              <w:pStyle w:val="19"/>
              <w:numPr>
                <w:ilvl w:val="0"/>
                <w:numId w:val="4"/>
              </w:numPr>
              <w:rPr>
                <w:rFonts w:hint="default" w:ascii="Times New Roman" w:hAnsi="Times New Roman" w:cs="Times New Roman"/>
              </w:rPr>
            </w:pPr>
            <w:r>
              <w:rPr>
                <w:rFonts w:hint="default" w:ascii="Times New Roman" w:hAnsi="Times New Roman" w:cs="Times New Roman"/>
              </w:rPr>
              <w:t>The company has been accused of engaging in environmentally destructive practices. In many parts, it has been contaminating the waterways and harming the aquatic livelihoods. In 2000, the company was alleged under the Alien Tort Claims Act in US federal court for improperly dumping the waste rocks and tailings from the mining operations of Paguna, which significantly harmed the environment and the health condition of the people.</w:t>
            </w:r>
          </w:p>
          <w:p>
            <w:pPr>
              <w:pStyle w:val="19"/>
              <w:numPr>
                <w:ilvl w:val="0"/>
                <w:numId w:val="4"/>
              </w:numPr>
              <w:rPr>
                <w:rFonts w:hint="default" w:ascii="Times New Roman" w:hAnsi="Times New Roman" w:cs="Times New Roman"/>
              </w:rPr>
            </w:pPr>
            <w:r>
              <w:rPr>
                <w:rFonts w:hint="default" w:ascii="Times New Roman" w:hAnsi="Times New Roman" w:cs="Times New Roman"/>
              </w:rPr>
              <w:t xml:space="preserve"> They also alleged that the company is significantly involved in racially discriminatory labour practices at the mine by paying the local black workers considerably low wages (Lewis, 2022). The company was also complicit in the war crimes and crimes against humanity caused by the PNG army in the secessionist conflict at Bougainville. </w:t>
            </w:r>
          </w:p>
          <w:p>
            <w:pPr>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85" w:type="dxa"/>
          </w:tcPr>
          <w:p>
            <w:pPr>
              <w:rPr>
                <w:rFonts w:hint="default" w:ascii="Times New Roman" w:hAnsi="Times New Roman" w:cs="Times New Roman"/>
              </w:rPr>
            </w:pPr>
            <w:r>
              <w:rPr>
                <w:rFonts w:hint="default" w:ascii="Times New Roman" w:hAnsi="Times New Roman" w:cs="Times New Roman"/>
              </w:rPr>
              <w:t>Environmental</w:t>
            </w:r>
          </w:p>
        </w:tc>
        <w:tc>
          <w:tcPr>
            <w:tcW w:w="6565" w:type="dxa"/>
          </w:tcPr>
          <w:p>
            <w:pPr>
              <w:pStyle w:val="19"/>
              <w:numPr>
                <w:ilvl w:val="0"/>
                <w:numId w:val="5"/>
              </w:numPr>
              <w:rPr>
                <w:rFonts w:hint="default" w:ascii="Times New Roman" w:hAnsi="Times New Roman" w:cs="Times New Roman"/>
              </w:rPr>
            </w:pPr>
            <w:r>
              <w:rPr>
                <w:rFonts w:hint="default" w:ascii="Times New Roman" w:hAnsi="Times New Roman" w:cs="Times New Roman"/>
              </w:rPr>
              <w:t xml:space="preserve">Although it has been found in numerous reports that Rio Tinto caused massive environmental degradation, it has now aimed to achieve net zero emissions by 2050 (Knoblauch and Dargusch, 2022). </w:t>
            </w:r>
          </w:p>
          <w:p>
            <w:pPr>
              <w:pStyle w:val="19"/>
              <w:numPr>
                <w:ilvl w:val="0"/>
                <w:numId w:val="5"/>
              </w:numPr>
              <w:rPr>
                <w:rFonts w:hint="default" w:ascii="Times New Roman" w:hAnsi="Times New Roman" w:cs="Times New Roman"/>
              </w:rPr>
            </w:pPr>
            <w:r>
              <w:rPr>
                <w:rFonts w:hint="default" w:ascii="Times New Roman" w:hAnsi="Times New Roman" w:cs="Times New Roman"/>
              </w:rPr>
              <w:t xml:space="preserve">The company has invested </w:t>
            </w:r>
            <w:r>
              <w:rPr>
                <w:rFonts w:hint="default" w:ascii="Times New Roman" w:hAnsi="Times New Roman" w:eastAsia="MS Gothic" w:cs="Times New Roman"/>
              </w:rPr>
              <w:t>＄</w:t>
            </w:r>
            <w:r>
              <w:rPr>
                <w:rFonts w:hint="default" w:ascii="Times New Roman" w:hAnsi="Times New Roman" w:cs="Times New Roman"/>
              </w:rPr>
              <w:t>537 Million in decarbonising its Tinto Iron and Titanium Quebec Operations by collaborating with the Government of Canada. The company also collaborated with the "Biofuel Trial" to reduce its marine fleet's carbon emissions.</w:t>
            </w:r>
          </w:p>
          <w:p>
            <w:pPr>
              <w:pStyle w:val="19"/>
              <w:numPr>
                <w:ilvl w:val="0"/>
                <w:numId w:val="5"/>
              </w:numPr>
              <w:rPr>
                <w:rFonts w:hint="default" w:ascii="Times New Roman" w:hAnsi="Times New Roman" w:cs="Times New Roman"/>
              </w:rPr>
            </w:pPr>
            <w:r>
              <w:rPr>
                <w:rFonts w:hint="default" w:ascii="Times New Roman" w:hAnsi="Times New Roman" w:cs="Times New Roman"/>
              </w:rPr>
              <w:t xml:space="preserve"> The company invested</w:t>
            </w:r>
            <w:r>
              <w:rPr>
                <w:rFonts w:hint="default" w:ascii="Times New Roman" w:hAnsi="Times New Roman" w:eastAsia="MS Gothic" w:cs="Times New Roman"/>
              </w:rPr>
              <w:t>＄</w:t>
            </w:r>
            <w:r>
              <w:rPr>
                <w:rFonts w:hint="default" w:ascii="Times New Roman" w:hAnsi="Times New Roman" w:cs="Times New Roman"/>
              </w:rPr>
              <w:t>29 Million in establishing an aluminium recycling technique in their Arvida Plant in Saguenay–Lac-Saint-Jean, Quebec, Canada, to expand their offering of low-carbon aluminium solutions.</w:t>
            </w:r>
          </w:p>
        </w:tc>
      </w:tr>
    </w:tbl>
    <w:p>
      <w:pPr>
        <w:rPr>
          <w:rFonts w:hint="default" w:ascii="Times New Roman" w:hAnsi="Times New Roman" w:cs="Times New Roman"/>
        </w:rPr>
      </w:pPr>
    </w:p>
    <w:p>
      <w:pPr>
        <w:spacing w:after="0" w:line="240" w:lineRule="auto"/>
        <w:rPr>
          <w:rFonts w:hint="default" w:ascii="Times New Roman" w:hAnsi="Times New Roman" w:eastAsia="Times New Roman" w:cs="Times New Roman"/>
          <w:szCs w:val="24"/>
          <w:lang w:eastAsia="en-IN"/>
        </w:rPr>
      </w:pPr>
    </w:p>
    <w:p>
      <w:pPr>
        <w:pStyle w:val="3"/>
        <w:rPr>
          <w:rFonts w:hint="default" w:ascii="Times New Roman" w:hAnsi="Times New Roman" w:eastAsia="Times New Roman" w:cs="Times New Roman"/>
          <w:sz w:val="28"/>
          <w:szCs w:val="28"/>
          <w:lang w:eastAsia="en-IN"/>
        </w:rPr>
      </w:pPr>
      <w:bookmarkStart w:id="4" w:name="_Toc140179273"/>
      <w:r>
        <w:rPr>
          <w:rFonts w:hint="default" w:ascii="Times New Roman" w:hAnsi="Times New Roman" w:eastAsia="Times New Roman" w:cs="Times New Roman"/>
          <w:sz w:val="28"/>
          <w:szCs w:val="28"/>
          <w:lang w:eastAsia="en-IN"/>
        </w:rPr>
        <w:t>Internal Environment Analysis</w:t>
      </w:r>
      <w:bookmarkEnd w:id="4"/>
    </w:p>
    <w:p>
      <w:pPr>
        <w:ind w:firstLine="720"/>
        <w:rPr>
          <w:rFonts w:hint="default" w:ascii="Times New Roman" w:hAnsi="Times New Roman" w:cs="Times New Roman"/>
        </w:rPr>
      </w:pPr>
      <w:r>
        <w:rPr>
          <w:rFonts w:hint="default" w:ascii="Times New Roman" w:hAnsi="Times New Roman" w:cs="Times New Roman"/>
        </w:rPr>
        <w:t>The mining company Rio Tinto is the leading brand and is also the world's second-largest meta and mining corporation after BHP. In this context, Rio Tinto is being analysed using the SWOT model. </w:t>
      </w:r>
    </w:p>
    <w:p>
      <w:pPr>
        <w:rPr>
          <w:rFonts w:hint="default" w:ascii="Times New Roman" w:hAnsi="Times New Roman" w:cs="Times New Roman"/>
        </w:rPr>
      </w:pPr>
      <w:r>
        <w:rPr>
          <w:rFonts w:hint="default" w:ascii="Times New Roman" w:hAnsi="Times New Roman" w:cs="Times New Roman"/>
          <w:lang w:val="en-IN" w:eastAsia="en-IN"/>
        </w:rPr>
        <w:drawing>
          <wp:inline distT="0" distB="0" distL="0" distR="0">
            <wp:extent cx="5731510" cy="2865755"/>
            <wp:effectExtent l="0" t="0" r="2540" b="0"/>
            <wp:docPr id="5" name="Picture 5" descr="How-to guide for project managers in conducting a SWOT analysis | Nutcac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ow-to guide for project managers in conducting a SWOT analysis | Nutcach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731510" cy="2865755"/>
                    </a:xfrm>
                    <a:prstGeom prst="rect">
                      <a:avLst/>
                    </a:prstGeom>
                    <a:noFill/>
                    <a:ln>
                      <a:noFill/>
                    </a:ln>
                  </pic:spPr>
                </pic:pic>
              </a:graphicData>
            </a:graphic>
          </wp:inline>
        </w:drawing>
      </w:r>
    </w:p>
    <w:p>
      <w:pPr>
        <w:jc w:val="center"/>
        <w:rPr>
          <w:rFonts w:hint="default" w:ascii="Times New Roman" w:hAnsi="Times New Roman" w:cs="Times New Roman"/>
          <w:b/>
        </w:rPr>
      </w:pPr>
      <w:r>
        <w:rPr>
          <w:rFonts w:hint="default" w:ascii="Times New Roman" w:hAnsi="Times New Roman" w:cs="Times New Roman"/>
          <w:b/>
        </w:rPr>
        <w:t>Figure 3: Swot Analysis Theory</w:t>
      </w:r>
    </w:p>
    <w:p>
      <w:pPr>
        <w:jc w:val="center"/>
        <w:rPr>
          <w:rFonts w:hint="default" w:ascii="Times New Roman" w:hAnsi="Times New Roman" w:cs="Times New Roman"/>
        </w:rPr>
      </w:pPr>
      <w:r>
        <w:rPr>
          <w:rFonts w:hint="default" w:ascii="Times New Roman" w:hAnsi="Times New Roman" w:cs="Times New Roman"/>
        </w:rPr>
        <w:t>(Source: Vlados, 2019)</w:t>
      </w:r>
    </w:p>
    <w:p>
      <w:pPr>
        <w:rPr>
          <w:rFonts w:hint="default" w:ascii="Times New Roman" w:hAnsi="Times New Roman" w:cs="Times New Roman"/>
        </w:rPr>
      </w:pPr>
      <w:r>
        <w:rPr>
          <w:rFonts w:hint="default" w:ascii="Times New Roman" w:hAnsi="Times New Roman" w:cs="Times New Roman"/>
        </w:rPr>
        <w:t xml:space="preserve">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5"/>
        <w:gridCol w:w="46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3" w:hRule="atLeast"/>
        </w:trPr>
        <w:tc>
          <w:tcPr>
            <w:tcW w:w="4675" w:type="dxa"/>
          </w:tcPr>
          <w:p>
            <w:pPr>
              <w:jc w:val="center"/>
              <w:rPr>
                <w:rFonts w:hint="default" w:ascii="Times New Roman" w:hAnsi="Times New Roman" w:cs="Times New Roman"/>
                <w:b/>
                <w:u w:val="single"/>
              </w:rPr>
            </w:pPr>
            <w:r>
              <w:rPr>
                <w:rFonts w:hint="default" w:ascii="Times New Roman" w:hAnsi="Times New Roman" w:cs="Times New Roman"/>
                <w:b/>
                <w:u w:val="single"/>
              </w:rPr>
              <w:t>Strength</w:t>
            </w:r>
          </w:p>
          <w:p>
            <w:pPr>
              <w:pStyle w:val="19"/>
              <w:numPr>
                <w:ilvl w:val="0"/>
                <w:numId w:val="6"/>
              </w:numPr>
              <w:rPr>
                <w:rFonts w:hint="default" w:ascii="Times New Roman" w:hAnsi="Times New Roman" w:cs="Times New Roman"/>
              </w:rPr>
            </w:pPr>
            <w:r>
              <w:rPr>
                <w:rFonts w:hint="default" w:ascii="Times New Roman" w:hAnsi="Times New Roman" w:cs="Times New Roman"/>
              </w:rPr>
              <w:t xml:space="preserve">Rio Tinto's strengths generally identify the critical internal factors that provide the business with a competitive advantage in the market by strengthening its position (Vlados, 2019). </w:t>
            </w:r>
          </w:p>
          <w:p>
            <w:pPr>
              <w:pStyle w:val="19"/>
              <w:numPr>
                <w:ilvl w:val="0"/>
                <w:numId w:val="6"/>
              </w:numPr>
              <w:rPr>
                <w:rFonts w:hint="default" w:ascii="Times New Roman" w:hAnsi="Times New Roman" w:cs="Times New Roman"/>
              </w:rPr>
            </w:pPr>
            <w:r>
              <w:rPr>
                <w:rFonts w:hint="default" w:ascii="Times New Roman" w:hAnsi="Times New Roman" w:cs="Times New Roman"/>
              </w:rPr>
              <w:t>The initial key strength is that it is the global leader in extracting aluminium and copper ore. The industry-led the technological innovation with the "Safe Production System" and implemented a smooth operation in the business. The company is fully diversified, with an employee force of 70,000 (Assibey-Bonsu, 2019).</w:t>
            </w:r>
          </w:p>
          <w:p>
            <w:pPr>
              <w:pStyle w:val="19"/>
              <w:numPr>
                <w:ilvl w:val="0"/>
                <w:numId w:val="6"/>
              </w:numPr>
              <w:rPr>
                <w:rFonts w:hint="default" w:ascii="Times New Roman" w:hAnsi="Times New Roman" w:cs="Times New Roman"/>
              </w:rPr>
            </w:pPr>
            <w:r>
              <w:rPr>
                <w:rFonts w:hint="default" w:ascii="Times New Roman" w:hAnsi="Times New Roman" w:cs="Times New Roman"/>
              </w:rPr>
              <w:t xml:space="preserve"> It is also the leading miner of iron ore, aluminium and diamonds and has a significant presence around the orb. The company is highly diversified with economies of scale. The diversified products with significant asset portfolios are considered the critical strength and generally differentiate among the top 3 mining companies (Melnychuk, Schultz and Wirsich, 2021). </w:t>
            </w:r>
          </w:p>
          <w:p>
            <w:pPr>
              <w:pStyle w:val="19"/>
              <w:numPr>
                <w:ilvl w:val="0"/>
                <w:numId w:val="6"/>
              </w:numPr>
              <w:rPr>
                <w:rFonts w:hint="default" w:ascii="Times New Roman" w:hAnsi="Times New Roman" w:cs="Times New Roman"/>
              </w:rPr>
            </w:pPr>
            <w:r>
              <w:rPr>
                <w:rFonts w:hint="default" w:ascii="Times New Roman" w:hAnsi="Times New Roman" w:cs="Times New Roman"/>
              </w:rPr>
              <w:t>The company's assets range from industrial metals, iron ore, coal and uranium, borates and "evergreen" salt harvesting across nine countries and 14 global time zones.</w:t>
            </w:r>
          </w:p>
          <w:p>
            <w:pPr>
              <w:rPr>
                <w:rFonts w:hint="default" w:ascii="Times New Roman" w:hAnsi="Times New Roman" w:cs="Times New Roman"/>
                <w:u w:val="single"/>
              </w:rPr>
            </w:pPr>
          </w:p>
        </w:tc>
        <w:tc>
          <w:tcPr>
            <w:tcW w:w="4675" w:type="dxa"/>
          </w:tcPr>
          <w:p>
            <w:pPr>
              <w:jc w:val="center"/>
              <w:rPr>
                <w:rFonts w:hint="default" w:ascii="Times New Roman" w:hAnsi="Times New Roman" w:cs="Times New Roman"/>
                <w:b/>
                <w:u w:val="single"/>
              </w:rPr>
            </w:pPr>
            <w:r>
              <w:rPr>
                <w:rFonts w:hint="default" w:ascii="Times New Roman" w:hAnsi="Times New Roman" w:cs="Times New Roman"/>
                <w:b/>
                <w:u w:val="single"/>
              </w:rPr>
              <w:t>Weakness</w:t>
            </w:r>
          </w:p>
          <w:p>
            <w:pPr>
              <w:pStyle w:val="19"/>
              <w:numPr>
                <w:ilvl w:val="0"/>
                <w:numId w:val="7"/>
              </w:numPr>
              <w:rPr>
                <w:rFonts w:hint="default" w:ascii="Times New Roman" w:hAnsi="Times New Roman" w:cs="Times New Roman"/>
              </w:rPr>
            </w:pPr>
            <w:r>
              <w:rPr>
                <w:rFonts w:hint="default" w:ascii="Times New Roman" w:hAnsi="Times New Roman" w:cs="Times New Roman"/>
              </w:rPr>
              <w:t>As per the financial reports of 2022, the company is on a total debt of $12.27 Billion, an aggregate of all torrent and non-current assets. The operational inefficiencies are due to government inventions abiding by government regulations and rules with taxes and royalties by the government (Lebdioui, 2022).</w:t>
            </w:r>
          </w:p>
          <w:p>
            <w:pPr>
              <w:pStyle w:val="19"/>
              <w:numPr>
                <w:ilvl w:val="0"/>
                <w:numId w:val="7"/>
              </w:numPr>
              <w:rPr>
                <w:rFonts w:hint="default" w:ascii="Times New Roman" w:hAnsi="Times New Roman" w:cs="Times New Roman"/>
              </w:rPr>
            </w:pPr>
            <w:r>
              <w:rPr>
                <w:rFonts w:hint="default" w:ascii="Times New Roman" w:hAnsi="Times New Roman" w:cs="Times New Roman"/>
              </w:rPr>
              <w:t xml:space="preserve"> For example, it adds up to 62 per cent of the aggregate apex in India. The commodity-wise process of generating revenue is abrupt. If the Pilbara project faces challenges, it will create problems in the worst ways as it generates considerable revenue. </w:t>
            </w:r>
          </w:p>
          <w:p>
            <w:pPr>
              <w:pStyle w:val="19"/>
              <w:numPr>
                <w:ilvl w:val="0"/>
                <w:numId w:val="7"/>
              </w:numPr>
              <w:rPr>
                <w:rFonts w:hint="default" w:ascii="Times New Roman" w:hAnsi="Times New Roman" w:cs="Times New Roman"/>
              </w:rPr>
            </w:pPr>
            <w:r>
              <w:rPr>
                <w:rFonts w:hint="default" w:ascii="Times New Roman" w:hAnsi="Times New Roman" w:cs="Times New Roman"/>
              </w:rPr>
              <w:t>There are numerous differences caused between the residents and the mining company due to inappropriate mining procedures, which caused the company to face numerous legal allegations. </w:t>
            </w:r>
          </w:p>
          <w:p>
            <w:pPr>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jc w:val="center"/>
              <w:rPr>
                <w:rFonts w:hint="default" w:ascii="Times New Roman" w:hAnsi="Times New Roman" w:cs="Times New Roman"/>
                <w:b/>
                <w:u w:val="single"/>
              </w:rPr>
            </w:pPr>
            <w:r>
              <w:rPr>
                <w:rFonts w:hint="default" w:ascii="Times New Roman" w:hAnsi="Times New Roman" w:cs="Times New Roman"/>
                <w:b/>
                <w:u w:val="single"/>
              </w:rPr>
              <w:t>Opportunities</w:t>
            </w:r>
          </w:p>
          <w:p>
            <w:pPr>
              <w:pStyle w:val="19"/>
              <w:numPr>
                <w:ilvl w:val="0"/>
                <w:numId w:val="8"/>
              </w:numPr>
              <w:rPr>
                <w:rFonts w:hint="default" w:ascii="Times New Roman" w:hAnsi="Times New Roman" w:cs="Times New Roman"/>
              </w:rPr>
            </w:pPr>
            <w:r>
              <w:rPr>
                <w:rFonts w:hint="default" w:ascii="Times New Roman" w:hAnsi="Times New Roman" w:cs="Times New Roman"/>
              </w:rPr>
              <w:t xml:space="preserve">The rising utilisation of aluminium to replace iron causes them numerous opportunities as it is already the leading global producer of aluminium. This causes them to expand their operation in an unfamiliar along with international players (Chang, Luo and Chen, 2019). </w:t>
            </w:r>
          </w:p>
          <w:p>
            <w:pPr>
              <w:pStyle w:val="19"/>
              <w:numPr>
                <w:ilvl w:val="0"/>
                <w:numId w:val="8"/>
              </w:numPr>
              <w:rPr>
                <w:rFonts w:hint="default" w:ascii="Times New Roman" w:hAnsi="Times New Roman" w:cs="Times New Roman"/>
              </w:rPr>
            </w:pPr>
            <w:r>
              <w:rPr>
                <w:rFonts w:hint="default" w:ascii="Times New Roman" w:hAnsi="Times New Roman" w:cs="Times New Roman"/>
              </w:rPr>
              <w:t xml:space="preserve">The total generated sales revenue by Rio Tinto in 2022 was </w:t>
            </w:r>
            <w:r>
              <w:rPr>
                <w:rFonts w:hint="default" w:ascii="Times New Roman" w:hAnsi="Times New Roman" w:eastAsia="MS Gothic" w:cs="Times New Roman"/>
              </w:rPr>
              <w:t>＄</w:t>
            </w:r>
            <w:r>
              <w:rPr>
                <w:rFonts w:hint="default" w:ascii="Times New Roman" w:hAnsi="Times New Roman" w:cs="Times New Roman"/>
              </w:rPr>
              <w:t>54 Billion, and the largest revenue-generating countries are China and the US. Implementing the "Safe Production System" can bring opportunities for expansion in numerous other countries.</w:t>
            </w:r>
          </w:p>
          <w:p>
            <w:pPr>
              <w:rPr>
                <w:rFonts w:hint="default" w:ascii="Times New Roman" w:hAnsi="Times New Roman" w:cs="Times New Roman"/>
                <w:u w:val="single"/>
              </w:rPr>
            </w:pPr>
          </w:p>
        </w:tc>
        <w:tc>
          <w:tcPr>
            <w:tcW w:w="4675" w:type="dxa"/>
          </w:tcPr>
          <w:p>
            <w:pPr>
              <w:jc w:val="center"/>
              <w:rPr>
                <w:rFonts w:hint="default" w:ascii="Times New Roman" w:hAnsi="Times New Roman" w:cs="Times New Roman"/>
                <w:b/>
                <w:u w:val="single"/>
              </w:rPr>
            </w:pPr>
            <w:r>
              <w:rPr>
                <w:rFonts w:hint="default" w:ascii="Times New Roman" w:hAnsi="Times New Roman" w:cs="Times New Roman"/>
                <w:b/>
                <w:u w:val="single"/>
              </w:rPr>
              <w:t>Threats</w:t>
            </w:r>
          </w:p>
          <w:p>
            <w:pPr>
              <w:pStyle w:val="19"/>
              <w:numPr>
                <w:ilvl w:val="0"/>
                <w:numId w:val="9"/>
              </w:numPr>
              <w:rPr>
                <w:rFonts w:hint="default" w:ascii="Times New Roman" w:hAnsi="Times New Roman" w:cs="Times New Roman"/>
                <w:u w:val="single"/>
              </w:rPr>
            </w:pPr>
            <w:r>
              <w:rPr>
                <w:rFonts w:hint="default" w:ascii="Times New Roman" w:hAnsi="Times New Roman" w:cs="Times New Roman"/>
              </w:rPr>
              <w:t>As per Figure 3, the shortage of skilled workforce in the global markets is being represented as a threat to the steady growth of profits for Rio Tinto. The rising wage pay levels like $15 an hour and rising prices in China are a severe threat and pressure on profitability.</w:t>
            </w:r>
          </w:p>
          <w:p>
            <w:pPr>
              <w:pStyle w:val="19"/>
              <w:numPr>
                <w:ilvl w:val="0"/>
                <w:numId w:val="9"/>
              </w:numPr>
              <w:rPr>
                <w:rFonts w:hint="default" w:ascii="Times New Roman" w:hAnsi="Times New Roman" w:cs="Times New Roman"/>
                <w:u w:val="single"/>
              </w:rPr>
            </w:pPr>
            <w:r>
              <w:rPr>
                <w:rFonts w:hint="default" w:ascii="Times New Roman" w:hAnsi="Times New Roman" w:cs="Times New Roman"/>
              </w:rPr>
              <w:t xml:space="preserve"> The new environmental-related regulation under the Paris Agreement 2016 is one of the most considerable threats in the existing areas (Fahmy, 2022). </w:t>
            </w:r>
          </w:p>
          <w:p>
            <w:pPr>
              <w:pStyle w:val="19"/>
              <w:numPr>
                <w:ilvl w:val="0"/>
                <w:numId w:val="9"/>
              </w:numPr>
              <w:rPr>
                <w:rFonts w:hint="default" w:ascii="Times New Roman" w:hAnsi="Times New Roman" w:cs="Times New Roman"/>
                <w:u w:val="single"/>
              </w:rPr>
            </w:pPr>
            <w:r>
              <w:rPr>
                <w:rFonts w:hint="default" w:ascii="Times New Roman" w:hAnsi="Times New Roman" w:cs="Times New Roman"/>
              </w:rPr>
              <w:t>Imitating low-quality and counterfeit products threatens Rio Tinto, especially in emerging markets and low-income countries. The rising trend of isolationism in the economy of America leads to a negative impact on the company's international sales. </w:t>
            </w:r>
          </w:p>
        </w:tc>
      </w:tr>
    </w:tbl>
    <w:p>
      <w:pPr>
        <w:rPr>
          <w:rFonts w:hint="default" w:ascii="Times New Roman" w:hAnsi="Times New Roman" w:cs="Times New Roman"/>
          <w:sz w:val="28"/>
          <w:szCs w:val="28"/>
        </w:rPr>
      </w:pPr>
    </w:p>
    <w:p>
      <w:pPr>
        <w:pStyle w:val="3"/>
        <w:rPr>
          <w:rFonts w:hint="default" w:ascii="Times New Roman" w:hAnsi="Times New Roman" w:eastAsia="Times New Roman" w:cs="Times New Roman"/>
          <w:sz w:val="28"/>
          <w:szCs w:val="28"/>
          <w:lang w:eastAsia="en-IN"/>
        </w:rPr>
      </w:pPr>
      <w:bookmarkStart w:id="5" w:name="_Toc140179274"/>
      <w:r>
        <w:rPr>
          <w:rFonts w:hint="default" w:ascii="Times New Roman" w:hAnsi="Times New Roman" w:eastAsia="Times New Roman" w:cs="Times New Roman"/>
          <w:sz w:val="28"/>
          <w:szCs w:val="28"/>
          <w:lang w:eastAsia="en-IN"/>
        </w:rPr>
        <w:t>Analysis of the main results drawn from it</w:t>
      </w:r>
      <w:bookmarkEnd w:id="5"/>
    </w:p>
    <w:p>
      <w:pPr>
        <w:ind w:firstLine="720"/>
        <w:rPr>
          <w:rFonts w:hint="default" w:ascii="Times New Roman" w:hAnsi="Times New Roman" w:cs="Times New Roman"/>
        </w:rPr>
      </w:pPr>
      <w:r>
        <w:rPr>
          <w:rFonts w:hint="default" w:ascii="Times New Roman" w:hAnsi="Times New Roman" w:cs="Times New Roman"/>
        </w:rPr>
        <w:t>As per the findings of the above PESTLE analysis, political factors play a significant role in the operations and management of Rio Tinto. Although the US-China war caused numerous destructions in global trade, for Rio Tinto, it did not cause a significant challenge as the US-China consumers have no issues in their dealings. The economic factors are quite comprehensive and beneficial, and in terms of corporate tax and others, the company has fully complied with all the significant rules and regulations. The company's social and community development work is entirely beneficial and provides lots of opportunities for the company (Montanari, Mattarelli and Scapolan, 2021). The legal factors are not entirely beneficial as it has numerous allegations which caused a considerable downgrade in the operations and image of the company. </w:t>
      </w:r>
    </w:p>
    <w:p>
      <w:pPr>
        <w:rPr>
          <w:rFonts w:hint="default" w:ascii="Times New Roman" w:hAnsi="Times New Roman" w:cs="Times New Roman"/>
        </w:rPr>
      </w:pPr>
      <w:r>
        <w:rPr>
          <w:rFonts w:hint="default" w:ascii="Times New Roman" w:hAnsi="Times New Roman" w:cs="Times New Roman"/>
        </w:rPr>
        <w:t xml:space="preserve">According to the findings of the SWOT analysis, it has been identified that the company's key strength is its human resources and modern innovative systems, where it can gain a lot of advantages if it diversifies its current market. The weakness and threats are quite relevant to each other as they fully devastated the company's operational efficiency; the considerable debt and steady growth of profits are entirely relevant to this (Bouteska and Mili, 2022). The opportunities are massive as it is the leading producer of aluminium, and the demands are generally high, providing a considerable advantage to the company.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After the pandemic, it has been found that customers have higher expectations from the companies due to health concerns. It has impacted the aspect of customer service greatly. With respect to that, the company has taken several steps to enhance customer service after the pandemic. They have made their websites more transparent for the customers to view their involvement in various actions, which can secure the clients of their well-being (Montanari, Mattarelli and Scapolan, 2021). Moreover, they have also made their customer service open 24/7 for the clients to contact at all times, given the global services of the company. In addition to that, they have allowed their global CSR reporting to be brief and understandable, which has helped the customers to understand the values of the company and the changes adopted by them.                                                                                                                                                                                                                                                                                                                                                                                                                                                                                                                                                                                                                                                                                                                                                                                                                                                                                                                                                                                </w:t>
      </w:r>
      <w:bookmarkStart w:id="6" w:name="_1v4b9whfyh0u" w:colFirst="0" w:colLast="0"/>
      <w:bookmarkEnd w:id="6"/>
    </w:p>
    <w:p>
      <w:pPr>
        <w:pStyle w:val="2"/>
        <w:rPr>
          <w:rFonts w:hint="default" w:ascii="Times New Roman" w:hAnsi="Times New Roman" w:eastAsia="Times New Roman" w:cs="Times New Roman"/>
        </w:rPr>
      </w:pPr>
      <w:bookmarkStart w:id="7" w:name="_8n1nih5g8y4u" w:colFirst="0" w:colLast="0"/>
      <w:bookmarkEnd w:id="7"/>
      <w:bookmarkStart w:id="8" w:name="_Toc140179275"/>
      <w:r>
        <w:rPr>
          <w:rFonts w:hint="default" w:ascii="Times New Roman" w:hAnsi="Times New Roman" w:eastAsia="Times New Roman" w:cs="Times New Roman"/>
        </w:rPr>
        <w:t>Critical evaluation of the strategic options for more personalised customer care</w:t>
      </w:r>
      <w:bookmarkEnd w:id="8"/>
      <w:r>
        <w:rPr>
          <w:rFonts w:hint="default" w:ascii="Times New Roman" w:hAnsi="Times New Roman" w:eastAsia="Times New Roman" w:cs="Times New Roman"/>
        </w:rPr>
        <w:t xml:space="preserve"> </w:t>
      </w:r>
    </w:p>
    <w:p>
      <w:pPr>
        <w:pStyle w:val="3"/>
        <w:rPr>
          <w:rFonts w:hint="default" w:ascii="Times New Roman" w:hAnsi="Times New Roman" w:cs="Times New Roman"/>
        </w:rPr>
      </w:pPr>
      <w:bookmarkStart w:id="9" w:name="_c4aj5nr5y11" w:colFirst="0" w:colLast="0"/>
      <w:bookmarkEnd w:id="9"/>
      <w:bookmarkStart w:id="10" w:name="_Toc140179276"/>
      <w:r>
        <w:rPr>
          <w:rFonts w:hint="default" w:ascii="Times New Roman" w:hAnsi="Times New Roman" w:cs="Times New Roman"/>
        </w:rPr>
        <w:t>Critical analysis of the strategic options</w:t>
      </w:r>
      <w:bookmarkEnd w:id="10"/>
    </w:p>
    <w:p>
      <w:pPr>
        <w:rPr>
          <w:rFonts w:hint="default" w:ascii="Times New Roman" w:hAnsi="Times New Roman" w:cs="Times New Roman"/>
        </w:rPr>
      </w:pPr>
      <w:r>
        <w:rPr>
          <w:rFonts w:hint="default" w:ascii="Times New Roman" w:hAnsi="Times New Roman" w:cs="Times New Roman"/>
        </w:rPr>
        <w:t xml:space="preserve">Implementation of strategic options is highly beneficial for a company to attract a larger customer base (Maynard and Susskind, 2019). In the company Rio Tinto, the appliance of strategic options plays a significant role in enhancing the customer base. When strategic options like product differentiation, market penetration and other factors are enhanced, then a large scale of customers start to come into the company, with the help of strategic options like improving the customer experience in the market. Moreover, by improving the cost leadership style in the market, the company Rio Tinto can gain a competitive advantage in the market. When the competitive advantage improved effectively, the customers started to buy products like diamonds, copper, aluminium and many more. Additionally, when the company Rio Tinto seeks customers review, they will get the idea of how the customers are demanding products from them, and by depending on the customer feedback, they can improve their product quality and also enhance their prices against their competitors (Maynard and Susskind, 2019). </w:t>
      </w:r>
    </w:p>
    <w:p>
      <w:pPr>
        <w:rPr>
          <w:rFonts w:hint="default" w:ascii="Times New Roman" w:hAnsi="Times New Roman" w:cs="Times New Roman"/>
        </w:rPr>
      </w:pPr>
      <w:r>
        <w:rPr>
          <w:rFonts w:hint="default" w:ascii="Times New Roman" w:hAnsi="Times New Roman" w:cs="Times New Roman"/>
        </w:rPr>
        <w:t>Moreover, the strategic plan also plays the most important role in adding value to a company (Lynch, 2021). When customers started to promote the products to other customers, the ratio of new customers started to increase. Furthermore, other strategic options like omnichannel customer service can engage customers more. Also, if the company started to promote their products through social media and sources, the ratio of customers can get boosted. Their revenue model also gets enhanced in this process, for which the company can spend on R&amp;D, which will help them to bring differentiation in their products on a large scale (</w:t>
      </w:r>
      <w:r>
        <w:rPr>
          <w:rFonts w:hint="default" w:ascii="Times New Roman" w:hAnsi="Times New Roman" w:cs="Times New Roman"/>
          <w:shd w:val="clear" w:color="auto" w:fill="FFFFFF"/>
        </w:rPr>
        <w:t xml:space="preserve">Johnson </w:t>
      </w:r>
      <w:r>
        <w:rPr>
          <w:rFonts w:hint="default" w:ascii="Times New Roman" w:hAnsi="Times New Roman" w:cs="Times New Roman"/>
          <w:i/>
          <w:shd w:val="clear" w:color="auto" w:fill="FFFFFF"/>
        </w:rPr>
        <w:t>et al</w:t>
      </w:r>
      <w:r>
        <w:rPr>
          <w:rFonts w:hint="default" w:ascii="Times New Roman" w:hAnsi="Times New Roman" w:cs="Times New Roman"/>
          <w:shd w:val="clear" w:color="auto" w:fill="FFFFFF"/>
        </w:rPr>
        <w:t>., 2017)</w:t>
      </w:r>
      <w:r>
        <w:rPr>
          <w:rFonts w:hint="default" w:ascii="Times New Roman" w:hAnsi="Times New Roman" w:cs="Times New Roman"/>
        </w:rPr>
        <w:t xml:space="preserve">. In this way, strategic options like cost leadership, product differentiation and the like can help Rio Tinto to enhance customer experience. </w:t>
      </w:r>
    </w:p>
    <w:p>
      <w:pPr>
        <w:rPr>
          <w:rFonts w:hint="default" w:ascii="Times New Roman" w:hAnsi="Times New Roman" w:cs="Times New Roman"/>
        </w:rPr>
      </w:pPr>
      <w:r>
        <w:rPr>
          <w:rFonts w:hint="default" w:ascii="Times New Roman" w:hAnsi="Times New Roman" w:cs="Times New Roman"/>
        </w:rPr>
        <w:t>Additionally, with the help of proper strategic options, Rio Tinto's management team can gather information regarding customers' expectations from the company, and based on the data, they can prepare customers' personalised services. It has been found that when customers get personalised services, they always love to purchase from the company and also appreciate the company to their friends and relatives, from where the chance of gaining new customers increases (</w:t>
      </w:r>
      <w:r>
        <w:rPr>
          <w:rFonts w:hint="default" w:ascii="Times New Roman" w:hAnsi="Times New Roman" w:cs="Times New Roman"/>
          <w:shd w:val="clear" w:color="auto" w:fill="FFFFFF"/>
        </w:rPr>
        <w:t>Dess,  McNamara, and Eisner, 2016</w:t>
      </w:r>
      <w:r>
        <w:rPr>
          <w:rFonts w:hint="default" w:ascii="Times New Roman" w:hAnsi="Times New Roman" w:cs="Times New Roman"/>
        </w:rPr>
        <w:t>). Strategic options can also improve the innovativeness of Rio Tinto, from where they can also invest in jewellery manufacturing, from where they can sell authentic jewellery like diamonds and others, which also helps to improve the customer's experience.</w:t>
      </w:r>
    </w:p>
    <w:p>
      <w:pPr>
        <w:pStyle w:val="3"/>
        <w:rPr>
          <w:rFonts w:hint="default" w:ascii="Times New Roman" w:hAnsi="Times New Roman" w:cs="Times New Roman"/>
        </w:rPr>
      </w:pPr>
      <w:bookmarkStart w:id="11" w:name="_Toc140179277"/>
      <w:r>
        <w:rPr>
          <w:rFonts w:hint="default" w:ascii="Times New Roman" w:hAnsi="Times New Roman" w:cs="Times New Roman"/>
        </w:rPr>
        <w:t>Ansoff Matrix</w:t>
      </w:r>
      <w:bookmarkEnd w:id="11"/>
    </w:p>
    <w:p>
      <w:pPr>
        <w:rPr>
          <w:rFonts w:hint="default" w:ascii="Times New Roman" w:hAnsi="Times New Roman" w:cs="Times New Roman"/>
        </w:rPr>
      </w:pPr>
      <w:r>
        <w:rPr>
          <w:rFonts w:hint="default" w:ascii="Times New Roman" w:hAnsi="Times New Roman" w:cs="Times New Roman"/>
        </w:rPr>
        <w:t xml:space="preserve">The Ansoff Matrix, popularly known as the Product/or  Market expansion grid, is used by organisations and professionals to plan and evaluate several growth initiatives. The grid has four quarters </w:t>
      </w:r>
      <w:r>
        <w:rPr>
          <w:rFonts w:hint="default" w:ascii="Times New Roman" w:hAnsi="Times New Roman" w:cs="Times New Roman"/>
          <w:b/>
        </w:rPr>
        <w:t xml:space="preserve">“ Market Penetration, Product Development, Market Development and Diversification” </w:t>
      </w:r>
      <w:r>
        <w:rPr>
          <w:rFonts w:hint="default" w:ascii="Times New Roman" w:hAnsi="Times New Roman" w:cs="Times New Roman"/>
        </w:rPr>
        <w:t>(Clarissia, 2020). The model was developed around two primary notions a business row if the company has now introduced new products or the company can target new markets.</w:t>
      </w:r>
    </w:p>
    <w:p>
      <w:pPr>
        <w:jc w:val="center"/>
        <w:rPr>
          <w:rFonts w:hint="default" w:ascii="Times New Roman" w:hAnsi="Times New Roman" w:eastAsia="Times New Roman" w:cs="Times New Roman"/>
          <w:szCs w:val="24"/>
        </w:rPr>
      </w:pPr>
      <w:r>
        <w:rPr>
          <w:rFonts w:hint="default" w:ascii="Times New Roman" w:hAnsi="Times New Roman" w:eastAsia="Times New Roman" w:cs="Times New Roman"/>
          <w:szCs w:val="24"/>
          <w:lang w:val="en-IN" w:eastAsia="en-IN"/>
        </w:rPr>
        <w:drawing>
          <wp:inline distT="114300" distB="114300" distL="114300" distR="114300">
            <wp:extent cx="1995170" cy="182308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1"/>
                    <a:srcRect/>
                    <a:stretch>
                      <a:fillRect/>
                    </a:stretch>
                  </pic:blipFill>
                  <pic:spPr>
                    <a:xfrm>
                      <a:off x="0" y="0"/>
                      <a:ext cx="1995488" cy="1823328"/>
                    </a:xfrm>
                    <a:prstGeom prst="rect">
                      <a:avLst/>
                    </a:prstGeom>
                  </pic:spPr>
                </pic:pic>
              </a:graphicData>
            </a:graphic>
          </wp:inline>
        </w:drawing>
      </w:r>
    </w:p>
    <w:p>
      <w:pPr>
        <w:jc w:val="center"/>
        <w:rPr>
          <w:rFonts w:hint="default" w:ascii="Times New Roman" w:hAnsi="Times New Roman" w:cs="Times New Roman"/>
          <w:b/>
        </w:rPr>
      </w:pPr>
      <w:r>
        <w:rPr>
          <w:rFonts w:hint="default" w:ascii="Times New Roman" w:hAnsi="Times New Roman" w:cs="Times New Roman"/>
          <w:b/>
        </w:rPr>
        <w:t>Figure 4: Ansoff Matrix</w:t>
      </w:r>
    </w:p>
    <w:p>
      <w:pPr>
        <w:jc w:val="center"/>
        <w:rPr>
          <w:rFonts w:hint="default" w:ascii="Times New Roman" w:hAnsi="Times New Roman" w:cs="Times New Roman"/>
        </w:rPr>
      </w:pPr>
      <w:r>
        <w:rPr>
          <w:rFonts w:hint="default" w:ascii="Times New Roman" w:hAnsi="Times New Roman" w:cs="Times New Roman"/>
        </w:rPr>
        <w:t>(Source: Bush. T., 2020)</w:t>
      </w:r>
    </w:p>
    <w:p>
      <w:pPr>
        <w:rPr>
          <w:rFonts w:hint="default" w:ascii="Times New Roman" w:hAnsi="Times New Roman" w:cs="Times New Roman"/>
        </w:rPr>
      </w:pPr>
      <w:r>
        <w:rPr>
          <w:rFonts w:hint="default" w:ascii="Times New Roman" w:hAnsi="Times New Roman" w:cs="Times New Roman"/>
        </w:rPr>
        <w:t xml:space="preserve">The Ansoff Matrix has four quarters, the </w:t>
      </w:r>
      <w:r>
        <w:rPr>
          <w:rFonts w:hint="default" w:ascii="Times New Roman" w:hAnsi="Times New Roman" w:cs="Times New Roman"/>
          <w:b/>
        </w:rPr>
        <w:t xml:space="preserve">market penetration; </w:t>
      </w:r>
      <w:r>
        <w:rPr>
          <w:rFonts w:hint="default" w:ascii="Times New Roman" w:hAnsi="Times New Roman" w:cs="Times New Roman"/>
        </w:rPr>
        <w:t xml:space="preserve">utilising this strategy, businesses can increase the sales of the existing products in the existing markets (Bush, 2020). In this regard, it can be said that the company Rio Tinto this strategy by increasing their products, that is, their customers care services in their existing markets, by engaging more in listening and catering to the needs of their customers, and also catering to the needs of the customer with swift responses, moreover, the company can also introduce certain visual tools for providing real-time assistance to their customers and consumers.  </w:t>
      </w:r>
    </w:p>
    <w:p>
      <w:pPr>
        <w:rPr>
          <w:rFonts w:hint="default" w:ascii="Times New Roman" w:hAnsi="Times New Roman" w:cs="Times New Roman"/>
        </w:rPr>
      </w:pPr>
      <w:r>
        <w:rPr>
          <w:rFonts w:hint="default" w:ascii="Times New Roman" w:hAnsi="Times New Roman" w:cs="Times New Roman"/>
        </w:rPr>
        <w:t xml:space="preserve">The second grid is </w:t>
      </w:r>
      <w:r>
        <w:rPr>
          <w:rFonts w:hint="default" w:ascii="Times New Roman" w:hAnsi="Times New Roman" w:cs="Times New Roman"/>
          <w:b/>
        </w:rPr>
        <w:t xml:space="preserve">market development, </w:t>
      </w:r>
      <w:r>
        <w:rPr>
          <w:rFonts w:hint="default" w:ascii="Times New Roman" w:hAnsi="Times New Roman" w:cs="Times New Roman"/>
        </w:rPr>
        <w:t>though considered to be a slightly risky strategy, but is known to yield high results if this strategy of the matrix is utilised properly. The second element of the matrix suggests that business organisations and companies can target new markets and render their services to new markets (Sukma, Lubis, and Utami, 2019). As the Rio Tinto company is well recognised and considered to be a leading company in the mining industry, it already has the advantage of establishing itself in new markets and catering its services to various demographics. In this context, to enhance their customer service to the consumers by building and adopting “Omni channel customer service”. Companies that invest in these channels have been shown to have retained 89 per cent of their customers as these channels are consistent with delivering support and aligning all communicating channels by using advanced technologies and machine learning.</w:t>
      </w:r>
    </w:p>
    <w:p>
      <w:pPr>
        <w:rPr>
          <w:rFonts w:hint="default" w:ascii="Times New Roman" w:hAnsi="Times New Roman" w:cs="Times New Roman"/>
        </w:rPr>
      </w:pPr>
      <w:r>
        <w:rPr>
          <w:rFonts w:hint="default" w:ascii="Times New Roman" w:hAnsi="Times New Roman" w:cs="Times New Roman"/>
        </w:rPr>
        <w:t xml:space="preserve">The third quarter of the matrix is </w:t>
      </w:r>
      <w:r>
        <w:rPr>
          <w:rFonts w:hint="default" w:ascii="Times New Roman" w:hAnsi="Times New Roman" w:cs="Times New Roman"/>
          <w:b/>
        </w:rPr>
        <w:t>“product development”</w:t>
      </w:r>
      <w:r>
        <w:rPr>
          <w:rFonts w:hint="default" w:ascii="Times New Roman" w:hAnsi="Times New Roman" w:cs="Times New Roman"/>
        </w:rPr>
        <w:t xml:space="preserve">, where the companies and organisations utilise this strategy to sell new products within the existing markets (Jelonek </w:t>
      </w:r>
      <w:r>
        <w:rPr>
          <w:rFonts w:hint="default" w:ascii="Times New Roman" w:hAnsi="Times New Roman" w:cs="Times New Roman"/>
          <w:i/>
        </w:rPr>
        <w:t xml:space="preserve">et al., </w:t>
      </w:r>
      <w:r>
        <w:rPr>
          <w:rFonts w:hint="default" w:ascii="Times New Roman" w:hAnsi="Times New Roman" w:cs="Times New Roman"/>
        </w:rPr>
        <w:t xml:space="preserve">2022). Referring to the customer care services of Rio Tinto. The company can improve their services in their exciting markets such as Australia, China and Africa by developing certain “soft skills” of their employees to address the needs of the customers. As per data, almost 86 per cent of customers suspend businesses with organisations because of unsatisfactory customer care services (Help Scout, 2023). There are certain skill sets, such as showing good problem-solving skills along with patiently explaining the reasons behind certain occurrences. The company Rio Tinto can train their employees in a way that they can anticipate the grievances of the service seekers and explain to them the ways to resolve those issues. </w:t>
      </w:r>
    </w:p>
    <w:p>
      <w:pPr>
        <w:rPr>
          <w:rFonts w:hint="default" w:ascii="Times New Roman" w:hAnsi="Times New Roman" w:cs="Times New Roman"/>
        </w:rPr>
      </w:pPr>
      <w:r>
        <w:rPr>
          <w:rFonts w:hint="default" w:ascii="Times New Roman" w:hAnsi="Times New Roman" w:cs="Times New Roman"/>
        </w:rPr>
        <w:t>The fourth quarter is “diversifications”; diversification generally involves bringing in new products to new markets (Nouteya-Jackson, 2022). In doing so, Rio Tinto, when establishing itself in a foreign land, can train employees to be fluent in the local language to render better services to the customers.</w:t>
      </w:r>
    </w:p>
    <w:p>
      <w:pPr>
        <w:pStyle w:val="3"/>
        <w:rPr>
          <w:rFonts w:hint="default" w:ascii="Times New Roman" w:hAnsi="Times New Roman" w:cs="Times New Roman"/>
        </w:rPr>
      </w:pPr>
      <w:bookmarkStart w:id="12" w:name="_Toc140179278"/>
      <w:r>
        <w:rPr>
          <w:rFonts w:hint="default" w:ascii="Times New Roman" w:hAnsi="Times New Roman" w:cs="Times New Roman"/>
        </w:rPr>
        <w:t>Porter Generic Strategies</w:t>
      </w:r>
      <w:bookmarkEnd w:id="12"/>
    </w:p>
    <w:p>
      <w:pPr>
        <w:rPr>
          <w:rFonts w:hint="default" w:ascii="Times New Roman" w:hAnsi="Times New Roman" w:cs="Times New Roman"/>
        </w:rPr>
      </w:pPr>
      <w:r>
        <w:rPr>
          <w:rFonts w:hint="default" w:ascii="Times New Roman" w:hAnsi="Times New Roman" w:cs="Times New Roman"/>
        </w:rPr>
        <w:t xml:space="preserve">Porter's generic strategies are one of the most relevant frameworks through which the strategic options of Rio Tinto for better-personalised customer services can be evaluated. The framework demonstrates how an organisation can obtain competitive advantages and deliver better services through the adaptation of the right strategies (Islami, Mustafa, and Topuzovska Latkovikj, 2020). According to the principles of this model, Rio Tinto must focus on three major strategies to develop innovative and personalised customer care. These strategies include cost leadership, differentiation and focus. One of the major ways to attract the attention of the customers for obtaining competitive advantages is either the reduction of costs of their offered products and services or differentiation of the products or services from the competitors to justify the high prices (Firoz Suleman, Rashidirad, and Firoz Suleman, 2019). Moreover, the organisations can select either a narrow focus strategy, broad focus strategy or industry-wide strategy as per their type, scope and sizes to deliver the personalised products at the right and the right place to the customers. </w:t>
      </w:r>
    </w:p>
    <w:p>
      <w:pPr>
        <w:rPr>
          <w:rFonts w:hint="default" w:ascii="Times New Roman" w:hAnsi="Times New Roman" w:cs="Times New Roman"/>
        </w:rPr>
      </w:pPr>
      <w:r>
        <w:rPr>
          <w:rFonts w:hint="default" w:ascii="Times New Roman" w:hAnsi="Times New Roman" w:cs="Times New Roman"/>
        </w:rPr>
        <w:t>In regards to Rio Tinto, it has excellent brand recognition in the global market, but the intense competition in the relevant industry where it operates its business has made it difficult to sustain a market leadership position among its customers (Lee, Hoehn‐Weiss, and Karim, 2021). Therefore Rio Tinto can incorporate a combination of Porter generic strategies like cost leadership, differentiation and focus strategies to control the competitive pressure.</w:t>
      </w:r>
    </w:p>
    <w:p>
      <w:pPr>
        <w:rPr>
          <w:rFonts w:hint="default" w:ascii="Times New Roman" w:hAnsi="Times New Roman" w:cs="Times New Roman"/>
        </w:rPr>
      </w:pPr>
      <w:r>
        <w:rPr>
          <w:rFonts w:hint="default" w:ascii="Times New Roman" w:hAnsi="Times New Roman" w:cs="Times New Roman"/>
          <w:b/>
        </w:rPr>
        <w:t xml:space="preserve">Cost leadership: </w:t>
      </w:r>
      <w:r>
        <w:rPr>
          <w:rFonts w:hint="default" w:ascii="Times New Roman" w:hAnsi="Times New Roman" w:cs="Times New Roman"/>
        </w:rPr>
        <w:t xml:space="preserve">Cost leadership strategy enables organisations to gain competitive benefits by lowering costs (Greckhamer and Gur, 2021). The foremost objective of implementing this strategy Rio Tinto is to sustain its market leadership position in various consumer markets through effective value chain management. This strategy can enable Rio Tinto to increase its market growth and share by targeting middle-class consumers, who play a vital role in the consumer marketing mix in most nations. As middle-class consumers provide great attention to the pricing factor, hence cost leadership strategy can be regarded as the best strategic option for Rio Tinto to cater for the requirements of the middle-class consumer segment (Lee, Hoehn‐Weiss, and Karim, 2021). Besides offering low prices for the products, Rio Tinto must focus on reducing the production cost and boosting the supply chain efficiency so that they can often provide coupons and discounts to achieve the sales target. </w:t>
      </w:r>
    </w:p>
    <w:p>
      <w:pPr>
        <w:rPr>
          <w:rFonts w:hint="default" w:ascii="Times New Roman" w:hAnsi="Times New Roman" w:cs="Times New Roman"/>
        </w:rPr>
      </w:pPr>
      <w:r>
        <w:rPr>
          <w:rFonts w:hint="default" w:ascii="Times New Roman" w:hAnsi="Times New Roman" w:cs="Times New Roman"/>
          <w:b/>
        </w:rPr>
        <w:t xml:space="preserve">Differentiation: </w:t>
      </w:r>
      <w:r>
        <w:rPr>
          <w:rFonts w:hint="default" w:ascii="Times New Roman" w:hAnsi="Times New Roman" w:cs="Times New Roman"/>
        </w:rPr>
        <w:t xml:space="preserve">Differentiation is one of the most significant and widely used Porter generic strategies to achieve the desired growth objectives (Dombrowski, Krenkel, and Wullbrandt, 2018). Providing emphasis on unique product features and quality can provide a great opportunity for Rio Tinto to expand its consumer base. To make a differentiation, the company must focus on innovation, research and development and the data profile of the customers or clients. Considering the changing interests of the consumers is the most vital for product development and expansion and making a significant differentiation from the other competitors in the industry (Dvorak, 2022). By providing a variety of products, Rio Tinto can obtain more clients in different markets across the world.  </w:t>
      </w:r>
    </w:p>
    <w:p>
      <w:pPr>
        <w:rPr>
          <w:rFonts w:hint="default" w:ascii="Times New Roman" w:hAnsi="Times New Roman" w:cs="Times New Roman"/>
        </w:rPr>
      </w:pPr>
      <w:r>
        <w:rPr>
          <w:rFonts w:hint="default" w:ascii="Times New Roman" w:hAnsi="Times New Roman" w:cs="Times New Roman"/>
          <w:b/>
        </w:rPr>
        <w:t xml:space="preserve">Focus strategy: </w:t>
      </w:r>
      <w:r>
        <w:rPr>
          <w:rFonts w:hint="default" w:ascii="Times New Roman" w:hAnsi="Times New Roman" w:cs="Times New Roman"/>
        </w:rPr>
        <w:t>The availability of the products in the market depends on the adopted focus strategy by the organisations (Dvorak, 2022). As Rio Tinto is one of the largest metal and mining companies in the world, it must take an approach through which the company can avail their products in the maximum market segments in the world. In this regard, an industry-wide focus strategy can help the organisation in the most effective way as it ensures the offering of the products in the maximum market segmentation worldwide. However, to ensure the availability of the products in the maximum markets, the company must focus on increasing the production rate of the raw materials and metals.</w:t>
      </w:r>
    </w:p>
    <w:p>
      <w:pPr>
        <w:pStyle w:val="2"/>
        <w:rPr>
          <w:rFonts w:hint="default" w:ascii="Times New Roman" w:hAnsi="Times New Roman" w:cs="Times New Roman"/>
          <w:szCs w:val="28"/>
        </w:rPr>
      </w:pPr>
      <w:bookmarkStart w:id="13" w:name="_5174s7h6mncl" w:colFirst="0" w:colLast="0"/>
      <w:bookmarkEnd w:id="13"/>
      <w:bookmarkStart w:id="14" w:name="_Toc140179279"/>
      <w:r>
        <w:rPr>
          <w:rFonts w:hint="default" w:ascii="Times New Roman" w:hAnsi="Times New Roman" w:cs="Times New Roman"/>
          <w:szCs w:val="28"/>
        </w:rPr>
        <w:t>Implications</w:t>
      </w:r>
      <w:bookmarkEnd w:id="14"/>
      <w:r>
        <w:rPr>
          <w:rFonts w:hint="default" w:ascii="Times New Roman" w:hAnsi="Times New Roman" w:cs="Times New Roman"/>
          <w:szCs w:val="28"/>
        </w:rPr>
        <w:t xml:space="preserve"> </w:t>
      </w:r>
    </w:p>
    <w:p>
      <w:pPr>
        <w:pStyle w:val="3"/>
        <w:rPr>
          <w:rFonts w:hint="default" w:ascii="Times New Roman" w:hAnsi="Times New Roman" w:cs="Times New Roman"/>
          <w:sz w:val="28"/>
          <w:szCs w:val="28"/>
        </w:rPr>
      </w:pPr>
      <w:bookmarkStart w:id="15" w:name="_Toc140179280"/>
      <w:r>
        <w:rPr>
          <w:rFonts w:hint="default" w:ascii="Times New Roman" w:hAnsi="Times New Roman" w:cs="Times New Roman"/>
          <w:sz w:val="28"/>
          <w:szCs w:val="28"/>
        </w:rPr>
        <w:t>Implications of the proposed strategy on different areas of the organisation</w:t>
      </w:r>
      <w:bookmarkEnd w:id="15"/>
    </w:p>
    <w:p>
      <w:pPr>
        <w:ind w:firstLine="720"/>
        <w:rPr>
          <w:rFonts w:hint="default" w:ascii="Times New Roman" w:hAnsi="Times New Roman" w:cs="Times New Roman"/>
        </w:rPr>
      </w:pPr>
      <w:r>
        <w:rPr>
          <w:rFonts w:hint="default" w:ascii="Times New Roman" w:hAnsi="Times New Roman" w:cs="Times New Roman"/>
          <w:color w:val="000000" w:themeColor="text1"/>
          <w14:textFill>
            <w14:solidFill>
              <w14:schemeClr w14:val="tx1"/>
            </w14:solidFill>
          </w14:textFill>
        </w:rPr>
        <w:t xml:space="preserve">Although, for implementing the market penetration strategy, Rio Tinto can develop a market plan that can result in efficient budget preparation with high consumer volumes and boosts sustainable development by boosting growth for effective customer services. For market development, Rio Tinto can turn up the market plan into action assignments to ensure the execution to accomplish the planned objectives. This generally involves assigning team members, setting deadlines and establishing collateral needs to achieve the marketing goals (Zhang et al., 2021). For implementing </w:t>
      </w:r>
      <w:r>
        <w:rPr>
          <w:rFonts w:hint="default" w:ascii="Times New Roman" w:hAnsi="Times New Roman" w:cs="Times New Roman"/>
        </w:rPr>
        <w:t>a new product development, Rio Tinto can generate and refine ideas for innovative products to finalise the concept of performing market research. Establishing a timeline and budget can help to control the costs. Designing, building and testing the prototype both internally and externally by complying with all the regulations with mandatory certifications for launching the new product and monitoring its performance (Mintzberg, Ahlstrand and Lampel, 2009). For implementing product diversifications, Rio Tinto can entail new components in its existing product line by infusing new innovative technology through additional sibling products or increasing the availability of existing products to reach new markets (Hayes, 2014). This can further increase profitability and helps to achieve higher sales volume from the new products. </w:t>
      </w:r>
    </w:p>
    <w:p>
      <w:pPr>
        <w:rPr>
          <w:rFonts w:hint="default" w:ascii="Times New Roman" w:hAnsi="Times New Roman" w:cs="Times New Roman"/>
        </w:rPr>
      </w:pPr>
      <w:r>
        <w:rPr>
          <w:rFonts w:hint="default" w:ascii="Times New Roman" w:hAnsi="Times New Roman" w:cs="Times New Roman"/>
        </w:rPr>
        <w:t>For implementing a cost leadership strategy, Rio Tinto must analyse the existing operations to assess the organisation's current cost structure. Competitors' research is needed to identify the strategies that can reduce costs. The need to identify strategies that can reduce costs and develop actionable plans for implementing these strategies into the operations of Rio Tinto. The company should determine the most efficient procurement strategies for deciding what products or services should be offered. Then continually lowering the cost of the operation can increase the scale of production (Fariñas, Martín-Marcos and Velázquez, 2021). Initially, Rio Tinto has to understand the consumers' needs by identifying the targeted niche market. Establishing a unique value proposition can also help Rio Tinto to develop tailored products and services. Rio Tinto can promote its offerings through innovative and specialised techniques by implementing a product and price differentiation strategy (Garner, Stead, Stead, 2014). To implement the focus strategy, Rio Tinto can compile a SWOT analysis of the strategy by determining the goals and target market's strategy. Setting and communicating clear strategic goals by engaging the team to execute the strategic plan by staying agile. </w:t>
      </w:r>
    </w:p>
    <w:p>
      <w:pPr>
        <w:pStyle w:val="3"/>
        <w:rPr>
          <w:rFonts w:hint="default" w:ascii="Times New Roman" w:hAnsi="Times New Roman" w:eastAsia="Times New Roman" w:cs="Times New Roman"/>
          <w:sz w:val="28"/>
          <w:szCs w:val="28"/>
        </w:rPr>
      </w:pPr>
      <w:bookmarkStart w:id="16" w:name="_Toc140179281"/>
      <w:r>
        <w:rPr>
          <w:rFonts w:hint="default" w:ascii="Times New Roman" w:hAnsi="Times New Roman" w:eastAsia="Times New Roman" w:cs="Times New Roman"/>
          <w:sz w:val="28"/>
          <w:szCs w:val="28"/>
        </w:rPr>
        <w:t>The implication of the proposed strategy using Bowman’s Strategy Clock</w:t>
      </w:r>
      <w:bookmarkEnd w:id="16"/>
    </w:p>
    <w:p>
      <w:pPr>
        <w:ind w:firstLine="720"/>
        <w:rPr>
          <w:rFonts w:hint="default" w:ascii="Times New Roman" w:hAnsi="Times New Roman" w:cs="Times New Roman"/>
        </w:rPr>
      </w:pPr>
      <w:r>
        <w:rPr>
          <w:rFonts w:hint="default" w:ascii="Times New Roman" w:hAnsi="Times New Roman" w:cs="Times New Roman"/>
        </w:rPr>
        <w:t xml:space="preserve">Bowman’s strategy clock is one of the effective marketing frameworks which helps to determine the competitive position of an organisation in comparison to the products and services offered by the other competitors in the market (Yu and Yu, 2021). This framework provides eight possible strategies based on the price and perceived added value.  </w:t>
      </w:r>
    </w:p>
    <w:p>
      <w:pPr>
        <w:jc w:val="center"/>
        <w:rPr>
          <w:rFonts w:hint="default" w:ascii="Times New Roman" w:hAnsi="Times New Roman" w:eastAsia="Times New Roman" w:cs="Times New Roman"/>
          <w:b/>
          <w:szCs w:val="24"/>
        </w:rPr>
      </w:pPr>
      <w:r>
        <w:rPr>
          <w:rFonts w:hint="default" w:ascii="Times New Roman" w:hAnsi="Times New Roman" w:eastAsia="Times New Roman" w:cs="Times New Roman"/>
          <w:b/>
          <w:szCs w:val="24"/>
          <w:lang w:val="en-IN" w:eastAsia="en-IN"/>
        </w:rPr>
        <w:drawing>
          <wp:inline distT="114300" distB="114300" distL="114300" distR="114300">
            <wp:extent cx="3771900" cy="259524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2"/>
                    <a:srcRect/>
                    <a:stretch>
                      <a:fillRect/>
                    </a:stretch>
                  </pic:blipFill>
                  <pic:spPr>
                    <a:xfrm>
                      <a:off x="0" y="0"/>
                      <a:ext cx="3771900" cy="2595563"/>
                    </a:xfrm>
                    <a:prstGeom prst="rect">
                      <a:avLst/>
                    </a:prstGeom>
                  </pic:spPr>
                </pic:pic>
              </a:graphicData>
            </a:graphic>
          </wp:inline>
        </w:drawing>
      </w:r>
    </w:p>
    <w:p>
      <w:pPr>
        <w:jc w:val="center"/>
        <w:rPr>
          <w:rFonts w:hint="default" w:ascii="Times New Roman" w:hAnsi="Times New Roman" w:cs="Times New Roman"/>
          <w:b/>
        </w:rPr>
      </w:pPr>
      <w:r>
        <w:rPr>
          <w:rFonts w:hint="default" w:ascii="Times New Roman" w:hAnsi="Times New Roman" w:cs="Times New Roman"/>
          <w:b/>
        </w:rPr>
        <w:t>Figure 5: Bowman’s Strategy Clock</w:t>
      </w:r>
    </w:p>
    <w:p>
      <w:pPr>
        <w:jc w:val="center"/>
        <w:rPr>
          <w:rFonts w:hint="default" w:ascii="Times New Roman" w:hAnsi="Times New Roman" w:cs="Times New Roman"/>
        </w:rPr>
      </w:pPr>
      <w:r>
        <w:rPr>
          <w:rFonts w:hint="default" w:ascii="Times New Roman" w:hAnsi="Times New Roman" w:cs="Times New Roman"/>
        </w:rPr>
        <w:t xml:space="preserve">(Source: </w:t>
      </w:r>
      <w:r>
        <w:rPr>
          <w:rFonts w:hint="default" w:ascii="Times New Roman" w:hAnsi="Times New Roman" w:cs="Times New Roman"/>
          <w:shd w:val="clear" w:color="auto" w:fill="FFFFFF"/>
        </w:rPr>
        <w:t>McCarthy, 2022</w:t>
      </w:r>
      <w:r>
        <w:rPr>
          <w:rFonts w:hint="default" w:ascii="Times New Roman" w:hAnsi="Times New Roman" w:cs="Times New Roman"/>
        </w:rPr>
        <w:t>)</w:t>
      </w:r>
    </w:p>
    <w:p>
      <w:pPr>
        <w:rPr>
          <w:rFonts w:hint="default" w:ascii="Times New Roman" w:hAnsi="Times New Roman" w:cs="Times New Roman"/>
        </w:rPr>
      </w:pPr>
      <w:r>
        <w:rPr>
          <w:rFonts w:hint="default" w:ascii="Times New Roman" w:hAnsi="Times New Roman" w:cs="Times New Roman"/>
        </w:rPr>
        <w:t>Figure 5 represents eight different strategies provided by Bowman’s Strategy clock framework according to the varying level of price and value. These frameworks can help Rio Tinto to reshape its strategic direction in different positions, which are described below.</w:t>
      </w:r>
    </w:p>
    <w:p>
      <w:pPr>
        <w:rPr>
          <w:rFonts w:hint="default" w:ascii="Times New Roman" w:hAnsi="Times New Roman" w:cs="Times New Roman"/>
        </w:rPr>
      </w:pPr>
      <w:r>
        <w:rPr>
          <w:rFonts w:hint="default" w:ascii="Times New Roman" w:hAnsi="Times New Roman" w:cs="Times New Roman"/>
          <w:b/>
        </w:rPr>
        <w:t>Position 1:</w:t>
      </w:r>
      <w:r>
        <w:rPr>
          <w:rFonts w:hint="default" w:ascii="Times New Roman" w:hAnsi="Times New Roman" w:cs="Times New Roman"/>
        </w:rPr>
        <w:t xml:space="preserve"> This is the initial phase of an organisation where the firm does not maintain any competitive position in the market (</w:t>
      </w:r>
      <w:r>
        <w:rPr>
          <w:rFonts w:hint="default" w:ascii="Times New Roman" w:hAnsi="Times New Roman" w:cs="Times New Roman"/>
          <w:shd w:val="clear" w:color="auto" w:fill="FFFFFF"/>
        </w:rPr>
        <w:t>McCarthy, 2022)</w:t>
      </w:r>
      <w:r>
        <w:rPr>
          <w:rFonts w:hint="default" w:ascii="Times New Roman" w:hAnsi="Times New Roman" w:cs="Times New Roman"/>
        </w:rPr>
        <w:t>. In this position, the organisations offer less differentiated products and hence little perceived value is generated among the customers despite offering the products at a comparatively low price. In this position, the only way through which Rio Tinto can stay in the competitive zone is the offering cheap products to the customers in the market.</w:t>
      </w:r>
    </w:p>
    <w:p>
      <w:pPr>
        <w:rPr>
          <w:rFonts w:hint="default" w:ascii="Times New Roman" w:hAnsi="Times New Roman" w:cs="Times New Roman"/>
        </w:rPr>
      </w:pPr>
      <w:r>
        <w:rPr>
          <w:rFonts w:hint="default" w:ascii="Times New Roman" w:hAnsi="Times New Roman" w:cs="Times New Roman"/>
          <w:b/>
        </w:rPr>
        <w:t>Position 2:</w:t>
      </w:r>
      <w:r>
        <w:rPr>
          <w:rFonts w:hint="default" w:ascii="Times New Roman" w:hAnsi="Times New Roman" w:cs="Times New Roman"/>
        </w:rPr>
        <w:t xml:space="preserve"> In this category, organisations compete with each other as low-cost leaders. In these positions, organisations charge low prices for their products to increase sales (</w:t>
      </w:r>
      <w:r>
        <w:rPr>
          <w:rFonts w:hint="default" w:ascii="Times New Roman" w:hAnsi="Times New Roman" w:cs="Times New Roman"/>
          <w:shd w:val="clear" w:color="auto" w:fill="FFFFFF"/>
        </w:rPr>
        <w:t>Saqib, 2021)</w:t>
      </w:r>
      <w:r>
        <w:rPr>
          <w:rFonts w:hint="default" w:ascii="Times New Roman" w:hAnsi="Times New Roman" w:cs="Times New Roman"/>
        </w:rPr>
        <w:t xml:space="preserve">. Due to having adequate perceived value, organisations are able to attract customers to purchase their products by offering low prices. As Rio Tinto is involved with the mass production of raw materials, hence it could follow this strategy of offering products at low prices with a low-profit margin for the achievement of the maximum competitive advantages. </w:t>
      </w:r>
    </w:p>
    <w:p>
      <w:pPr>
        <w:rPr>
          <w:rFonts w:hint="default" w:ascii="Times New Roman" w:hAnsi="Times New Roman" w:cs="Times New Roman"/>
        </w:rPr>
      </w:pPr>
      <w:r>
        <w:rPr>
          <w:rFonts w:hint="default" w:ascii="Times New Roman" w:hAnsi="Times New Roman" w:cs="Times New Roman"/>
          <w:b/>
        </w:rPr>
        <w:t>Position 3:</w:t>
      </w:r>
      <w:r>
        <w:rPr>
          <w:rFonts w:hint="default" w:ascii="Times New Roman" w:hAnsi="Times New Roman" w:cs="Times New Roman"/>
        </w:rPr>
        <w:t xml:space="preserve"> In this category, companies follow a hybrid model where they offer low prices but provide comparatively value-added products, which is a major reason for customer attraction (</w:t>
      </w:r>
      <w:r>
        <w:rPr>
          <w:rFonts w:hint="default" w:ascii="Times New Roman" w:hAnsi="Times New Roman" w:cs="Times New Roman"/>
          <w:shd w:val="clear" w:color="auto" w:fill="FFFFFF"/>
        </w:rPr>
        <w:t>Helmold and Samara, 2019)</w:t>
      </w:r>
      <w:r>
        <w:rPr>
          <w:rFonts w:hint="default" w:ascii="Times New Roman" w:hAnsi="Times New Roman" w:cs="Times New Roman"/>
        </w:rPr>
        <w:t xml:space="preserve">. This is the best strategy for attracting middle-class consumers as they give priority to those products which can be obtained in good quality at affordable prices. Incorporation of this strategy can help Rio Tinto to increase customer loyalty. </w:t>
      </w:r>
    </w:p>
    <w:p>
      <w:pPr>
        <w:rPr>
          <w:rFonts w:hint="default" w:ascii="Times New Roman" w:hAnsi="Times New Roman" w:cs="Times New Roman"/>
        </w:rPr>
      </w:pPr>
      <w:r>
        <w:rPr>
          <w:rFonts w:hint="default" w:ascii="Times New Roman" w:hAnsi="Times New Roman" w:cs="Times New Roman"/>
          <w:b/>
        </w:rPr>
        <w:t>Position 4:</w:t>
      </w:r>
      <w:r>
        <w:rPr>
          <w:rFonts w:hint="default" w:ascii="Times New Roman" w:hAnsi="Times New Roman" w:cs="Times New Roman"/>
        </w:rPr>
        <w:t xml:space="preserve"> In this position, companies try to differentiate themselves from the other competitors in the market by offering high-perceived-value products (Wiltsey Stirman, Baumann, and Miller, 2019). However, incorporating this strategy with low brand recognition is quite difficult for organisations as to afford this strategy, they have to place higher prices for their products. Rio Tinto can adopt this strategy as it can justify its premium prices as a reputed brand.</w:t>
      </w:r>
    </w:p>
    <w:p>
      <w:pPr>
        <w:rPr>
          <w:rFonts w:hint="default" w:ascii="Times New Roman" w:hAnsi="Times New Roman" w:cs="Times New Roman"/>
        </w:rPr>
      </w:pPr>
      <w:r>
        <w:rPr>
          <w:rFonts w:hint="default" w:ascii="Times New Roman" w:hAnsi="Times New Roman" w:cs="Times New Roman"/>
          <w:b/>
        </w:rPr>
        <w:t>Position 5 &amp; 6:</w:t>
      </w:r>
      <w:r>
        <w:rPr>
          <w:rFonts w:hint="default" w:ascii="Times New Roman" w:hAnsi="Times New Roman" w:cs="Times New Roman"/>
        </w:rPr>
        <w:t xml:space="preserve"> The strategy in position 5 concentrates on focused differentiation, where the companies offer their products to a specific, focused group by establishing a premium pricing strategy (</w:t>
      </w:r>
      <w:r>
        <w:rPr>
          <w:rFonts w:hint="default" w:ascii="Times New Roman" w:hAnsi="Times New Roman" w:cs="Times New Roman"/>
          <w:shd w:val="clear" w:color="auto" w:fill="FFFFFF"/>
        </w:rPr>
        <w:t>Helmold and Samara, 2019)</w:t>
      </w:r>
      <w:r>
        <w:rPr>
          <w:rFonts w:hint="default" w:ascii="Times New Roman" w:hAnsi="Times New Roman" w:cs="Times New Roman"/>
        </w:rPr>
        <w:t xml:space="preserve">. In this regard, Rio Tinto can produce a few specific products by targeting only premium customers for the purpose of greater profit margin. According to the strategy described in position 6, there are a few companies that used to try their luck and suddenly increase the product prices without increasing the perceived value of the products (Fuertes </w:t>
      </w:r>
      <w:r>
        <w:rPr>
          <w:rFonts w:hint="default" w:ascii="Times New Roman" w:hAnsi="Times New Roman" w:cs="Times New Roman"/>
          <w:i/>
        </w:rPr>
        <w:t>et al</w:t>
      </w:r>
      <w:r>
        <w:rPr>
          <w:rFonts w:hint="default" w:ascii="Times New Roman" w:hAnsi="Times New Roman" w:cs="Times New Roman"/>
        </w:rPr>
        <w:t>., 2020). In case the price is accepted by the customers, the company has started to gain more profits. As a recognised brand, Rio Tinto should not apply this strategy thinking about long-term development.</w:t>
      </w:r>
    </w:p>
    <w:p>
      <w:pPr>
        <w:rPr>
          <w:rFonts w:hint="default" w:ascii="Times New Roman" w:hAnsi="Times New Roman" w:cs="Times New Roman"/>
        </w:rPr>
      </w:pPr>
      <w:r>
        <w:rPr>
          <w:rFonts w:hint="default" w:ascii="Times New Roman" w:hAnsi="Times New Roman" w:cs="Times New Roman"/>
          <w:b/>
        </w:rPr>
        <w:t>Position 7 &amp; 8:</w:t>
      </w:r>
      <w:r>
        <w:rPr>
          <w:rFonts w:hint="default" w:ascii="Times New Roman" w:hAnsi="Times New Roman" w:cs="Times New Roman"/>
        </w:rPr>
        <w:t xml:space="preserve"> The strategy of position 7 is only applicable to the monopoly market, where the companies can offer their low-quality products at a high price due to the lack of competitors (</w:t>
      </w:r>
      <w:r>
        <w:rPr>
          <w:rFonts w:hint="default" w:ascii="Times New Roman" w:hAnsi="Times New Roman" w:cs="Times New Roman"/>
          <w:shd w:val="clear" w:color="auto" w:fill="FFFFFF"/>
        </w:rPr>
        <w:t>McCarthy, 2022)</w:t>
      </w:r>
      <w:r>
        <w:rPr>
          <w:rFonts w:hint="default" w:ascii="Times New Roman" w:hAnsi="Times New Roman" w:cs="Times New Roman"/>
        </w:rPr>
        <w:t xml:space="preserve">. As Rio Tinto operates its business in such an industry where the competition is intense, So this strategy is not applicable to Rio Tinto. On the other hand, implementation of the Position 8 strategy can lead to the business of Rio Tinto losing market share as customers will not accept lower quality products at the increased prices when other competitors are providing the same products at low prices.     </w:t>
      </w:r>
    </w:p>
    <w:p>
      <w:pPr>
        <w:pStyle w:val="2"/>
        <w:rPr>
          <w:rFonts w:hint="default" w:ascii="Times New Roman" w:hAnsi="Times New Roman" w:eastAsia="Times New Roman" w:cs="Times New Roman"/>
          <w:sz w:val="48"/>
          <w:szCs w:val="48"/>
          <w:lang w:eastAsia="en-IN"/>
        </w:rPr>
      </w:pPr>
      <w:bookmarkStart w:id="17" w:name="_lo0aivbneofm" w:colFirst="0" w:colLast="0"/>
      <w:bookmarkEnd w:id="17"/>
      <w:bookmarkStart w:id="18" w:name="_Toc140179282"/>
      <w:r>
        <w:rPr>
          <w:rFonts w:hint="default" w:ascii="Times New Roman" w:hAnsi="Times New Roman" w:eastAsia="Times New Roman" w:cs="Times New Roman"/>
          <w:lang w:eastAsia="en-IN"/>
        </w:rPr>
        <w:t>Conclusions</w:t>
      </w:r>
      <w:bookmarkEnd w:id="18"/>
    </w:p>
    <w:p>
      <w:pPr>
        <w:ind w:firstLine="720"/>
        <w:rPr>
          <w:rFonts w:hint="default" w:ascii="Times New Roman" w:hAnsi="Times New Roman" w:cs="Times New Roman"/>
        </w:rPr>
      </w:pPr>
      <w:r>
        <w:rPr>
          <w:rFonts w:hint="default" w:ascii="Times New Roman" w:hAnsi="Times New Roman" w:cs="Times New Roman"/>
        </w:rPr>
        <w:t>The study mainly describes the strategic management and positions of the mining company Rio Tinto. As the company is the second leading producer of minerals globally, it has faced numerous challenges in its operations. The PESTLE analysis in the context of the study defines that political factors like the US-China conflict and Brexit causes significantly do not impact the company's operations much. The economic factors are very comprehensive and reliable. The technological procedures of the company are massive and beneficial for implementing smooth operations (Benzidia, Makaoui and Bentahar, 2021). The legal factors are not quite good as it has provided the company with numerous allegations and caused severe downfall. The SWOT analysis provided that the company's aluminium production is the key strength, and the weakness is related to its considerable financial debt. A critical evaluation of the strategic options is analysed here with the help of Ansoff's Matrix and Porter's generic strategies for implementing a proposed strategy in the company's operations. </w:t>
      </w:r>
    </w:p>
    <w:p>
      <w:pPr>
        <w:rPr>
          <w:rFonts w:hint="default" w:ascii="Times New Roman" w:hAnsi="Times New Roman" w:cs="Times New Roman"/>
        </w:rPr>
      </w:pPr>
      <w:r>
        <w:rPr>
          <w:rFonts w:hint="default" w:ascii="Times New Roman" w:hAnsi="Times New Roman" w:cs="Times New Roman"/>
        </w:rPr>
        <w:t>Moreover, the implications of the proposed strategies in the context of the study determine the areas of preparing a budget plan with established communication channels for implementing the proposed strategies. Thus it further identifies that establishing a unique value proposition technique can help the company to tailor their products and service (Kabil et al., 2023). Rio Tinto can promote its offerings in an innovative and specialised manner that can determine the target market's goals. Thus setting up a clear communicating strategy can clear up the strategic goals and engage a strategic plan in the organisation. Furthermore, the implications of the proposed strategy had been analysed with Bowman's Strategy Clock for implementing a perfect implications strategy.</w:t>
      </w:r>
    </w:p>
    <w:p>
      <w:pPr>
        <w:pStyle w:val="2"/>
        <w:rPr>
          <w:rFonts w:hint="default" w:ascii="Times New Roman" w:hAnsi="Times New Roman" w:eastAsia="Times New Roman" w:cs="Times New Roman"/>
          <w:sz w:val="48"/>
          <w:szCs w:val="48"/>
          <w:lang w:eastAsia="en-IN"/>
        </w:rPr>
      </w:pPr>
      <w:bookmarkStart w:id="19" w:name="_Toc140179283"/>
      <w:r>
        <w:rPr>
          <w:rFonts w:hint="default" w:ascii="Times New Roman" w:hAnsi="Times New Roman" w:eastAsia="Times New Roman" w:cs="Times New Roman"/>
          <w:lang w:eastAsia="en-IN"/>
        </w:rPr>
        <w:t>Recommendations</w:t>
      </w:r>
      <w:bookmarkEnd w:id="19"/>
    </w:p>
    <w:p>
      <w:pPr>
        <w:rPr>
          <w:rFonts w:hint="default" w:ascii="Times New Roman" w:hAnsi="Times New Roman" w:cs="Times New Roman"/>
        </w:rPr>
      </w:pPr>
      <w:r>
        <w:rPr>
          <w:rFonts w:hint="default" w:ascii="Times New Roman" w:hAnsi="Times New Roman" w:cs="Times New Roman"/>
        </w:rPr>
        <w:t>The Mendelow stakeholder matrix provides a simple way to manage the stakeholders during a project. This provides an ability to manage the stakeholders, which is critical for the project's success (Santoro et al., 2020). Moreover, it isn't straightforward to juggle the various competing interests of the stakeholders simultaneously. Thus these interests are often considered contradictory, which can cause conflict and loss of productivity for balancing the conflicting priorities of the stakeholders by analysing two variables- power and interest.</w:t>
      </w:r>
    </w:p>
    <w:p>
      <w:pPr>
        <w:rPr>
          <w:rFonts w:hint="default" w:ascii="Times New Roman" w:hAnsi="Times New Roman" w:cs="Times New Roman"/>
        </w:rPr>
      </w:pPr>
      <w:r>
        <w:rPr>
          <w:rFonts w:hint="default" w:ascii="Times New Roman" w:hAnsi="Times New Roman" w:cs="Times New Roman"/>
          <w:b/>
        </w:rPr>
        <w:t>Low power, low interest:</w:t>
      </w:r>
      <w:r>
        <w:rPr>
          <w:rFonts w:hint="default" w:ascii="Times New Roman" w:hAnsi="Times New Roman" w:cs="Times New Roman"/>
        </w:rPr>
        <w:t xml:space="preserve"> The low-power, low-interest stakeholders are the local groups, suppliers and community members; these stakeholders' have the lowest ability to impact a project, and in some cases, they are not interested in doing so. As the low-power, low-interest stakeholders' in Rio Tinto do not have significant power, there is less need for informing and engaging with these groups, and thus should be monitored in case the circumstances change. For this, the market development strategy with unique value proposition techniques needs to be compiled with product development strategies so that they can deliver support by aligning the communication channels through consistent support (Viktoriia et al., 2022). </w:t>
      </w:r>
    </w:p>
    <w:p>
      <w:pPr>
        <w:rPr>
          <w:rFonts w:hint="default" w:ascii="Times New Roman" w:hAnsi="Times New Roman" w:cs="Times New Roman"/>
        </w:rPr>
      </w:pPr>
      <w:r>
        <w:rPr>
          <w:rFonts w:hint="default" w:ascii="Times New Roman" w:hAnsi="Times New Roman" w:cs="Times New Roman"/>
          <w:b/>
        </w:rPr>
        <w:t>Low power, high interest:</w:t>
      </w:r>
      <w:r>
        <w:rPr>
          <w:rFonts w:hint="default" w:ascii="Times New Roman" w:hAnsi="Times New Roman" w:cs="Times New Roman"/>
        </w:rPr>
        <w:t xml:space="preserve"> Low, high-interest stakeholders are the employees, local communities, and stakeholders. The company must value that although the low-power and high-interest stakeholders may not have the power to impact the decisions directly, their engagement and support can be valuable in implementing cost leadership and increasing the brand's reputation.</w:t>
      </w:r>
    </w:p>
    <w:p>
      <w:pPr>
        <w:rPr>
          <w:rFonts w:hint="default" w:ascii="Times New Roman" w:hAnsi="Times New Roman" w:cs="Times New Roman"/>
        </w:rPr>
      </w:pPr>
      <w:r>
        <w:rPr>
          <w:rFonts w:hint="default" w:ascii="Times New Roman" w:hAnsi="Times New Roman" w:cs="Times New Roman"/>
          <w:b/>
        </w:rPr>
        <w:t>High power, low interest:</w:t>
      </w:r>
      <w:r>
        <w:rPr>
          <w:rFonts w:hint="default" w:ascii="Times New Roman" w:hAnsi="Times New Roman" w:cs="Times New Roman"/>
        </w:rPr>
        <w:t xml:space="preserve"> The high-power, low-interest stakeholders are the banks, governments, law enforcement, insurance companies and other regulatory bodies; despite their low interest, they need to be informed for various reasons. Rio Tinto must be informed of all the diversifications and product innovation strategies to all the regulatory bodies so they can be informed that everything complies with the rules and regulations (Lynch, 2015). </w:t>
      </w:r>
    </w:p>
    <w:p>
      <w:pPr>
        <w:rPr>
          <w:rFonts w:hint="default" w:ascii="Times New Roman" w:hAnsi="Times New Roman" w:cs="Times New Roman"/>
        </w:rPr>
      </w:pPr>
      <w:r>
        <w:rPr>
          <w:rFonts w:hint="default" w:ascii="Times New Roman" w:hAnsi="Times New Roman" w:cs="Times New Roman"/>
          <w:b/>
        </w:rPr>
        <w:t>High power, high interest:</w:t>
      </w:r>
      <w:r>
        <w:rPr>
          <w:rFonts w:hint="default" w:ascii="Times New Roman" w:hAnsi="Times New Roman" w:cs="Times New Roman"/>
        </w:rPr>
        <w:t xml:space="preserve"> The high-power, high-interest stakeholders are the directors, senior managers, and key investors who are actively involved in decision-making and have the power to terminate a particular project. Although numerous strategies have been proposed, informing these stakeholders is necessary as their relationship with considerable support and cooperation can help Rio Tinto substantially influence outcomes.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   </w:t>
      </w:r>
      <w:r>
        <w:rPr>
          <w:rFonts w:hint="default" w:ascii="Times New Roman" w:hAnsi="Times New Roman" w:cs="Times New Roman"/>
        </w:rPr>
        <w:br w:type="page"/>
      </w:r>
    </w:p>
    <w:p>
      <w:pPr>
        <w:pStyle w:val="2"/>
        <w:rPr>
          <w:rFonts w:hint="default" w:ascii="Times New Roman" w:hAnsi="Times New Roman" w:cs="Times New Roman"/>
        </w:rPr>
      </w:pPr>
      <w:bookmarkStart w:id="20" w:name="_Toc140179284"/>
      <w:r>
        <w:rPr>
          <w:rFonts w:hint="default" w:ascii="Times New Roman" w:hAnsi="Times New Roman" w:cs="Times New Roman"/>
        </w:rPr>
        <w:t>Reference List</w:t>
      </w:r>
      <w:bookmarkEnd w:id="20"/>
    </w:p>
    <w:p>
      <w:pPr>
        <w:rPr>
          <w:rFonts w:hint="default" w:ascii="Times New Roman" w:hAnsi="Times New Roman" w:cs="Times New Roman"/>
        </w:rPr>
      </w:pPr>
      <w:r>
        <w:rPr>
          <w:rFonts w:hint="default" w:ascii="Times New Roman" w:hAnsi="Times New Roman" w:cs="Times New Roman"/>
        </w:rPr>
        <w:t xml:space="preserve">Assibey-Bonsu, W., (2019). Investing in engineering, research and education in Africa to derive a roadmap for ensuring local digital mining success. In Mining goes Digital (pp. 25-37). CRC Press. </w:t>
      </w:r>
      <w:r>
        <w:rPr>
          <w:rFonts w:hint="default" w:ascii="Times New Roman" w:hAnsi="Times New Roman" w:cs="Times New Roman"/>
        </w:rPr>
        <w:fldChar w:fldCharType="begin"/>
      </w:r>
      <w:r>
        <w:rPr>
          <w:rFonts w:hint="default" w:ascii="Times New Roman" w:hAnsi="Times New Roman" w:cs="Times New Roman"/>
        </w:rPr>
        <w:instrText xml:space="preserve"> HYPERLINK "https://books.google.com/books?hl=en&amp;lr=&amp;id=Ab6ZDwAAQBAJ&amp;oi=fnd&amp;pg=PA25&amp;dq=rio+tinto+has+70,000+employees&amp;ots=hP--lRi2KO&amp;sig=fiIdrEfYSAoNwYFnoXtJS0U9vs8" </w:instrText>
      </w:r>
      <w:r>
        <w:rPr>
          <w:rFonts w:hint="default" w:ascii="Times New Roman" w:hAnsi="Times New Roman" w:cs="Times New Roman"/>
        </w:rPr>
        <w:fldChar w:fldCharType="separate"/>
      </w:r>
      <w:r>
        <w:rPr>
          <w:rStyle w:val="8"/>
          <w:rFonts w:hint="default" w:ascii="Times New Roman" w:hAnsi="Times New Roman" w:cs="Times New Roman"/>
        </w:rPr>
        <w:t>https://books.google.com/books?hl=en&amp;lr=&amp;id=Ab6ZDwAAQBAJ&amp;oi=fnd&amp;pg=PA25&amp;dq=rio+tinto+has+70,000+employees&amp;ots=hP--lRi2KO&amp;sig=fiIdrEfYSAoNwYFnoXtJS0U9vs8</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Benzidia, S., Makaoui, N. and Bentahar, O., (2021). The impact of big data analytics and artificial intelligence on green supply chain process integration and hospital environmental performance. Technological forecasting and social change, 165, p.120557. </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"https://www.sciencedirect.com/science/article/am/pii/S0040162520313834" </w:instrText>
      </w:r>
      <w:r>
        <w:rPr>
          <w:rFonts w:hint="default" w:ascii="Times New Roman" w:hAnsi="Times New Roman" w:cs="Times New Roman"/>
        </w:rPr>
        <w:fldChar w:fldCharType="separate"/>
      </w:r>
      <w:r>
        <w:rPr>
          <w:rStyle w:val="8"/>
          <w:rFonts w:hint="default" w:ascii="Times New Roman" w:hAnsi="Times New Roman" w:cs="Times New Roman"/>
        </w:rPr>
        <w:t>https://www.sciencedirect.com/science/article/am/pii/S0040162520313834</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Bouteska, A. and Mili, M., (2022). Does corporate governance affect financial analysts’ stock recommendations, target prices accuracy and earnings forecast characteristics? An empirical investigation of US companies. Empirical Economics, 63(4), pp.2125-2171. </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"https://link.springer.com/article/10.1007/s00181-022-02297-3" </w:instrText>
      </w:r>
      <w:r>
        <w:rPr>
          <w:rFonts w:hint="default" w:ascii="Times New Roman" w:hAnsi="Times New Roman" w:cs="Times New Roman"/>
        </w:rPr>
        <w:fldChar w:fldCharType="separate"/>
      </w:r>
      <w:r>
        <w:rPr>
          <w:rStyle w:val="8"/>
          <w:rFonts w:hint="default" w:ascii="Times New Roman" w:hAnsi="Times New Roman" w:cs="Times New Roman"/>
        </w:rPr>
        <w:t>https://link.springer.com/article/10.1007/s00181-022-02297-3</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Bush. T., (2020)Ansoff Matrix: How to Use for Business Growth. Retrived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"https://pestleanalysis.com/ansoff-matrix/" \h </w:instrText>
      </w:r>
      <w:r>
        <w:rPr>
          <w:rFonts w:hint="default" w:ascii="Times New Roman" w:hAnsi="Times New Roman" w:cs="Times New Roman"/>
        </w:rPr>
        <w:fldChar w:fldCharType="separate"/>
      </w:r>
      <w:r>
        <w:rPr>
          <w:rStyle w:val="8"/>
          <w:rFonts w:hint="default" w:ascii="Times New Roman" w:hAnsi="Times New Roman" w:cs="Times New Roman"/>
        </w:rPr>
        <w:t>Ansoff Matrix: How to Use for Business Growth (pestleanalysis.com)</w:t>
      </w:r>
      <w:r>
        <w:rPr>
          <w:rStyle w:val="8"/>
          <w:rFonts w:hint="default" w:ascii="Times New Roman" w:hAnsi="Times New Roman" w:cs="Times New Roman"/>
        </w:rPr>
        <w:fldChar w:fldCharType="end"/>
      </w:r>
      <w:r>
        <w:rPr>
          <w:rFonts w:hint="default" w:ascii="Times New Roman" w:hAnsi="Times New Roman" w:cs="Times New Roman"/>
        </w:rPr>
        <w:t xml:space="preserve"> [Accessed on 13th July,2023]</w:t>
      </w:r>
    </w:p>
    <w:p>
      <w:pPr>
        <w:rPr>
          <w:rFonts w:hint="default" w:ascii="Times New Roman" w:hAnsi="Times New Roman" w:cs="Times New Roman"/>
        </w:rPr>
      </w:pPr>
      <w:r>
        <w:rPr>
          <w:rFonts w:hint="default" w:ascii="Times New Roman" w:hAnsi="Times New Roman" w:cs="Times New Roman"/>
        </w:rPr>
        <w:t xml:space="preserve">Capobianco, N., Basile, V., Loia, F. and Vona, R., (2021). Toward a sustainable decommissioning of offshore platforms in the oil and gas industry: A PESTLE analysis. Sustainability, 13(11), p.6266. </w:t>
      </w:r>
      <w:r>
        <w:rPr>
          <w:rFonts w:hint="default" w:ascii="Times New Roman" w:hAnsi="Times New Roman" w:cs="Times New Roman"/>
        </w:rPr>
        <w:fldChar w:fldCharType="begin"/>
      </w:r>
      <w:r>
        <w:rPr>
          <w:rFonts w:hint="default" w:ascii="Times New Roman" w:hAnsi="Times New Roman" w:cs="Times New Roman"/>
        </w:rPr>
        <w:instrText xml:space="preserve"> HYPERLINK "https://www.mdpi.com/2071-1050/13/11/6266/pdf" </w:instrText>
      </w:r>
      <w:r>
        <w:rPr>
          <w:rFonts w:hint="default" w:ascii="Times New Roman" w:hAnsi="Times New Roman" w:cs="Times New Roman"/>
        </w:rPr>
        <w:fldChar w:fldCharType="separate"/>
      </w:r>
      <w:r>
        <w:rPr>
          <w:rStyle w:val="8"/>
          <w:rFonts w:hint="default" w:ascii="Times New Roman" w:hAnsi="Times New Roman" w:cs="Times New Roman"/>
        </w:rPr>
        <w:t>https://www.mdpi.com/2071-1050/13/11/6266/pdf</w:t>
      </w:r>
      <w:r>
        <w:rPr>
          <w:rStyle w:val="8"/>
          <w:rFonts w:hint="default" w:ascii="Times New Roman" w:hAnsi="Times New Roman" w:cs="Times New Roman"/>
        </w:rPr>
        <w:fldChar w:fldCharType="end"/>
      </w:r>
    </w:p>
    <w:p>
      <w:pPr>
        <w:rPr>
          <w:rStyle w:val="8"/>
          <w:rFonts w:hint="default" w:ascii="Times New Roman" w:hAnsi="Times New Roman" w:cs="Times New Roman"/>
        </w:rPr>
      </w:pPr>
      <w:r>
        <w:rPr>
          <w:rFonts w:hint="default" w:ascii="Times New Roman" w:hAnsi="Times New Roman" w:cs="Times New Roman"/>
        </w:rPr>
        <w:t xml:space="preserve">Chang, S.E., Luo, H.L. and Chen, Y., (2019). Blockchain-enabled trade finance innovation: A potential paradigm shift on using letter of credit. Sustainability, 12(1), p.188. </w:t>
      </w:r>
      <w:r>
        <w:rPr>
          <w:rFonts w:hint="default" w:ascii="Times New Roman" w:hAnsi="Times New Roman" w:cs="Times New Roman"/>
        </w:rPr>
        <w:fldChar w:fldCharType="begin"/>
      </w:r>
      <w:r>
        <w:rPr>
          <w:rFonts w:hint="default" w:ascii="Times New Roman" w:hAnsi="Times New Roman" w:cs="Times New Roman"/>
        </w:rPr>
        <w:instrText xml:space="preserve"> HYPERLINK "https://www.mdpi.com/2071-1050/12/1/188/pdf" </w:instrText>
      </w:r>
      <w:r>
        <w:rPr>
          <w:rFonts w:hint="default" w:ascii="Times New Roman" w:hAnsi="Times New Roman" w:cs="Times New Roman"/>
        </w:rPr>
        <w:fldChar w:fldCharType="separate"/>
      </w:r>
      <w:r>
        <w:rPr>
          <w:rStyle w:val="8"/>
          <w:rFonts w:hint="default" w:ascii="Times New Roman" w:hAnsi="Times New Roman" w:cs="Times New Roman"/>
        </w:rPr>
        <w:t>https://www.mdpi.com/2071-1050/12/1/188/pdf</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Dess, G.G., McNamara, G. and Eisner, A.B., (2016). Strategic Management: Text and Cases, (Global Edition). A study on Ansoff Matrix Technique: As a growth strategy and an adaptive learning technique adopted in the leading brand of products. BIMS Journal of Management, 18. </w:t>
      </w:r>
      <w:r>
        <w:rPr>
          <w:rFonts w:hint="default" w:ascii="Times New Roman" w:hAnsi="Times New Roman" w:cs="Times New Roman"/>
        </w:rPr>
        <w:fldChar w:fldCharType="begin"/>
      </w:r>
      <w:r>
        <w:rPr>
          <w:rFonts w:hint="default" w:ascii="Times New Roman" w:hAnsi="Times New Roman" w:cs="Times New Roman"/>
        </w:rPr>
        <w:instrText xml:space="preserve"> HYPERLINK "https://bimskol.org/pdf/E-copy-BIMS-Journal-Management-Kolkata-Vol5-Issue-1-July-2020.pdf" \l "page=26" \h </w:instrText>
      </w:r>
      <w:r>
        <w:rPr>
          <w:rFonts w:hint="default" w:ascii="Times New Roman" w:hAnsi="Times New Roman" w:cs="Times New Roman"/>
        </w:rPr>
        <w:fldChar w:fldCharType="separate"/>
      </w:r>
      <w:r>
        <w:rPr>
          <w:rStyle w:val="8"/>
          <w:rFonts w:hint="default" w:ascii="Times New Roman" w:hAnsi="Times New Roman" w:cs="Times New Roman"/>
        </w:rPr>
        <w:t>https://bimskol.org/pdf/E-copy-BIMS-Journal-Management-Kolkata-Vol5-Issue-1-July-2020.pdf#page=26</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Dombrowski, U., Krenkel, P. and Wullbrandt, J. (2018) ‘Strategic Positioning of Production within the Generic Competitive Strategies’, in Procedia CIRP. Elsevier B.V, pp. 1196–1201.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"https://doi.org/10.1016/j.procir.2018.03.007" </w:instrText>
      </w:r>
      <w:r>
        <w:rPr>
          <w:rFonts w:hint="default" w:ascii="Times New Roman" w:hAnsi="Times New Roman" w:cs="Times New Roman"/>
        </w:rPr>
        <w:fldChar w:fldCharType="separate"/>
      </w:r>
      <w:r>
        <w:rPr>
          <w:rStyle w:val="8"/>
          <w:rFonts w:hint="default" w:ascii="Times New Roman" w:hAnsi="Times New Roman" w:cs="Times New Roman"/>
        </w:rPr>
        <w:t>https://doi.org/10.1016/j.procir.2018.03.007</w:t>
      </w:r>
      <w:r>
        <w:rPr>
          <w:rStyle w:val="8"/>
          <w:rFonts w:hint="default" w:ascii="Times New Roman" w:hAnsi="Times New Roman" w:cs="Times New Roman"/>
        </w:rPr>
        <w:fldChar w:fldCharType="end"/>
      </w:r>
      <w:r>
        <w:rPr>
          <w:rFonts w:hint="default" w:ascii="Times New Roman" w:hAnsi="Times New Roman" w:cs="Times New Roman"/>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"https://librarysearch.uwtsd.ac.uk/permalink/44WHELF_UWTSD/1ir6fgh/cdi_crossref_primary_10_1016_j_procir_2018_03_007"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https://librarysearch.uwtsd.ac.uk/permalink/44WHELF_UWTSD/1ir6fgh/cdi_crossref_primary_10_1016_j_procir_2018_03_007</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Dvorak, J. et al. (2022) ‘TRENDS IN BUSINESS STRATEGY RESEARCH, BIBLIOMETRIC ANALYSIS AND TEXT MINING’, Journal of business economics and management, 23(6), pp. 1377–1397.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"https://doi.org/10.3846/jbem.2022.18301" </w:instrText>
      </w:r>
      <w:r>
        <w:rPr>
          <w:rFonts w:hint="default" w:ascii="Times New Roman" w:hAnsi="Times New Roman" w:cs="Times New Roman"/>
        </w:rPr>
        <w:fldChar w:fldCharType="separate"/>
      </w:r>
      <w:r>
        <w:rPr>
          <w:rStyle w:val="8"/>
          <w:rFonts w:hint="default" w:ascii="Times New Roman" w:hAnsi="Times New Roman" w:cs="Times New Roman"/>
        </w:rPr>
        <w:t>https://doi.org/10.3846/jbem.2022.18301</w:t>
      </w:r>
      <w:r>
        <w:rPr>
          <w:rStyle w:val="8"/>
          <w:rFonts w:hint="default" w:ascii="Times New Roman" w:hAnsi="Times New Roman" w:cs="Times New Roman"/>
        </w:rPr>
        <w:fldChar w:fldCharType="end"/>
      </w:r>
      <w:r>
        <w:rPr>
          <w:rFonts w:hint="default" w:ascii="Times New Roman" w:hAnsi="Times New Roman" w:cs="Times New Roman"/>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"https://librarysearch.uwtsd.ac.uk/permalink/44WHELF_UWTSD/1ir6fgh/cdi_doaj_primary_oai_doaj_org_article_d61ff57368c942f69139fe80e8216735"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https://librarysearch.uwtsd.ac.uk/permalink/44WHELF_UWTSD/1ir6fgh/cdi_doaj_primary_oai_doaj_org_article_d61ff57368c942f69139fe80e8216735</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Fahmy, H., (2022). The rise in investors’ awareness of climate risks after the Paris Agreement and the clean energy-oil-technology prices nexus. Energy Economics, 106, p.105738. </w:t>
      </w:r>
      <w:r>
        <w:rPr>
          <w:rFonts w:hint="default" w:ascii="Times New Roman" w:hAnsi="Times New Roman" w:cs="Times New Roman"/>
        </w:rPr>
        <w:fldChar w:fldCharType="begin"/>
      </w:r>
      <w:r>
        <w:rPr>
          <w:rFonts w:hint="default" w:ascii="Times New Roman" w:hAnsi="Times New Roman" w:cs="Times New Roman"/>
        </w:rPr>
        <w:instrText xml:space="preserve"> HYPERLINK "https://haskayne.ucalgary.ca/sites/default/files/teams/12/Session%201%20Paper%20-%20Fahmy_CSFN%20.pdf" </w:instrText>
      </w:r>
      <w:r>
        <w:rPr>
          <w:rFonts w:hint="default" w:ascii="Times New Roman" w:hAnsi="Times New Roman" w:cs="Times New Roman"/>
        </w:rPr>
        <w:fldChar w:fldCharType="separate"/>
      </w:r>
      <w:r>
        <w:rPr>
          <w:rStyle w:val="8"/>
          <w:rFonts w:hint="default" w:ascii="Times New Roman" w:hAnsi="Times New Roman" w:cs="Times New Roman"/>
        </w:rPr>
        <w:t>https://haskayne.ucalgary.ca/sites/default/files/teams/12/Session%201%20Paper%20-%20Fahmy_CSFN%20.pdf</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Fariñas, J.C., Martín-Marcos, A. and Velázquez, F.J. (2021) ‘Scale of operations of MNCs and heterogeneity: a multi-country analysis’, Applied economics, 53(42), pp. 4868–4883.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"https://doi.org/10.1080/00036846.2021.1910619" </w:instrText>
      </w:r>
      <w:r>
        <w:rPr>
          <w:rFonts w:hint="default" w:ascii="Times New Roman" w:hAnsi="Times New Roman" w:cs="Times New Roman"/>
        </w:rPr>
        <w:fldChar w:fldCharType="separate"/>
      </w:r>
      <w:r>
        <w:rPr>
          <w:rStyle w:val="8"/>
          <w:rFonts w:hint="default" w:ascii="Times New Roman" w:hAnsi="Times New Roman" w:cs="Times New Roman"/>
        </w:rPr>
        <w:t>https://doi.org/10.1080/00036846.2021.1910619</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Firoz Suleman, M., Rashidirad, M. and Firoz Suleman, S. (2019) ‘The applicability of Porter’s generic strategies in pure online firms: A case study approach’, Strategic change, 28(3), pp. 167–176.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"https://doi.org/10.1002/jsc.2258" </w:instrText>
      </w:r>
      <w:r>
        <w:rPr>
          <w:rFonts w:hint="default" w:ascii="Times New Roman" w:hAnsi="Times New Roman" w:cs="Times New Roman"/>
        </w:rPr>
        <w:fldChar w:fldCharType="separate"/>
      </w:r>
      <w:r>
        <w:rPr>
          <w:rStyle w:val="8"/>
          <w:rFonts w:hint="default" w:ascii="Times New Roman" w:hAnsi="Times New Roman" w:cs="Times New Roman"/>
        </w:rPr>
        <w:t>https://doi.org/10.1002/jsc.2258</w:t>
      </w:r>
      <w:r>
        <w:rPr>
          <w:rStyle w:val="8"/>
          <w:rFonts w:hint="default" w:ascii="Times New Roman" w:hAnsi="Times New Roman" w:cs="Times New Roman"/>
        </w:rPr>
        <w:fldChar w:fldCharType="end"/>
      </w:r>
      <w:r>
        <w:rPr>
          <w:rFonts w:hint="default" w:ascii="Times New Roman" w:hAnsi="Times New Roman" w:cs="Times New Roman"/>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"https://librarysearch.uwtsd.ac.uk/permalink/44WHELF_UWTSD/1ir6fgh/cdi_proquest_journals_2213805892"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https://librarysearch.uwtsd.ac.uk/permalink/44WHELF_UWTSD/1ir6fgh/cdi_proquest_journals_2213805892</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Fuertes, G., Alfaro, M., Vargas, M., Gutierrez, S., Ternero, R. and Sabattin, J., (2020). Conceptual framework for the strategic management: a literature review—descriptive. Journal of Engineering, 2020, pp.1-21. </w:t>
      </w:r>
      <w:r>
        <w:rPr>
          <w:rFonts w:hint="default" w:ascii="Times New Roman" w:hAnsi="Times New Roman" w:cs="Times New Roman"/>
        </w:rPr>
        <w:fldChar w:fldCharType="begin"/>
      </w:r>
      <w:r>
        <w:rPr>
          <w:rFonts w:hint="default" w:ascii="Times New Roman" w:hAnsi="Times New Roman" w:cs="Times New Roman"/>
        </w:rPr>
        <w:instrText xml:space="preserve"> HYPERLINK "https://www.hindawi.com/journals/JE/2020/6253013/" </w:instrText>
      </w:r>
      <w:r>
        <w:rPr>
          <w:rFonts w:hint="default" w:ascii="Times New Roman" w:hAnsi="Times New Roman" w:cs="Times New Roman"/>
        </w:rPr>
        <w:fldChar w:fldCharType="separate"/>
      </w:r>
      <w:r>
        <w:rPr>
          <w:rStyle w:val="8"/>
          <w:rFonts w:hint="default" w:ascii="Times New Roman" w:hAnsi="Times New Roman" w:cs="Times New Roman"/>
        </w:rPr>
        <w:t>https://www.hindawi.com/journals/JE/2020/6253013/</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Garner, J., Stead, W., Stead, E., (2014), Sustainable Strategic Management 2nd edition, London: England: Greenleaf Pub.</w:t>
      </w:r>
    </w:p>
    <w:p>
      <w:pPr>
        <w:rPr>
          <w:rFonts w:hint="default" w:ascii="Times New Roman" w:hAnsi="Times New Roman" w:cs="Times New Roman"/>
        </w:rPr>
      </w:pPr>
      <w:r>
        <w:rPr>
          <w:rFonts w:hint="default" w:ascii="Times New Roman" w:hAnsi="Times New Roman" w:cs="Times New Roman"/>
        </w:rPr>
        <w:t xml:space="preserve">Garside, M. (2023) Rio Tinto’s revenue share by country 2022, Statista.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"https://www.statista.com/statistics/272480/rio-tinto-revenue-distribution-bydestination/" </w:instrText>
      </w:r>
      <w:r>
        <w:rPr>
          <w:rFonts w:hint="default" w:ascii="Times New Roman" w:hAnsi="Times New Roman" w:cs="Times New Roman"/>
        </w:rPr>
        <w:fldChar w:fldCharType="separate"/>
      </w:r>
      <w:r>
        <w:rPr>
          <w:rStyle w:val="8"/>
          <w:rFonts w:hint="default" w:ascii="Times New Roman" w:hAnsi="Times New Roman" w:cs="Times New Roman"/>
        </w:rPr>
        <w:t>https://www.statista.com/statistics/272480/rio-tinto-revenue-distribution-bydestination/</w:t>
      </w:r>
      <w:r>
        <w:rPr>
          <w:rStyle w:val="8"/>
          <w:rFonts w:hint="default" w:ascii="Times New Roman" w:hAnsi="Times New Roman" w:cs="Times New Roman"/>
        </w:rPr>
        <w:fldChar w:fldCharType="end"/>
      </w:r>
      <w:r>
        <w:rPr>
          <w:rFonts w:hint="default" w:ascii="Times New Roman" w:hAnsi="Times New Roman" w:cs="Times New Roman"/>
        </w:rPr>
        <w:t xml:space="preserve">  (Accessed: 13 July 2023). </w:t>
      </w:r>
    </w:p>
    <w:p>
      <w:pPr>
        <w:rPr>
          <w:rFonts w:hint="default" w:ascii="Times New Roman" w:hAnsi="Times New Roman" w:cs="Times New Roman"/>
        </w:rPr>
      </w:pPr>
      <w:r>
        <w:rPr>
          <w:rFonts w:hint="default" w:ascii="Times New Roman" w:hAnsi="Times New Roman" w:cs="Times New Roman"/>
        </w:rPr>
        <w:t xml:space="preserve">Greckhamer, T. and Gur, F.A. (2021) ‘Disentangling combinations and contingencies of generic strategies: A set-theoretic configurational approach’, Long range planning, 54(2), p. 101951–.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"https://doi.org/10.1016/j.lrp.2019.101951" </w:instrText>
      </w:r>
      <w:r>
        <w:rPr>
          <w:rFonts w:hint="default" w:ascii="Times New Roman" w:hAnsi="Times New Roman" w:cs="Times New Roman"/>
        </w:rPr>
        <w:fldChar w:fldCharType="separate"/>
      </w:r>
      <w:r>
        <w:rPr>
          <w:rStyle w:val="8"/>
          <w:rFonts w:hint="default" w:ascii="Times New Roman" w:hAnsi="Times New Roman" w:cs="Times New Roman"/>
        </w:rPr>
        <w:t>https://doi.org/10.1016/j.lrp.2019.101951</w:t>
      </w:r>
      <w:r>
        <w:rPr>
          <w:rStyle w:val="8"/>
          <w:rFonts w:hint="default" w:ascii="Times New Roman" w:hAnsi="Times New Roman" w:cs="Times New Roman"/>
        </w:rPr>
        <w:fldChar w:fldCharType="end"/>
      </w:r>
      <w:r>
        <w:rPr>
          <w:rFonts w:hint="default" w:ascii="Times New Roman" w:hAnsi="Times New Roman" w:cs="Times New Roman"/>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"https://librarysearch.uwtsd.ac.uk/permalink/44WHELF_UWTSD/1ir6fgh/cdi_proquest_journals_2592295945"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https://librarysearch.uwtsd.ac.uk/permalink/44WHELF_UWTSD/1ir6fgh/cdi_proquest_journals_2592295945</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Habib, M.K. and Habib, M.K. (2019) Handbook of research on the evolution of IT and the rise of E-society. Edited by M.K. Habib. Hershey, PA: IGI Global.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"https://doi.org/10.4018/978-1-5225-7214-5" </w:instrText>
      </w:r>
      <w:r>
        <w:rPr>
          <w:rFonts w:hint="default" w:ascii="Times New Roman" w:hAnsi="Times New Roman" w:cs="Times New Roman"/>
        </w:rPr>
        <w:fldChar w:fldCharType="separate"/>
      </w:r>
      <w:r>
        <w:rPr>
          <w:rStyle w:val="8"/>
          <w:rFonts w:hint="default" w:ascii="Times New Roman" w:hAnsi="Times New Roman" w:cs="Times New Roman"/>
        </w:rPr>
        <w:t>https://doi.org/10.4018/978-1-5225-7214-5</w:t>
      </w:r>
      <w:r>
        <w:rPr>
          <w:rStyle w:val="8"/>
          <w:rFonts w:hint="default" w:ascii="Times New Roman" w:hAnsi="Times New Roman" w:cs="Times New Roman"/>
        </w:rPr>
        <w:fldChar w:fldCharType="end"/>
      </w:r>
      <w:r>
        <w:rPr>
          <w:rFonts w:hint="default" w:ascii="Times New Roman" w:hAnsi="Times New Roman" w:cs="Times New Roman"/>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"https://librarysearch.uwtsd.ac.uk/permalink/44WHELF_UWTSD/11c0l68/alma99100497392902421"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https://librarysearch.uwtsd.ac.uk/permalink/44WHELF_UWTSD/11c0l68/alma99100497392902421</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Hayes, J., (2014), The Theory and Practice of Change Management 4th edition, Palgrave </w:t>
      </w:r>
    </w:p>
    <w:p>
      <w:pPr>
        <w:rPr>
          <w:rFonts w:hint="default" w:ascii="Times New Roman" w:hAnsi="Times New Roman" w:cs="Times New Roman"/>
        </w:rPr>
      </w:pPr>
      <w:r>
        <w:rPr>
          <w:rFonts w:hint="default" w:ascii="Times New Roman" w:hAnsi="Times New Roman" w:cs="Times New Roman"/>
        </w:rPr>
        <w:t xml:space="preserve">Helmold, M. and Samara, W., (2019). Progress in performance management. Springer International Publishing. </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"https://link.springer.com/content/pdf/10.1007/978-3-030-20534-8.pdf" </w:instrText>
      </w:r>
      <w:r>
        <w:rPr>
          <w:rFonts w:hint="default" w:ascii="Times New Roman" w:hAnsi="Times New Roman" w:cs="Times New Roman"/>
        </w:rPr>
        <w:fldChar w:fldCharType="separate"/>
      </w:r>
      <w:r>
        <w:rPr>
          <w:rStyle w:val="8"/>
          <w:rFonts w:hint="default" w:ascii="Times New Roman" w:hAnsi="Times New Roman" w:cs="Times New Roman"/>
        </w:rPr>
        <w:t>https://link.springer.com/content/pdf/10.1007/978-3-030-20534-8.pdf</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Help Scout., (2023). 21 Key Customer Service Skills (and How to Develop Them).Retrieved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"https://www.helpscout.com/blog/customer-service-skills/" \h </w:instrText>
      </w:r>
      <w:r>
        <w:rPr>
          <w:rFonts w:hint="default" w:ascii="Times New Roman" w:hAnsi="Times New Roman" w:cs="Times New Roman"/>
        </w:rPr>
        <w:fldChar w:fldCharType="separate"/>
      </w:r>
      <w:r>
        <w:rPr>
          <w:rStyle w:val="8"/>
          <w:rFonts w:hint="default" w:ascii="Times New Roman" w:hAnsi="Times New Roman" w:cs="Times New Roman"/>
        </w:rPr>
        <w:t>21 Key Customer Service Skills (and How to Develop Them) (helpscout.com)</w:t>
      </w:r>
      <w:r>
        <w:rPr>
          <w:rStyle w:val="8"/>
          <w:rFonts w:hint="default" w:ascii="Times New Roman" w:hAnsi="Times New Roman" w:cs="Times New Roman"/>
        </w:rPr>
        <w:fldChar w:fldCharType="end"/>
      </w:r>
      <w:r>
        <w:rPr>
          <w:rFonts w:hint="default" w:ascii="Times New Roman" w:hAnsi="Times New Roman" w:cs="Times New Roman"/>
        </w:rPr>
        <w:t xml:space="preserve"> [Accessed on 13th July,2023]</w:t>
      </w:r>
    </w:p>
    <w:p>
      <w:pPr>
        <w:rPr>
          <w:rFonts w:hint="default" w:ascii="Times New Roman" w:hAnsi="Times New Roman" w:cs="Times New Roman"/>
        </w:rPr>
      </w:pPr>
      <w:r>
        <w:rPr>
          <w:rFonts w:hint="default" w:ascii="Times New Roman" w:hAnsi="Times New Roman" w:cs="Times New Roman"/>
        </w:rPr>
        <w:t xml:space="preserve">Holcombe, S. and Kemp, D., (2020). From pay‐out to participation: Indigenous mining employment as local development?. Sustainable development, 28(5), pp.1122-1135.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"https://www.researchgate.net/profile/Sarah-Holcombe-4/publication/341349949_From_pay-out_to_participation_Indigenous_mining_employment_as_local_development/links/5f3c666592851cd30203794f/From-pay-out-to-participation-Indigenous-mining-employment-as-local-development.pdf" </w:instrText>
      </w:r>
      <w:r>
        <w:rPr>
          <w:rFonts w:hint="default" w:ascii="Times New Roman" w:hAnsi="Times New Roman" w:cs="Times New Roman"/>
        </w:rPr>
        <w:fldChar w:fldCharType="separate"/>
      </w:r>
      <w:r>
        <w:rPr>
          <w:rStyle w:val="8"/>
          <w:rFonts w:hint="default" w:ascii="Times New Roman" w:hAnsi="Times New Roman" w:cs="Times New Roman"/>
        </w:rPr>
        <w:t>https://www.researchgate.net/profile/Sarah-Holcombe-4/publication/341349949_From_pay-out_to_participation_Indigenous_mining_employment_as_local_development/links/5f3c666592851cd30203794f/From-pay-out-to-participation-Indigenous-mining-employment-as-local-development.pdf</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Islami, X., Mustafa, N. and Topuzovska Latkovikj, M. (2020) ‘Linking Porter’s generic strategies to firm performance’, Future business journal, 6(1), pp. 1–15.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"https://librarysearch.uwtsd.ac.uk/permalink/44WHELF_UWTSD/1ir6fgh/cdi_doaj_primary_oai_doaj_org_article_09322cd100254284b6ae20e879e8b68b"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https://librarysearch.uwtsd.ac.uk/permalink/44WHELF_UWTSD/1ir6fgh/cdi_doaj_primary_oai_doaj_org_article_09322cd100254284b6ae20e879e8b68b</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Jelonek, D., Tien, N.H., Dao, M.T.H. and Minh, D.T., (2022). Comparative analysis of business strategy of Vietnamese real estate developers: the use of Hoffer matrix. International journal of multidisciplinary research and growth evaluation, 3(1), pp.197-204. </w:t>
      </w:r>
      <w:r>
        <w:rPr>
          <w:rFonts w:hint="default" w:ascii="Times New Roman" w:hAnsi="Times New Roman" w:cs="Times New Roman"/>
        </w:rPr>
        <w:fldChar w:fldCharType="begin"/>
      </w:r>
      <w:r>
        <w:rPr>
          <w:rFonts w:hint="default" w:ascii="Times New Roman" w:hAnsi="Times New Roman" w:cs="Times New Roman"/>
        </w:rPr>
        <w:instrText xml:space="preserve"> HYPERLINK "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 \h </w:instrText>
      </w:r>
      <w:r>
        <w:rPr>
          <w:rFonts w:hint="default" w:ascii="Times New Roman" w:hAnsi="Times New Roman" w:cs="Times New Roman"/>
        </w:rPr>
        <w:fldChar w:fldCharType="separate"/>
      </w:r>
      <w:r>
        <w:rPr>
          <w:rStyle w:val="8"/>
          <w:rFonts w:hint="default" w:ascii="Times New Roman" w:hAnsi="Times New Roman" w:cs="Times New Roman"/>
        </w:rPr>
        <w: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Johansson, E., Martin, R. and Mapunda, K.M., (2023). Participatory future visions of collaborative agroecological farmer-pastoralist systems in Tanzania. Agroecology and Sustainable Food Systems, 47(4), pp.548-578. </w:t>
      </w:r>
      <w:r>
        <w:rPr>
          <w:rFonts w:hint="default" w:ascii="Times New Roman" w:hAnsi="Times New Roman" w:cs="Times New Roman"/>
        </w:rPr>
        <w:fldChar w:fldCharType="begin"/>
      </w:r>
      <w:r>
        <w:rPr>
          <w:rFonts w:hint="default" w:ascii="Times New Roman" w:hAnsi="Times New Roman" w:cs="Times New Roman"/>
        </w:rPr>
        <w:instrText xml:space="preserve"> HYPERLINK "https://www.tandfonline.com/doi/pdf/10.1080/21683565.2023.2165592" </w:instrText>
      </w:r>
      <w:r>
        <w:rPr>
          <w:rFonts w:hint="default" w:ascii="Times New Roman" w:hAnsi="Times New Roman" w:cs="Times New Roman"/>
        </w:rPr>
        <w:fldChar w:fldCharType="separate"/>
      </w:r>
      <w:r>
        <w:rPr>
          <w:rStyle w:val="8"/>
          <w:rFonts w:hint="default" w:ascii="Times New Roman" w:hAnsi="Times New Roman" w:cs="Times New Roman"/>
        </w:rPr>
        <w:t>https://www.tandfonline.com/doi/pdf/10.1080/21683565.2023.2165592</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Johnson, G., Whittington, R., Scholes, K., Angwin, D., Regnér, P. and Fréry, F., (2017). Stratégique (traduction adaptée de EXPLORING SRATEGY Text and Cases, 11 ème édition, publiée par Pearson Education Limited). Montreuil: Editions Pearson.</w:t>
      </w:r>
    </w:p>
    <w:p>
      <w:pPr>
        <w:rPr>
          <w:rFonts w:hint="default" w:ascii="Times New Roman" w:hAnsi="Times New Roman" w:cs="Times New Roman"/>
        </w:rPr>
      </w:pPr>
      <w:r>
        <w:rPr>
          <w:rFonts w:hint="default" w:ascii="Times New Roman" w:hAnsi="Times New Roman" w:cs="Times New Roman"/>
        </w:rPr>
        <w:t xml:space="preserve">Kabil, M. et al. (2023) ‘The underdog effect: Towards a conceptual framework for enhancing voluntourism’, Journal of outdoor recreation and tourism, 42, p. 100609–.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"https://doi.org/10.1016/j.jort.2023.100609" </w:instrText>
      </w:r>
      <w:r>
        <w:rPr>
          <w:rFonts w:hint="default" w:ascii="Times New Roman" w:hAnsi="Times New Roman" w:cs="Times New Roman"/>
        </w:rPr>
        <w:fldChar w:fldCharType="separate"/>
      </w:r>
      <w:r>
        <w:rPr>
          <w:rStyle w:val="8"/>
          <w:rFonts w:hint="default" w:ascii="Times New Roman" w:hAnsi="Times New Roman" w:cs="Times New Roman"/>
        </w:rPr>
        <w:t>https://doi.org/10.1016/j.jort.2023.100609</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Knoblauch, A. and Dargusch, P., (2022). Achieving Net Zero Through a Multi-Dimensional Approach to Carbon Management in Mining and Metals Processing–A Case Study of Rio Tinto. Advances in Environmental and Engineering Research, 3(2), pp.1-30. </w:t>
      </w:r>
      <w:r>
        <w:rPr>
          <w:rFonts w:hint="default" w:ascii="Times New Roman" w:hAnsi="Times New Roman" w:cs="Times New Roman"/>
        </w:rPr>
        <w:fldChar w:fldCharType="begin"/>
      </w:r>
      <w:r>
        <w:rPr>
          <w:rFonts w:hint="default" w:ascii="Times New Roman" w:hAnsi="Times New Roman" w:cs="Times New Roman"/>
        </w:rPr>
        <w:instrText xml:space="preserve"> HYPERLINK "https://www.lidsen.com/journals/aeer/aeer-03-02-018" </w:instrText>
      </w:r>
      <w:r>
        <w:rPr>
          <w:rFonts w:hint="default" w:ascii="Times New Roman" w:hAnsi="Times New Roman" w:cs="Times New Roman"/>
        </w:rPr>
        <w:fldChar w:fldCharType="separate"/>
      </w:r>
      <w:r>
        <w:rPr>
          <w:rStyle w:val="8"/>
          <w:rFonts w:hint="default" w:ascii="Times New Roman" w:hAnsi="Times New Roman" w:cs="Times New Roman"/>
        </w:rPr>
        <w:t>https://www.lidsen.com/journals/aeer/aeer-03-02-018</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Lebdioui, A., (2022). The political economy of moving up in global value chains: How Malaysia added value to its natural resources through industrial policy. Review of International Political Economy, 29(3), pp.870-903. </w:t>
      </w:r>
      <w:r>
        <w:rPr>
          <w:rFonts w:hint="default" w:ascii="Times New Roman" w:hAnsi="Times New Roman" w:cs="Times New Roman"/>
        </w:rPr>
        <w:fldChar w:fldCharType="begin"/>
      </w:r>
      <w:r>
        <w:rPr>
          <w:rFonts w:hint="default" w:ascii="Times New Roman" w:hAnsi="Times New Roman" w:cs="Times New Roman"/>
        </w:rPr>
        <w:instrText xml:space="preserve"> HYPERLINK "https://eprints.lse.ac.uk/107523/2/Final_version_RIPE_12.11.2020_1_1_.pdf" </w:instrText>
      </w:r>
      <w:r>
        <w:rPr>
          <w:rFonts w:hint="default" w:ascii="Times New Roman" w:hAnsi="Times New Roman" w:cs="Times New Roman"/>
        </w:rPr>
        <w:fldChar w:fldCharType="separate"/>
      </w:r>
      <w:r>
        <w:rPr>
          <w:rStyle w:val="8"/>
          <w:rFonts w:hint="default" w:ascii="Times New Roman" w:hAnsi="Times New Roman" w:cs="Times New Roman"/>
        </w:rPr>
        <w:t>https://eprints.lse.ac.uk/107523/2/Final_version_RIPE_12.11.2020_1_1_.pdf</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Lee, C., Hoehn‐Weiss, M.N. and Karim, S. (2021) ‘Competing both ways: How combining Porter’s low‐cost and focus strategies hurts firm performance’, Strategic management journal, 42(12), pp. 2218–2244.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"https://librarysearch.uwtsd.ac.uk/permalink/44WHELF_UWTSD/1ir6fgh/cdi_proquest_journals_2592295945"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https://librarysearch.uwtsd.ac.uk/permalink/44WHELF_UWTSD/1ir6fgh/cdi_proquest_journals_2592295945</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Lewis, J.S. (2022) ‘Subject to labor: Racial capitalism and ontology in the post-emancipation Caribbean’, Geoforum, 132, pp. 247–251.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"https://doi.org/10.1016/j.geoforum.2020.06.007" </w:instrText>
      </w:r>
      <w:r>
        <w:rPr>
          <w:rFonts w:hint="default" w:ascii="Times New Roman" w:hAnsi="Times New Roman" w:cs="Times New Roman"/>
        </w:rPr>
        <w:fldChar w:fldCharType="separate"/>
      </w:r>
      <w:r>
        <w:rPr>
          <w:rStyle w:val="8"/>
          <w:rFonts w:hint="default" w:ascii="Times New Roman" w:hAnsi="Times New Roman" w:cs="Times New Roman"/>
        </w:rPr>
        <w:t>https://doi.org/10.1016/j.geoforum.2020.06.007</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Lynch, R., (2015), Strategic Management 7th edition, Pearson: Harlow</w:t>
      </w:r>
    </w:p>
    <w:p>
      <w:pPr>
        <w:rPr>
          <w:rFonts w:hint="default" w:ascii="Times New Roman" w:hAnsi="Times New Roman" w:cs="Times New Roman"/>
        </w:rPr>
      </w:pPr>
      <w:r>
        <w:rPr>
          <w:rFonts w:hint="default" w:ascii="Times New Roman" w:hAnsi="Times New Roman" w:cs="Times New Roman"/>
        </w:rPr>
        <w:t xml:space="preserve">Lynch, R.L. (2021) Strategic management. Ninth edition. London ;: SAGE. </w:t>
      </w:r>
    </w:p>
    <w:p>
      <w:pPr>
        <w:rPr>
          <w:rFonts w:hint="default" w:ascii="Times New Roman" w:hAnsi="Times New Roman" w:cs="Times New Roman"/>
        </w:rPr>
      </w:pPr>
      <w:r>
        <w:rPr>
          <w:rFonts w:hint="default" w:ascii="Times New Roman" w:hAnsi="Times New Roman" w:cs="Times New Roman"/>
        </w:rPr>
        <w:t xml:space="preserve">Maynard, M. and Susskind, A.M. (2019) The Next Frontier of Restaurant Management : Harnessing Data to Improve Guest Service and Enhance the Employee Experience. 1st edition. Edited by M. Maynard and A.M. Susskind. Ithaca, NY: Cornell University Press,.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"https://doi.org/10.7591/9781501736520" \h </w:instrText>
      </w:r>
      <w:r>
        <w:rPr>
          <w:rFonts w:hint="default" w:ascii="Times New Roman" w:hAnsi="Times New Roman" w:cs="Times New Roman"/>
        </w:rPr>
        <w:fldChar w:fldCharType="separate"/>
      </w:r>
      <w:r>
        <w:rPr>
          <w:rStyle w:val="8"/>
          <w:rFonts w:hint="default" w:ascii="Times New Roman" w:hAnsi="Times New Roman" w:cs="Times New Roman"/>
        </w:rPr>
        <w:t>https://doi.org/10.7591/9781501736520</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McCarthy, K., (2022). Water-use adaption via the barley circadian clock (Doctoral dissertation, University of York). </w:t>
      </w:r>
      <w:r>
        <w:rPr>
          <w:rFonts w:hint="default" w:ascii="Times New Roman" w:hAnsi="Times New Roman" w:cs="Times New Roman"/>
        </w:rPr>
        <w:fldChar w:fldCharType="begin"/>
      </w:r>
      <w:r>
        <w:rPr>
          <w:rFonts w:hint="default" w:ascii="Times New Roman" w:hAnsi="Times New Roman" w:cs="Times New Roman"/>
        </w:rPr>
        <w:instrText xml:space="preserve"> HYPERLINK "https://etheses.whiterose.ac.uk/30234/1/Thesis_Water-use%20adaption%20via%20the%20barley%20circadian%20clock_Kayla%20McCarthy.pdf" </w:instrText>
      </w:r>
      <w:r>
        <w:rPr>
          <w:rFonts w:hint="default" w:ascii="Times New Roman" w:hAnsi="Times New Roman" w:cs="Times New Roman"/>
        </w:rPr>
        <w:fldChar w:fldCharType="separate"/>
      </w:r>
      <w:r>
        <w:rPr>
          <w:rStyle w:val="8"/>
          <w:rFonts w:hint="default" w:ascii="Times New Roman" w:hAnsi="Times New Roman" w:cs="Times New Roman"/>
        </w:rPr>
        <w:t>https://etheses.whiterose.ac.uk/30234/1/Thesis_Water-use%20adaption%20via%20the%20barley%20circadian%20clock_Kayla%20McCarthy.pdf</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Melnychuk, T., Schultz, C. and Wirsich, A., (2021). The effects of university–industry collaboration in preclinical research on pharmaceutical firms’ R&amp;D performance: Absorptive capacity’s role. Journal of Product Innovation Management, 38(3), pp.355-378. </w:t>
      </w:r>
      <w:r>
        <w:rPr>
          <w:rFonts w:hint="default" w:ascii="Times New Roman" w:hAnsi="Times New Roman" w:cs="Times New Roman"/>
        </w:rPr>
        <w:fldChar w:fldCharType="begin"/>
      </w:r>
      <w:r>
        <w:rPr>
          <w:rFonts w:hint="default" w:ascii="Times New Roman" w:hAnsi="Times New Roman" w:cs="Times New Roman"/>
        </w:rPr>
        <w:instrText xml:space="preserve"> HYPERLINK "https://onlinelibrary.wiley.com/doi/pdfdirect/10.1111/jpim.12572" </w:instrText>
      </w:r>
      <w:r>
        <w:rPr>
          <w:rFonts w:hint="default" w:ascii="Times New Roman" w:hAnsi="Times New Roman" w:cs="Times New Roman"/>
        </w:rPr>
        <w:fldChar w:fldCharType="separate"/>
      </w:r>
      <w:r>
        <w:rPr>
          <w:rStyle w:val="8"/>
          <w:rFonts w:hint="default" w:ascii="Times New Roman" w:hAnsi="Times New Roman" w:cs="Times New Roman"/>
        </w:rPr>
        <w:t>https://onlinelibrary.wiley.com/doi/pdfdirect/10.1111/jpim.12572</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Mintzberg, H., Ahlstrand, B., and Lampel, J. (2009), Strategy Safari: The Complete Guide Through the Wilds of Strategic Management, Harlow: FT Prentice Hall</w:t>
      </w:r>
    </w:p>
    <w:p>
      <w:pPr>
        <w:rPr>
          <w:rFonts w:hint="default" w:ascii="Times New Roman" w:hAnsi="Times New Roman" w:cs="Times New Roman"/>
        </w:rPr>
      </w:pPr>
      <w:r>
        <w:rPr>
          <w:rFonts w:hint="default" w:ascii="Times New Roman" w:hAnsi="Times New Roman" w:cs="Times New Roman"/>
        </w:rPr>
        <w:t xml:space="preserve">Montanari, F., Mattarelli, E. and Scapolan, A.C. (2021) Collaborative spaces at work : innovation, creativity and relations. Edited by F. Montanari, E. Mattarelli, and A.C. Scapolan. Abingdon, Oxon: Routledge.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"https://librarysearch.uwtsd.ac.uk/permalink/44WHELF_UWTSD/11c0l68/alma99100469902402421"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https://librarysearch.uwtsd.ac.uk/permalink/44WHELF_UWTSD/11c0l68/alma99100469902402421</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Nouteya-Jackson, M.S., (2022). Small Business Strategies to Implement Product Diversification Effectively (Doctoral dissertation, Walden University). </w:t>
      </w:r>
      <w:r>
        <w:rPr>
          <w:rFonts w:hint="default" w:ascii="Times New Roman" w:hAnsi="Times New Roman" w:cs="Times New Roman"/>
        </w:rPr>
        <w:fldChar w:fldCharType="begin"/>
      </w:r>
      <w:r>
        <w:rPr>
          <w:rFonts w:hint="default" w:ascii="Times New Roman" w:hAnsi="Times New Roman" w:cs="Times New Roman"/>
        </w:rPr>
        <w:instrText xml:space="preserve"> HYPERLINK "https://search.proquest.com/openview/9d6274d90517a12bc8f2e35eaf46dc7a/1?pq-origsite=gscholar&amp;cbl=18750&amp;diss=y" \h </w:instrText>
      </w:r>
      <w:r>
        <w:rPr>
          <w:rFonts w:hint="default" w:ascii="Times New Roman" w:hAnsi="Times New Roman" w:cs="Times New Roman"/>
        </w:rPr>
        <w:fldChar w:fldCharType="separate"/>
      </w:r>
      <w:r>
        <w:rPr>
          <w:rStyle w:val="8"/>
          <w:rFonts w:hint="default" w:ascii="Times New Roman" w:hAnsi="Times New Roman" w:cs="Times New Roman"/>
        </w:rPr>
        <w:t>https://search.proquest.com/openview/9d6274d90517a12bc8f2e35eaf46dc7a/1?pq-origsite=gscholar&amp;cbl=18750&amp;diss=y</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Popham, G. (2021) ‘What’s the problem with Brexit? Notes from the middle of Britain’s crisis’, European journal of English studies, 25(1), pp. 96–109.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"https://doi.org/10.1080/13825577.2021.1918845" </w:instrText>
      </w:r>
      <w:r>
        <w:rPr>
          <w:rFonts w:hint="default" w:ascii="Times New Roman" w:hAnsi="Times New Roman" w:cs="Times New Roman"/>
        </w:rPr>
        <w:fldChar w:fldCharType="separate"/>
      </w:r>
      <w:r>
        <w:rPr>
          <w:rStyle w:val="8"/>
          <w:rFonts w:hint="default" w:ascii="Times New Roman" w:hAnsi="Times New Roman" w:cs="Times New Roman"/>
        </w:rPr>
        <w:t>https://doi.org/10.1080/13825577.2021.1918845</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Proctor, T. (2018) Creative Problem Solving for Managers : Developing Skills for Decision Making and Innovation. Fifth edition. Boca Raton, FL: Routledge.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"https://librarysearch.uwtsd.ac.uk/permalink/44WHELF_UWTSD/1pbrh66/alma99100375898802421"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https://librarysearch.uwtsd.ac.uk/permalink/44WHELF_UWTSD/1pbrh66/alma99100375898802421</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Rissman, J., Bataille, C., Masanet, E., Aden, N., Morrow III, W.R., Zhou, N., Elliott, N., Dell, R., Heeren, N., Huckestein, B. and Cresko, J., (2020). Technologies and policies to decarbonize global industry: Review and assessment of mitigation drivers through 2070. Applied energy, 266, p.114848. </w:t>
      </w:r>
      <w:r>
        <w:rPr>
          <w:rFonts w:hint="default" w:ascii="Times New Roman" w:hAnsi="Times New Roman" w:cs="Times New Roman"/>
        </w:rPr>
        <w:fldChar w:fldCharType="begin"/>
      </w:r>
      <w:r>
        <w:rPr>
          <w:rFonts w:hint="default" w:ascii="Times New Roman" w:hAnsi="Times New Roman" w:cs="Times New Roman"/>
        </w:rPr>
        <w:instrText xml:space="preserve"> HYPERLINK "https://www.sciencedirect.com/science/article/pii/S0306261920303603" </w:instrText>
      </w:r>
      <w:r>
        <w:rPr>
          <w:rFonts w:hint="default" w:ascii="Times New Roman" w:hAnsi="Times New Roman" w:cs="Times New Roman"/>
        </w:rPr>
        <w:fldChar w:fldCharType="separate"/>
      </w:r>
      <w:r>
        <w:rPr>
          <w:rStyle w:val="8"/>
          <w:rFonts w:hint="default" w:ascii="Times New Roman" w:hAnsi="Times New Roman" w:cs="Times New Roman"/>
        </w:rPr>
        <w:t>https://www.sciencedirect.com/science/article/pii/S0306261920303603</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Santoro, G. et al. (2020) ‘Exploring the relationship between entrepreneurial resilience and success: The moderating role of stakeholders’ engagement’, Journal of business research, 119, pp. 142–150.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"https://doi.org/10.1016/j.jbusres.2018.11.052" </w:instrText>
      </w:r>
      <w:r>
        <w:rPr>
          <w:rFonts w:hint="default" w:ascii="Times New Roman" w:hAnsi="Times New Roman" w:cs="Times New Roman"/>
        </w:rPr>
        <w:fldChar w:fldCharType="separate"/>
      </w:r>
      <w:r>
        <w:rPr>
          <w:rStyle w:val="8"/>
          <w:rFonts w:hint="default" w:ascii="Times New Roman" w:hAnsi="Times New Roman" w:cs="Times New Roman"/>
        </w:rPr>
        <w:t>https://doi.org/10.1016/j.jbusres.2018.11.052</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Saqib, N., (2021). Positioning strategies: a literature review. Journal of Cardiovascular Disease Research, 2545. </w:t>
      </w:r>
      <w:r>
        <w:rPr>
          <w:rFonts w:hint="default" w:ascii="Times New Roman" w:hAnsi="Times New Roman" w:cs="Times New Roman"/>
        </w:rPr>
        <w:fldChar w:fldCharType="begin"/>
      </w:r>
      <w:r>
        <w:rPr>
          <w:rFonts w:hint="default" w:ascii="Times New Roman" w:hAnsi="Times New Roman" w:cs="Times New Roman"/>
        </w:rPr>
        <w:instrText xml:space="preserve"> HYPERLINK "https://jcreview.com/admin/Uploads/Files/61c5631107fbd7.45248152.pdf" </w:instrText>
      </w:r>
      <w:r>
        <w:rPr>
          <w:rFonts w:hint="default" w:ascii="Times New Roman" w:hAnsi="Times New Roman" w:cs="Times New Roman"/>
        </w:rPr>
        <w:fldChar w:fldCharType="separate"/>
      </w:r>
      <w:r>
        <w:rPr>
          <w:rStyle w:val="8"/>
          <w:rFonts w:hint="default" w:ascii="Times New Roman" w:hAnsi="Times New Roman" w:cs="Times New Roman"/>
        </w:rPr>
        <w:t>https://jcreview.com/admin/Uploads/Files/61c5631107fbd7.45248152.pdf</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Secundo, G. et al. (2022) ‘Strategic decision making in project management: a knowledge visualization framework’, Management decision, 60(4), pp. 1159–1181.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"https://doi.org/10.1108/MD-02-2021-0196" </w:instrText>
      </w:r>
      <w:r>
        <w:rPr>
          <w:rFonts w:hint="default" w:ascii="Times New Roman" w:hAnsi="Times New Roman" w:cs="Times New Roman"/>
        </w:rPr>
        <w:fldChar w:fldCharType="separate"/>
      </w:r>
      <w:r>
        <w:rPr>
          <w:rStyle w:val="8"/>
          <w:rFonts w:hint="default" w:ascii="Times New Roman" w:hAnsi="Times New Roman" w:cs="Times New Roman"/>
        </w:rPr>
        <w:t>https://doi.org/10.1108/MD-02-2021-0196</w:t>
      </w:r>
      <w:r>
        <w:rPr>
          <w:rStyle w:val="8"/>
          <w:rFonts w:hint="default" w:ascii="Times New Roman" w:hAnsi="Times New Roman" w:cs="Times New Roman"/>
        </w:rPr>
        <w:fldChar w:fldCharType="end"/>
      </w:r>
      <w:r>
        <w:rPr>
          <w:rFonts w:hint="default" w:ascii="Times New Roman" w:hAnsi="Times New Roman" w:cs="Times New Roman"/>
        </w:rPr>
        <w:t xml:space="preserve">. </w:t>
      </w:r>
      <w:r>
        <w:rPr>
          <w:rFonts w:hint="default" w:ascii="Times New Roman" w:hAnsi="Times New Roman" w:cs="Times New Roman"/>
        </w:rPr>
        <w:fldChar w:fldCharType="begin"/>
      </w:r>
      <w:r>
        <w:rPr>
          <w:rFonts w:hint="default" w:ascii="Times New Roman" w:hAnsi="Times New Roman" w:cs="Times New Roman"/>
        </w:rPr>
        <w:instrText xml:space="preserve"> HYPERLINK "https://librarysearch.uwtsd.ac.uk/permalink/44WHELF_UWTSD/11c0l68/alma99100497392902421" </w:instrText>
      </w:r>
      <w:r>
        <w:rPr>
          <w:rFonts w:hint="default" w:ascii="Times New Roman" w:hAnsi="Times New Roman" w:cs="Times New Roman"/>
        </w:rPr>
        <w:fldChar w:fldCharType="separate"/>
      </w:r>
      <w:r>
        <w:rPr>
          <w:rStyle w:val="8"/>
          <w:rFonts w:hint="default" w:ascii="Times New Roman" w:hAnsi="Times New Roman" w:cs="Times New Roman"/>
        </w:rPr>
        <w:t>https://librarysearch.uwtsd.ac.uk/permalink/44WHELF_UWTSD/11c0l68/alma99100497392902421</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Sukma, D., Lubis, P.H. and Utami, S., (2019). Analysis of Marketing Strategy of Minyeuk Pret Using STP, Ansoff Matrix, and Marketing Mix. </w:t>
      </w:r>
      <w:r>
        <w:rPr>
          <w:rFonts w:hint="default" w:ascii="Times New Roman" w:hAnsi="Times New Roman" w:cs="Times New Roman"/>
        </w:rPr>
        <w:fldChar w:fldCharType="begin"/>
      </w:r>
      <w:r>
        <w:rPr>
          <w:rFonts w:hint="default" w:ascii="Times New Roman" w:hAnsi="Times New Roman" w:cs="Times New Roman"/>
        </w:rPr>
        <w:instrText xml:space="preserve"> HYPERLINK "https://easpublisher.com/media/features_articles/EASJEBM_210_601-606_c_wHtxsK3.pdf" \h </w:instrText>
      </w:r>
      <w:r>
        <w:rPr>
          <w:rFonts w:hint="default" w:ascii="Times New Roman" w:hAnsi="Times New Roman" w:cs="Times New Roman"/>
        </w:rPr>
        <w:fldChar w:fldCharType="separate"/>
      </w:r>
      <w:r>
        <w:rPr>
          <w:rStyle w:val="8"/>
          <w:rFonts w:hint="default" w:ascii="Times New Roman" w:hAnsi="Times New Roman" w:cs="Times New Roman"/>
        </w:rPr>
        <w:t>https://easpublisher.com/media/features_articles/EASJEBM_210_601-606_c_wHtxsK3.pdf</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Viktoriia O. Shcherbachenko et al. (2022) ‘STAKEHOLDERS’ COMMUNICATION IN THE PROCESS OF INNOVATIONS COMMERCIALIZATION ON THE GLOBAL MARKET’, Akademičnij Oglâd, 2(57), pp. 158–170.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"https://doi.org/10.32342/2074-5354-2022-2-57-12" </w:instrText>
      </w:r>
      <w:r>
        <w:rPr>
          <w:rFonts w:hint="default" w:ascii="Times New Roman" w:hAnsi="Times New Roman" w:cs="Times New Roman"/>
        </w:rPr>
        <w:fldChar w:fldCharType="separate"/>
      </w:r>
      <w:r>
        <w:rPr>
          <w:rStyle w:val="8"/>
          <w:rFonts w:hint="default" w:ascii="Times New Roman" w:hAnsi="Times New Roman" w:cs="Times New Roman"/>
        </w:rPr>
        <w:t>https://doi.org/10.32342/2074-5354-2022-2-57-12</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Vlados, C., (2019). On a correlative and evolutionary SWOT analysis. Journal of Strategy and Management, 12(3), pp.347-363. </w:t>
      </w:r>
      <w:r>
        <w:rPr>
          <w:rFonts w:hint="default" w:ascii="Times New Roman" w:hAnsi="Times New Roman" w:cs="Times New Roman"/>
        </w:rPr>
        <w:fldChar w:fldCharType="begin"/>
      </w:r>
      <w:r>
        <w:rPr>
          <w:rFonts w:hint="default" w:ascii="Times New Roman" w:hAnsi="Times New Roman" w:cs="Times New Roman"/>
        </w:rPr>
        <w:instrText xml:space="preserve"> HYPERLINK "https://www.academia.edu/download/61041498/pre-print.pdf" </w:instrText>
      </w:r>
      <w:r>
        <w:rPr>
          <w:rFonts w:hint="default" w:ascii="Times New Roman" w:hAnsi="Times New Roman" w:cs="Times New Roman"/>
        </w:rPr>
        <w:fldChar w:fldCharType="separate"/>
      </w:r>
      <w:r>
        <w:rPr>
          <w:rStyle w:val="8"/>
          <w:rFonts w:hint="default" w:ascii="Times New Roman" w:hAnsi="Times New Roman" w:cs="Times New Roman"/>
        </w:rPr>
        <w:t>https://www.academia.edu/download/61041498/pre-print.pdf</w:t>
      </w:r>
      <w:r>
        <w:rPr>
          <w:rStyle w:val="8"/>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t xml:space="preserve">Wang, Xiaoquan et al. (2021) ‘The impact of US-China trade war on Chinese firms: Evidence from stock market reactions’, Applied economics letters, 28(7), pp. 579–583.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"https://doi.org/10.1080/13504851.2020.1764477" </w:instrText>
      </w:r>
      <w:r>
        <w:rPr>
          <w:rFonts w:hint="default" w:ascii="Times New Roman" w:hAnsi="Times New Roman" w:cs="Times New Roman"/>
        </w:rPr>
        <w:fldChar w:fldCharType="separate"/>
      </w:r>
      <w:r>
        <w:rPr>
          <w:rStyle w:val="8"/>
          <w:rFonts w:hint="default" w:ascii="Times New Roman" w:hAnsi="Times New Roman" w:cs="Times New Roman"/>
        </w:rPr>
        <w:t>https://doi.org/10.1080/13504851.2020.1764477</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Wiltsey Stirman, S., Baumann, A.A. and Miller, C.J., (2019). The FRAME: an expanded framework for reporting adaptations and modifications to evidence-based interventions. Implementation Science, 14, pp.1-10. </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"https://link.springer.com/article/10.1186/s13012-019-0898-y" </w:instrText>
      </w:r>
      <w:r>
        <w:rPr>
          <w:rFonts w:hint="default" w:ascii="Times New Roman" w:hAnsi="Times New Roman" w:cs="Times New Roman"/>
        </w:rPr>
        <w:fldChar w:fldCharType="separate"/>
      </w:r>
      <w:r>
        <w:rPr>
          <w:rStyle w:val="8"/>
          <w:rFonts w:hint="default" w:ascii="Times New Roman" w:hAnsi="Times New Roman" w:cs="Times New Roman"/>
        </w:rPr>
        <w:t>https://link.springer.com/article/10.1186/s13012-019-0898-y</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Yu, X.B. and Yu, X.B., (2021). Firms Strategies and Their Three Elements. The Fundamental Elements of Strategy: Concepts, Theories and Cases, pp.77-100. </w:t>
      </w:r>
      <w:r>
        <w:rPr>
          <w:rFonts w:hint="default" w:ascii="Times New Roman" w:hAnsi="Times New Roman" w:cs="Times New Roman"/>
        </w:rPr>
        <w:fldChar w:fldCharType="begin"/>
      </w:r>
      <w:r>
        <w:rPr>
          <w:rFonts w:hint="default" w:ascii="Times New Roman" w:hAnsi="Times New Roman" w:cs="Times New Roman"/>
        </w:rPr>
        <w:instrText xml:space="preserve"> HYPERLINK "https://link.springer.com/chapter/10.1007/978-981-33-4713-7_6" </w:instrText>
      </w:r>
      <w:r>
        <w:rPr>
          <w:rFonts w:hint="default" w:ascii="Times New Roman" w:hAnsi="Times New Roman" w:cs="Times New Roman"/>
        </w:rPr>
        <w:fldChar w:fldCharType="separate"/>
      </w:r>
      <w:r>
        <w:rPr>
          <w:rStyle w:val="8"/>
          <w:rFonts w:hint="default" w:ascii="Times New Roman" w:hAnsi="Times New Roman" w:cs="Times New Roman"/>
        </w:rPr>
        <w:t>https://link.springer.com/chapter/10.1007/978-981-33-4713-7_6</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Zhang, Y. et al. (2021) ‘Modeling team efficiency for international production assignments in Chinese manufacturing multinationals’, International journal of production economics, 235, p. 108076–.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"https://doi.org/10.1016/j.ijpe.2021.108076" </w:instrText>
      </w:r>
      <w:r>
        <w:rPr>
          <w:rFonts w:hint="default" w:ascii="Times New Roman" w:hAnsi="Times New Roman" w:cs="Times New Roman"/>
        </w:rPr>
        <w:fldChar w:fldCharType="separate"/>
      </w:r>
      <w:r>
        <w:rPr>
          <w:rStyle w:val="8"/>
          <w:rFonts w:hint="default" w:ascii="Times New Roman" w:hAnsi="Times New Roman" w:cs="Times New Roman"/>
        </w:rPr>
        <w:t>https://doi.org/10.1016/j.ijpe.2021.108076</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r>
        <w:rPr>
          <w:rFonts w:hint="default" w:ascii="Times New Roman" w:hAnsi="Times New Roman" w:cs="Times New Roman"/>
        </w:rPr>
        <w:t xml:space="preserve">Zhou, X. et al. (2020) AI based Robot Safe Learning and Control. 1st ed. 2020. Singapore: Springer Nature. Available at: </w:t>
      </w:r>
      <w:r>
        <w:rPr>
          <w:rFonts w:hint="default" w:ascii="Times New Roman" w:hAnsi="Times New Roman" w:cs="Times New Roman"/>
        </w:rPr>
        <w:fldChar w:fldCharType="begin"/>
      </w:r>
      <w:r>
        <w:rPr>
          <w:rFonts w:hint="default" w:ascii="Times New Roman" w:hAnsi="Times New Roman" w:cs="Times New Roman"/>
        </w:rPr>
        <w:instrText xml:space="preserve"> HYPERLINK "https://doi.org/10.1007/978-981-15-5503-9" </w:instrText>
      </w:r>
      <w:r>
        <w:rPr>
          <w:rFonts w:hint="default" w:ascii="Times New Roman" w:hAnsi="Times New Roman" w:cs="Times New Roman"/>
        </w:rPr>
        <w:fldChar w:fldCharType="separate"/>
      </w:r>
      <w:r>
        <w:rPr>
          <w:rStyle w:val="8"/>
          <w:rFonts w:hint="default" w:ascii="Times New Roman" w:hAnsi="Times New Roman" w:cs="Times New Roman"/>
        </w:rPr>
        <w:t>https://doi.org/10.1007/978-981-15-5503-9</w:t>
      </w:r>
      <w:r>
        <w:rPr>
          <w:rStyle w:val="8"/>
          <w:rFonts w:hint="default" w:ascii="Times New Roman" w:hAnsi="Times New Roman" w:cs="Times New Roman"/>
        </w:rPr>
        <w:fldChar w:fldCharType="end"/>
      </w:r>
      <w:r>
        <w:rPr>
          <w:rFonts w:hint="default" w:ascii="Times New Roman" w:hAnsi="Times New Roman" w:cs="Times New Roman"/>
        </w:rPr>
        <w:t xml:space="preserve"> </w:t>
      </w:r>
    </w:p>
    <w:p>
      <w:pPr>
        <w:rPr>
          <w:rFonts w:hint="default" w:ascii="Times New Roman" w:hAnsi="Times New Roman" w:cs="Times New Roman"/>
        </w:rPr>
      </w:pPr>
    </w:p>
    <w:sectPr>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Calibri Light">
    <w:panose1 w:val="020F0302020204030204"/>
    <w:charset w:val="00"/>
    <w:family w:val="swiss"/>
    <w:pitch w:val="default"/>
    <w:sig w:usb0="E4002EFF" w:usb1="C000247B" w:usb2="00000009" w:usb3="00000000" w:csb0="200001FF"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7FFAEFF" w:usb1="F9DFFFFF" w:usb2="0000007F" w:usb3="00000000" w:csb0="203F01FF" w:csb1="DFFF0000"/>
  </w:font>
  <w:font w:name="Symbol">
    <w:panose1 w:val="05050102010706020507"/>
    <w:charset w:val="02"/>
    <w:family w:val="roman"/>
    <w:pitch w:val="default"/>
    <w:sig w:usb0="00000000" w:usb1="00000000" w:usb2="00000000" w:usb3="00000000" w:csb0="80000000" w:csb1="0000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28903720"/>
      <w:docPartObj>
        <w:docPartGallery w:val="AutoText"/>
      </w:docPartObj>
    </w:sdtPr>
    <w:sdtContent>
      <w:p>
        <w:pPr>
          <w:pStyle w:val="6"/>
          <w:jc w:val="right"/>
        </w:pPr>
        <w:r>
          <w:fldChar w:fldCharType="begin"/>
        </w:r>
        <w:r>
          <w:instrText xml:space="preserve"> PAGE   \* MERGEFORMAT </w:instrText>
        </w:r>
        <w:r>
          <w:fldChar w:fldCharType="separate"/>
        </w:r>
        <w:r>
          <w:t>31</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D651E98"/>
    <w:multiLevelType w:val="multilevel"/>
    <w:tmpl w:val="0D651E9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4050935"/>
    <w:multiLevelType w:val="multilevel"/>
    <w:tmpl w:val="2405093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544605F"/>
    <w:multiLevelType w:val="multilevel"/>
    <w:tmpl w:val="2544605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BE82AD4"/>
    <w:multiLevelType w:val="multilevel"/>
    <w:tmpl w:val="2BE82AD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394138F9"/>
    <w:multiLevelType w:val="multilevel"/>
    <w:tmpl w:val="394138F9"/>
    <w:lvl w:ilvl="0" w:tentative="0">
      <w:start w:val="1"/>
      <w:numFmt w:val="bullet"/>
      <w:lvlText w:val=""/>
      <w:lvlJc w:val="left"/>
      <w:pPr>
        <w:ind w:left="1500" w:hanging="360"/>
      </w:pPr>
      <w:rPr>
        <w:rFonts w:hint="default" w:ascii="Symbol" w:hAnsi="Symbol"/>
      </w:rPr>
    </w:lvl>
    <w:lvl w:ilvl="1" w:tentative="0">
      <w:start w:val="1"/>
      <w:numFmt w:val="bullet"/>
      <w:lvlText w:val="o"/>
      <w:lvlJc w:val="left"/>
      <w:pPr>
        <w:ind w:left="2220" w:hanging="360"/>
      </w:pPr>
      <w:rPr>
        <w:rFonts w:hint="default" w:ascii="Courier New" w:hAnsi="Courier New" w:cs="Courier New"/>
      </w:rPr>
    </w:lvl>
    <w:lvl w:ilvl="2" w:tentative="0">
      <w:start w:val="1"/>
      <w:numFmt w:val="bullet"/>
      <w:lvlText w:val=""/>
      <w:lvlJc w:val="left"/>
      <w:pPr>
        <w:ind w:left="2940" w:hanging="360"/>
      </w:pPr>
      <w:rPr>
        <w:rFonts w:hint="default" w:ascii="Wingdings" w:hAnsi="Wingdings"/>
      </w:rPr>
    </w:lvl>
    <w:lvl w:ilvl="3" w:tentative="0">
      <w:start w:val="1"/>
      <w:numFmt w:val="bullet"/>
      <w:lvlText w:val=""/>
      <w:lvlJc w:val="left"/>
      <w:pPr>
        <w:ind w:left="3660" w:hanging="360"/>
      </w:pPr>
      <w:rPr>
        <w:rFonts w:hint="default" w:ascii="Symbol" w:hAnsi="Symbol"/>
      </w:rPr>
    </w:lvl>
    <w:lvl w:ilvl="4" w:tentative="0">
      <w:start w:val="1"/>
      <w:numFmt w:val="bullet"/>
      <w:lvlText w:val="o"/>
      <w:lvlJc w:val="left"/>
      <w:pPr>
        <w:ind w:left="4380" w:hanging="360"/>
      </w:pPr>
      <w:rPr>
        <w:rFonts w:hint="default" w:ascii="Courier New" w:hAnsi="Courier New" w:cs="Courier New"/>
      </w:rPr>
    </w:lvl>
    <w:lvl w:ilvl="5" w:tentative="0">
      <w:start w:val="1"/>
      <w:numFmt w:val="bullet"/>
      <w:lvlText w:val=""/>
      <w:lvlJc w:val="left"/>
      <w:pPr>
        <w:ind w:left="5100" w:hanging="360"/>
      </w:pPr>
      <w:rPr>
        <w:rFonts w:hint="default" w:ascii="Wingdings" w:hAnsi="Wingdings"/>
      </w:rPr>
    </w:lvl>
    <w:lvl w:ilvl="6" w:tentative="0">
      <w:start w:val="1"/>
      <w:numFmt w:val="bullet"/>
      <w:lvlText w:val=""/>
      <w:lvlJc w:val="left"/>
      <w:pPr>
        <w:ind w:left="5820" w:hanging="360"/>
      </w:pPr>
      <w:rPr>
        <w:rFonts w:hint="default" w:ascii="Symbol" w:hAnsi="Symbol"/>
      </w:rPr>
    </w:lvl>
    <w:lvl w:ilvl="7" w:tentative="0">
      <w:start w:val="1"/>
      <w:numFmt w:val="bullet"/>
      <w:lvlText w:val="o"/>
      <w:lvlJc w:val="left"/>
      <w:pPr>
        <w:ind w:left="6540" w:hanging="360"/>
      </w:pPr>
      <w:rPr>
        <w:rFonts w:hint="default" w:ascii="Courier New" w:hAnsi="Courier New" w:cs="Courier New"/>
      </w:rPr>
    </w:lvl>
    <w:lvl w:ilvl="8" w:tentative="0">
      <w:start w:val="1"/>
      <w:numFmt w:val="bullet"/>
      <w:lvlText w:val=""/>
      <w:lvlJc w:val="left"/>
      <w:pPr>
        <w:ind w:left="7260" w:hanging="360"/>
      </w:pPr>
      <w:rPr>
        <w:rFonts w:hint="default" w:ascii="Wingdings" w:hAnsi="Wingdings"/>
      </w:rPr>
    </w:lvl>
  </w:abstractNum>
  <w:abstractNum w:abstractNumId="5">
    <w:nsid w:val="4ADB6C06"/>
    <w:multiLevelType w:val="multilevel"/>
    <w:tmpl w:val="4ADB6C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4EA02209"/>
    <w:multiLevelType w:val="multilevel"/>
    <w:tmpl w:val="4EA0220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66B16A8D"/>
    <w:multiLevelType w:val="multilevel"/>
    <w:tmpl w:val="66B16A8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771E19EE"/>
    <w:multiLevelType w:val="multilevel"/>
    <w:tmpl w:val="771E19E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5"/>
  </w:num>
  <w:num w:numId="3">
    <w:abstractNumId w:val="7"/>
  </w:num>
  <w:num w:numId="4">
    <w:abstractNumId w:val="0"/>
  </w:num>
  <w:num w:numId="5">
    <w:abstractNumId w:val="8"/>
  </w:num>
  <w:num w:numId="6">
    <w:abstractNumId w:val="6"/>
  </w:num>
  <w:num w:numId="7">
    <w:abstractNumId w:val="4"/>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hideSpellingErrors/>
  <w:hideGrammaticalErrors/>
  <w:attachedTemplate r:id="rId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cwtLAwNDQ1NjU2MjNR0lEKTi0uzszPAykwNK8FAHySGQQtAAAA"/>
  </w:docVars>
  <w:rsids>
    <w:rsidRoot w:val="00172A27"/>
    <w:rsid w:val="000011BF"/>
    <w:rsid w:val="00011EEE"/>
    <w:rsid w:val="0001392A"/>
    <w:rsid w:val="00015C6F"/>
    <w:rsid w:val="00021FEB"/>
    <w:rsid w:val="0003474C"/>
    <w:rsid w:val="00034D85"/>
    <w:rsid w:val="00037F7B"/>
    <w:rsid w:val="00044097"/>
    <w:rsid w:val="00054877"/>
    <w:rsid w:val="000601A1"/>
    <w:rsid w:val="00062D50"/>
    <w:rsid w:val="000635E4"/>
    <w:rsid w:val="000749EF"/>
    <w:rsid w:val="00080661"/>
    <w:rsid w:val="000918F8"/>
    <w:rsid w:val="0009395D"/>
    <w:rsid w:val="000B2690"/>
    <w:rsid w:val="000C0C48"/>
    <w:rsid w:val="000D2407"/>
    <w:rsid w:val="000D2D67"/>
    <w:rsid w:val="000D4F59"/>
    <w:rsid w:val="000E7FA0"/>
    <w:rsid w:val="000F1B84"/>
    <w:rsid w:val="000F248B"/>
    <w:rsid w:val="001016DC"/>
    <w:rsid w:val="0010174B"/>
    <w:rsid w:val="00111BEF"/>
    <w:rsid w:val="00113DF5"/>
    <w:rsid w:val="001316A0"/>
    <w:rsid w:val="00143AFB"/>
    <w:rsid w:val="00170BF6"/>
    <w:rsid w:val="00175D20"/>
    <w:rsid w:val="00176864"/>
    <w:rsid w:val="001812D2"/>
    <w:rsid w:val="001900FA"/>
    <w:rsid w:val="00196DE7"/>
    <w:rsid w:val="001A2490"/>
    <w:rsid w:val="001B1E7D"/>
    <w:rsid w:val="001B512A"/>
    <w:rsid w:val="001B52D0"/>
    <w:rsid w:val="001C3B9A"/>
    <w:rsid w:val="001C44FC"/>
    <w:rsid w:val="001D0F8C"/>
    <w:rsid w:val="001D3A63"/>
    <w:rsid w:val="001D60B4"/>
    <w:rsid w:val="001E0EC2"/>
    <w:rsid w:val="001E4F95"/>
    <w:rsid w:val="001E5EAF"/>
    <w:rsid w:val="001E7E4F"/>
    <w:rsid w:val="001F2244"/>
    <w:rsid w:val="001F5AFB"/>
    <w:rsid w:val="0020306A"/>
    <w:rsid w:val="00206DBB"/>
    <w:rsid w:val="00214377"/>
    <w:rsid w:val="002235C6"/>
    <w:rsid w:val="00234830"/>
    <w:rsid w:val="00236E8E"/>
    <w:rsid w:val="00240686"/>
    <w:rsid w:val="00257F3D"/>
    <w:rsid w:val="00270339"/>
    <w:rsid w:val="00283FD4"/>
    <w:rsid w:val="002B0574"/>
    <w:rsid w:val="002B145C"/>
    <w:rsid w:val="00312045"/>
    <w:rsid w:val="003132F0"/>
    <w:rsid w:val="003134F5"/>
    <w:rsid w:val="003263B5"/>
    <w:rsid w:val="003300AD"/>
    <w:rsid w:val="00334C07"/>
    <w:rsid w:val="00337C26"/>
    <w:rsid w:val="0034025A"/>
    <w:rsid w:val="003452DC"/>
    <w:rsid w:val="00356889"/>
    <w:rsid w:val="003600E0"/>
    <w:rsid w:val="00372585"/>
    <w:rsid w:val="0037339C"/>
    <w:rsid w:val="0038783A"/>
    <w:rsid w:val="003938AD"/>
    <w:rsid w:val="003951C6"/>
    <w:rsid w:val="00395D4A"/>
    <w:rsid w:val="003D2854"/>
    <w:rsid w:val="003D6388"/>
    <w:rsid w:val="003E6065"/>
    <w:rsid w:val="003F2420"/>
    <w:rsid w:val="003F6373"/>
    <w:rsid w:val="004257F5"/>
    <w:rsid w:val="00433568"/>
    <w:rsid w:val="004464B2"/>
    <w:rsid w:val="0045673C"/>
    <w:rsid w:val="0046721B"/>
    <w:rsid w:val="004730C1"/>
    <w:rsid w:val="00475D3C"/>
    <w:rsid w:val="00481494"/>
    <w:rsid w:val="00483F08"/>
    <w:rsid w:val="004A50A5"/>
    <w:rsid w:val="004B0479"/>
    <w:rsid w:val="004C0C3F"/>
    <w:rsid w:val="004C28ED"/>
    <w:rsid w:val="004D4294"/>
    <w:rsid w:val="004E6DA6"/>
    <w:rsid w:val="004F6488"/>
    <w:rsid w:val="00513152"/>
    <w:rsid w:val="005153D2"/>
    <w:rsid w:val="00527079"/>
    <w:rsid w:val="00531C67"/>
    <w:rsid w:val="0053324F"/>
    <w:rsid w:val="00537FC3"/>
    <w:rsid w:val="00540BDD"/>
    <w:rsid w:val="00541A66"/>
    <w:rsid w:val="005426D5"/>
    <w:rsid w:val="00560C64"/>
    <w:rsid w:val="005620F6"/>
    <w:rsid w:val="005647A0"/>
    <w:rsid w:val="00571EF1"/>
    <w:rsid w:val="00573C42"/>
    <w:rsid w:val="0058379B"/>
    <w:rsid w:val="00593474"/>
    <w:rsid w:val="00594945"/>
    <w:rsid w:val="00594F69"/>
    <w:rsid w:val="005A40C7"/>
    <w:rsid w:val="005B5496"/>
    <w:rsid w:val="005C296A"/>
    <w:rsid w:val="005C5F1E"/>
    <w:rsid w:val="005C6DE7"/>
    <w:rsid w:val="005D5775"/>
    <w:rsid w:val="005D5F47"/>
    <w:rsid w:val="005D771F"/>
    <w:rsid w:val="005E1540"/>
    <w:rsid w:val="005E6348"/>
    <w:rsid w:val="006062F4"/>
    <w:rsid w:val="00611CC6"/>
    <w:rsid w:val="006122B0"/>
    <w:rsid w:val="00615DA5"/>
    <w:rsid w:val="0062152C"/>
    <w:rsid w:val="006331A7"/>
    <w:rsid w:val="0063477E"/>
    <w:rsid w:val="0063486B"/>
    <w:rsid w:val="00634A3F"/>
    <w:rsid w:val="00644B4A"/>
    <w:rsid w:val="00645983"/>
    <w:rsid w:val="00646710"/>
    <w:rsid w:val="006468DE"/>
    <w:rsid w:val="00651CDA"/>
    <w:rsid w:val="00660153"/>
    <w:rsid w:val="00674CEF"/>
    <w:rsid w:val="0067648A"/>
    <w:rsid w:val="0068009B"/>
    <w:rsid w:val="0068322C"/>
    <w:rsid w:val="00687514"/>
    <w:rsid w:val="00687A34"/>
    <w:rsid w:val="006908E5"/>
    <w:rsid w:val="00696BE9"/>
    <w:rsid w:val="006A718E"/>
    <w:rsid w:val="006B3322"/>
    <w:rsid w:val="006B46D4"/>
    <w:rsid w:val="006C2395"/>
    <w:rsid w:val="006C656F"/>
    <w:rsid w:val="006D3D51"/>
    <w:rsid w:val="006D3D80"/>
    <w:rsid w:val="006D4124"/>
    <w:rsid w:val="006E0D6E"/>
    <w:rsid w:val="006E58A3"/>
    <w:rsid w:val="006F1401"/>
    <w:rsid w:val="006F15BC"/>
    <w:rsid w:val="006F67DE"/>
    <w:rsid w:val="00703B86"/>
    <w:rsid w:val="0070460D"/>
    <w:rsid w:val="007251B3"/>
    <w:rsid w:val="007335A8"/>
    <w:rsid w:val="007378CE"/>
    <w:rsid w:val="00752D08"/>
    <w:rsid w:val="007558E8"/>
    <w:rsid w:val="00760C68"/>
    <w:rsid w:val="0076750E"/>
    <w:rsid w:val="00791114"/>
    <w:rsid w:val="00792890"/>
    <w:rsid w:val="007A1C3E"/>
    <w:rsid w:val="007A7A77"/>
    <w:rsid w:val="007B3E3E"/>
    <w:rsid w:val="007D2F41"/>
    <w:rsid w:val="007D42E4"/>
    <w:rsid w:val="007F0628"/>
    <w:rsid w:val="007F3204"/>
    <w:rsid w:val="007F3F28"/>
    <w:rsid w:val="007F52C3"/>
    <w:rsid w:val="00806843"/>
    <w:rsid w:val="0081348C"/>
    <w:rsid w:val="008276DF"/>
    <w:rsid w:val="00830FBC"/>
    <w:rsid w:val="0083147F"/>
    <w:rsid w:val="008346EE"/>
    <w:rsid w:val="008415F3"/>
    <w:rsid w:val="00843BBC"/>
    <w:rsid w:val="008441DD"/>
    <w:rsid w:val="00861A6E"/>
    <w:rsid w:val="00865C25"/>
    <w:rsid w:val="00870C58"/>
    <w:rsid w:val="00871036"/>
    <w:rsid w:val="008838DE"/>
    <w:rsid w:val="008901CF"/>
    <w:rsid w:val="0089723D"/>
    <w:rsid w:val="008A5946"/>
    <w:rsid w:val="008A5D63"/>
    <w:rsid w:val="008A6E2B"/>
    <w:rsid w:val="008B3BAA"/>
    <w:rsid w:val="008B5F5F"/>
    <w:rsid w:val="008C14F1"/>
    <w:rsid w:val="008C58C8"/>
    <w:rsid w:val="008C5C11"/>
    <w:rsid w:val="008D190A"/>
    <w:rsid w:val="008D2199"/>
    <w:rsid w:val="008D6C3B"/>
    <w:rsid w:val="008E5DB4"/>
    <w:rsid w:val="008F1431"/>
    <w:rsid w:val="008F6524"/>
    <w:rsid w:val="00914538"/>
    <w:rsid w:val="009174CE"/>
    <w:rsid w:val="0092358E"/>
    <w:rsid w:val="0092583B"/>
    <w:rsid w:val="00937E23"/>
    <w:rsid w:val="00942ED1"/>
    <w:rsid w:val="00955A34"/>
    <w:rsid w:val="00960419"/>
    <w:rsid w:val="00960ACC"/>
    <w:rsid w:val="0096226D"/>
    <w:rsid w:val="0096432B"/>
    <w:rsid w:val="009716EA"/>
    <w:rsid w:val="00973786"/>
    <w:rsid w:val="009748C4"/>
    <w:rsid w:val="00986C23"/>
    <w:rsid w:val="00995D66"/>
    <w:rsid w:val="009B3477"/>
    <w:rsid w:val="009B47CD"/>
    <w:rsid w:val="009C209F"/>
    <w:rsid w:val="009C39A6"/>
    <w:rsid w:val="009D3A6D"/>
    <w:rsid w:val="009D5B4E"/>
    <w:rsid w:val="009E08B3"/>
    <w:rsid w:val="009E0BD7"/>
    <w:rsid w:val="009E678F"/>
    <w:rsid w:val="009E684D"/>
    <w:rsid w:val="009F77D2"/>
    <w:rsid w:val="00A12A23"/>
    <w:rsid w:val="00A25017"/>
    <w:rsid w:val="00A31D58"/>
    <w:rsid w:val="00A340B7"/>
    <w:rsid w:val="00A41AAD"/>
    <w:rsid w:val="00A4508A"/>
    <w:rsid w:val="00A4792A"/>
    <w:rsid w:val="00A507AB"/>
    <w:rsid w:val="00A51EA0"/>
    <w:rsid w:val="00A57406"/>
    <w:rsid w:val="00A57C9D"/>
    <w:rsid w:val="00A64B5E"/>
    <w:rsid w:val="00A66D98"/>
    <w:rsid w:val="00A66DB7"/>
    <w:rsid w:val="00A718AA"/>
    <w:rsid w:val="00A76FAF"/>
    <w:rsid w:val="00A865B1"/>
    <w:rsid w:val="00A87B66"/>
    <w:rsid w:val="00A90CB4"/>
    <w:rsid w:val="00AA30DB"/>
    <w:rsid w:val="00AB3B1B"/>
    <w:rsid w:val="00AB4E99"/>
    <w:rsid w:val="00AB5C22"/>
    <w:rsid w:val="00AC5D8C"/>
    <w:rsid w:val="00AC633A"/>
    <w:rsid w:val="00B02E85"/>
    <w:rsid w:val="00B06FA9"/>
    <w:rsid w:val="00B231BB"/>
    <w:rsid w:val="00B25A36"/>
    <w:rsid w:val="00B52424"/>
    <w:rsid w:val="00B56DC1"/>
    <w:rsid w:val="00B718E2"/>
    <w:rsid w:val="00B726B8"/>
    <w:rsid w:val="00B851ED"/>
    <w:rsid w:val="00B93F5C"/>
    <w:rsid w:val="00BB25F0"/>
    <w:rsid w:val="00BC68C8"/>
    <w:rsid w:val="00BD1621"/>
    <w:rsid w:val="00BD1B9B"/>
    <w:rsid w:val="00BD5775"/>
    <w:rsid w:val="00BD7FEB"/>
    <w:rsid w:val="00BE09E3"/>
    <w:rsid w:val="00BF4738"/>
    <w:rsid w:val="00BF4A2E"/>
    <w:rsid w:val="00C02FB2"/>
    <w:rsid w:val="00C117B7"/>
    <w:rsid w:val="00C11B4C"/>
    <w:rsid w:val="00C15980"/>
    <w:rsid w:val="00C21A77"/>
    <w:rsid w:val="00C23811"/>
    <w:rsid w:val="00C35948"/>
    <w:rsid w:val="00C46861"/>
    <w:rsid w:val="00C5742C"/>
    <w:rsid w:val="00C57841"/>
    <w:rsid w:val="00C61E75"/>
    <w:rsid w:val="00C629D5"/>
    <w:rsid w:val="00C67019"/>
    <w:rsid w:val="00C7792E"/>
    <w:rsid w:val="00C80257"/>
    <w:rsid w:val="00C859BF"/>
    <w:rsid w:val="00C90643"/>
    <w:rsid w:val="00CA000E"/>
    <w:rsid w:val="00CA4431"/>
    <w:rsid w:val="00CA551A"/>
    <w:rsid w:val="00CC489E"/>
    <w:rsid w:val="00CC4CBF"/>
    <w:rsid w:val="00CC76BB"/>
    <w:rsid w:val="00CD398C"/>
    <w:rsid w:val="00D05606"/>
    <w:rsid w:val="00D13A99"/>
    <w:rsid w:val="00D1433C"/>
    <w:rsid w:val="00D37EAB"/>
    <w:rsid w:val="00D55733"/>
    <w:rsid w:val="00D557C1"/>
    <w:rsid w:val="00D71905"/>
    <w:rsid w:val="00D81403"/>
    <w:rsid w:val="00D83FBC"/>
    <w:rsid w:val="00D926BC"/>
    <w:rsid w:val="00D953F8"/>
    <w:rsid w:val="00DA14E4"/>
    <w:rsid w:val="00DA2610"/>
    <w:rsid w:val="00DA3912"/>
    <w:rsid w:val="00DA486A"/>
    <w:rsid w:val="00DA5112"/>
    <w:rsid w:val="00DB038C"/>
    <w:rsid w:val="00DB3BCE"/>
    <w:rsid w:val="00DB49E3"/>
    <w:rsid w:val="00DC0CAF"/>
    <w:rsid w:val="00DC30DC"/>
    <w:rsid w:val="00DC5ABC"/>
    <w:rsid w:val="00DC7410"/>
    <w:rsid w:val="00DD0D1B"/>
    <w:rsid w:val="00DD48DA"/>
    <w:rsid w:val="00DD5242"/>
    <w:rsid w:val="00DD773D"/>
    <w:rsid w:val="00DF6572"/>
    <w:rsid w:val="00DF7021"/>
    <w:rsid w:val="00E13CFF"/>
    <w:rsid w:val="00E258A1"/>
    <w:rsid w:val="00E27428"/>
    <w:rsid w:val="00E3513E"/>
    <w:rsid w:val="00E502B9"/>
    <w:rsid w:val="00E62C23"/>
    <w:rsid w:val="00E664EA"/>
    <w:rsid w:val="00E70DB4"/>
    <w:rsid w:val="00E82169"/>
    <w:rsid w:val="00E852A1"/>
    <w:rsid w:val="00E9112D"/>
    <w:rsid w:val="00E917D7"/>
    <w:rsid w:val="00E9707A"/>
    <w:rsid w:val="00EA22D8"/>
    <w:rsid w:val="00EA2B4F"/>
    <w:rsid w:val="00EA36C8"/>
    <w:rsid w:val="00EB3102"/>
    <w:rsid w:val="00EB32DE"/>
    <w:rsid w:val="00EB73E5"/>
    <w:rsid w:val="00ED2DB6"/>
    <w:rsid w:val="00ED6502"/>
    <w:rsid w:val="00EE26B7"/>
    <w:rsid w:val="00EF0565"/>
    <w:rsid w:val="00EF3327"/>
    <w:rsid w:val="00EF5369"/>
    <w:rsid w:val="00F026B5"/>
    <w:rsid w:val="00F1639A"/>
    <w:rsid w:val="00F16D0E"/>
    <w:rsid w:val="00F35CF2"/>
    <w:rsid w:val="00F366F6"/>
    <w:rsid w:val="00F4129F"/>
    <w:rsid w:val="00F43E00"/>
    <w:rsid w:val="00F44F16"/>
    <w:rsid w:val="00F452A3"/>
    <w:rsid w:val="00F539F0"/>
    <w:rsid w:val="00F56E90"/>
    <w:rsid w:val="00F65B5D"/>
    <w:rsid w:val="00F73D36"/>
    <w:rsid w:val="00F7588B"/>
    <w:rsid w:val="00F7798C"/>
    <w:rsid w:val="00F961AD"/>
    <w:rsid w:val="00F96692"/>
    <w:rsid w:val="00FA09CF"/>
    <w:rsid w:val="00FC2ADA"/>
    <w:rsid w:val="00FC3A0D"/>
    <w:rsid w:val="00FD3E6F"/>
    <w:rsid w:val="00FE07A8"/>
    <w:rsid w:val="00FF4F59"/>
    <w:rsid w:val="00FF5648"/>
    <w:rsid w:val="040659AB"/>
    <w:rsid w:val="7072190C"/>
    <w:rsid w:val="7F5D0F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24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3"/>
    <w:qFormat/>
    <w:uiPriority w:val="9"/>
    <w:pPr>
      <w:keepNext/>
      <w:keepLines/>
      <w:spacing w:after="0"/>
      <w:outlineLvl w:val="0"/>
    </w:pPr>
    <w:rPr>
      <w:rFonts w:eastAsiaTheme="majorEastAsia" w:cstheme="majorBidi"/>
      <w:b/>
      <w:color w:val="000000" w:themeColor="text1"/>
      <w:sz w:val="28"/>
      <w:szCs w:val="32"/>
      <w:lang w:val="en-US"/>
      <w14:textFill>
        <w14:solidFill>
          <w14:schemeClr w14:val="tx1"/>
        </w14:solidFill>
      </w14:textFill>
    </w:rPr>
  </w:style>
  <w:style w:type="paragraph" w:styleId="3">
    <w:name w:val="heading 2"/>
    <w:basedOn w:val="1"/>
    <w:next w:val="1"/>
    <w:link w:val="14"/>
    <w:unhideWhenUsed/>
    <w:qFormat/>
    <w:uiPriority w:val="9"/>
    <w:pPr>
      <w:keepNext/>
      <w:keepLines/>
      <w:spacing w:before="40" w:after="0"/>
      <w:outlineLvl w:val="1"/>
    </w:pPr>
    <w:rPr>
      <w:rFonts w:eastAsiaTheme="majorEastAsia" w:cstheme="majorBidi"/>
      <w:b/>
      <w:color w:val="000000" w:themeColor="text1"/>
      <w:sz w:val="26"/>
      <w:szCs w:val="26"/>
      <w14:textFill>
        <w14:solidFill>
          <w14:schemeClr w14:val="tx1"/>
        </w14:solidFill>
      </w14:textFill>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7"/>
    <w:unhideWhenUsed/>
    <w:uiPriority w:val="99"/>
    <w:pPr>
      <w:tabs>
        <w:tab w:val="center" w:pos="4680"/>
        <w:tab w:val="right" w:pos="9360"/>
      </w:tabs>
      <w:spacing w:after="0" w:line="240" w:lineRule="auto"/>
    </w:pPr>
  </w:style>
  <w:style w:type="paragraph" w:styleId="7">
    <w:name w:val="header"/>
    <w:basedOn w:val="1"/>
    <w:link w:val="16"/>
    <w:unhideWhenUsed/>
    <w:uiPriority w:val="99"/>
    <w:pPr>
      <w:tabs>
        <w:tab w:val="center" w:pos="4680"/>
        <w:tab w:val="right" w:pos="9360"/>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paragraph" w:styleId="9">
    <w:name w:val="Normal (Web)"/>
    <w:basedOn w:val="1"/>
    <w:unhideWhenUsed/>
    <w:uiPriority w:val="99"/>
    <w:pPr>
      <w:spacing w:before="100" w:beforeAutospacing="1" w:after="100" w:afterAutospacing="1" w:line="240" w:lineRule="auto"/>
      <w:jc w:val="left"/>
    </w:pPr>
    <w:rPr>
      <w:rFonts w:eastAsia="Times New Roman" w:cs="Times New Roman"/>
      <w:szCs w:val="24"/>
      <w:lang w:val="en-IN" w:eastAsia="en-IN"/>
    </w:rPr>
  </w:style>
  <w:style w:type="table" w:styleId="10">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character" w:customStyle="1" w:styleId="13">
    <w:name w:val="Heading 1 Char"/>
    <w:basedOn w:val="4"/>
    <w:link w:val="2"/>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14">
    <w:name w:val="Heading 2 Char"/>
    <w:basedOn w:val="4"/>
    <w:link w:val="3"/>
    <w:qFormat/>
    <w:uiPriority w:val="9"/>
    <w:rPr>
      <w:rFonts w:ascii="Times New Roman" w:hAnsi="Times New Roman" w:eastAsiaTheme="majorEastAsia" w:cstheme="majorBidi"/>
      <w:b/>
      <w:color w:val="000000" w:themeColor="text1"/>
      <w:sz w:val="26"/>
      <w:szCs w:val="26"/>
      <w:lang w:val="en-GB"/>
      <w14:textFill>
        <w14:solidFill>
          <w14:schemeClr w14:val="tx1"/>
        </w14:solidFill>
      </w14:textFill>
    </w:rPr>
  </w:style>
  <w:style w:type="paragraph" w:customStyle="1" w:styleId="15">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rPr>
  </w:style>
  <w:style w:type="character" w:customStyle="1" w:styleId="16">
    <w:name w:val="Header Char"/>
    <w:basedOn w:val="4"/>
    <w:link w:val="7"/>
    <w:qFormat/>
    <w:uiPriority w:val="99"/>
    <w:rPr>
      <w:rFonts w:ascii="Times New Roman" w:hAnsi="Times New Roman"/>
      <w:sz w:val="24"/>
      <w:lang w:val="en-GB"/>
    </w:rPr>
  </w:style>
  <w:style w:type="character" w:customStyle="1" w:styleId="17">
    <w:name w:val="Footer Char"/>
    <w:basedOn w:val="4"/>
    <w:link w:val="6"/>
    <w:uiPriority w:val="99"/>
    <w:rPr>
      <w:rFonts w:ascii="Times New Roman" w:hAnsi="Times New Roman"/>
      <w:sz w:val="24"/>
      <w:lang w:val="en-GB"/>
    </w:rPr>
  </w:style>
  <w:style w:type="character" w:customStyle="1" w:styleId="18">
    <w:name w:val="tl8wme"/>
    <w:basedOn w:val="4"/>
    <w:uiPriority w:val="0"/>
  </w:style>
  <w:style w:type="paragraph" w:styleId="19">
    <w:name w:val="List Paragraph"/>
    <w:basedOn w:val="1"/>
    <w:qFormat/>
    <w:uiPriority w:val="34"/>
    <w:pPr>
      <w:ind w:left="720"/>
      <w:contextualSpacing/>
    </w:pPr>
  </w:style>
  <w:style w:type="paragraph" w:customStyle="1" w:styleId="20">
    <w:name w:val="No Spacing"/>
    <w:uiPriority w:val="0"/>
    <w:rPr>
      <w:rFonts w:hint="default" w:ascii="Times New Roman" w:hAnsi="Times New Roman" w:eastAsia="SimSun"/>
      <w:sz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Downloads\Normal.w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Line"/>
      <sectRole val="1"/>
    </customSectPr>
    <customSectPr/>
  </customSectProps>
  <customShpExts>
    <customShpInfo spid="_x0000_s1027"/>
    <customShpInfo spid="_x0000_s1029"/>
    <customShpInfo spid="_x0000_s1026"/>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E000CCA-1255-4E25-840A-9FC1DC3F9803}">
  <ds:schemaRefs/>
</ds:datastoreItem>
</file>

<file path=docProps/app.xml><?xml version="1.0" encoding="utf-8"?>
<Properties xmlns="http://schemas.openxmlformats.org/officeDocument/2006/extended-properties" xmlns:vt="http://schemas.openxmlformats.org/officeDocument/2006/docPropsVTypes">
  <Template>Normal</Template>
  <Pages>32</Pages>
  <Words>8620</Words>
  <Characters>49139</Characters>
  <Lines>409</Lines>
  <Paragraphs>115</Paragraphs>
  <TotalTime>2</TotalTime>
  <ScaleCrop>false</ScaleCrop>
  <LinksUpToDate>false</LinksUpToDate>
  <CharactersWithSpaces>57644</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2023-07-13T16:40:00Z</dcterms:created>
  <dc:creator>User</dc:creator>
  <cp:lastModifiedBy>Ramanjan reddy</cp:lastModifiedBy>
  <dcterms:modified xsi:type="dcterms:W3CDTF">2023-07-22T04:10:43Z</dcterms:modified>
  <cp:revision>89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D10307E3B78F48ED9B0DE2E807FD9B56</vt:lpwstr>
  </property>
</Properties>
</file>