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pPr>
      <w:r>
        <w:rPr/>
        <w:drawing>
          <wp:inline distT="0" distB="0" distL="0" distR="0">
            <wp:extent cx="2301240" cy="1169035"/>
            <wp:effectExtent l="0" t="0" r="0" b="0"/>
            <wp:docPr id="1"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pic:cNvPicPr>
                      <a:picLocks noChangeAspect="1" noChangeArrowheads="1"/>
                    </pic:cNvPicPr>
                  </pic:nvPicPr>
                  <pic:blipFill>
                    <a:blip r:embed="rId2"/>
                    <a:stretch>
                      <a:fillRect/>
                    </a:stretch>
                  </pic:blipFill>
                  <pic:spPr bwMode="auto">
                    <a:xfrm>
                      <a:off x="0" y="0"/>
                      <a:ext cx="2301240" cy="1169035"/>
                    </a:xfrm>
                    <a:prstGeom prst="rect">
                      <a:avLst/>
                    </a:prstGeom>
                  </pic:spPr>
                </pic:pic>
              </a:graphicData>
            </a:graphic>
          </wp:inline>
        </w:drawing>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rFonts w:ascii="Arial" w:hAnsi="Arial" w:cs="Arial"/>
          <w:b/>
          <w:b/>
          <w:bCs/>
          <w:lang w:val="en-US"/>
        </w:rPr>
      </w:pPr>
      <w:r>
        <w:rPr>
          <w:rFonts w:cs="Arial" w:ascii="Arial" w:hAnsi="Arial"/>
          <w:b/>
          <w:bCs/>
        </w:rPr>
        <w:t>Student Name:</w:t>
      </w:r>
      <w:r>
        <w:rPr>
          <w:rFonts w:cs="Arial" w:ascii="Arial" w:hAnsi="Arial"/>
          <w:b/>
          <w:bCs/>
          <w:lang w:val="en-US"/>
        </w:rPr>
        <w:t xml:space="preserve"> </w:t>
      </w:r>
      <w:r>
        <w:rPr>
          <w:rFonts w:cs="Arial" w:ascii="Arial" w:hAnsi="Arial"/>
          <w:b/>
          <w:bCs/>
        </w:rPr>
        <w:t>Shabana Begum</w:t>
      </w:r>
    </w:p>
    <w:p>
      <w:pPr>
        <w:pStyle w:val="Normal"/>
        <w:jc w:val="center"/>
        <w:rPr>
          <w:rFonts w:ascii="Arial" w:hAnsi="Arial" w:cs="Arial"/>
          <w:b/>
          <w:b/>
          <w:bCs/>
        </w:rPr>
      </w:pPr>
      <w:r>
        <w:rPr>
          <w:rFonts w:cs="Arial" w:ascii="Arial" w:hAnsi="Arial"/>
          <w:b/>
          <w:bCs/>
        </w:rPr>
      </w:r>
    </w:p>
    <w:p>
      <w:pPr>
        <w:pStyle w:val="Normal"/>
        <w:jc w:val="center"/>
        <w:rPr>
          <w:rFonts w:ascii="Arial" w:hAnsi="Arial" w:cs="Arial"/>
          <w:b/>
          <w:b/>
          <w:bCs/>
          <w:lang w:val="en-US"/>
        </w:rPr>
      </w:pPr>
      <w:r>
        <w:rPr>
          <w:rFonts w:cs="Arial" w:ascii="Arial" w:hAnsi="Arial"/>
          <w:b/>
          <w:bCs/>
        </w:rPr>
        <w:t>Student ID:</w:t>
      </w:r>
      <w:r>
        <w:rPr>
          <w:rFonts w:cs="Arial" w:ascii="Arial" w:hAnsi="Arial"/>
          <w:b/>
          <w:bCs/>
          <w:lang w:val="en-US"/>
        </w:rPr>
        <w:t xml:space="preserve"> </w:t>
      </w:r>
      <w:r>
        <w:rPr>
          <w:rFonts w:cs="Arial" w:ascii="Arial" w:hAnsi="Arial"/>
          <w:b/>
          <w:bCs/>
        </w:rPr>
        <w:t>2418824</w:t>
      </w:r>
    </w:p>
    <w:p>
      <w:pPr>
        <w:pStyle w:val="Normal"/>
        <w:jc w:val="center"/>
        <w:rPr>
          <w:rFonts w:ascii="Arial" w:hAnsi="Arial" w:cs="Arial"/>
        </w:rPr>
      </w:pPr>
      <w:r>
        <w:rPr>
          <w:rFonts w:cs="Arial" w:ascii="Arial" w:hAnsi="Arial"/>
        </w:rPr>
      </w:r>
    </w:p>
    <w:p>
      <w:pPr>
        <w:pStyle w:val="Normal"/>
        <w:jc w:val="center"/>
        <w:rPr>
          <w:rFonts w:ascii="Arial" w:hAnsi="Arial" w:cs="Arial"/>
        </w:rPr>
      </w:pPr>
      <w:r>
        <w:rPr>
          <w:rFonts w:cs="Arial" w:ascii="Arial" w:hAnsi="Arial"/>
        </w:rPr>
      </w:r>
    </w:p>
    <w:p>
      <w:pPr>
        <w:pStyle w:val="Normal"/>
        <w:jc w:val="center"/>
        <w:rPr>
          <w:rFonts w:ascii="Arial" w:hAnsi="Arial" w:cs="Arial"/>
          <w:b/>
          <w:b/>
          <w:bCs/>
        </w:rPr>
      </w:pPr>
      <w:r>
        <w:rPr>
          <w:rFonts w:cs="Arial" w:ascii="Arial" w:hAnsi="Arial"/>
          <w:b/>
          <w:bCs/>
        </w:rPr>
        <w:t>Module Name: Marketing Management</w:t>
      </w:r>
    </w:p>
    <w:p>
      <w:pPr>
        <w:pStyle w:val="Normal"/>
        <w:jc w:val="center"/>
        <w:rPr>
          <w:rFonts w:ascii="Arial" w:hAnsi="Arial" w:cs="Arial"/>
          <w:b/>
          <w:b/>
          <w:bCs/>
        </w:rPr>
      </w:pPr>
      <w:r>
        <w:rPr>
          <w:rFonts w:cs="Arial" w:ascii="Arial" w:hAnsi="Arial"/>
          <w:b/>
          <w:bCs/>
        </w:rPr>
      </w:r>
    </w:p>
    <w:p>
      <w:pPr>
        <w:pStyle w:val="Normal"/>
        <w:jc w:val="center"/>
        <w:rPr>
          <w:rFonts w:ascii="Arial" w:hAnsi="Arial" w:cs="Arial"/>
          <w:b/>
          <w:b/>
          <w:bCs/>
        </w:rPr>
      </w:pPr>
      <w:r>
        <w:rPr>
          <w:rFonts w:cs="Arial" w:ascii="Arial" w:hAnsi="Arial"/>
          <w:b/>
          <w:bCs/>
        </w:rPr>
        <w:t>Module Code: LCMB7024</w:t>
      </w:r>
    </w:p>
    <w:p>
      <w:pPr>
        <w:pStyle w:val="Normal"/>
        <w:jc w:val="center"/>
        <w:rPr>
          <w:rFonts w:ascii="Arial" w:hAnsi="Arial" w:cs="Arial"/>
          <w:b/>
          <w:b/>
          <w:bCs/>
        </w:rPr>
      </w:pPr>
      <w:r>
        <w:rPr>
          <w:rFonts w:cs="Arial" w:ascii="Arial" w:hAnsi="Arial"/>
          <w:b/>
          <w:bCs/>
        </w:rPr>
      </w:r>
    </w:p>
    <w:p>
      <w:pPr>
        <w:pStyle w:val="Normal"/>
        <w:jc w:val="center"/>
        <w:rPr>
          <w:rFonts w:ascii="Arial" w:hAnsi="Arial" w:cs="Arial"/>
          <w:b/>
          <w:b/>
          <w:bCs/>
        </w:rPr>
      </w:pPr>
      <w:r>
        <w:rPr>
          <w:rFonts w:cs="Arial" w:ascii="Arial" w:hAnsi="Arial"/>
          <w:b/>
          <w:bCs/>
        </w:rPr>
      </w:r>
    </w:p>
    <w:p>
      <w:pPr>
        <w:pStyle w:val="Normal"/>
        <w:jc w:val="center"/>
        <w:rPr>
          <w:rFonts w:ascii="Arial" w:hAnsi="Arial" w:cs="Arial"/>
          <w:b/>
          <w:b/>
          <w:bCs/>
        </w:rPr>
      </w:pPr>
      <w:r>
        <w:rPr>
          <w:rFonts w:cs="Arial" w:ascii="Arial" w:hAnsi="Arial"/>
          <w:b/>
          <w:bCs/>
        </w:rPr>
      </w:r>
    </w:p>
    <w:p>
      <w:pPr>
        <w:pStyle w:val="Normal"/>
        <w:jc w:val="center"/>
        <w:rPr>
          <w:rFonts w:ascii="Arial" w:hAnsi="Arial" w:cs="Arial"/>
          <w:b/>
          <w:b/>
          <w:bCs/>
        </w:rPr>
      </w:pPr>
      <w:r>
        <w:rPr>
          <w:rFonts w:cs="Arial" w:ascii="Arial" w:hAnsi="Arial"/>
          <w:b/>
          <w:bCs/>
        </w:rPr>
      </w:r>
    </w:p>
    <w:p>
      <w:pPr>
        <w:pStyle w:val="Normal"/>
        <w:jc w:val="center"/>
        <w:rPr>
          <w:rFonts w:ascii="Arial" w:hAnsi="Arial" w:cs="Arial"/>
          <w:b/>
          <w:b/>
          <w:bCs/>
          <w:lang w:val="en-US"/>
        </w:rPr>
      </w:pPr>
      <w:r>
        <w:rPr>
          <w:rFonts w:cs="Arial" w:ascii="Arial" w:hAnsi="Arial"/>
          <w:b/>
          <w:bCs/>
        </w:rPr>
        <w:t>Lecturer’s Name:</w:t>
      </w:r>
      <w:r>
        <w:rPr>
          <w:rFonts w:cs="Arial" w:ascii="Arial" w:hAnsi="Arial"/>
          <w:b/>
          <w:bCs/>
          <w:lang w:val="en-US"/>
        </w:rPr>
        <w:t xml:space="preserve"> Dr Haoran Liu</w:t>
      </w:r>
    </w:p>
    <w:p>
      <w:pPr>
        <w:pStyle w:val="Normal"/>
        <w:jc w:val="center"/>
        <w:rPr>
          <w:rFonts w:ascii="Arial" w:hAnsi="Arial" w:cs="Arial"/>
          <w:b/>
          <w:b/>
          <w:bCs/>
        </w:rPr>
      </w:pPr>
      <w:r>
        <w:rPr>
          <w:rFonts w:cs="Arial" w:ascii="Arial" w:hAnsi="Arial"/>
          <w:b/>
          <w:bCs/>
        </w:rPr>
      </w:r>
    </w:p>
    <w:p>
      <w:pPr>
        <w:pStyle w:val="Normal"/>
        <w:jc w:val="center"/>
        <w:rPr>
          <w:rFonts w:ascii="Arial" w:hAnsi="Arial" w:cs="Arial"/>
          <w:b/>
          <w:b/>
          <w:bCs/>
        </w:rPr>
      </w:pPr>
      <w:r>
        <w:rPr>
          <w:rFonts w:cs="Arial" w:ascii="Arial" w:hAnsi="Arial"/>
          <w:b/>
          <w:bCs/>
        </w:rPr>
      </w:r>
    </w:p>
    <w:p>
      <w:pPr>
        <w:pStyle w:val="Normal"/>
        <w:rPr>
          <w:rFonts w:ascii="Arial" w:hAnsi="Arial" w:cs="Arial"/>
          <w:b/>
          <w:b/>
          <w:bCs/>
        </w:rPr>
      </w:pPr>
      <w:r>
        <w:rPr>
          <w:rFonts w:cs="Arial" w:ascii="Arial" w:hAnsi="Arial"/>
          <w:b/>
          <w:bCs/>
        </w:rPr>
      </w:r>
    </w:p>
    <w:p>
      <w:pPr>
        <w:pStyle w:val="Normal"/>
        <w:jc w:val="center"/>
        <w:rPr/>
      </w:pPr>
      <w:r>
        <w:rPr>
          <w:rFonts w:cs="Arial" w:ascii="Arial" w:hAnsi="Arial"/>
          <w:b/>
          <w:bCs/>
        </w:rPr>
        <w:t>Work Count:</w:t>
      </w:r>
      <w:r>
        <w:rPr>
          <w:rFonts w:cs="Arial" w:ascii="Arial" w:hAnsi="Arial"/>
          <w:b/>
          <w:bCs/>
          <w:lang w:val="en-US"/>
        </w:rPr>
        <w:t xml:space="preserve"> 2612</w:t>
      </w:r>
    </w:p>
    <w:p>
      <w:pPr>
        <w:pStyle w:val="Normal"/>
        <w:jc w:val="center"/>
        <w:rPr>
          <w:rFonts w:ascii="Arial" w:hAnsi="Arial" w:cs="Arial"/>
          <w:b/>
          <w:b/>
          <w:bCs/>
        </w:rPr>
      </w:pPr>
      <w:r>
        <w:rPr>
          <w:rFonts w:cs="Arial" w:ascii="Arial" w:hAnsi="Arial"/>
          <w:b/>
          <w:bCs/>
        </w:rPr>
      </w:r>
    </w:p>
    <w:p>
      <w:pPr>
        <w:pStyle w:val="Normal"/>
        <w:jc w:val="center"/>
        <w:rPr>
          <w:rFonts w:ascii="Arial" w:hAnsi="Arial" w:cs="Arial"/>
          <w:b/>
          <w:b/>
          <w:bCs/>
        </w:rPr>
      </w:pPr>
      <w:r>
        <w:rPr>
          <w:rFonts w:cs="Arial" w:ascii="Arial" w:hAnsi="Arial"/>
          <w:b/>
          <w:bCs/>
        </w:rPr>
        <w:t>Submission date</w:t>
      </w:r>
      <w:r>
        <w:rPr>
          <w:rFonts w:cs="Arial" w:ascii="Arial" w:hAnsi="Arial"/>
          <w:b/>
          <w:bCs/>
        </w:rPr>
        <w:t xml:space="preserve"> : </w:t>
      </w:r>
      <w:r>
        <w:rPr>
          <w:rFonts w:cs="Arial" w:ascii="Arial" w:hAnsi="Arial"/>
          <w:b/>
          <w:bCs/>
        </w:rPr>
        <w:t>26-03-2025</w:t>
      </w:r>
    </w:p>
    <w:p>
      <w:pPr>
        <w:pStyle w:val="Normal"/>
        <w:jc w:val="center"/>
        <w:rPr>
          <w:rFonts w:ascii="Arial" w:hAnsi="Arial" w:cs="Arial"/>
          <w:b/>
          <w:b/>
          <w:bCs/>
        </w:rPr>
      </w:pPr>
      <w:r>
        <w:rPr>
          <w:rFonts w:cs="Arial" w:ascii="Arial" w:hAnsi="Arial"/>
          <w:b/>
          <w:bCs/>
        </w:rPr>
      </w:r>
    </w:p>
    <w:p>
      <w:pPr>
        <w:pStyle w:val="Normal"/>
        <w:jc w:val="center"/>
        <w:rPr>
          <w:rFonts w:ascii="Arial" w:hAnsi="Arial" w:cs="Arial"/>
          <w:b/>
          <w:b/>
          <w:bCs/>
        </w:rPr>
      </w:pPr>
      <w:r>
        <w:rPr>
          <w:rFonts w:cs="Arial" w:ascii="Arial" w:hAnsi="Arial"/>
          <w:b/>
          <w:bCs/>
        </w:rPr>
      </w:r>
    </w:p>
    <w:p>
      <w:pPr>
        <w:pStyle w:val="Normal"/>
        <w:jc w:val="center"/>
        <w:rPr>
          <w:rFonts w:ascii="Arial" w:hAnsi="Arial" w:cs="Arial"/>
          <w:b/>
          <w:b/>
          <w:bCs/>
        </w:rPr>
      </w:pPr>
      <w:r>
        <w:rPr>
          <w:rFonts w:cs="Arial" w:ascii="Arial" w:hAnsi="Arial"/>
          <w:b/>
          <w:bCs/>
        </w:rPr>
        <w:t>Term 1</w:t>
      </w:r>
    </w:p>
    <w:p>
      <w:pPr>
        <w:pStyle w:val="Normal"/>
        <w:rPr>
          <w:b/>
          <w:b/>
          <w:bCs/>
        </w:rPr>
      </w:pPr>
      <w:r>
        <w:rPr>
          <w:b/>
          <w:bCs/>
        </w:rPr>
      </w:r>
    </w:p>
    <w:sdt>
      <w:sdtPr>
        <w:docPartObj>
          <w:docPartGallery w:val="Table of Contents"/>
          <w:docPartUnique w:val="true"/>
        </w:docPartObj>
      </w:sdtPr>
      <w:sdtContent>
        <w:p>
          <w:pPr>
            <w:pStyle w:val="TOCHeading"/>
            <w:rPr>
              <w:rFonts w:ascii="Arial" w:hAnsi="Arial" w:cs="Arial"/>
            </w:rPr>
          </w:pPr>
          <w:r>
            <w:rPr>
              <w:rFonts w:cs="Arial" w:ascii="Arial" w:hAnsi="Arial"/>
            </w:rPr>
            <w:t>Table of Contents</w:t>
          </w:r>
        </w:p>
        <w:p>
          <w:pPr>
            <w:pStyle w:val="Contents1"/>
            <w:tabs>
              <w:tab w:val="clear" w:pos="720"/>
              <w:tab w:val="right" w:pos="9010" w:leader="dot"/>
            </w:tabs>
            <w:jc w:val="both"/>
            <w:rPr>
              <w:rFonts w:ascii="Arial" w:hAnsi="Arial" w:eastAsia="" w:cs="Arial" w:eastAsiaTheme="minorEastAsia"/>
              <w:b w:val="false"/>
              <w:b w:val="false"/>
              <w:bCs w:val="false"/>
              <w:i w:val="false"/>
              <w:i w:val="false"/>
              <w:iCs w:val="false"/>
            </w:rPr>
          </w:pPr>
          <w:r>
            <w:fldChar w:fldCharType="begin"/>
          </w:r>
          <w:r>
            <w:rPr>
              <w:webHidden/>
              <w:rStyle w:val="IndexLink"/>
              <w:i w:val="false"/>
              <w:b w:val="false"/>
              <w:iCs w:val="false"/>
              <w:bCs w:val="false"/>
              <w:rFonts w:cs="Arial" w:ascii="Arial" w:hAnsi="Arial"/>
            </w:rPr>
            <w:instrText> TOC \z \o "1-3" \u \h</w:instrText>
          </w:r>
          <w:r>
            <w:rPr>
              <w:webHidden/>
              <w:rStyle w:val="IndexLink"/>
              <w:i w:val="false"/>
              <w:b w:val="false"/>
              <w:iCs w:val="false"/>
              <w:bCs w:val="false"/>
              <w:rFonts w:cs="Arial" w:ascii="Arial" w:hAnsi="Arial"/>
            </w:rPr>
            <w:fldChar w:fldCharType="separate"/>
          </w:r>
          <w:hyperlink w:anchor="_Toc193147336">
            <w:r>
              <w:rPr>
                <w:webHidden/>
                <w:rStyle w:val="IndexLink"/>
                <w:rFonts w:cs="Arial" w:ascii="Arial" w:hAnsi="Arial"/>
                <w:b w:val="false"/>
                <w:bCs w:val="false"/>
                <w:i w:val="false"/>
                <w:iCs w:val="false"/>
              </w:rPr>
              <w:t>Introduction</w:t>
            </w:r>
            <w:r>
              <w:rPr>
                <w:webHidden/>
              </w:rPr>
              <w:fldChar w:fldCharType="begin"/>
            </w:r>
            <w:r>
              <w:rPr>
                <w:webHidden/>
              </w:rPr>
              <w:instrText>PAGEREF _Toc193147336 \h</w:instrText>
            </w:r>
            <w:r>
              <w:rPr>
                <w:webHidden/>
              </w:rPr>
              <w:fldChar w:fldCharType="separate"/>
            </w:r>
            <w:r>
              <w:rPr>
                <w:rStyle w:val="IndexLink"/>
                <w:rFonts w:cs="Arial" w:ascii="Arial" w:hAnsi="Arial"/>
                <w:b w:val="false"/>
                <w:bCs w:val="false"/>
                <w:i w:val="false"/>
                <w:iCs w:val="false"/>
                <w:vanish w:val="false"/>
              </w:rPr>
              <w:tab/>
              <w:t>3</w:t>
            </w:r>
            <w:r>
              <w:rPr>
                <w:webHidden/>
              </w:rPr>
              <w:fldChar w:fldCharType="end"/>
            </w:r>
          </w:hyperlink>
        </w:p>
        <w:p>
          <w:pPr>
            <w:pStyle w:val="Contents1"/>
            <w:tabs>
              <w:tab w:val="clear" w:pos="720"/>
              <w:tab w:val="right" w:pos="9010" w:leader="dot"/>
            </w:tabs>
            <w:jc w:val="both"/>
            <w:rPr>
              <w:rFonts w:ascii="Arial" w:hAnsi="Arial" w:eastAsia="" w:cs="Arial" w:eastAsiaTheme="minorEastAsia"/>
              <w:b w:val="false"/>
              <w:b w:val="false"/>
              <w:bCs w:val="false"/>
              <w:i w:val="false"/>
              <w:i w:val="false"/>
              <w:iCs w:val="false"/>
            </w:rPr>
          </w:pPr>
          <w:hyperlink w:anchor="_Toc193147337">
            <w:r>
              <w:rPr>
                <w:webHidden/>
                <w:rStyle w:val="IndexLink"/>
                <w:rFonts w:cs="Arial" w:ascii="Arial" w:hAnsi="Arial"/>
                <w:b w:val="false"/>
                <w:bCs w:val="false"/>
                <w:i w:val="false"/>
                <w:iCs w:val="false"/>
              </w:rPr>
              <w:t>Advantages of Pioneer Companies</w:t>
            </w:r>
            <w:r>
              <w:rPr>
                <w:webHidden/>
              </w:rPr>
              <w:fldChar w:fldCharType="begin"/>
            </w:r>
            <w:r>
              <w:rPr>
                <w:webHidden/>
              </w:rPr>
              <w:instrText>PAGEREF _Toc193147337 \h</w:instrText>
            </w:r>
            <w:r>
              <w:rPr>
                <w:webHidden/>
              </w:rPr>
              <w:fldChar w:fldCharType="separate"/>
            </w:r>
            <w:r>
              <w:rPr>
                <w:rStyle w:val="IndexLink"/>
                <w:rFonts w:cs="Arial" w:ascii="Arial" w:hAnsi="Arial"/>
                <w:b w:val="false"/>
                <w:bCs w:val="false"/>
                <w:i w:val="false"/>
                <w:iCs w:val="false"/>
                <w:vanish w:val="false"/>
              </w:rPr>
              <w:tab/>
              <w:t>3</w:t>
            </w:r>
            <w:r>
              <w:rPr>
                <w:webHidden/>
              </w:rPr>
              <w:fldChar w:fldCharType="end"/>
            </w:r>
          </w:hyperlink>
        </w:p>
        <w:p>
          <w:pPr>
            <w:pStyle w:val="Contents2"/>
            <w:tabs>
              <w:tab w:val="clear" w:pos="720"/>
              <w:tab w:val="right" w:pos="9010" w:leader="dot"/>
            </w:tabs>
            <w:jc w:val="both"/>
            <w:rPr>
              <w:rFonts w:ascii="Arial" w:hAnsi="Arial" w:eastAsia="" w:cs="Arial" w:eastAsiaTheme="minorEastAsia"/>
              <w:b w:val="false"/>
              <w:b w:val="false"/>
              <w:bCs w:val="false"/>
              <w:sz w:val="24"/>
              <w:szCs w:val="24"/>
            </w:rPr>
          </w:pPr>
          <w:hyperlink w:anchor="_Toc193147338">
            <w:r>
              <w:rPr>
                <w:webHidden/>
                <w:rStyle w:val="IndexLink"/>
                <w:rFonts w:cs="Arial" w:ascii="Arial" w:hAnsi="Arial"/>
                <w:b w:val="false"/>
                <w:bCs w:val="false"/>
                <w:sz w:val="24"/>
                <w:szCs w:val="24"/>
              </w:rPr>
              <w:t>Market Entry Strategies and First-Mover Advantages</w:t>
            </w:r>
            <w:r>
              <w:rPr>
                <w:webHidden/>
              </w:rPr>
              <w:fldChar w:fldCharType="begin"/>
            </w:r>
            <w:r>
              <w:rPr>
                <w:webHidden/>
              </w:rPr>
              <w:instrText>PAGEREF _Toc193147338 \h</w:instrText>
            </w:r>
            <w:r>
              <w:rPr>
                <w:webHidden/>
              </w:rPr>
              <w:fldChar w:fldCharType="separate"/>
            </w:r>
            <w:r>
              <w:rPr>
                <w:rStyle w:val="IndexLink"/>
                <w:rFonts w:cs="Arial" w:ascii="Arial" w:hAnsi="Arial"/>
                <w:b w:val="false"/>
                <w:bCs w:val="false"/>
                <w:vanish w:val="false"/>
                <w:sz w:val="24"/>
                <w:szCs w:val="24"/>
              </w:rPr>
              <w:tab/>
              <w:t>3</w:t>
            </w:r>
            <w:r>
              <w:rPr>
                <w:webHidden/>
              </w:rPr>
              <w:fldChar w:fldCharType="end"/>
            </w:r>
          </w:hyperlink>
        </w:p>
        <w:p>
          <w:pPr>
            <w:pStyle w:val="Contents2"/>
            <w:tabs>
              <w:tab w:val="clear" w:pos="720"/>
              <w:tab w:val="right" w:pos="9010" w:leader="dot"/>
            </w:tabs>
            <w:jc w:val="both"/>
            <w:rPr>
              <w:rFonts w:ascii="Arial" w:hAnsi="Arial" w:eastAsia="" w:cs="Arial" w:eastAsiaTheme="minorEastAsia"/>
              <w:b w:val="false"/>
              <w:b w:val="false"/>
              <w:bCs w:val="false"/>
              <w:sz w:val="24"/>
              <w:szCs w:val="24"/>
            </w:rPr>
          </w:pPr>
          <w:hyperlink w:anchor="_Toc193147339">
            <w:r>
              <w:rPr>
                <w:webHidden/>
                <w:rStyle w:val="IndexLink"/>
                <w:rFonts w:cs="Arial" w:ascii="Arial" w:hAnsi="Arial"/>
                <w:b w:val="false"/>
                <w:bCs w:val="false"/>
                <w:sz w:val="24"/>
                <w:szCs w:val="24"/>
              </w:rPr>
              <w:t>Strategic Group Theory and Competitive Positioning</w:t>
            </w:r>
            <w:r>
              <w:rPr>
                <w:webHidden/>
              </w:rPr>
              <w:fldChar w:fldCharType="begin"/>
            </w:r>
            <w:r>
              <w:rPr>
                <w:webHidden/>
              </w:rPr>
              <w:instrText>PAGEREF _Toc193147339 \h</w:instrText>
            </w:r>
            <w:r>
              <w:rPr>
                <w:webHidden/>
              </w:rPr>
              <w:fldChar w:fldCharType="separate"/>
            </w:r>
            <w:r>
              <w:rPr>
                <w:rStyle w:val="IndexLink"/>
                <w:rFonts w:cs="Arial" w:ascii="Arial" w:hAnsi="Arial"/>
                <w:b w:val="false"/>
                <w:bCs w:val="false"/>
                <w:vanish w:val="false"/>
                <w:sz w:val="24"/>
                <w:szCs w:val="24"/>
              </w:rPr>
              <w:tab/>
              <w:t>4</w:t>
            </w:r>
            <w:r>
              <w:rPr>
                <w:webHidden/>
              </w:rPr>
              <w:fldChar w:fldCharType="end"/>
            </w:r>
          </w:hyperlink>
        </w:p>
        <w:p>
          <w:pPr>
            <w:pStyle w:val="Contents1"/>
            <w:tabs>
              <w:tab w:val="clear" w:pos="720"/>
              <w:tab w:val="right" w:pos="9010" w:leader="dot"/>
            </w:tabs>
            <w:jc w:val="both"/>
            <w:rPr>
              <w:rFonts w:ascii="Arial" w:hAnsi="Arial" w:eastAsia="" w:cs="Arial" w:eastAsiaTheme="minorEastAsia"/>
              <w:b w:val="false"/>
              <w:b w:val="false"/>
              <w:bCs w:val="false"/>
              <w:i w:val="false"/>
              <w:i w:val="false"/>
              <w:iCs w:val="false"/>
            </w:rPr>
          </w:pPr>
          <w:hyperlink w:anchor="_Toc193147340">
            <w:r>
              <w:rPr>
                <w:webHidden/>
                <w:rStyle w:val="IndexLink"/>
                <w:rFonts w:cs="Arial" w:ascii="Arial" w:hAnsi="Arial"/>
                <w:b w:val="false"/>
                <w:bCs w:val="false"/>
                <w:i w:val="false"/>
                <w:iCs w:val="false"/>
              </w:rPr>
              <w:t>Advantages of Follower Companies</w:t>
            </w:r>
            <w:r>
              <w:rPr>
                <w:webHidden/>
              </w:rPr>
              <w:fldChar w:fldCharType="begin"/>
            </w:r>
            <w:r>
              <w:rPr>
                <w:webHidden/>
              </w:rPr>
              <w:instrText>PAGEREF _Toc193147340 \h</w:instrText>
            </w:r>
            <w:r>
              <w:rPr>
                <w:webHidden/>
              </w:rPr>
              <w:fldChar w:fldCharType="separate"/>
            </w:r>
            <w:r>
              <w:rPr>
                <w:rStyle w:val="IndexLink"/>
                <w:rFonts w:cs="Arial" w:ascii="Arial" w:hAnsi="Arial"/>
                <w:b w:val="false"/>
                <w:bCs w:val="false"/>
                <w:i w:val="false"/>
                <w:iCs w:val="false"/>
                <w:vanish w:val="false"/>
              </w:rPr>
              <w:tab/>
              <w:t>5</w:t>
            </w:r>
            <w:r>
              <w:rPr>
                <w:webHidden/>
              </w:rPr>
              <w:fldChar w:fldCharType="end"/>
            </w:r>
          </w:hyperlink>
        </w:p>
        <w:p>
          <w:pPr>
            <w:pStyle w:val="Contents2"/>
            <w:tabs>
              <w:tab w:val="clear" w:pos="720"/>
              <w:tab w:val="right" w:pos="9010" w:leader="dot"/>
            </w:tabs>
            <w:jc w:val="both"/>
            <w:rPr>
              <w:rFonts w:ascii="Arial" w:hAnsi="Arial" w:eastAsia="" w:cs="Arial" w:eastAsiaTheme="minorEastAsia"/>
              <w:b w:val="false"/>
              <w:b w:val="false"/>
              <w:bCs w:val="false"/>
              <w:sz w:val="24"/>
              <w:szCs w:val="24"/>
            </w:rPr>
          </w:pPr>
          <w:hyperlink w:anchor="_Toc193147341">
            <w:r>
              <w:rPr>
                <w:webHidden/>
                <w:rStyle w:val="IndexLink"/>
                <w:rFonts w:cs="Arial" w:ascii="Arial" w:hAnsi="Arial"/>
                <w:b w:val="false"/>
                <w:bCs w:val="false"/>
                <w:sz w:val="24"/>
                <w:szCs w:val="24"/>
              </w:rPr>
              <w:t>Market Entry Strategies: Leveraging Market Knowledge</w:t>
            </w:r>
            <w:r>
              <w:rPr>
                <w:webHidden/>
              </w:rPr>
              <w:fldChar w:fldCharType="begin"/>
            </w:r>
            <w:r>
              <w:rPr>
                <w:webHidden/>
              </w:rPr>
              <w:instrText>PAGEREF _Toc193147341 \h</w:instrText>
            </w:r>
            <w:r>
              <w:rPr>
                <w:webHidden/>
              </w:rPr>
              <w:fldChar w:fldCharType="separate"/>
            </w:r>
            <w:r>
              <w:rPr>
                <w:rStyle w:val="IndexLink"/>
                <w:rFonts w:cs="Arial" w:ascii="Arial" w:hAnsi="Arial"/>
                <w:b w:val="false"/>
                <w:bCs w:val="false"/>
                <w:vanish w:val="false"/>
                <w:sz w:val="24"/>
                <w:szCs w:val="24"/>
              </w:rPr>
              <w:tab/>
              <w:t>5</w:t>
            </w:r>
            <w:r>
              <w:rPr>
                <w:webHidden/>
              </w:rPr>
              <w:fldChar w:fldCharType="end"/>
            </w:r>
          </w:hyperlink>
        </w:p>
        <w:p>
          <w:pPr>
            <w:pStyle w:val="Contents2"/>
            <w:tabs>
              <w:tab w:val="clear" w:pos="720"/>
              <w:tab w:val="right" w:pos="9010" w:leader="dot"/>
            </w:tabs>
            <w:jc w:val="both"/>
            <w:rPr>
              <w:rFonts w:ascii="Arial" w:hAnsi="Arial" w:eastAsia="" w:cs="Arial" w:eastAsiaTheme="minorEastAsia"/>
              <w:b w:val="false"/>
              <w:b w:val="false"/>
              <w:bCs w:val="false"/>
              <w:sz w:val="24"/>
              <w:szCs w:val="24"/>
            </w:rPr>
          </w:pPr>
          <w:hyperlink w:anchor="_Toc193147342">
            <w:r>
              <w:rPr>
                <w:webHidden/>
                <w:rStyle w:val="IndexLink"/>
                <w:rFonts w:cs="Arial" w:ascii="Arial" w:hAnsi="Arial"/>
                <w:b w:val="false"/>
                <w:bCs w:val="false"/>
                <w:sz w:val="24"/>
                <w:szCs w:val="24"/>
              </w:rPr>
              <w:t>Customer Value Proposition (CVP): Delivering Superior Value</w:t>
            </w:r>
            <w:r>
              <w:rPr>
                <w:webHidden/>
              </w:rPr>
              <w:fldChar w:fldCharType="begin"/>
            </w:r>
            <w:r>
              <w:rPr>
                <w:webHidden/>
              </w:rPr>
              <w:instrText>PAGEREF _Toc193147342 \h</w:instrText>
            </w:r>
            <w:r>
              <w:rPr>
                <w:webHidden/>
              </w:rPr>
              <w:fldChar w:fldCharType="separate"/>
            </w:r>
            <w:r>
              <w:rPr>
                <w:rStyle w:val="IndexLink"/>
                <w:rFonts w:cs="Arial" w:ascii="Arial" w:hAnsi="Arial"/>
                <w:b w:val="false"/>
                <w:bCs w:val="false"/>
                <w:vanish w:val="false"/>
                <w:sz w:val="24"/>
                <w:szCs w:val="24"/>
              </w:rPr>
              <w:tab/>
              <w:t>6</w:t>
            </w:r>
            <w:r>
              <w:rPr>
                <w:webHidden/>
              </w:rPr>
              <w:fldChar w:fldCharType="end"/>
            </w:r>
          </w:hyperlink>
        </w:p>
        <w:p>
          <w:pPr>
            <w:pStyle w:val="Contents2"/>
            <w:tabs>
              <w:tab w:val="clear" w:pos="720"/>
              <w:tab w:val="right" w:pos="9010" w:leader="dot"/>
            </w:tabs>
            <w:jc w:val="both"/>
            <w:rPr>
              <w:rFonts w:ascii="Arial" w:hAnsi="Arial" w:eastAsia="" w:cs="Arial" w:eastAsiaTheme="minorEastAsia"/>
              <w:b w:val="false"/>
              <w:b w:val="false"/>
              <w:bCs w:val="false"/>
              <w:sz w:val="24"/>
              <w:szCs w:val="24"/>
            </w:rPr>
          </w:pPr>
          <w:hyperlink w:anchor="_Toc193147343">
            <w:r>
              <w:rPr>
                <w:webHidden/>
                <w:rStyle w:val="IndexLink"/>
                <w:rFonts w:cs="Arial" w:ascii="Arial" w:hAnsi="Arial"/>
                <w:b w:val="false"/>
                <w:bCs w:val="false"/>
                <w:sz w:val="24"/>
                <w:szCs w:val="24"/>
              </w:rPr>
              <w:t>Strategic Advantages of Followers</w:t>
            </w:r>
            <w:r>
              <w:rPr>
                <w:webHidden/>
              </w:rPr>
              <w:fldChar w:fldCharType="begin"/>
            </w:r>
            <w:r>
              <w:rPr>
                <w:webHidden/>
              </w:rPr>
              <w:instrText>PAGEREF _Toc193147343 \h</w:instrText>
            </w:r>
            <w:r>
              <w:rPr>
                <w:webHidden/>
              </w:rPr>
              <w:fldChar w:fldCharType="separate"/>
            </w:r>
            <w:r>
              <w:rPr>
                <w:rStyle w:val="IndexLink"/>
                <w:rFonts w:cs="Arial" w:ascii="Arial" w:hAnsi="Arial"/>
                <w:b w:val="false"/>
                <w:bCs w:val="false"/>
                <w:vanish w:val="false"/>
                <w:sz w:val="24"/>
                <w:szCs w:val="24"/>
              </w:rPr>
              <w:tab/>
              <w:t>7</w:t>
            </w:r>
            <w:r>
              <w:rPr>
                <w:webHidden/>
              </w:rPr>
              <w:fldChar w:fldCharType="end"/>
            </w:r>
          </w:hyperlink>
        </w:p>
        <w:p>
          <w:pPr>
            <w:pStyle w:val="Contents1"/>
            <w:tabs>
              <w:tab w:val="clear" w:pos="720"/>
              <w:tab w:val="right" w:pos="9010" w:leader="dot"/>
            </w:tabs>
            <w:jc w:val="both"/>
            <w:rPr>
              <w:rFonts w:ascii="Arial" w:hAnsi="Arial" w:eastAsia="" w:cs="Arial" w:eastAsiaTheme="minorEastAsia"/>
              <w:b w:val="false"/>
              <w:b w:val="false"/>
              <w:bCs w:val="false"/>
              <w:i w:val="false"/>
              <w:i w:val="false"/>
              <w:iCs w:val="false"/>
            </w:rPr>
          </w:pPr>
          <w:hyperlink w:anchor="_Toc193147344">
            <w:r>
              <w:rPr>
                <w:webHidden/>
                <w:rStyle w:val="IndexLink"/>
                <w:rFonts w:cs="Arial" w:ascii="Arial" w:hAnsi="Arial"/>
                <w:b w:val="false"/>
                <w:bCs w:val="false"/>
                <w:i w:val="false"/>
                <w:iCs w:val="false"/>
              </w:rPr>
              <w:t>Product Life Cycle (PLC) Strategies in Growth and Maturity Stages</w:t>
            </w:r>
            <w:r>
              <w:rPr>
                <w:webHidden/>
              </w:rPr>
              <w:fldChar w:fldCharType="begin"/>
            </w:r>
            <w:r>
              <w:rPr>
                <w:webHidden/>
              </w:rPr>
              <w:instrText>PAGEREF _Toc193147344 \h</w:instrText>
            </w:r>
            <w:r>
              <w:rPr>
                <w:webHidden/>
              </w:rPr>
              <w:fldChar w:fldCharType="separate"/>
            </w:r>
            <w:r>
              <w:rPr>
                <w:rStyle w:val="IndexLink"/>
                <w:rFonts w:cs="Arial" w:ascii="Arial" w:hAnsi="Arial"/>
                <w:b w:val="false"/>
                <w:bCs w:val="false"/>
                <w:i w:val="false"/>
                <w:iCs w:val="false"/>
                <w:vanish w:val="false"/>
              </w:rPr>
              <w:tab/>
              <w:t>7</w:t>
            </w:r>
            <w:r>
              <w:rPr>
                <w:webHidden/>
              </w:rPr>
              <w:fldChar w:fldCharType="end"/>
            </w:r>
          </w:hyperlink>
        </w:p>
        <w:p>
          <w:pPr>
            <w:pStyle w:val="Contents2"/>
            <w:tabs>
              <w:tab w:val="clear" w:pos="720"/>
              <w:tab w:val="right" w:pos="9010" w:leader="dot"/>
            </w:tabs>
            <w:jc w:val="both"/>
            <w:rPr>
              <w:rFonts w:ascii="Arial" w:hAnsi="Arial" w:eastAsia="" w:cs="Arial" w:eastAsiaTheme="minorEastAsia"/>
              <w:b w:val="false"/>
              <w:b w:val="false"/>
              <w:bCs w:val="false"/>
              <w:sz w:val="24"/>
              <w:szCs w:val="24"/>
            </w:rPr>
          </w:pPr>
          <w:hyperlink w:anchor="_Toc193147345">
            <w:r>
              <w:rPr>
                <w:webHidden/>
                <w:rStyle w:val="IndexLink"/>
                <w:rFonts w:cs="Arial" w:ascii="Arial" w:hAnsi="Arial"/>
                <w:b w:val="false"/>
                <w:bCs w:val="false"/>
                <w:sz w:val="24"/>
                <w:szCs w:val="24"/>
              </w:rPr>
              <w:t>Growth Stage Strategies: Market Expansion and Value Innovation</w:t>
            </w:r>
            <w:r>
              <w:rPr>
                <w:webHidden/>
              </w:rPr>
              <w:fldChar w:fldCharType="begin"/>
            </w:r>
            <w:r>
              <w:rPr>
                <w:webHidden/>
              </w:rPr>
              <w:instrText>PAGEREF _Toc193147345 \h</w:instrText>
            </w:r>
            <w:r>
              <w:rPr>
                <w:webHidden/>
              </w:rPr>
              <w:fldChar w:fldCharType="separate"/>
            </w:r>
            <w:r>
              <w:rPr>
                <w:rStyle w:val="IndexLink"/>
                <w:rFonts w:cs="Arial" w:ascii="Arial" w:hAnsi="Arial"/>
                <w:b w:val="false"/>
                <w:bCs w:val="false"/>
                <w:vanish w:val="false"/>
                <w:sz w:val="24"/>
                <w:szCs w:val="24"/>
              </w:rPr>
              <w:tab/>
              <w:t>7</w:t>
            </w:r>
            <w:r>
              <w:rPr>
                <w:webHidden/>
              </w:rPr>
              <w:fldChar w:fldCharType="end"/>
            </w:r>
          </w:hyperlink>
        </w:p>
        <w:p>
          <w:pPr>
            <w:pStyle w:val="Contents2"/>
            <w:tabs>
              <w:tab w:val="clear" w:pos="720"/>
              <w:tab w:val="right" w:pos="9010" w:leader="dot"/>
            </w:tabs>
            <w:jc w:val="both"/>
            <w:rPr>
              <w:rFonts w:ascii="Arial" w:hAnsi="Arial" w:eastAsia="" w:cs="Arial" w:eastAsiaTheme="minorEastAsia"/>
              <w:b w:val="false"/>
              <w:b w:val="false"/>
              <w:bCs w:val="false"/>
              <w:sz w:val="24"/>
              <w:szCs w:val="24"/>
            </w:rPr>
          </w:pPr>
          <w:hyperlink w:anchor="_Toc193147346">
            <w:r>
              <w:rPr>
                <w:webHidden/>
                <w:rStyle w:val="IndexLink"/>
                <w:rFonts w:cs="Arial" w:ascii="Arial" w:hAnsi="Arial"/>
                <w:b w:val="false"/>
                <w:bCs w:val="false"/>
                <w:sz w:val="24"/>
                <w:szCs w:val="24"/>
              </w:rPr>
              <w:t>Maturity Stage Strategies: Differentiation and Customer Loyalty</w:t>
            </w:r>
            <w:r>
              <w:rPr>
                <w:webHidden/>
              </w:rPr>
              <w:fldChar w:fldCharType="begin"/>
            </w:r>
            <w:r>
              <w:rPr>
                <w:webHidden/>
              </w:rPr>
              <w:instrText>PAGEREF _Toc193147346 \h</w:instrText>
            </w:r>
            <w:r>
              <w:rPr>
                <w:webHidden/>
              </w:rPr>
              <w:fldChar w:fldCharType="separate"/>
            </w:r>
            <w:r>
              <w:rPr>
                <w:rStyle w:val="IndexLink"/>
                <w:rFonts w:cs="Arial" w:ascii="Arial" w:hAnsi="Arial"/>
                <w:b w:val="false"/>
                <w:bCs w:val="false"/>
                <w:vanish w:val="false"/>
                <w:sz w:val="24"/>
                <w:szCs w:val="24"/>
              </w:rPr>
              <w:tab/>
              <w:t>8</w:t>
            </w:r>
            <w:r>
              <w:rPr>
                <w:webHidden/>
              </w:rPr>
              <w:fldChar w:fldCharType="end"/>
            </w:r>
          </w:hyperlink>
        </w:p>
        <w:p>
          <w:pPr>
            <w:pStyle w:val="Contents1"/>
            <w:tabs>
              <w:tab w:val="clear" w:pos="720"/>
              <w:tab w:val="right" w:pos="9010" w:leader="dot"/>
            </w:tabs>
            <w:jc w:val="both"/>
            <w:rPr>
              <w:rFonts w:ascii="Arial" w:hAnsi="Arial" w:eastAsia="" w:cs="Arial" w:eastAsiaTheme="minorEastAsia"/>
              <w:b w:val="false"/>
              <w:b w:val="false"/>
              <w:bCs w:val="false"/>
              <w:i w:val="false"/>
              <w:i w:val="false"/>
              <w:iCs w:val="false"/>
            </w:rPr>
          </w:pPr>
          <w:hyperlink w:anchor="_Toc193147347">
            <w:r>
              <w:rPr>
                <w:webHidden/>
                <w:rStyle w:val="IndexLink"/>
                <w:rFonts w:cs="Arial" w:ascii="Arial" w:hAnsi="Arial"/>
                <w:b w:val="false"/>
                <w:bCs w:val="false"/>
                <w:i w:val="false"/>
                <w:iCs w:val="false"/>
              </w:rPr>
              <w:t>Conclusion</w:t>
            </w:r>
            <w:r>
              <w:rPr>
                <w:webHidden/>
              </w:rPr>
              <w:fldChar w:fldCharType="begin"/>
            </w:r>
            <w:r>
              <w:rPr>
                <w:webHidden/>
              </w:rPr>
              <w:instrText>PAGEREF _Toc193147347 \h</w:instrText>
            </w:r>
            <w:r>
              <w:rPr>
                <w:webHidden/>
              </w:rPr>
              <w:fldChar w:fldCharType="separate"/>
            </w:r>
            <w:r>
              <w:rPr>
                <w:rStyle w:val="IndexLink"/>
                <w:rFonts w:cs="Arial" w:ascii="Arial" w:hAnsi="Arial"/>
                <w:b w:val="false"/>
                <w:bCs w:val="false"/>
                <w:i w:val="false"/>
                <w:iCs w:val="false"/>
                <w:vanish w:val="false"/>
              </w:rPr>
              <w:tab/>
              <w:t>9</w:t>
            </w:r>
            <w:r>
              <w:rPr>
                <w:webHidden/>
              </w:rPr>
              <w:fldChar w:fldCharType="end"/>
            </w:r>
          </w:hyperlink>
        </w:p>
        <w:p>
          <w:pPr>
            <w:pStyle w:val="Contents1"/>
            <w:tabs>
              <w:tab w:val="clear" w:pos="720"/>
              <w:tab w:val="right" w:pos="9010" w:leader="dot"/>
            </w:tabs>
            <w:jc w:val="both"/>
            <w:rPr>
              <w:rFonts w:ascii="Arial" w:hAnsi="Arial" w:eastAsia="" w:cs="Arial" w:eastAsiaTheme="minorEastAsia"/>
              <w:b w:val="false"/>
              <w:b w:val="false"/>
              <w:bCs w:val="false"/>
              <w:i w:val="false"/>
              <w:i w:val="false"/>
              <w:iCs w:val="false"/>
            </w:rPr>
          </w:pPr>
          <w:hyperlink w:anchor="_Toc193147348">
            <w:r>
              <w:rPr>
                <w:webHidden/>
                <w:rStyle w:val="IndexLink"/>
                <w:rFonts w:cs="Arial" w:ascii="Arial" w:hAnsi="Arial"/>
                <w:b w:val="false"/>
                <w:bCs w:val="false"/>
                <w:i w:val="false"/>
                <w:iCs w:val="false"/>
              </w:rPr>
              <w:t>Reference</w:t>
            </w:r>
            <w:r>
              <w:rPr>
                <w:webHidden/>
              </w:rPr>
              <w:fldChar w:fldCharType="begin"/>
            </w:r>
            <w:r>
              <w:rPr>
                <w:webHidden/>
              </w:rPr>
              <w:instrText>PAGEREF _Toc193147348 \h</w:instrText>
            </w:r>
            <w:r>
              <w:rPr>
                <w:webHidden/>
              </w:rPr>
              <w:fldChar w:fldCharType="separate"/>
            </w:r>
            <w:r>
              <w:rPr>
                <w:rStyle w:val="IndexLink"/>
                <w:rFonts w:cs="Arial" w:ascii="Arial" w:hAnsi="Arial"/>
                <w:b w:val="false"/>
                <w:bCs w:val="false"/>
                <w:i w:val="false"/>
                <w:iCs w:val="false"/>
                <w:vanish w:val="false"/>
              </w:rPr>
              <w:tab/>
              <w:t>11</w:t>
            </w:r>
            <w:r>
              <w:rPr>
                <w:webHidden/>
              </w:rPr>
              <w:fldChar w:fldCharType="end"/>
            </w:r>
          </w:hyperlink>
        </w:p>
        <w:p>
          <w:pPr>
            <w:pStyle w:val="Normal"/>
            <w:spacing w:lineRule="auto" w:line="360"/>
            <w:jc w:val="both"/>
            <w:rPr>
              <w:rFonts w:ascii="Arial" w:hAnsi="Arial" w:cs="Arial"/>
            </w:rPr>
          </w:pPr>
          <w:r>
            <w:rPr>
              <w:rFonts w:cs="Arial" w:ascii="Arial" w:hAnsi="Arial"/>
            </w:rPr>
          </w:r>
          <w:r>
            <w:rPr>
              <w:rFonts w:cs="Arial" w:ascii="Arial" w:hAnsi="Arial"/>
            </w:rPr>
            <w:fldChar w:fldCharType="end"/>
          </w:r>
        </w:p>
      </w:sdtContent>
    </w:sdt>
    <w:p>
      <w:pPr>
        <w:pStyle w:val="Normal"/>
        <w:spacing w:lineRule="auto" w:line="360"/>
        <w:jc w:val="both"/>
        <w:rPr>
          <w:rFonts w:ascii="Arial" w:hAnsi="Arial" w:cs="Arial"/>
        </w:rPr>
      </w:pPr>
      <w:r>
        <w:rPr>
          <w:rFonts w:cs="Arial" w:ascii="Arial" w:hAnsi="Arial"/>
        </w:rPr>
      </w:r>
      <w:r>
        <w:br w:type="page"/>
      </w:r>
    </w:p>
    <w:p>
      <w:pPr>
        <w:pStyle w:val="Heading1"/>
        <w:rPr>
          <w:rFonts w:ascii="Arial" w:hAnsi="Arial" w:cs="Arial"/>
        </w:rPr>
      </w:pPr>
      <w:bookmarkStart w:id="0" w:name="_Toc193147336"/>
      <w:r>
        <w:rPr>
          <w:rFonts w:cs="Arial" w:ascii="Arial" w:hAnsi="Arial"/>
        </w:rPr>
        <w:t>Introduction</w:t>
      </w:r>
      <w:bookmarkEnd w:id="0"/>
    </w:p>
    <w:p>
      <w:pPr>
        <w:pStyle w:val="Normal"/>
        <w:spacing w:lineRule="auto" w:line="360"/>
        <w:jc w:val="both"/>
        <w:rPr>
          <w:rFonts w:ascii="Arial" w:hAnsi="Arial" w:cs="Arial"/>
        </w:rPr>
      </w:pPr>
      <w:r>
        <w:rPr>
          <w:rFonts w:cs="Arial" w:ascii="Arial" w:hAnsi="Arial"/>
          <w:color w:val="000000"/>
        </w:rPr>
        <w:t>Business organisations operating in today's competitive environment need strategic planning for market entry by determining appropriate time frames while establishing their market entry approach. A strategic market entry decision determines an organisation's future long-term success potential. The opening advantage pioneer companies receive from becoming the first market entrants allows them to establish industry norms but follower companies adapt pioneer strategies for successful market performance by locating unmet needs in the market (Gabszewicz, Pepall and Thisse, 2019). The discussion analyses strategic benefits between pioneer firms and their follower counterparts through the example of Coutts &amp; Co., The Co-operative Group, and Babcock International. The Co-operative Group, and Babcock International as pioneers, and Waitrose, Metro Bank, and Sky Bet as followers. The article uses three important theories to guide its examination (Doz, Santos and Williamson, 2023). Under Market Entry Strategies (Kotler) readers will understand how organisations decide to enter markets and also learn about the strategic benefits that come from appropriate timing and size of market entry. The study of Strategic Group Theory will help determine the competitive positioning strategies adopted by companies that lead and follow in their respective industries (Hitt, 2022). This essay will analyse how organisations develop value delivery for their customers through the Customer Value Proposition (CVP) framework in various market stages. This paper integrates strategic research models to demonstrate that pioneers and followers can benefit from strategic positioning approaches which create value for their customers.</w:t>
      </w:r>
    </w:p>
    <w:p>
      <w:pPr>
        <w:pStyle w:val="Heading1"/>
        <w:rPr>
          <w:rFonts w:ascii="Arial" w:hAnsi="Arial" w:cs="Arial"/>
        </w:rPr>
      </w:pPr>
      <w:bookmarkStart w:id="1" w:name="_Toc193147337"/>
      <w:r>
        <w:rPr>
          <w:rFonts w:cs="Arial" w:ascii="Arial" w:hAnsi="Arial"/>
        </w:rPr>
        <w:t>Advantages of Pioneer Companies</w:t>
      </w:r>
      <w:bookmarkEnd w:id="1"/>
    </w:p>
    <w:p>
      <w:pPr>
        <w:pStyle w:val="Normal"/>
        <w:spacing w:lineRule="auto" w:line="360"/>
        <w:jc w:val="both"/>
        <w:rPr>
          <w:rFonts w:ascii="Arial" w:hAnsi="Arial" w:cs="Arial"/>
        </w:rPr>
      </w:pPr>
      <w:r>
        <w:rPr>
          <w:rFonts w:cs="Arial" w:ascii="Arial" w:hAnsi="Arial"/>
          <w:color w:val="000000"/>
        </w:rPr>
        <w:t>Pioneer companies adopt the role of entering markets before competitors to offer new products and services or business models. Reaching markets first allows pioneers to set brand leadership and gain customer loyalty as well as establish control over market norms (Buratti, Parola and Satta, 2019). For success pioneers must use strategic market entry planning in addition to choosing proper positioning relative to competitors according to Market Entry Strategies (Kotler) and Strategic Group Theory.</w:t>
      </w:r>
    </w:p>
    <w:p>
      <w:pPr>
        <w:pStyle w:val="Heading2"/>
        <w:spacing w:lineRule="auto" w:line="360"/>
        <w:rPr>
          <w:rFonts w:ascii="Arial" w:hAnsi="Arial" w:cs="Arial"/>
        </w:rPr>
      </w:pPr>
      <w:bookmarkStart w:id="2" w:name="_Toc193147338"/>
      <w:r>
        <w:rPr>
          <w:rFonts w:cs="Arial" w:ascii="Arial" w:hAnsi="Arial"/>
        </w:rPr>
        <w:t>Market Entry Strategies and First-Mover Advantages</w:t>
      </w:r>
      <w:bookmarkEnd w:id="2"/>
    </w:p>
    <w:p>
      <w:pPr>
        <w:pStyle w:val="Normal"/>
        <w:spacing w:lineRule="auto" w:line="360"/>
        <w:jc w:val="both"/>
        <w:rPr>
          <w:rFonts w:ascii="Arial" w:hAnsi="Arial" w:cs="Arial"/>
        </w:rPr>
      </w:pPr>
      <w:r>
        <w:rPr>
          <w:rFonts w:cs="Arial" w:ascii="Arial" w:hAnsi="Arial"/>
          <w:color w:val="000000"/>
        </w:rPr>
        <w:t>The first movers into a market gain access to both customers and exclusive partnerships while establishing what customer expectations should be within the industry according to Market Entry Strategies (Kotler). The oldest and most prestigious private bank in the UK Coutts &amp; Co showcases these market advantages. Coutts began its private banking operations early which enabled it to develop long-lasting connexions with wealthy clients while establishing industry-leading discreet banking service practices. By establishing dominance in its targeted market segment early on Coutts secured an exclusive reputation combined with trustworthiness which makes it stand apart from present-day banking competitors (Geyskens, Gielens and Dekimpe, 2021). When other banks entered this profitable market segment Coutts protected its first-mover advantage because it already maintained ties with exclusive clients. The Co-operative Group (Co-op) established itself as the first large UK retailer in ethical food and banking sectors and capitalised on emerging consumer ethical concerns to gain early access to the market. Co-op gained dominance in ethical retail and banking operations by entering these sectors before consumer worries about ethical standards became widespread so it emerged as the leader in socially responsible practices for customers who prioritise fairness and sustainability (Kang and Montoya, 2023). Co-op's market entry strategy included Fairtrade products together with customer-owned banking practises and sustainable retailing which formed a competitive barrier and set new standards of consumer expectation for other retailers and banks. Babcock International established itself as a leading partner for governments along with defence organisations by using its early entrance to provide engineering support in sectors of defence, nuclear and infrastructure. Babcock took early entry by securing extended contracts and important agreements which earned it status as the prime engineering services supplier (Gimeno and Woo, 2023). The initial market entrance allowed the company to win vital governmental defence projects along with military contracts that made it challenging for emerging market competitors to enter.</w:t>
      </w:r>
    </w:p>
    <w:p>
      <w:pPr>
        <w:pStyle w:val="Normal"/>
        <w:spacing w:lineRule="auto" w:line="360"/>
        <w:jc w:val="both"/>
        <w:rPr>
          <w:rFonts w:ascii="Arial" w:hAnsi="Arial" w:cs="Arial"/>
        </w:rPr>
      </w:pPr>
      <w:r>
        <w:rPr>
          <w:rFonts w:cs="Arial" w:ascii="Arial" w:hAnsi="Arial"/>
          <w:color w:val="000000"/>
        </w:rPr>
        <w:t>Thus, through strategic market entry, pioneers like Coutts &amp; Co., The Co-operative Group together with Babcock International established robust systems which helped them claim major positions in their specific markets and set important benchmarks for their industries.</w:t>
      </w:r>
    </w:p>
    <w:p>
      <w:pPr>
        <w:pStyle w:val="Heading2"/>
        <w:spacing w:lineRule="auto" w:line="360"/>
        <w:rPr>
          <w:rFonts w:ascii="Arial" w:hAnsi="Arial" w:cs="Arial"/>
        </w:rPr>
      </w:pPr>
      <w:bookmarkStart w:id="3" w:name="_Toc193147339"/>
      <w:r>
        <w:rPr>
          <w:rFonts w:cs="Arial" w:ascii="Arial" w:hAnsi="Arial"/>
        </w:rPr>
        <w:t>Strategic Group Theory and Competitive Positioning</w:t>
      </w:r>
      <w:bookmarkEnd w:id="3"/>
    </w:p>
    <w:p>
      <w:pPr>
        <w:pStyle w:val="Normal"/>
        <w:spacing w:lineRule="auto" w:line="360"/>
        <w:jc w:val="both"/>
        <w:rPr>
          <w:rFonts w:ascii="Arial" w:hAnsi="Arial" w:cs="Arial"/>
          <w:lang w:eastAsia="en-US"/>
        </w:rPr>
      </w:pPr>
      <w:r>
        <w:rPr>
          <w:rFonts w:cs="Arial" w:ascii="Arial" w:hAnsi="Arial"/>
          <w:lang w:eastAsia="en-US"/>
        </w:rPr>
        <w:t>​</w:t>
      </w:r>
      <w:r>
        <w:rPr>
          <w:rFonts w:cs="Arial" w:ascii="Arial" w:hAnsi="Arial"/>
          <w:lang w:eastAsia="en-US"/>
        </w:rPr>
        <w:t>Strategic Group Theory examines how companies within the same industry adopt similar strategies, forming clusters that compete more directly with each other than with firms outside their group. This framework helps in identifying direct competitors and understanding competitive dynamics within an industry.</w:t>
      </w:r>
    </w:p>
    <w:p>
      <w:pPr>
        <w:pStyle w:val="Normal"/>
        <w:spacing w:lineRule="auto" w:line="360"/>
        <w:jc w:val="both"/>
        <w:rPr>
          <w:rFonts w:ascii="Arial" w:hAnsi="Arial" w:cs="Arial"/>
          <w:lang w:eastAsia="en-US"/>
        </w:rPr>
      </w:pPr>
      <w:r>
        <w:rPr>
          <w:rFonts w:cs="Arial" w:ascii="Arial" w:hAnsi="Arial"/>
          <w:lang w:eastAsia="en-US"/>
        </w:rPr>
      </w:r>
    </w:p>
    <w:p>
      <w:pPr>
        <w:pStyle w:val="Normal"/>
        <w:keepNext w:val="true"/>
        <w:spacing w:lineRule="auto" w:line="360"/>
        <w:jc w:val="center"/>
        <w:rPr>
          <w:rFonts w:ascii="Arial" w:hAnsi="Arial" w:cs="Arial"/>
        </w:rPr>
      </w:pPr>
      <w:r>
        <w:rPr/>
        <w:drawing>
          <wp:inline distT="0" distB="0" distL="0" distR="0">
            <wp:extent cx="3395980" cy="2534920"/>
            <wp:effectExtent l="0" t="0" r="0" b="0"/>
            <wp:docPr id="2"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
                    <pic:cNvPicPr>
                      <a:picLocks noChangeAspect="1" noChangeArrowheads="1"/>
                    </pic:cNvPicPr>
                  </pic:nvPicPr>
                  <pic:blipFill>
                    <a:blip r:embed="rId3"/>
                    <a:stretch>
                      <a:fillRect/>
                    </a:stretch>
                  </pic:blipFill>
                  <pic:spPr bwMode="auto">
                    <a:xfrm>
                      <a:off x="0" y="0"/>
                      <a:ext cx="3395980" cy="2534920"/>
                    </a:xfrm>
                    <a:prstGeom prst="rect">
                      <a:avLst/>
                    </a:prstGeom>
                  </pic:spPr>
                </pic:pic>
              </a:graphicData>
            </a:graphic>
          </wp:inline>
        </w:drawing>
      </w:r>
    </w:p>
    <w:p>
      <w:pPr>
        <w:pStyle w:val="Caption1"/>
        <w:rPr>
          <w:rFonts w:ascii="Arial" w:hAnsi="Arial" w:cs="Arial"/>
        </w:rPr>
      </w:pPr>
      <w:r>
        <w:rPr>
          <w:rFonts w:cs="Arial" w:ascii="Arial" w:hAnsi="Arial"/>
        </w:rPr>
        <w:t xml:space="preserve">Figure </w:t>
      </w:r>
      <w:r>
        <w:rPr>
          <w:rFonts w:cs="Arial" w:ascii="Arial" w:hAnsi="Arial"/>
        </w:rPr>
        <w:fldChar w:fldCharType="begin"/>
      </w:r>
      <w:r>
        <w:rPr>
          <w:rFonts w:cs="Arial" w:ascii="Arial" w:hAnsi="Arial"/>
        </w:rPr>
        <w:instrText> SEQ Figure \* ARABIC </w:instrText>
      </w:r>
      <w:r>
        <w:rPr>
          <w:rFonts w:cs="Arial" w:ascii="Arial" w:hAnsi="Arial"/>
        </w:rPr>
        <w:fldChar w:fldCharType="separate"/>
      </w:r>
      <w:r>
        <w:rPr>
          <w:rFonts w:cs="Arial" w:ascii="Arial" w:hAnsi="Arial"/>
        </w:rPr>
        <w:t>1</w:t>
      </w:r>
      <w:r>
        <w:rPr>
          <w:rFonts w:cs="Arial" w:ascii="Arial" w:hAnsi="Arial"/>
        </w:rPr>
        <w:fldChar w:fldCharType="end"/>
      </w:r>
      <w:r>
        <w:rPr>
          <w:rFonts w:cs="Arial" w:ascii="Arial" w:hAnsi="Arial"/>
          <w:lang w:val="en-US"/>
        </w:rPr>
        <w:t>: Strategic Group Theory</w:t>
      </w:r>
    </w:p>
    <w:p>
      <w:pPr>
        <w:pStyle w:val="Normal"/>
        <w:spacing w:lineRule="auto" w:line="360"/>
        <w:jc w:val="both"/>
        <w:rPr>
          <w:rFonts w:ascii="Arial" w:hAnsi="Arial" w:cs="Arial"/>
          <w:color w:val="000000"/>
        </w:rPr>
      </w:pPr>
      <w:r>
        <w:rPr>
          <w:rFonts w:cs="Arial" w:ascii="Arial" w:hAnsi="Arial"/>
          <w:color w:val="000000"/>
        </w:rPr>
        <w:t>Strategic Group Theory examines how pioneering companies might sustain their competitive edge through strategic group positioning. Strategic groups are companies with similar industrial strategies. Pioneers build the market's customer perception and set expectations for future market participants as the first strategic group. Coutts &amp; Co. joined the market as a leading member of the exclusive bespoke banking strategy group that provided personalised financial services, wealth management, and private client advising (Podsakoff et al., 2019). UK private banks had to exceed Coutts' definition of this elite private banking service to succeed. Because Coutts had decades of market authority, new entrants struggled to win over its exclusive clientele. The ethical and community-owned retail and banking strategic group gave the Co-operative Group its uniqueness. Co-op's socially conscious characteristics attracted ethical shoppers at a period when Tesco and Sainsbury's prioritised profit over ethical sourcing and community ownership (Hoskisson et al., 2020). The ethical business model gave Co-op a strong brand identity that followers struggle to replicate. Babcock International leveraged first-mover advantage in defence engineering to position itself as a company that demanded unsurpassed reliability, confidentiality, and engineering qualification from customers. Babcock intentionally partnered with UK government defence organisations to win specific projects that competitors couldn't. Through its early strategic group creation, Babcock created rigorous compliance criteria and technical certifications that made it hard for competitors to enter the market.</w:t>
      </w:r>
    </w:p>
    <w:p>
      <w:pPr>
        <w:pStyle w:val="Normal"/>
        <w:spacing w:lineRule="auto" w:line="360"/>
        <w:jc w:val="both"/>
        <w:rPr>
          <w:rFonts w:ascii="Arial" w:hAnsi="Arial" w:cs="Arial"/>
          <w:color w:val="000000"/>
        </w:rPr>
      </w:pPr>
      <w:r>
        <w:rPr>
          <w:rFonts w:cs="Arial" w:ascii="Arial" w:hAnsi="Arial"/>
          <w:color w:val="000000"/>
        </w:rPr>
      </w:r>
    </w:p>
    <w:p>
      <w:pPr>
        <w:pStyle w:val="Normal"/>
        <w:spacing w:lineRule="auto" w:line="360"/>
        <w:jc w:val="both"/>
        <w:rPr>
          <w:rFonts w:ascii="Arial" w:hAnsi="Arial" w:cs="Arial"/>
        </w:rPr>
      </w:pPr>
      <w:r>
        <w:rPr>
          <w:rFonts w:cs="Arial" w:ascii="Arial" w:hAnsi="Arial"/>
        </w:rPr>
        <w:t>By analyzing strategic groups, companies can assess their market position, anticipate competitive actions, and identify opportunities for differentiation, thereby enhancing strategic decision-making and achieving sustainable competitive advantages. ​</w:t>
      </w:r>
    </w:p>
    <w:p>
      <w:pPr>
        <w:pStyle w:val="Normal"/>
        <w:spacing w:lineRule="auto" w:line="360"/>
        <w:jc w:val="both"/>
        <w:rPr>
          <w:rFonts w:ascii="Arial" w:hAnsi="Arial" w:cs="Arial"/>
        </w:rPr>
      </w:pPr>
      <w:r>
        <w:rPr>
          <w:rFonts w:cs="Arial" w:ascii="Arial" w:hAnsi="Arial"/>
        </w:rPr>
      </w:r>
    </w:p>
    <w:p>
      <w:pPr>
        <w:pStyle w:val="Heading1"/>
        <w:rPr>
          <w:rFonts w:ascii="Arial" w:hAnsi="Arial" w:cs="Arial"/>
        </w:rPr>
      </w:pPr>
      <w:bookmarkStart w:id="4" w:name="_Toc193147340"/>
      <w:r>
        <w:rPr>
          <w:rFonts w:cs="Arial" w:ascii="Arial" w:hAnsi="Arial"/>
        </w:rPr>
        <w:t>Advantages of Follower Companies</w:t>
      </w:r>
      <w:bookmarkEnd w:id="4"/>
      <w:r>
        <w:rPr>
          <w:rFonts w:cs="Arial" w:ascii="Arial" w:hAnsi="Arial"/>
        </w:rPr>
        <w:t> </w:t>
      </w:r>
    </w:p>
    <w:p>
      <w:pPr>
        <w:pStyle w:val="Normal"/>
        <w:spacing w:lineRule="auto" w:line="360"/>
        <w:jc w:val="both"/>
        <w:rPr>
          <w:rFonts w:ascii="Arial" w:hAnsi="Arial" w:cs="Arial"/>
        </w:rPr>
      </w:pPr>
      <w:r>
        <w:rPr>
          <w:rFonts w:cs="Arial" w:ascii="Arial" w:hAnsi="Arial"/>
          <w:color w:val="000000"/>
        </w:rPr>
        <w:t>Followers engage in market entry only when pioneers succeed in creating initial customer demand coupled with market establishment. Followers gain marketplace advantage through the observation of market conditions and the knowledge they extract from pioneer mistakes while detecting consumer needs (Hart, 2024). The use of Market Entry Strategies (Kotler) together with Customer Value Proposition (CVP) allows followers to create specialised products that fulfil vacant needs better than pioneers who commonly become vulnerable to delays in market adaptation.</w:t>
      </w:r>
    </w:p>
    <w:p>
      <w:pPr>
        <w:pStyle w:val="Heading2"/>
        <w:spacing w:lineRule="auto" w:line="360"/>
        <w:rPr>
          <w:rFonts w:ascii="Arial" w:hAnsi="Arial" w:cs="Arial"/>
        </w:rPr>
      </w:pPr>
      <w:bookmarkStart w:id="5" w:name="_Toc193147341"/>
      <w:r>
        <w:rPr>
          <w:rFonts w:cs="Arial" w:ascii="Arial" w:hAnsi="Arial"/>
        </w:rPr>
        <w:t>Market Entry Strategies: Leveraging Market Knowledge</w:t>
      </w:r>
      <w:bookmarkEnd w:id="5"/>
    </w:p>
    <w:p>
      <w:pPr>
        <w:pStyle w:val="Normal"/>
        <w:spacing w:lineRule="auto" w:line="360"/>
        <w:jc w:val="both"/>
        <w:rPr>
          <w:rFonts w:ascii="Arial" w:hAnsi="Arial" w:cs="Arial"/>
        </w:rPr>
      </w:pPr>
      <w:r>
        <w:rPr>
          <w:rFonts w:cs="Arial" w:ascii="Arial" w:hAnsi="Arial"/>
          <w:color w:val="000000"/>
        </w:rPr>
        <w:t>According to Market Entrance Strategies (Kotler), followers may choose entrance time, means, and size to mitigate risks and maximise effect. Followers may avoid consumer education, regulatory, and infrastructural expenditures when market pioneers join the market. Followers may join the market with customer-centric solutions via pioneer product analysis. M&amp;S created the luxury grocery category before Waitrose came (Dyer and Singh, 2024). Instead of copying Marks &amp; Spencer, Waitrose focused on high-quality, responsibly sourced items, excellent customer service, and ethical supply chain management. Waitrose joined the market at the right time to reduce pioneering risks and serve a rising customer base of health-conscious rich shoppers with premium shopping services. Metro Bank used focused market entrance techniques to establish itself in the retail banking sector, which had established leaders (Eisenmann, 2020). Metro Bank joined the retail banking industry by offering extended hours, in-person services, rapid banking, and pet-friendly facilities to attract clients dissatisfied with traditional banks. Metro entered the market by identifying missing banking service possibilities and reimagining personal banking. It demonstrated that improving customer service can overcome pioneers. Once William Hill and Ladbrokes dominated conventional betting, Sky Bet joined internet betting (Whalen and Han, 2024). Sky Bet's market launch focused on internet and mobile betting, making betting simpler and quicker for tech-savvy younger users. Sky Bet joined the industry at a time when mobile use was growing and became the leading online sports betting provider via smart digital initiatives.</w:t>
      </w:r>
    </w:p>
    <w:p>
      <w:pPr>
        <w:pStyle w:val="Heading2"/>
        <w:spacing w:lineRule="auto" w:line="360"/>
        <w:rPr>
          <w:rFonts w:ascii="Arial" w:hAnsi="Arial" w:cs="Arial"/>
        </w:rPr>
      </w:pPr>
      <w:bookmarkStart w:id="6" w:name="_Toc193147342"/>
      <w:r>
        <w:rPr>
          <w:rFonts w:cs="Arial" w:ascii="Arial" w:hAnsi="Arial"/>
        </w:rPr>
        <w:t>Customer Value Proposition (CVP): Delivering Superior Value</w:t>
      </w:r>
      <w:bookmarkEnd w:id="6"/>
    </w:p>
    <w:p>
      <w:pPr>
        <w:pStyle w:val="Normal"/>
        <w:spacing w:lineRule="auto" w:line="360"/>
        <w:jc w:val="both"/>
        <w:rPr>
          <w:rFonts w:ascii="Arial" w:hAnsi="Arial" w:cs="Arial"/>
          <w:lang w:eastAsia="en-US"/>
        </w:rPr>
      </w:pPr>
      <w:r>
        <w:rPr>
          <w:rFonts w:cs="Arial" w:ascii="Arial" w:hAnsi="Arial"/>
          <w:lang w:eastAsia="en-US"/>
        </w:rPr>
        <w:t>A Customer Value Proposition (CVP) is a clear statement that explains how a product or service solves a customer's problems or improves their situation, delivering specific benefits and highlighting why it's superior to alternatives. It serves as a strategic tool that articulates the unique value a company offers, aiming to persuade potential customers to choose its offerings over competitors'.</w:t>
      </w:r>
    </w:p>
    <w:p>
      <w:pPr>
        <w:pStyle w:val="Normal"/>
        <w:spacing w:lineRule="auto" w:line="360"/>
        <w:jc w:val="both"/>
        <w:rPr>
          <w:rFonts w:ascii="Arial" w:hAnsi="Arial" w:cs="Arial"/>
          <w:lang w:eastAsia="en-US"/>
        </w:rPr>
      </w:pPr>
      <w:r>
        <w:rPr>
          <w:rFonts w:cs="Arial" w:ascii="Arial" w:hAnsi="Arial"/>
          <w:lang w:eastAsia="en-US"/>
        </w:rPr>
      </w:r>
    </w:p>
    <w:p>
      <w:pPr>
        <w:pStyle w:val="Normal"/>
        <w:keepNext w:val="true"/>
        <w:spacing w:lineRule="auto" w:line="360"/>
        <w:jc w:val="center"/>
        <w:rPr>
          <w:rFonts w:ascii="Arial" w:hAnsi="Arial" w:cs="Arial"/>
        </w:rPr>
      </w:pPr>
      <w:r>
        <w:rPr/>
        <w:drawing>
          <wp:inline distT="0" distB="0" distL="0" distR="0">
            <wp:extent cx="4605020" cy="2280920"/>
            <wp:effectExtent l="0" t="0" r="0" b="0"/>
            <wp:docPr id="3"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
                    <pic:cNvPicPr>
                      <a:picLocks noChangeAspect="1" noChangeArrowheads="1"/>
                    </pic:cNvPicPr>
                  </pic:nvPicPr>
                  <pic:blipFill>
                    <a:blip r:embed="rId4"/>
                    <a:stretch>
                      <a:fillRect/>
                    </a:stretch>
                  </pic:blipFill>
                  <pic:spPr bwMode="auto">
                    <a:xfrm>
                      <a:off x="0" y="0"/>
                      <a:ext cx="4605020" cy="2280920"/>
                    </a:xfrm>
                    <a:prstGeom prst="rect">
                      <a:avLst/>
                    </a:prstGeom>
                  </pic:spPr>
                </pic:pic>
              </a:graphicData>
            </a:graphic>
          </wp:inline>
        </w:drawing>
      </w:r>
    </w:p>
    <w:p>
      <w:pPr>
        <w:pStyle w:val="Caption1"/>
        <w:rPr>
          <w:rFonts w:ascii="Arial" w:hAnsi="Arial" w:cs="Arial"/>
        </w:rPr>
      </w:pPr>
      <w:r>
        <w:rPr>
          <w:rFonts w:cs="Arial" w:ascii="Arial" w:hAnsi="Arial"/>
        </w:rPr>
      </w:r>
    </w:p>
    <w:p>
      <w:pPr>
        <w:pStyle w:val="Caption1"/>
        <w:rPr>
          <w:rFonts w:ascii="Arial" w:hAnsi="Arial" w:cs="Arial"/>
        </w:rPr>
      </w:pPr>
      <w:r>
        <w:rPr>
          <w:rFonts w:cs="Arial" w:ascii="Arial" w:hAnsi="Arial"/>
        </w:rPr>
        <w:t xml:space="preserve">Figure </w:t>
      </w:r>
      <w:r>
        <w:rPr>
          <w:rFonts w:cs="Arial" w:ascii="Arial" w:hAnsi="Arial"/>
        </w:rPr>
        <w:fldChar w:fldCharType="begin"/>
      </w:r>
      <w:r>
        <w:rPr>
          <w:rFonts w:cs="Arial" w:ascii="Arial" w:hAnsi="Arial"/>
        </w:rPr>
        <w:instrText> SEQ Figure \* ARABIC </w:instrText>
      </w:r>
      <w:r>
        <w:rPr>
          <w:rFonts w:cs="Arial" w:ascii="Arial" w:hAnsi="Arial"/>
        </w:rPr>
        <w:fldChar w:fldCharType="separate"/>
      </w:r>
      <w:r>
        <w:rPr>
          <w:rFonts w:cs="Arial" w:ascii="Arial" w:hAnsi="Arial"/>
        </w:rPr>
        <w:t>2</w:t>
      </w:r>
      <w:r>
        <w:rPr>
          <w:rFonts w:cs="Arial" w:ascii="Arial" w:hAnsi="Arial"/>
        </w:rPr>
        <w:fldChar w:fldCharType="end"/>
      </w:r>
      <w:r>
        <w:rPr>
          <w:rFonts w:cs="Arial" w:ascii="Arial" w:hAnsi="Arial"/>
          <w:lang w:val="en-US"/>
        </w:rPr>
        <w:t xml:space="preserve">: </w:t>
      </w:r>
      <w:r>
        <w:rPr>
          <w:rFonts w:cs="Arial" w:ascii="Arial" w:hAnsi="Arial"/>
        </w:rPr>
        <w:t>Follower Companies' Value Chain Focus Figure</w:t>
      </w:r>
    </w:p>
    <w:p>
      <w:pPr>
        <w:pStyle w:val="Normal"/>
        <w:spacing w:lineRule="auto" w:line="360"/>
        <w:jc w:val="both"/>
        <w:rPr>
          <w:rFonts w:ascii="Arial" w:hAnsi="Arial" w:cs="Arial"/>
          <w:color w:val="000000"/>
        </w:rPr>
      </w:pPr>
      <w:r>
        <w:rPr>
          <w:rFonts w:cs="Arial" w:ascii="Arial" w:hAnsi="Arial"/>
          <w:color w:val="000000"/>
          <w:lang w:val="en-US"/>
        </w:rPr>
        <w:t>Figure 2</w:t>
      </w:r>
      <w:r>
        <w:rPr>
          <w:rFonts w:cs="Arial" w:ascii="Arial" w:hAnsi="Arial"/>
          <w:color w:val="000000"/>
        </w:rPr>
        <w:t xml:space="preserve"> demonstrates how follower companies arrange their value chains for delivering better value to established markets. A follower company maintains a primary emphasis on customer-depending innovation as well as service customization as well as market adaptation to establish competitive strength. The structured value chain provides followers the ability to solve customer needs successfully.</w:t>
      </w:r>
    </w:p>
    <w:p>
      <w:pPr>
        <w:pStyle w:val="Normal"/>
        <w:spacing w:lineRule="auto" w:line="360"/>
        <w:jc w:val="both"/>
        <w:rPr>
          <w:rFonts w:ascii="Arial" w:hAnsi="Arial" w:cs="Arial"/>
          <w:color w:val="000000"/>
        </w:rPr>
      </w:pPr>
      <w:r>
        <w:rPr>
          <w:rFonts w:cs="Arial" w:ascii="Arial" w:hAnsi="Arial"/>
          <w:color w:val="000000"/>
        </w:rPr>
        <w:t>Organisations should address customer issues and unmet demands using the Customer Value Proposition framework to improve value. Companies who enter the market after pioneers might choose a CVP that fills gaps and avoids their flaws. Waitrose differentiated itself from M&amp;S and other grocery chains with premium quality, ethical sourcing, and excellent customer service. Waitrose's business approach centred on locally produced, ethical, and sustainable goods to attract health-conscious and environmentally conscious clients (Jaworski and Kohli, 2019). Waitrose grew in the luxury grocery industry by attracting loyal consumers with its obvious value promise. Innovative banking customer service helped Metro Bank build its CVP. Traditional banks were criticised for long lines, poor customer service, and rigid transaction procedures, whereas Metro Bank offered speed, accessibility, and individualised service (McNamara, Deephouse and Luce, 2022). The bank offered speedy debit card production and accommodating branch settings to provide consumers with quick banking services. Metro Bank established itself as a challenger bank by meeting consumer needs not fulfilled by traditional banks. Sky Bet's CVP was created using technologies geared for simple usage and entertainment. Sky Bet specialises in app betting, live sports streaming, and event-based promotions, unlike William Hill and Ladbrokes (Lieberman and Montgomery, 2024). Young adventurous clients liked this solution's speed, simplicity, and sports content integration. The Sky Bet sports content collaboration offered a unique way to give clients an integrated betting experience with its attractive bundle of value propositions.</w:t>
      </w:r>
    </w:p>
    <w:p>
      <w:pPr>
        <w:pStyle w:val="Normal"/>
        <w:spacing w:lineRule="auto" w:line="360"/>
        <w:jc w:val="both"/>
        <w:rPr>
          <w:rFonts w:ascii="Arial" w:hAnsi="Arial" w:cs="Arial"/>
          <w:color w:val="000000"/>
        </w:rPr>
      </w:pPr>
      <w:r>
        <w:rPr>
          <w:rFonts w:cs="Arial" w:ascii="Arial" w:hAnsi="Arial"/>
          <w:color w:val="000000"/>
        </w:rPr>
      </w:r>
    </w:p>
    <w:p>
      <w:pPr>
        <w:pStyle w:val="Normal"/>
        <w:spacing w:lineRule="auto" w:line="360"/>
        <w:jc w:val="both"/>
        <w:rPr>
          <w:rFonts w:ascii="Arial" w:hAnsi="Arial" w:cs="Arial"/>
        </w:rPr>
      </w:pPr>
      <w:r>
        <w:rPr>
          <w:rFonts w:cs="Arial" w:ascii="Arial" w:hAnsi="Arial"/>
        </w:rPr>
        <w:t>In conclusion, a well-crafted CVP is essential for businesses to effectively communicate the distinct advantages of their products or services. By clearly outlining the benefits and differentiators, companies can enhance customer engagement, foster loyalty, and achieve a competitive edge in the market.</w:t>
      </w:r>
    </w:p>
    <w:p>
      <w:pPr>
        <w:pStyle w:val="Normal"/>
        <w:spacing w:lineRule="auto" w:line="360"/>
        <w:jc w:val="both"/>
        <w:rPr>
          <w:rFonts w:ascii="Arial" w:hAnsi="Arial" w:cs="Arial"/>
        </w:rPr>
      </w:pPr>
      <w:r>
        <w:rPr>
          <w:rFonts w:cs="Arial" w:ascii="Arial" w:hAnsi="Arial"/>
        </w:rPr>
      </w:r>
    </w:p>
    <w:p>
      <w:pPr>
        <w:pStyle w:val="Heading2"/>
        <w:spacing w:lineRule="auto" w:line="360"/>
        <w:rPr>
          <w:rFonts w:ascii="Arial" w:hAnsi="Arial" w:cs="Arial"/>
        </w:rPr>
      </w:pPr>
      <w:bookmarkStart w:id="7" w:name="_Toc193147343"/>
      <w:r>
        <w:rPr>
          <w:rFonts w:cs="Arial" w:ascii="Arial" w:hAnsi="Arial"/>
        </w:rPr>
        <w:t>Strategic Advantages of Followers</w:t>
      </w:r>
      <w:bookmarkEnd w:id="7"/>
    </w:p>
    <w:p>
      <w:pPr>
        <w:pStyle w:val="Normal"/>
        <w:spacing w:lineRule="auto" w:line="360"/>
        <w:jc w:val="both"/>
        <w:rPr>
          <w:rFonts w:ascii="Arial" w:hAnsi="Arial" w:cs="Arial"/>
        </w:rPr>
      </w:pPr>
      <w:r>
        <w:rPr>
          <w:rFonts w:cs="Arial" w:ascii="Arial" w:hAnsi="Arial"/>
          <w:color w:val="000000"/>
        </w:rPr>
        <w:t>Follower companies maintain strategic agility because they are free from outdated systems that pioneers typically face. Waitrose uses a contemporary supply chain while Metro Bank operates through advanced IT infrastructure and Sky Bet delivers services via mobile-first platforms which demonstrate the organisation's agility. These companies leverage new technology together with customer data to provide rapid reaction capabilities which pioneers fail to accomplish because of outdated models. Followers reduce company risks and improve cost management by joining established business segments.  Followers have more resources to innovate and provide exceptional customer experiences when consumer education expenses and legal issues are eliminated.  Metro Bank, Waitrose, and Sky Bet boost market share and reduce new venture risks as the PLC matures.</w:t>
      </w:r>
    </w:p>
    <w:p>
      <w:pPr>
        <w:pStyle w:val="Heading1"/>
        <w:rPr>
          <w:rFonts w:ascii="Arial" w:hAnsi="Arial" w:cs="Arial"/>
        </w:rPr>
      </w:pPr>
      <w:bookmarkStart w:id="8" w:name="_Toc193147344"/>
      <w:r>
        <w:rPr>
          <w:rFonts w:cs="Arial" w:ascii="Arial" w:hAnsi="Arial"/>
        </w:rPr>
        <w:t>Product Life Cycle (PLC) Strategies in Growth and Maturity Stages</w:t>
      </w:r>
      <w:bookmarkEnd w:id="8"/>
    </w:p>
    <w:p>
      <w:pPr>
        <w:pStyle w:val="Normal"/>
        <w:spacing w:lineRule="auto" w:line="360"/>
        <w:jc w:val="both"/>
        <w:rPr>
          <w:rFonts w:ascii="Arial" w:hAnsi="Arial" w:cs="Arial"/>
          <w:color w:val="000000"/>
        </w:rPr>
      </w:pPr>
      <w:r>
        <w:rPr>
          <w:rFonts w:cs="Arial" w:ascii="Arial" w:hAnsi="Arial"/>
          <w:color w:val="000000"/>
        </w:rPr>
        <w:t>According to the Product Life Cycle model, products and services go through introduction, growth, maturity, and decline (Mittal and Swami, 2020). Businesses that wish to preserve their market position during growth require strategic plans that match their market characteristics and current circumstances. Strategic Group Theory and Customer Value Proposition are used to analyse how pioneer and follower businesses developed throughout PLC expansion and maturity.</w:t>
      </w:r>
    </w:p>
    <w:p>
      <w:pPr>
        <w:pStyle w:val="Normal"/>
        <w:keepNext w:val="true"/>
        <w:spacing w:lineRule="auto" w:line="360"/>
        <w:jc w:val="center"/>
        <w:rPr>
          <w:rFonts w:ascii="Arial" w:hAnsi="Arial" w:cs="Arial"/>
        </w:rPr>
      </w:pPr>
      <w:r>
        <w:rPr/>
        <w:drawing>
          <wp:inline distT="0" distB="0" distL="0" distR="0">
            <wp:extent cx="4134485" cy="2461895"/>
            <wp:effectExtent l="0" t="0" r="0" b="0"/>
            <wp:docPr id="4"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 descr=""/>
                    <pic:cNvPicPr>
                      <a:picLocks noChangeAspect="1" noChangeArrowheads="1"/>
                    </pic:cNvPicPr>
                  </pic:nvPicPr>
                  <pic:blipFill>
                    <a:blip r:embed="rId5"/>
                    <a:stretch>
                      <a:fillRect/>
                    </a:stretch>
                  </pic:blipFill>
                  <pic:spPr bwMode="auto">
                    <a:xfrm>
                      <a:off x="0" y="0"/>
                      <a:ext cx="4134485" cy="2461895"/>
                    </a:xfrm>
                    <a:prstGeom prst="rect">
                      <a:avLst/>
                    </a:prstGeom>
                  </pic:spPr>
                </pic:pic>
              </a:graphicData>
            </a:graphic>
          </wp:inline>
        </w:drawing>
      </w:r>
    </w:p>
    <w:p>
      <w:pPr>
        <w:pStyle w:val="Caption1"/>
        <w:rPr>
          <w:rFonts w:ascii="Arial" w:hAnsi="Arial" w:cs="Arial"/>
          <w:sz w:val="24"/>
        </w:rPr>
      </w:pPr>
      <w:r>
        <w:rPr>
          <w:rFonts w:cs="Arial" w:ascii="Arial" w:hAnsi="Arial"/>
        </w:rPr>
        <w:t xml:space="preserve">Figure </w:t>
      </w:r>
      <w:r>
        <w:rPr>
          <w:rFonts w:cs="Arial" w:ascii="Arial" w:hAnsi="Arial"/>
        </w:rPr>
        <w:fldChar w:fldCharType="begin"/>
      </w:r>
      <w:r>
        <w:rPr>
          <w:rFonts w:cs="Arial" w:ascii="Arial" w:hAnsi="Arial"/>
        </w:rPr>
        <w:instrText> SEQ Figure \* ARABIC </w:instrText>
      </w:r>
      <w:r>
        <w:rPr>
          <w:rFonts w:cs="Arial" w:ascii="Arial" w:hAnsi="Arial"/>
        </w:rPr>
        <w:fldChar w:fldCharType="separate"/>
      </w:r>
      <w:r>
        <w:rPr>
          <w:rFonts w:cs="Arial" w:ascii="Arial" w:hAnsi="Arial"/>
        </w:rPr>
        <w:t>3</w:t>
      </w:r>
      <w:r>
        <w:rPr>
          <w:rFonts w:cs="Arial" w:ascii="Arial" w:hAnsi="Arial"/>
        </w:rPr>
        <w:fldChar w:fldCharType="end"/>
      </w:r>
      <w:r>
        <w:rPr>
          <w:rFonts w:cs="Arial" w:ascii="Arial" w:hAnsi="Arial"/>
          <w:lang w:val="en-US"/>
        </w:rPr>
        <w:t>: Product Life Cycle (PLC) Curve graph with company examples</w:t>
      </w:r>
    </w:p>
    <w:p>
      <w:pPr>
        <w:pStyle w:val="Heading2"/>
        <w:spacing w:lineRule="auto" w:line="360"/>
        <w:rPr>
          <w:rFonts w:ascii="Arial" w:hAnsi="Arial" w:cs="Arial"/>
        </w:rPr>
      </w:pPr>
      <w:bookmarkStart w:id="9" w:name="_Toc193147345"/>
      <w:r>
        <w:rPr>
          <w:rFonts w:cs="Arial" w:ascii="Arial" w:hAnsi="Arial"/>
        </w:rPr>
        <w:t>Growth Stage Strategies: Market Expansion and Value Innovation</w:t>
      </w:r>
      <w:bookmarkEnd w:id="9"/>
    </w:p>
    <w:p>
      <w:pPr>
        <w:pStyle w:val="Normal"/>
        <w:spacing w:lineRule="auto" w:line="360"/>
        <w:jc w:val="both"/>
        <w:rPr>
          <w:rFonts w:ascii="Arial" w:hAnsi="Arial" w:cs="Arial"/>
        </w:rPr>
      </w:pPr>
      <w:r>
        <w:rPr>
          <w:rFonts w:cs="Arial" w:ascii="Arial" w:hAnsi="Arial"/>
          <w:color w:val="000000"/>
        </w:rPr>
        <w:t>Market demand intensifies rapidly while competition becomes stronger in the growth stage causing companies to find unique selling points for market share growth. Early market leaders must extend their products while optimising customer connexions and introducing new solutions to keep their competitive edge. Companies need to redefine how they present value to their customers according to emerging customer requirements. As an ethical pioneer, The Co-operative Group gained its first customers by dedicating itself to fair trade and sustainable practices (Suarez and Oliva, 2022). Co-op implemented a two-part strategy by adding affordable ethical merchandise and developing sustainable packaging solutions to reach more customers when ethical purchasing behaviour entered the mainstream market. The ethical retail group positioning enabled the company to keep its lead position yet market success required constant improvement of its value proposition because ethical competitors entered the retail market. Babcock International adopted growth-stage strategies to expand its defence contracts with governments and establish international operations in its capacity as an early provider of defence and engineering services (Teece, 2023). Babcock needed to boost its defence sector competitiveness by developing both integrated digital solutions and advanced engineering capabilities following increased competition. The modifications at Babcock demonstrate Strategic Group Theory because they allowed the company to remain within its specialised group of defence contractors by providing increased value above basic service levels. Organisations that enter as follower companies during the growth stage need to establish unique value propositions to successfully gain market share (Sakas, Vlachos and Nasiopoulos, 2021). Metro Bank gained success in a bank market expanding with new customers by establishing a seven-day banking service and instant account setups which provided traditional bank customers with what they truly needed. Metro Bank's value-based market entry allowed the institution to succeed during the growth period because it attracted growing segments who needed improved bank service.</w:t>
      </w:r>
    </w:p>
    <w:p>
      <w:pPr>
        <w:pStyle w:val="Heading2"/>
        <w:spacing w:lineRule="auto" w:line="360"/>
        <w:rPr>
          <w:rFonts w:ascii="Arial" w:hAnsi="Arial" w:cs="Arial"/>
        </w:rPr>
      </w:pPr>
      <w:bookmarkStart w:id="10" w:name="_Toc193147346"/>
      <w:r>
        <w:rPr>
          <w:rFonts w:cs="Arial" w:ascii="Arial" w:hAnsi="Arial"/>
        </w:rPr>
        <w:t>Maturity Stage Strategies: Differentiation and Customer Loyalty</w:t>
      </w:r>
      <w:bookmarkEnd w:id="10"/>
    </w:p>
    <w:p>
      <w:pPr>
        <w:pStyle w:val="Normal"/>
        <w:spacing w:lineRule="auto" w:line="360"/>
        <w:jc w:val="both"/>
        <w:rPr>
          <w:rFonts w:ascii="Arial" w:hAnsi="Arial" w:cs="Arial"/>
        </w:rPr>
      </w:pPr>
      <w:r>
        <w:rPr>
          <w:rFonts w:cs="Arial" w:ascii="Arial" w:hAnsi="Arial"/>
          <w:color w:val="000000"/>
        </w:rPr>
        <w:t>Market growth slows down as competition reaches its peak during the maturity stage while firms must retain their customers implement service differentiation strategies and optimise operation efficiency (Kang and Montoya, 2023). Pioneers specifically need to block followers from destroying their market share by offering improved products and by strengthening customer relationships.</w:t>
      </w:r>
    </w:p>
    <w:p>
      <w:pPr>
        <w:pStyle w:val="Normal"/>
        <w:spacing w:lineRule="auto" w:line="360"/>
        <w:jc w:val="both"/>
        <w:rPr>
          <w:rFonts w:ascii="Arial" w:hAnsi="Arial" w:cs="Arial"/>
        </w:rPr>
      </w:pPr>
      <w:r>
        <w:rPr>
          <w:rFonts w:cs="Arial" w:ascii="Arial" w:hAnsi="Arial"/>
          <w:color w:val="000000"/>
        </w:rPr>
        <w:t>Coutts &amp; Co., as a pioneer in private banking, faces growing competition from both traditional and digital wealth management providers. The mature market demands extra competitiveness from Coutts which now enhances customer value by mixing digital wealth management systems with bespoke advisory services and specialised attention to young high-net-worth clients. The company demonstrates Strategic Group Theory through its elite private banking position by delivering customised services that other banks find difficult to duplicate (Buratti, Parola and Satta, 2019). At this stage, followers work toward establishing a robust competitive position alongside customer devotion. Since its entry into the betting world after established competitors Sky Bet achieved fast growth through mobile wagering platforms combined with sports media connections. The mature market requires Sky Bet to deliver customised promotions and real-time betting with enhanced media features which helps lock in current users while safeguarding them from competitor defections (Gabszewicz, Pepall and Thisse, 2019). The alignment between Sky Sports media platforms enables the company to secure its competitive space within the online betting group. Waitrose establishes strategic moves for every stage of maturity within its premium grocery market. Waitrose enhanced its customer value proposition through premium own-label products along with exclusive products and personalised loyalty programmes combined with strong home delivery services for its online operations (Doz, Santos and Williamson, 2023). Waitrose protected itself against market competition by dedicating itself to customer loyalty care and ethical product sourcing. It provides customized shopping experiences so it secured its existing market presence and battled both premium and mainstream retailers.</w:t>
      </w:r>
    </w:p>
    <w:p>
      <w:pPr>
        <w:pStyle w:val="Heading1"/>
        <w:rPr>
          <w:rFonts w:ascii="Arial" w:hAnsi="Arial" w:cs="Arial"/>
        </w:rPr>
      </w:pPr>
      <w:bookmarkStart w:id="11" w:name="_Toc193147347"/>
      <w:r>
        <w:rPr>
          <w:rFonts w:cs="Arial" w:ascii="Arial" w:hAnsi="Arial"/>
        </w:rPr>
        <w:t>Conclusion</w:t>
      </w:r>
      <w:bookmarkEnd w:id="11"/>
    </w:p>
    <w:p>
      <w:pPr>
        <w:pStyle w:val="Normal"/>
        <w:spacing w:lineRule="auto" w:line="360"/>
        <w:jc w:val="both"/>
        <w:rPr>
          <w:rFonts w:ascii="Arial" w:hAnsi="Arial" w:cs="Arial"/>
          <w:color w:val="000000"/>
        </w:rPr>
      </w:pPr>
      <w:r>
        <w:rPr>
          <w:rFonts w:cs="Arial" w:ascii="Arial" w:hAnsi="Arial"/>
          <w:color w:val="000000"/>
        </w:rPr>
        <w:t>Market conditions coupled with customer needs enable the achievement of sustainable competitive advantages for both pioneer and follower companies when their strategies align properly. Pioneers such as Coutts &amp; Co., Through early market entry The Co-operative Group along with Babcock International and the Co-operative Group obtain the ability to define industry rules and build powerful brands that develop customer loyalty networks (Geyskens, Gielens and Dekimpe, 2021). These pioneers who initially benefit from their early market entry need to update their customer value propositions through Market Entry Strategies and Strategic Group Theory since markets continue to transform. Followers like Waitrose together with Metro Bank and Sky Bet prove that late market entry remains potent although they fill market gaps through better value propositions. The success of followers comes through their customer-focused innovation implementations which enable them to challenge established competitors and receive market share development (Hoskisson et al., 2020). Companies according to the Product Life Cycle framework need strategic adjustments in both the growth and maturity stages to maintain competitiveness regardless of their pioneer or follower status. To make a positive impact in the market companies must develop valuable products according to the requirements of the current market. Because success in the market depends on the capacity to produce valuable products rather than first entering the market.</w:t>
      </w:r>
      <w:r>
        <w:br w:type="page"/>
      </w:r>
    </w:p>
    <w:p>
      <w:pPr>
        <w:pStyle w:val="Heading1"/>
        <w:rPr>
          <w:rFonts w:ascii="Arial" w:hAnsi="Arial" w:cs="Arial"/>
        </w:rPr>
      </w:pPr>
      <w:bookmarkStart w:id="12" w:name="_Toc193147348"/>
      <w:r>
        <w:rPr>
          <w:rFonts w:cs="Arial" w:ascii="Arial" w:hAnsi="Arial"/>
        </w:rPr>
        <w:t>Reference</w:t>
      </w:r>
      <w:bookmarkEnd w:id="12"/>
    </w:p>
    <w:p>
      <w:pPr>
        <w:pStyle w:val="Normal"/>
        <w:spacing w:lineRule="auto" w:line="360"/>
        <w:jc w:val="both"/>
        <w:rPr>
          <w:rFonts w:ascii="Arial" w:hAnsi="Arial" w:cs="Arial"/>
        </w:rPr>
      </w:pPr>
      <w:r>
        <w:rPr>
          <w:rFonts w:cs="Arial" w:ascii="Arial" w:hAnsi="Arial"/>
          <w:color w:val="000000"/>
        </w:rPr>
        <w:t xml:space="preserve">Barney, J.B. (2021) 'Firm resources and sustained competitive advantage.' In </w:t>
      </w:r>
      <w:r>
        <w:rPr>
          <w:rFonts w:cs="Arial" w:ascii="Arial" w:hAnsi="Arial"/>
          <w:i/>
          <w:iCs/>
          <w:color w:val="000000"/>
        </w:rPr>
        <w:t>Advances in strategic management</w:t>
      </w:r>
      <w:r>
        <w:rPr>
          <w:rFonts w:cs="Arial" w:ascii="Arial" w:hAnsi="Arial"/>
          <w:color w:val="000000"/>
        </w:rPr>
        <w:t xml:space="preserve">, pp. 203–227. </w:t>
      </w:r>
      <w:hyperlink r:id="rId6">
        <w:r>
          <w:rPr>
            <w:rStyle w:val="InternetLink"/>
            <w:rFonts w:cs="Arial" w:ascii="Arial" w:hAnsi="Arial"/>
            <w:color w:val="1155CC"/>
          </w:rPr>
          <w:t>https://doi.org/10.1016/s0742-3322(00)17018-4</w:t>
        </w:r>
      </w:hyperlink>
    </w:p>
    <w:p>
      <w:pPr>
        <w:pStyle w:val="Normal"/>
        <w:spacing w:lineRule="auto" w:line="360"/>
        <w:jc w:val="both"/>
        <w:rPr>
          <w:rFonts w:ascii="Arial" w:hAnsi="Arial" w:cs="Arial"/>
        </w:rPr>
      </w:pPr>
      <w:r>
        <w:rPr>
          <w:rFonts w:cs="Arial" w:ascii="Arial" w:hAnsi="Arial"/>
          <w:color w:val="000000"/>
        </w:rPr>
        <w:t xml:space="preserve">Buratti, N., Parola, F. and Satta, G. (2019) 'Insights on the adoption of social media marketing in B2B services.' </w:t>
      </w:r>
      <w:r>
        <w:rPr>
          <w:rFonts w:cs="Arial" w:ascii="Arial" w:hAnsi="Arial"/>
          <w:i/>
          <w:iCs/>
          <w:color w:val="000000"/>
        </w:rPr>
        <w:t>The TQM Journal</w:t>
      </w:r>
      <w:r>
        <w:rPr>
          <w:rFonts w:cs="Arial" w:ascii="Arial" w:hAnsi="Arial"/>
          <w:color w:val="000000"/>
        </w:rPr>
        <w:t xml:space="preserve">, 30(5), pp. 490–529. </w:t>
      </w:r>
      <w:hyperlink r:id="rId7">
        <w:r>
          <w:rPr>
            <w:rStyle w:val="InternetLink"/>
            <w:rFonts w:cs="Arial" w:ascii="Arial" w:hAnsi="Arial"/>
            <w:color w:val="1155CC"/>
          </w:rPr>
          <w:t>https://doi.org/10.1108/tqm-11-2017-0136</w:t>
        </w:r>
      </w:hyperlink>
    </w:p>
    <w:p>
      <w:pPr>
        <w:pStyle w:val="Normal"/>
        <w:spacing w:lineRule="auto" w:line="360"/>
        <w:jc w:val="both"/>
        <w:rPr>
          <w:rFonts w:ascii="Arial" w:hAnsi="Arial" w:cs="Arial"/>
        </w:rPr>
      </w:pPr>
      <w:r>
        <w:rPr>
          <w:rFonts w:cs="Arial" w:ascii="Arial" w:hAnsi="Arial"/>
          <w:color w:val="000000"/>
        </w:rPr>
        <w:t xml:space="preserve">Doz, Y., Santos, J. and Williamson, P. (2023) </w:t>
      </w:r>
      <w:r>
        <w:rPr>
          <w:rFonts w:cs="Arial" w:ascii="Arial" w:hAnsi="Arial"/>
          <w:i/>
          <w:iCs/>
          <w:color w:val="000000"/>
        </w:rPr>
        <w:t>From Global to Metanational: How Companies Win in the Knowledge Economy.</w:t>
      </w:r>
      <w:r>
        <w:rPr>
          <w:rFonts w:cs="Arial" w:ascii="Arial" w:hAnsi="Arial"/>
          <w:color w:val="000000"/>
        </w:rPr>
        <w:t xml:space="preserve"> </w:t>
      </w:r>
      <w:hyperlink r:id="rId8">
        <w:r>
          <w:rPr>
            <w:rStyle w:val="InternetLink"/>
            <w:rFonts w:cs="Arial" w:ascii="Arial" w:hAnsi="Arial"/>
            <w:color w:val="1155CC"/>
          </w:rPr>
          <w:t>https://dl.acm.org/citation.cfm?id=560793</w:t>
        </w:r>
      </w:hyperlink>
    </w:p>
    <w:p>
      <w:pPr>
        <w:pStyle w:val="Normal"/>
        <w:spacing w:lineRule="auto" w:line="360"/>
        <w:jc w:val="both"/>
        <w:rPr>
          <w:rFonts w:ascii="Arial" w:hAnsi="Arial" w:cs="Arial"/>
        </w:rPr>
      </w:pPr>
      <w:r>
        <w:rPr>
          <w:rFonts w:cs="Arial" w:ascii="Arial" w:hAnsi="Arial"/>
          <w:color w:val="000000"/>
        </w:rPr>
        <w:t xml:space="preserve">Dyer, J.H. and Singh, H. (2024) 'The Relational View: Cooperative strategy and sources of interorganizational competitive advantage.' </w:t>
      </w:r>
      <w:r>
        <w:rPr>
          <w:rFonts w:cs="Arial" w:ascii="Arial" w:hAnsi="Arial"/>
          <w:i/>
          <w:iCs/>
          <w:color w:val="000000"/>
        </w:rPr>
        <w:t>Academy of Management Review</w:t>
      </w:r>
      <w:r>
        <w:rPr>
          <w:rFonts w:cs="Arial" w:ascii="Arial" w:hAnsi="Arial"/>
          <w:color w:val="000000"/>
        </w:rPr>
        <w:t xml:space="preserve">, 23(4), pp. 660–679. </w:t>
      </w:r>
      <w:hyperlink r:id="rId9">
        <w:r>
          <w:rPr>
            <w:rStyle w:val="InternetLink"/>
            <w:rFonts w:cs="Arial" w:ascii="Arial" w:hAnsi="Arial"/>
            <w:color w:val="1155CC"/>
          </w:rPr>
          <w:t>https://doi.org/10.5465/amr.1998.1255632</w:t>
        </w:r>
      </w:hyperlink>
    </w:p>
    <w:p>
      <w:pPr>
        <w:pStyle w:val="Normal"/>
        <w:spacing w:lineRule="auto" w:line="360"/>
        <w:jc w:val="both"/>
        <w:rPr>
          <w:rFonts w:ascii="Arial" w:hAnsi="Arial" w:cs="Arial"/>
        </w:rPr>
      </w:pPr>
      <w:r>
        <w:rPr>
          <w:rFonts w:cs="Arial" w:ascii="Arial" w:hAnsi="Arial"/>
          <w:color w:val="000000"/>
        </w:rPr>
        <w:t>Eisenmann, T.R. (2020) 'Internet companies’ growth strategies: determinants of investment intensity and long</w:t>
      </w:r>
      <w:r>
        <w:rPr>
          <w:rFonts w:cs="Cambria Math" w:ascii="Cambria Math" w:hAnsi="Cambria Math"/>
          <w:color w:val="000000"/>
        </w:rPr>
        <w:t>‐</w:t>
      </w:r>
      <w:r>
        <w:rPr>
          <w:rFonts w:cs="Arial" w:ascii="Arial" w:hAnsi="Arial"/>
          <w:color w:val="000000"/>
        </w:rPr>
        <w:t xml:space="preserve">term performance.' </w:t>
      </w:r>
      <w:r>
        <w:rPr>
          <w:rFonts w:cs="Arial" w:ascii="Arial" w:hAnsi="Arial"/>
          <w:i/>
          <w:iCs/>
          <w:color w:val="000000"/>
        </w:rPr>
        <w:t>Strategic Management Journal</w:t>
      </w:r>
      <w:r>
        <w:rPr>
          <w:rFonts w:cs="Arial" w:ascii="Arial" w:hAnsi="Arial"/>
          <w:color w:val="000000"/>
        </w:rPr>
        <w:t xml:space="preserve">, 27(12), pp. 1183–1204. </w:t>
      </w:r>
      <w:hyperlink r:id="rId10">
        <w:r>
          <w:rPr>
            <w:rStyle w:val="InternetLink"/>
            <w:rFonts w:cs="Arial" w:ascii="Arial" w:hAnsi="Arial"/>
            <w:color w:val="1155CC"/>
          </w:rPr>
          <w:t>https://doi.org/10.1002/smj.567</w:t>
        </w:r>
      </w:hyperlink>
    </w:p>
    <w:p>
      <w:pPr>
        <w:pStyle w:val="Normal"/>
        <w:spacing w:lineRule="auto" w:line="360"/>
        <w:jc w:val="both"/>
        <w:rPr>
          <w:rFonts w:ascii="Arial" w:hAnsi="Arial" w:cs="Arial"/>
        </w:rPr>
      </w:pPr>
      <w:r>
        <w:rPr>
          <w:rFonts w:cs="Arial" w:ascii="Arial" w:hAnsi="Arial"/>
          <w:color w:val="000000"/>
        </w:rPr>
        <w:t xml:space="preserve">Gabszewicz, J., Pepall, L. and Thisse, J. (2019) 'Sequential Entry with Brand Loyalty Caused by Consumer Learning-by-Using.' </w:t>
      </w:r>
      <w:r>
        <w:rPr>
          <w:rFonts w:cs="Arial" w:ascii="Arial" w:hAnsi="Arial"/>
          <w:i/>
          <w:iCs/>
          <w:color w:val="000000"/>
        </w:rPr>
        <w:t>Journal of Industrial Economics</w:t>
      </w:r>
      <w:r>
        <w:rPr>
          <w:rFonts w:cs="Arial" w:ascii="Arial" w:hAnsi="Arial"/>
          <w:color w:val="000000"/>
        </w:rPr>
        <w:t xml:space="preserve">, 40(4), p. 397. </w:t>
      </w:r>
      <w:hyperlink r:id="rId11">
        <w:r>
          <w:rPr>
            <w:rStyle w:val="InternetLink"/>
            <w:rFonts w:cs="Arial" w:ascii="Arial" w:hAnsi="Arial"/>
            <w:color w:val="1155CC"/>
          </w:rPr>
          <w:t>https://doi.org/10.2307/2950531</w:t>
        </w:r>
      </w:hyperlink>
    </w:p>
    <w:p>
      <w:pPr>
        <w:pStyle w:val="Normal"/>
        <w:spacing w:lineRule="auto" w:line="360"/>
        <w:jc w:val="both"/>
        <w:rPr>
          <w:rFonts w:ascii="Arial" w:hAnsi="Arial" w:cs="Arial"/>
        </w:rPr>
      </w:pPr>
      <w:r>
        <w:rPr>
          <w:rFonts w:cs="Arial" w:ascii="Arial" w:hAnsi="Arial"/>
          <w:color w:val="000000"/>
        </w:rPr>
        <w:t xml:space="preserve">Geyskens, I., Gielens, K. and Dekimpe, M.G. (2021) 'The market valuation of internet channel additions.' </w:t>
      </w:r>
      <w:r>
        <w:rPr>
          <w:rFonts w:cs="Arial" w:ascii="Arial" w:hAnsi="Arial"/>
          <w:i/>
          <w:iCs/>
          <w:color w:val="000000"/>
        </w:rPr>
        <w:t>Journal of Marketing</w:t>
      </w:r>
      <w:r>
        <w:rPr>
          <w:rFonts w:cs="Arial" w:ascii="Arial" w:hAnsi="Arial"/>
          <w:color w:val="000000"/>
        </w:rPr>
        <w:t xml:space="preserve">, 66(2), pp. 102–119. </w:t>
      </w:r>
      <w:hyperlink r:id="rId12">
        <w:r>
          <w:rPr>
            <w:rStyle w:val="InternetLink"/>
            <w:rFonts w:cs="Arial" w:ascii="Arial" w:hAnsi="Arial"/>
            <w:color w:val="1155CC"/>
          </w:rPr>
          <w:t>https://doi.org/10.1509/jmkg.66.2.102.18478</w:t>
        </w:r>
      </w:hyperlink>
    </w:p>
    <w:p>
      <w:pPr>
        <w:pStyle w:val="Normal"/>
        <w:spacing w:lineRule="auto" w:line="360"/>
        <w:jc w:val="both"/>
        <w:rPr>
          <w:rFonts w:ascii="Arial" w:hAnsi="Arial" w:cs="Arial"/>
        </w:rPr>
      </w:pPr>
      <w:r>
        <w:rPr>
          <w:rFonts w:cs="Arial" w:ascii="Arial" w:hAnsi="Arial"/>
          <w:color w:val="000000"/>
        </w:rPr>
        <w:t xml:space="preserve">Gimeno, J. and Woo, C.Y. (2023) 'Hypercompetition in a multimarket environment: The role of strategic similarity and multimarket contact in Competitive De-Escalation.' </w:t>
      </w:r>
      <w:r>
        <w:rPr>
          <w:rFonts w:cs="Arial" w:ascii="Arial" w:hAnsi="Arial"/>
          <w:i/>
          <w:iCs/>
          <w:color w:val="000000"/>
        </w:rPr>
        <w:t>Organization Science</w:t>
      </w:r>
      <w:r>
        <w:rPr>
          <w:rFonts w:cs="Arial" w:ascii="Arial" w:hAnsi="Arial"/>
          <w:color w:val="000000"/>
        </w:rPr>
        <w:t xml:space="preserve">, 7(3), pp. 322–341. </w:t>
      </w:r>
      <w:hyperlink r:id="rId13">
        <w:r>
          <w:rPr>
            <w:rStyle w:val="InternetLink"/>
            <w:rFonts w:cs="Arial" w:ascii="Arial" w:hAnsi="Arial"/>
            <w:color w:val="1155CC"/>
          </w:rPr>
          <w:t>https://doi.org/10.1287/orsc.7.3.322</w:t>
        </w:r>
      </w:hyperlink>
    </w:p>
    <w:p>
      <w:pPr>
        <w:pStyle w:val="Normal"/>
        <w:spacing w:lineRule="auto" w:line="360"/>
        <w:jc w:val="both"/>
        <w:rPr>
          <w:rFonts w:ascii="Arial" w:hAnsi="Arial" w:cs="Arial"/>
        </w:rPr>
      </w:pPr>
      <w:r>
        <w:rPr>
          <w:rFonts w:cs="Arial" w:ascii="Arial" w:hAnsi="Arial"/>
          <w:color w:val="000000"/>
        </w:rPr>
        <w:t xml:space="preserve">Hart, S.L. (2024) 'A Natural-Resource-Based view of the firm.' </w:t>
      </w:r>
      <w:r>
        <w:rPr>
          <w:rFonts w:cs="Arial" w:ascii="Arial" w:hAnsi="Arial"/>
          <w:i/>
          <w:iCs/>
          <w:color w:val="000000"/>
        </w:rPr>
        <w:t>Academy of Management Review</w:t>
      </w:r>
      <w:r>
        <w:rPr>
          <w:rFonts w:cs="Arial" w:ascii="Arial" w:hAnsi="Arial"/>
          <w:color w:val="000000"/>
        </w:rPr>
        <w:t xml:space="preserve">, 20(4), pp. 986–1014. </w:t>
      </w:r>
      <w:hyperlink r:id="rId14">
        <w:r>
          <w:rPr>
            <w:rStyle w:val="InternetLink"/>
            <w:rFonts w:cs="Arial" w:ascii="Arial" w:hAnsi="Arial"/>
            <w:color w:val="1155CC"/>
          </w:rPr>
          <w:t>https://doi.org/10.5465/amr.1995.9512280033</w:t>
        </w:r>
      </w:hyperlink>
    </w:p>
    <w:p>
      <w:pPr>
        <w:pStyle w:val="Normal"/>
        <w:spacing w:lineRule="auto" w:line="360"/>
        <w:jc w:val="both"/>
        <w:rPr>
          <w:rFonts w:ascii="Arial" w:hAnsi="Arial" w:cs="Arial"/>
        </w:rPr>
      </w:pPr>
      <w:r>
        <w:rPr>
          <w:rFonts w:cs="Arial" w:ascii="Arial" w:hAnsi="Arial"/>
          <w:color w:val="000000"/>
        </w:rPr>
        <w:t xml:space="preserve">Hitt, M.A. (2022) </w:t>
      </w:r>
      <w:r>
        <w:rPr>
          <w:rFonts w:cs="Arial" w:ascii="Arial" w:hAnsi="Arial"/>
          <w:i/>
          <w:iCs/>
          <w:color w:val="000000"/>
        </w:rPr>
        <w:t>Dynamic strategic resources: development, diffusion and integration.</w:t>
      </w:r>
      <w:r>
        <w:rPr>
          <w:rFonts w:cs="Arial" w:ascii="Arial" w:hAnsi="Arial"/>
          <w:color w:val="000000"/>
        </w:rPr>
        <w:t xml:space="preserve"> In </w:t>
      </w:r>
      <w:r>
        <w:rPr>
          <w:rFonts w:cs="Arial" w:ascii="Arial" w:hAnsi="Arial"/>
          <w:i/>
          <w:iCs/>
          <w:color w:val="000000"/>
        </w:rPr>
        <w:t>Wiley eBooks</w:t>
      </w:r>
      <w:r>
        <w:rPr>
          <w:rFonts w:cs="Arial" w:ascii="Arial" w:hAnsi="Arial"/>
          <w:color w:val="000000"/>
        </w:rPr>
        <w:t xml:space="preserve"> (Issue 1). </w:t>
      </w:r>
      <w:hyperlink r:id="rId15">
        <w:r>
          <w:rPr>
            <w:rStyle w:val="InternetLink"/>
            <w:rFonts w:cs="Arial" w:ascii="Arial" w:hAnsi="Arial"/>
            <w:color w:val="1155CC"/>
          </w:rPr>
          <w:t>http://ci.nii.ac.jp/ncid/BA44716160</w:t>
        </w:r>
      </w:hyperlink>
    </w:p>
    <w:p>
      <w:pPr>
        <w:pStyle w:val="Normal"/>
        <w:spacing w:lineRule="auto" w:line="360"/>
        <w:jc w:val="both"/>
        <w:rPr>
          <w:rFonts w:ascii="Arial" w:hAnsi="Arial" w:cs="Arial"/>
        </w:rPr>
      </w:pPr>
      <w:r>
        <w:rPr>
          <w:rFonts w:cs="Arial" w:ascii="Arial" w:hAnsi="Arial"/>
          <w:color w:val="000000"/>
        </w:rPr>
        <w:t xml:space="preserve">Hoskisson, R.E., Hitt, M.A., Wan, W.P. and Yiu, D. (2020) 'Theory and research in strategic management: Swings of a pendulum.' </w:t>
      </w:r>
      <w:r>
        <w:rPr>
          <w:rFonts w:cs="Arial" w:ascii="Arial" w:hAnsi="Arial"/>
          <w:i/>
          <w:iCs/>
          <w:color w:val="000000"/>
        </w:rPr>
        <w:t>Journal of Management</w:t>
      </w:r>
      <w:r>
        <w:rPr>
          <w:rFonts w:cs="Arial" w:ascii="Arial" w:hAnsi="Arial"/>
          <w:color w:val="000000"/>
        </w:rPr>
        <w:t xml:space="preserve">, 25(3), pp. 417–456. </w:t>
      </w:r>
      <w:hyperlink r:id="rId16">
        <w:r>
          <w:rPr>
            <w:rStyle w:val="InternetLink"/>
            <w:rFonts w:cs="Arial" w:ascii="Arial" w:hAnsi="Arial"/>
            <w:color w:val="1155CC"/>
          </w:rPr>
          <w:t>https://doi.org/10.1177/014920639902500307</w:t>
        </w:r>
      </w:hyperlink>
    </w:p>
    <w:p>
      <w:pPr>
        <w:pStyle w:val="Normal"/>
        <w:spacing w:lineRule="auto" w:line="360"/>
        <w:jc w:val="both"/>
        <w:rPr>
          <w:rFonts w:ascii="Arial" w:hAnsi="Arial" w:cs="Arial"/>
        </w:rPr>
      </w:pPr>
      <w:r>
        <w:rPr>
          <w:rFonts w:cs="Arial" w:ascii="Arial" w:hAnsi="Arial"/>
          <w:color w:val="000000"/>
        </w:rPr>
        <w:t xml:space="preserve">Jaworski, B.J. and Kohli, A.K. (2019) 'Market orientation: Antecedents and consequences.' </w:t>
      </w:r>
      <w:r>
        <w:rPr>
          <w:rFonts w:cs="Arial" w:ascii="Arial" w:hAnsi="Arial"/>
          <w:i/>
          <w:iCs/>
          <w:color w:val="000000"/>
        </w:rPr>
        <w:t>Journal of Marketing</w:t>
      </w:r>
      <w:r>
        <w:rPr>
          <w:rFonts w:cs="Arial" w:ascii="Arial" w:hAnsi="Arial"/>
          <w:color w:val="000000"/>
        </w:rPr>
        <w:t xml:space="preserve">, 57(3), p. 53. </w:t>
      </w:r>
      <w:hyperlink r:id="rId17">
        <w:r>
          <w:rPr>
            <w:rStyle w:val="InternetLink"/>
            <w:rFonts w:cs="Arial" w:ascii="Arial" w:hAnsi="Arial"/>
            <w:color w:val="1155CC"/>
          </w:rPr>
          <w:t>https://doi.org/10.2307/1251854</w:t>
        </w:r>
      </w:hyperlink>
    </w:p>
    <w:p>
      <w:pPr>
        <w:pStyle w:val="Normal"/>
        <w:spacing w:lineRule="auto" w:line="360"/>
        <w:jc w:val="both"/>
        <w:rPr>
          <w:rFonts w:ascii="Arial" w:hAnsi="Arial" w:cs="Arial"/>
        </w:rPr>
      </w:pPr>
      <w:r>
        <w:rPr>
          <w:rFonts w:cs="Arial" w:ascii="Arial" w:hAnsi="Arial"/>
          <w:color w:val="000000"/>
        </w:rPr>
        <w:t xml:space="preserve">Kang, W. and Montoya, M. (2023) 'The impact of product portfolio strategy on financial performance: the roles of product development and market entry decisions.' </w:t>
      </w:r>
      <w:r>
        <w:rPr>
          <w:rFonts w:cs="Arial" w:ascii="Arial" w:hAnsi="Arial"/>
          <w:i/>
          <w:iCs/>
          <w:color w:val="000000"/>
        </w:rPr>
        <w:t>Journal of Product Innovation Management</w:t>
      </w:r>
      <w:r>
        <w:rPr>
          <w:rFonts w:cs="Arial" w:ascii="Arial" w:hAnsi="Arial"/>
          <w:color w:val="000000"/>
        </w:rPr>
        <w:t xml:space="preserve">, 31(3), pp. 516–534. </w:t>
      </w:r>
      <w:hyperlink r:id="rId18">
        <w:r>
          <w:rPr>
            <w:rStyle w:val="InternetLink"/>
            <w:rFonts w:cs="Arial" w:ascii="Arial" w:hAnsi="Arial"/>
            <w:color w:val="1155CC"/>
          </w:rPr>
          <w:t>https://doi.org/10.1111/jpim.12111</w:t>
        </w:r>
      </w:hyperlink>
    </w:p>
    <w:p>
      <w:pPr>
        <w:pStyle w:val="Normal"/>
        <w:spacing w:lineRule="auto" w:line="360"/>
        <w:jc w:val="both"/>
        <w:rPr>
          <w:rFonts w:ascii="Arial" w:hAnsi="Arial" w:cs="Arial"/>
        </w:rPr>
      </w:pPr>
      <w:r>
        <w:rPr>
          <w:rFonts w:cs="Arial" w:ascii="Arial" w:hAnsi="Arial"/>
          <w:color w:val="000000"/>
        </w:rPr>
        <w:t xml:space="preserve">Lieberman, M.B. and Montgomery, D.B. (2024) 'First-mover advantages.' </w:t>
      </w:r>
      <w:r>
        <w:rPr>
          <w:rFonts w:cs="Arial" w:ascii="Arial" w:hAnsi="Arial"/>
          <w:i/>
          <w:iCs/>
          <w:color w:val="000000"/>
        </w:rPr>
        <w:t>Strategic Management Journal</w:t>
      </w:r>
      <w:r>
        <w:rPr>
          <w:rFonts w:cs="Arial" w:ascii="Arial" w:hAnsi="Arial"/>
          <w:color w:val="000000"/>
        </w:rPr>
        <w:t xml:space="preserve">, 9(S1), pp. 41–58. </w:t>
      </w:r>
      <w:hyperlink r:id="rId19">
        <w:r>
          <w:rPr>
            <w:rStyle w:val="InternetLink"/>
            <w:rFonts w:cs="Arial" w:ascii="Arial" w:hAnsi="Arial"/>
            <w:color w:val="1155CC"/>
          </w:rPr>
          <w:t>https://doi.org/10.1002/smj.4250090706</w:t>
        </w:r>
      </w:hyperlink>
    </w:p>
    <w:p>
      <w:pPr>
        <w:pStyle w:val="Normal"/>
        <w:spacing w:lineRule="auto" w:line="360"/>
        <w:jc w:val="both"/>
        <w:rPr>
          <w:rFonts w:ascii="Arial" w:hAnsi="Arial" w:cs="Arial"/>
        </w:rPr>
      </w:pPr>
      <w:r>
        <w:rPr>
          <w:rFonts w:cs="Arial" w:ascii="Arial" w:hAnsi="Arial"/>
          <w:color w:val="000000"/>
        </w:rPr>
        <w:t xml:space="preserve">McNamara, G., Deephouse, D.L. and Luce, R.A. (2022) 'Competitive positioning within and across a strategic group structure: the performance of core, secondary, and solitary firms.' </w:t>
      </w:r>
      <w:r>
        <w:rPr>
          <w:rFonts w:cs="Arial" w:ascii="Arial" w:hAnsi="Arial"/>
          <w:i/>
          <w:iCs/>
          <w:color w:val="000000"/>
        </w:rPr>
        <w:t>Strategic Management Journal</w:t>
      </w:r>
      <w:r>
        <w:rPr>
          <w:rFonts w:cs="Arial" w:ascii="Arial" w:hAnsi="Arial"/>
          <w:color w:val="000000"/>
        </w:rPr>
        <w:t xml:space="preserve">, 24(2), pp. 161–181. </w:t>
      </w:r>
      <w:hyperlink r:id="rId20">
        <w:r>
          <w:rPr>
            <w:rStyle w:val="InternetLink"/>
            <w:rFonts w:cs="Arial" w:ascii="Arial" w:hAnsi="Arial"/>
            <w:color w:val="1155CC"/>
          </w:rPr>
          <w:t>https://doi.org/10.1002/smj.289</w:t>
        </w:r>
      </w:hyperlink>
    </w:p>
    <w:p>
      <w:pPr>
        <w:pStyle w:val="Normal"/>
        <w:spacing w:lineRule="auto" w:line="360"/>
        <w:jc w:val="both"/>
        <w:rPr>
          <w:rFonts w:ascii="Arial" w:hAnsi="Arial" w:cs="Arial"/>
        </w:rPr>
      </w:pPr>
      <w:r>
        <w:rPr>
          <w:rFonts w:cs="Arial" w:ascii="Arial" w:hAnsi="Arial"/>
          <w:color w:val="000000"/>
        </w:rPr>
        <w:t xml:space="preserve">Mittal, S. and Swami, S. (2020) 'What factors influence pioneering advantage of companies?' </w:t>
      </w:r>
      <w:r>
        <w:rPr>
          <w:rFonts w:cs="Arial" w:ascii="Arial" w:hAnsi="Arial"/>
          <w:i/>
          <w:iCs/>
          <w:color w:val="000000"/>
        </w:rPr>
        <w:t>Vikalpa: The Journal for Decision Makers</w:t>
      </w:r>
      <w:r>
        <w:rPr>
          <w:rFonts w:cs="Arial" w:ascii="Arial" w:hAnsi="Arial"/>
          <w:color w:val="000000"/>
        </w:rPr>
        <w:t xml:space="preserve">, 29(3), pp. 15–34. </w:t>
      </w:r>
      <w:hyperlink r:id="rId21">
        <w:r>
          <w:rPr>
            <w:rStyle w:val="InternetLink"/>
            <w:rFonts w:cs="Arial" w:ascii="Arial" w:hAnsi="Arial"/>
            <w:color w:val="1155CC"/>
          </w:rPr>
          <w:t>https://doi.org/10.1177/0256090920040302</w:t>
        </w:r>
      </w:hyperlink>
    </w:p>
    <w:p>
      <w:pPr>
        <w:pStyle w:val="Normal"/>
        <w:spacing w:lineRule="auto" w:line="360"/>
        <w:jc w:val="both"/>
        <w:rPr>
          <w:rFonts w:ascii="Arial" w:hAnsi="Arial" w:cs="Arial"/>
        </w:rPr>
      </w:pPr>
      <w:r>
        <w:rPr>
          <w:rFonts w:cs="Arial" w:ascii="Arial" w:hAnsi="Arial"/>
          <w:color w:val="000000"/>
        </w:rPr>
        <w:t xml:space="preserve">Podsakoff, P.M., MacKenzie, S.B., Moorman, R.H. and Fetter, R. (2019) 'Transformational leader behaviors and their effects on followers’ trust in leader, satisfaction, and organizational citizenship behaviors.' </w:t>
      </w:r>
      <w:r>
        <w:rPr>
          <w:rFonts w:cs="Arial" w:ascii="Arial" w:hAnsi="Arial"/>
          <w:i/>
          <w:iCs/>
          <w:color w:val="000000"/>
        </w:rPr>
        <w:t>The Leadership Quarterly</w:t>
      </w:r>
      <w:r>
        <w:rPr>
          <w:rFonts w:cs="Arial" w:ascii="Arial" w:hAnsi="Arial"/>
          <w:color w:val="000000"/>
        </w:rPr>
        <w:t xml:space="preserve">, 1(2), pp. 107–142. </w:t>
      </w:r>
      <w:hyperlink r:id="rId22">
        <w:r>
          <w:rPr>
            <w:rStyle w:val="InternetLink"/>
            <w:rFonts w:cs="Arial" w:ascii="Arial" w:hAnsi="Arial"/>
            <w:color w:val="1155CC"/>
          </w:rPr>
          <w:t>https://doi.org/10.1016/1048-9843(90)90009-7</w:t>
        </w:r>
      </w:hyperlink>
    </w:p>
    <w:p>
      <w:pPr>
        <w:pStyle w:val="Normal"/>
        <w:spacing w:lineRule="auto" w:line="360"/>
        <w:jc w:val="both"/>
        <w:rPr>
          <w:rFonts w:ascii="Arial" w:hAnsi="Arial" w:cs="Arial"/>
        </w:rPr>
      </w:pPr>
      <w:r>
        <w:rPr>
          <w:rFonts w:cs="Arial" w:ascii="Arial" w:hAnsi="Arial"/>
          <w:color w:val="000000"/>
        </w:rPr>
        <w:t xml:space="preserve">Sakas, D., Vlachos, D. and Nasiopoulos, D. (2021) 'Modelling strategic management for the development of competitive advantage, based on technology.' </w:t>
      </w:r>
      <w:r>
        <w:rPr>
          <w:rFonts w:cs="Arial" w:ascii="Arial" w:hAnsi="Arial"/>
          <w:i/>
          <w:iCs/>
          <w:color w:val="000000"/>
        </w:rPr>
        <w:t>Journal of Systems and Information Technology</w:t>
      </w:r>
      <w:r>
        <w:rPr>
          <w:rFonts w:cs="Arial" w:ascii="Arial" w:hAnsi="Arial"/>
          <w:color w:val="000000"/>
        </w:rPr>
        <w:t xml:space="preserve">, 16(3), pp. 187–209. </w:t>
      </w:r>
      <w:hyperlink r:id="rId23">
        <w:r>
          <w:rPr>
            <w:rStyle w:val="InternetLink"/>
            <w:rFonts w:cs="Arial" w:ascii="Arial" w:hAnsi="Arial"/>
            <w:color w:val="1155CC"/>
          </w:rPr>
          <w:t>https://doi.org/10.1108/jsit-01-2014-0005</w:t>
        </w:r>
      </w:hyperlink>
    </w:p>
    <w:p>
      <w:pPr>
        <w:pStyle w:val="Normal"/>
        <w:spacing w:lineRule="auto" w:line="360"/>
        <w:jc w:val="both"/>
        <w:rPr>
          <w:rFonts w:ascii="Arial" w:hAnsi="Arial" w:cs="Arial"/>
        </w:rPr>
      </w:pPr>
      <w:r>
        <w:rPr>
          <w:rFonts w:cs="Arial" w:ascii="Arial" w:hAnsi="Arial"/>
          <w:color w:val="000000"/>
        </w:rPr>
        <w:t xml:space="preserve">Suarez, F.F. and Oliva, R. (2022) 'Environmental change and organizational transformation.' </w:t>
      </w:r>
      <w:r>
        <w:rPr>
          <w:rFonts w:cs="Arial" w:ascii="Arial" w:hAnsi="Arial"/>
          <w:i/>
          <w:iCs/>
          <w:color w:val="000000"/>
        </w:rPr>
        <w:t>SSRN Electronic Journal.</w:t>
      </w:r>
      <w:hyperlink r:id="rId24">
        <w:r>
          <w:rPr>
            <w:rStyle w:val="InternetLink"/>
            <w:rFonts w:cs="Arial" w:ascii="Arial" w:hAnsi="Arial"/>
            <w:color w:val="1155CC"/>
          </w:rPr>
          <w:t>https://papers.ssrn.com/sol3/Delivery.cfm/SSRN_ID2363327_code2162570.pdf?abstractid=2363327&amp;mirid=1&amp;type=2</w:t>
        </w:r>
      </w:hyperlink>
    </w:p>
    <w:p>
      <w:pPr>
        <w:pStyle w:val="Normal"/>
        <w:spacing w:lineRule="auto" w:line="360"/>
        <w:jc w:val="both"/>
        <w:rPr>
          <w:rFonts w:ascii="Arial" w:hAnsi="Arial" w:cs="Arial"/>
        </w:rPr>
      </w:pPr>
      <w:r>
        <w:rPr>
          <w:rFonts w:cs="Arial" w:ascii="Arial" w:hAnsi="Arial"/>
          <w:color w:val="000000"/>
        </w:rPr>
        <w:t xml:space="preserve">Teece, D.J. (2023) 'Dynamic Capabilities: Routines versus Entrepreneurial Action.' </w:t>
      </w:r>
      <w:r>
        <w:rPr>
          <w:rFonts w:cs="Arial" w:ascii="Arial" w:hAnsi="Arial"/>
          <w:i/>
          <w:iCs/>
          <w:color w:val="000000"/>
        </w:rPr>
        <w:t>Journal of Management Studies</w:t>
      </w:r>
      <w:r>
        <w:rPr>
          <w:rFonts w:cs="Arial" w:ascii="Arial" w:hAnsi="Arial"/>
          <w:color w:val="000000"/>
        </w:rPr>
        <w:t xml:space="preserve">, 49(8), pp. 1395–1401. </w:t>
      </w:r>
      <w:hyperlink r:id="rId25">
        <w:r>
          <w:rPr>
            <w:rStyle w:val="InternetLink"/>
            <w:rFonts w:cs="Arial" w:ascii="Arial" w:hAnsi="Arial"/>
            <w:color w:val="1155CC"/>
          </w:rPr>
          <w:t>https://doi.org/10.1111/j.1467-6486.2012.01080.x</w:t>
        </w:r>
      </w:hyperlink>
    </w:p>
    <w:p>
      <w:pPr>
        <w:pStyle w:val="Normal"/>
        <w:spacing w:lineRule="auto" w:line="360"/>
        <w:jc w:val="both"/>
        <w:rPr/>
      </w:pPr>
      <w:r>
        <w:rPr>
          <w:rFonts w:cs="Arial" w:ascii="Arial" w:hAnsi="Arial"/>
          <w:color w:val="000000"/>
        </w:rPr>
        <w:t xml:space="preserve">Whalen, E.A. and Han, J. (2024) 'The Innovative Competitive Advantage: a case study of two pioneering companies.' </w:t>
      </w:r>
      <w:r>
        <w:rPr>
          <w:rFonts w:cs="Arial" w:ascii="Arial" w:hAnsi="Arial"/>
          <w:i/>
          <w:iCs/>
          <w:color w:val="000000"/>
        </w:rPr>
        <w:t>Journal of Hospitality &amp; Tourism Cases</w:t>
      </w:r>
      <w:r>
        <w:rPr>
          <w:rFonts w:cs="Arial" w:ascii="Arial" w:hAnsi="Arial"/>
          <w:color w:val="000000"/>
        </w:rPr>
        <w:t xml:space="preserve">, 6(1), pp. 70–76. </w:t>
      </w:r>
      <w:hyperlink r:id="rId26">
        <w:r>
          <w:rPr>
            <w:rStyle w:val="InternetLink"/>
            <w:rFonts w:cs="Arial" w:ascii="Arial" w:hAnsi="Arial"/>
            <w:color w:val="1155CC"/>
          </w:rPr>
          <w:t>https://doi.org/10.1177/216499871700600108</w:t>
        </w:r>
      </w:hyperlink>
    </w:p>
    <w:sectPr>
      <w:footerReference w:type="default" r:id="rId27"/>
      <w:type w:val="nextPage"/>
      <w:pgSz w:w="11906" w:h="16838"/>
      <w:pgMar w:left="1440" w:right="1440" w:header="0" w:top="1440" w:footer="708"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Segoe UI">
    <w:charset w:val="00"/>
    <w:family w:val="roman"/>
    <w:pitch w:val="variable"/>
  </w:font>
  <w:font w:name="Arial">
    <w:charset w:val="00"/>
    <w:family w:val="roman"/>
    <w:pitch w:val="variable"/>
  </w:font>
  <w:font w:name="Cambria Math">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108054046"/>
    </w:sdtPr>
    <w:sdtContent>
      <w:p>
        <w:pPr>
          <w:pStyle w:val="Footer"/>
          <w:jc w:val="right"/>
          <w:rPr/>
        </w:pPr>
        <w:r>
          <w:rPr/>
          <w:fldChar w:fldCharType="begin"/>
        </w:r>
        <w:r>
          <w:rPr/>
          <w:instrText> PAGE </w:instrText>
        </w:r>
        <w:r>
          <w:rPr/>
          <w:fldChar w:fldCharType="separate"/>
        </w:r>
        <w:r>
          <w:rPr/>
          <w:t>14</w:t>
        </w:r>
        <w:r>
          <w:rPr/>
          <w:fldChar w:fldCharType="end"/>
        </w:r>
      </w:p>
    </w:sdtContent>
  </w:sdt>
  <w:p>
    <w:pPr>
      <w:pStyle w:val="Footer"/>
      <w:rPr/>
    </w:pPr>
    <w:r>
      <w:rPr/>
    </w:r>
  </w:p>
</w:ftr>
</file>

<file path=word/settings.xml><?xml version="1.0" encoding="utf-8"?>
<w:settings xmlns:w="http://schemas.openxmlformats.org/wordprocessingml/2006/main">
  <w:zoom w:percent="13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 w:bidi="bn-IN"/>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Vrinda" w:asciiTheme="minorHAnsi" w:cstheme="minorBidi" w:eastAsiaTheme="minorHAnsi" w:hAnsiTheme="minorHAnsi"/>
        <w:szCs w:val="28"/>
        <w:lang w:val="en-GB" w:eastAsia="en-US" w:bidi="bn-IN"/>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4268d"/>
    <w:pPr>
      <w:widowControl/>
      <w:bidi w:val="0"/>
      <w:spacing w:lineRule="auto" w:line="240" w:before="0" w:after="0"/>
      <w:jc w:val="left"/>
    </w:pPr>
    <w:rPr>
      <w:rFonts w:ascii="Times New Roman" w:hAnsi="Times New Roman" w:eastAsia="Times New Roman" w:cs="Times New Roman"/>
      <w:color w:val="auto"/>
      <w:kern w:val="0"/>
      <w:sz w:val="24"/>
      <w:szCs w:val="24"/>
      <w:lang w:val="en-BD" w:eastAsia="en-GB" w:bidi="bn-IN"/>
    </w:rPr>
  </w:style>
  <w:style w:type="paragraph" w:styleId="Heading1">
    <w:name w:val="Heading 1"/>
    <w:basedOn w:val="Normal"/>
    <w:next w:val="Normal"/>
    <w:link w:val="Heading1Char"/>
    <w:autoRedefine/>
    <w:uiPriority w:val="9"/>
    <w:qFormat/>
    <w:rsid w:val="00b54725"/>
    <w:pPr>
      <w:keepNext w:val="true"/>
      <w:keepLines/>
      <w:spacing w:lineRule="auto" w:line="360" w:before="240" w:after="0"/>
      <w:jc w:val="both"/>
      <w:outlineLvl w:val="0"/>
    </w:pPr>
    <w:rPr>
      <w:rFonts w:cs="Vrinda" w:cstheme="majorBidi"/>
      <w:b/>
      <w:sz w:val="32"/>
      <w:szCs w:val="40"/>
      <w:lang w:val="en-US" w:eastAsia="en-US"/>
    </w:rPr>
  </w:style>
  <w:style w:type="paragraph" w:styleId="Heading2">
    <w:name w:val="Heading 2"/>
    <w:basedOn w:val="Normal"/>
    <w:next w:val="Normal"/>
    <w:link w:val="Heading2Char"/>
    <w:uiPriority w:val="9"/>
    <w:unhideWhenUsed/>
    <w:qFormat/>
    <w:rsid w:val="00365fc1"/>
    <w:pPr>
      <w:keepNext w:val="true"/>
      <w:keepLines/>
      <w:spacing w:lineRule="auto" w:line="480" w:before="40" w:after="0"/>
      <w:jc w:val="both"/>
      <w:outlineLvl w:val="1"/>
    </w:pPr>
    <w:rPr>
      <w:rFonts w:eastAsia="" w:cs="Vrinda" w:cstheme="majorBidi" w:eastAsiaTheme="majorEastAsia"/>
      <w:b/>
      <w:sz w:val="26"/>
      <w:szCs w:val="33"/>
      <w:lang w:eastAsia="en-US"/>
    </w:rPr>
  </w:style>
  <w:style w:type="paragraph" w:styleId="Heading3">
    <w:name w:val="Heading 3"/>
    <w:basedOn w:val="Normal"/>
    <w:next w:val="Normal"/>
    <w:link w:val="Heading3Char"/>
    <w:autoRedefine/>
    <w:uiPriority w:val="9"/>
    <w:unhideWhenUsed/>
    <w:qFormat/>
    <w:rsid w:val="00365fc1"/>
    <w:pPr>
      <w:keepNext w:val="true"/>
      <w:keepLines/>
      <w:spacing w:lineRule="auto" w:line="480" w:before="40" w:after="0"/>
      <w:jc w:val="both"/>
      <w:outlineLvl w:val="2"/>
    </w:pPr>
    <w:rPr>
      <w:rFonts w:eastAsia="" w:cs="Vrinda" w:cstheme="majorBidi" w:eastAsiaTheme="majorEastAsia"/>
      <w:b/>
      <w:szCs w:val="30"/>
      <w:lang w:eastAsia="en-US"/>
    </w:rPr>
  </w:style>
  <w:style w:type="paragraph" w:styleId="Heading4">
    <w:name w:val="Heading 4"/>
    <w:basedOn w:val="Normal"/>
    <w:next w:val="Normal"/>
    <w:link w:val="Heading4Char"/>
    <w:uiPriority w:val="9"/>
    <w:semiHidden/>
    <w:unhideWhenUsed/>
    <w:qFormat/>
    <w:rsid w:val="004a73f9"/>
    <w:pPr>
      <w:keepNext w:val="true"/>
      <w:keepLines/>
      <w:spacing w:lineRule="auto" w:line="360" w:before="40" w:after="0"/>
      <w:jc w:val="both"/>
      <w:outlineLvl w:val="3"/>
    </w:pPr>
    <w:rPr>
      <w:rFonts w:ascii="Calibri Light" w:hAnsi="Calibri Light" w:eastAsia="" w:cs="Vrinda" w:asciiTheme="majorHAnsi" w:cstheme="majorBidi" w:eastAsiaTheme="majorEastAsia" w:hAnsiTheme="majorHAnsi"/>
      <w:i/>
      <w:iCs/>
      <w:color w:val="2F5496" w:themeColor="accent1" w:themeShade="bf"/>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b54725"/>
    <w:rPr>
      <w:rFonts w:ascii="Times New Roman" w:hAnsi="Times New Roman" w:eastAsia="Times New Roman" w:cs="Vrinda" w:cstheme="majorBidi"/>
      <w:b/>
      <w:sz w:val="32"/>
      <w:szCs w:val="40"/>
      <w:lang w:val="en-US"/>
    </w:rPr>
  </w:style>
  <w:style w:type="character" w:styleId="Heading2Char" w:customStyle="1">
    <w:name w:val="Heading 2 Char"/>
    <w:basedOn w:val="DefaultParagraphFont"/>
    <w:link w:val="Heading2"/>
    <w:uiPriority w:val="9"/>
    <w:qFormat/>
    <w:rsid w:val="00365fc1"/>
    <w:rPr>
      <w:rFonts w:ascii="Times New Roman" w:hAnsi="Times New Roman" w:eastAsia="" w:cs="Vrinda" w:cstheme="majorBidi" w:eastAsiaTheme="majorEastAsia"/>
      <w:b/>
      <w:sz w:val="26"/>
      <w:szCs w:val="33"/>
    </w:rPr>
  </w:style>
  <w:style w:type="character" w:styleId="Heading3Char" w:customStyle="1">
    <w:name w:val="Heading 3 Char"/>
    <w:basedOn w:val="DefaultParagraphFont"/>
    <w:link w:val="Heading3"/>
    <w:uiPriority w:val="9"/>
    <w:qFormat/>
    <w:rsid w:val="00365fc1"/>
    <w:rPr>
      <w:rFonts w:ascii="Times New Roman" w:hAnsi="Times New Roman" w:eastAsia="" w:cs="Vrinda" w:cstheme="majorBidi" w:eastAsiaTheme="majorEastAsia"/>
      <w:b/>
      <w:sz w:val="24"/>
      <w:szCs w:val="30"/>
    </w:rPr>
  </w:style>
  <w:style w:type="character" w:styleId="HeaderChar" w:customStyle="1">
    <w:name w:val="Header Char"/>
    <w:basedOn w:val="DefaultParagraphFont"/>
    <w:link w:val="Header"/>
    <w:uiPriority w:val="99"/>
    <w:qFormat/>
    <w:rsid w:val="00cd3d2b"/>
    <w:rPr>
      <w:rFonts w:ascii="Times New Roman" w:hAnsi="Times New Roman"/>
      <w:sz w:val="24"/>
    </w:rPr>
  </w:style>
  <w:style w:type="character" w:styleId="FooterChar" w:customStyle="1">
    <w:name w:val="Footer Char"/>
    <w:basedOn w:val="DefaultParagraphFont"/>
    <w:link w:val="Footer"/>
    <w:uiPriority w:val="99"/>
    <w:qFormat/>
    <w:rsid w:val="00cd3d2b"/>
    <w:rPr>
      <w:rFonts w:ascii="Times New Roman" w:hAnsi="Times New Roman"/>
      <w:sz w:val="24"/>
    </w:rPr>
  </w:style>
  <w:style w:type="character" w:styleId="BalloonTextChar" w:customStyle="1">
    <w:name w:val="Balloon Text Char"/>
    <w:basedOn w:val="DefaultParagraphFont"/>
    <w:link w:val="BalloonText"/>
    <w:uiPriority w:val="99"/>
    <w:semiHidden/>
    <w:qFormat/>
    <w:rsid w:val="00096615"/>
    <w:rPr>
      <w:rFonts w:ascii="Segoe UI" w:hAnsi="Segoe UI" w:cs="Segoe UI"/>
      <w:sz w:val="18"/>
      <w:szCs w:val="22"/>
    </w:rPr>
  </w:style>
  <w:style w:type="character" w:styleId="InternetLink">
    <w:name w:val="Internet Link"/>
    <w:basedOn w:val="DefaultParagraphFont"/>
    <w:uiPriority w:val="99"/>
    <w:unhideWhenUsed/>
    <w:rsid w:val="000e2f56"/>
    <w:rPr>
      <w:color w:val="0563C1" w:themeColor="hyperlink"/>
      <w:u w:val="single"/>
    </w:rPr>
  </w:style>
  <w:style w:type="character" w:styleId="Appleconvertedspace" w:customStyle="1">
    <w:name w:val="apple-converted-space"/>
    <w:basedOn w:val="DefaultParagraphFont"/>
    <w:qFormat/>
    <w:rsid w:val="00f45052"/>
    <w:rPr/>
  </w:style>
  <w:style w:type="character" w:styleId="Annotationreference">
    <w:name w:val="annotation reference"/>
    <w:basedOn w:val="DefaultParagraphFont"/>
    <w:uiPriority w:val="99"/>
    <w:semiHidden/>
    <w:unhideWhenUsed/>
    <w:qFormat/>
    <w:rsid w:val="003071a3"/>
    <w:rPr>
      <w:sz w:val="16"/>
      <w:szCs w:val="16"/>
    </w:rPr>
  </w:style>
  <w:style w:type="character" w:styleId="CommentTextChar" w:customStyle="1">
    <w:name w:val="Comment Text Char"/>
    <w:basedOn w:val="DefaultParagraphFont"/>
    <w:link w:val="CommentText"/>
    <w:uiPriority w:val="99"/>
    <w:semiHidden/>
    <w:qFormat/>
    <w:rsid w:val="003071a3"/>
    <w:rPr>
      <w:rFonts w:ascii="Times New Roman" w:hAnsi="Times New Roman"/>
      <w:sz w:val="20"/>
      <w:szCs w:val="20"/>
      <w:lang w:bidi="ar-SA"/>
    </w:rPr>
  </w:style>
  <w:style w:type="character" w:styleId="FollowedHyperlink">
    <w:name w:val="FollowedHyperlink"/>
    <w:basedOn w:val="DefaultParagraphFont"/>
    <w:uiPriority w:val="99"/>
    <w:semiHidden/>
    <w:unhideWhenUsed/>
    <w:qFormat/>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qFormat/>
    <w:rsid w:val="006f63d1"/>
    <w:rPr>
      <w:color w:val="808080"/>
    </w:rPr>
  </w:style>
  <w:style w:type="character" w:styleId="BodyTextChar" w:customStyle="1">
    <w:name w:val="Body Text Char"/>
    <w:basedOn w:val="DefaultParagraphFont"/>
    <w:link w:val="BodyText"/>
    <w:uiPriority w:val="1"/>
    <w:qFormat/>
    <w:rsid w:val="00e51ebe"/>
    <w:rPr>
      <w:rFonts w:ascii="Arial" w:hAnsi="Arial" w:eastAsia="Arial" w:cs="Arial"/>
      <w:sz w:val="16"/>
      <w:szCs w:val="16"/>
      <w:lang w:val="en-US" w:bidi="ar-SA"/>
    </w:rPr>
  </w:style>
  <w:style w:type="character" w:styleId="Heading4Char" w:customStyle="1">
    <w:name w:val="Heading 4 Char"/>
    <w:basedOn w:val="DefaultParagraphFont"/>
    <w:link w:val="Heading4"/>
    <w:uiPriority w:val="9"/>
    <w:semiHidden/>
    <w:qFormat/>
    <w:rsid w:val="004a73f9"/>
    <w:rPr>
      <w:rFonts w:ascii="Calibri Light" w:hAnsi="Calibri Light" w:eastAsia="" w:cs="Vrinda" w:asciiTheme="majorHAnsi" w:cstheme="majorBidi" w:eastAsiaTheme="majorEastAsia" w:hAnsiTheme="majorHAnsi"/>
      <w:i/>
      <w:iCs/>
      <w:color w:val="2F5496" w:themeColor="accent1" w:themeShade="bf"/>
      <w:sz w:val="24"/>
      <w:szCs w:val="22"/>
      <w:lang w:eastAsia="en-GB"/>
    </w:rPr>
  </w:style>
  <w:style w:type="character" w:styleId="Url" w:customStyle="1">
    <w:name w:val="url"/>
    <w:basedOn w:val="DefaultParagraphFont"/>
    <w:qFormat/>
    <w:rsid w:val="00077276"/>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sz w:val="20"/>
    </w:rPr>
  </w:style>
  <w:style w:type="character" w:styleId="ListLabel11">
    <w:name w:val="ListLabel 11"/>
    <w:qFormat/>
    <w:rPr>
      <w:sz w:val="20"/>
    </w:rPr>
  </w:style>
  <w:style w:type="character" w:styleId="ListLabel12">
    <w:name w:val="ListLabel 12"/>
    <w:qFormat/>
    <w:rPr>
      <w:sz w:val="20"/>
    </w:rPr>
  </w:style>
  <w:style w:type="character" w:styleId="ListLabel13">
    <w:name w:val="ListLabel 13"/>
    <w:qFormat/>
    <w:rPr>
      <w:sz w:val="20"/>
    </w:rPr>
  </w:style>
  <w:style w:type="character" w:styleId="ListLabel14">
    <w:name w:val="ListLabel 14"/>
    <w:qFormat/>
    <w:rPr>
      <w:sz w:val="20"/>
    </w:rPr>
  </w:style>
  <w:style w:type="character" w:styleId="ListLabel15">
    <w:name w:val="ListLabel 15"/>
    <w:qFormat/>
    <w:rPr>
      <w:sz w:val="20"/>
    </w:rPr>
  </w:style>
  <w:style w:type="character" w:styleId="ListLabel16">
    <w:name w:val="ListLabel 16"/>
    <w:qFormat/>
    <w:rPr>
      <w:sz w:val="20"/>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sz w:val="20"/>
    </w:rPr>
  </w:style>
  <w:style w:type="character" w:styleId="ListLabel20">
    <w:name w:val="ListLabel 20"/>
    <w:qFormat/>
    <w:rPr>
      <w:sz w:val="20"/>
    </w:rPr>
  </w:style>
  <w:style w:type="character" w:styleId="ListLabel21">
    <w:name w:val="ListLabel 21"/>
    <w:qFormat/>
    <w:rPr>
      <w:sz w:val="20"/>
    </w:rPr>
  </w:style>
  <w:style w:type="character" w:styleId="ListLabel22">
    <w:name w:val="ListLabel 22"/>
    <w:qFormat/>
    <w:rPr>
      <w:sz w:val="20"/>
    </w:rPr>
  </w:style>
  <w:style w:type="character" w:styleId="ListLabel23">
    <w:name w:val="ListLabel 23"/>
    <w:qFormat/>
    <w:rPr>
      <w:sz w:val="20"/>
    </w:rPr>
  </w:style>
  <w:style w:type="character" w:styleId="ListLabel24">
    <w:name w:val="ListLabel 24"/>
    <w:qFormat/>
    <w:rPr>
      <w:sz w:val="20"/>
    </w:rPr>
  </w:style>
  <w:style w:type="character" w:styleId="ListLabel25">
    <w:name w:val="ListLabel 25"/>
    <w:qFormat/>
    <w:rPr>
      <w:sz w:val="20"/>
    </w:rPr>
  </w:style>
  <w:style w:type="character" w:styleId="ListLabel26">
    <w:name w:val="ListLabel 26"/>
    <w:qFormat/>
    <w:rPr>
      <w:sz w:val="20"/>
    </w:rPr>
  </w:style>
  <w:style w:type="character" w:styleId="ListLabel27">
    <w:name w:val="ListLabel 27"/>
    <w:qFormat/>
    <w:rPr>
      <w:sz w:val="20"/>
    </w:rPr>
  </w:style>
  <w:style w:type="character" w:styleId="ListLabel28">
    <w:name w:val="ListLabel 28"/>
    <w:qFormat/>
    <w:rPr>
      <w:sz w:val="20"/>
    </w:rPr>
  </w:style>
  <w:style w:type="character" w:styleId="ListLabel29">
    <w:name w:val="ListLabel 29"/>
    <w:qFormat/>
    <w:rPr>
      <w:sz w:val="20"/>
    </w:rPr>
  </w:style>
  <w:style w:type="character" w:styleId="ListLabel30">
    <w:name w:val="ListLabel 30"/>
    <w:qFormat/>
    <w:rPr>
      <w:sz w:val="20"/>
    </w:rPr>
  </w:style>
  <w:style w:type="character" w:styleId="ListLabel31">
    <w:name w:val="ListLabel 31"/>
    <w:qFormat/>
    <w:rPr>
      <w:sz w:val="20"/>
    </w:rPr>
  </w:style>
  <w:style w:type="character" w:styleId="ListLabel32">
    <w:name w:val="ListLabel 32"/>
    <w:qFormat/>
    <w:rPr>
      <w:sz w:val="20"/>
    </w:rPr>
  </w:style>
  <w:style w:type="character" w:styleId="ListLabel33">
    <w:name w:val="ListLabel 33"/>
    <w:qFormat/>
    <w:rPr>
      <w:sz w:val="20"/>
    </w:rPr>
  </w:style>
  <w:style w:type="character" w:styleId="ListLabel34">
    <w:name w:val="ListLabel 34"/>
    <w:qFormat/>
    <w:rPr>
      <w:sz w:val="20"/>
    </w:rPr>
  </w:style>
  <w:style w:type="character" w:styleId="ListLabel35">
    <w:name w:val="ListLabel 35"/>
    <w:qFormat/>
    <w:rPr>
      <w:sz w:val="20"/>
    </w:rPr>
  </w:style>
  <w:style w:type="character" w:styleId="ListLabel36">
    <w:name w:val="ListLabel 36"/>
    <w:qFormat/>
    <w:rPr>
      <w:sz w:val="20"/>
    </w:rPr>
  </w:style>
  <w:style w:type="character" w:styleId="ListLabel37">
    <w:name w:val="ListLabel 37"/>
    <w:qFormat/>
    <w:rPr>
      <w:sz w:val="20"/>
    </w:rPr>
  </w:style>
  <w:style w:type="character" w:styleId="ListLabel38">
    <w:name w:val="ListLabel 38"/>
    <w:qFormat/>
    <w:rPr>
      <w:sz w:val="20"/>
    </w:rPr>
  </w:style>
  <w:style w:type="character" w:styleId="ListLabel39">
    <w:name w:val="ListLabel 39"/>
    <w:qFormat/>
    <w:rPr>
      <w:sz w:val="20"/>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sz w:val="20"/>
    </w:rPr>
  </w:style>
  <w:style w:type="character" w:styleId="ListLabel44">
    <w:name w:val="ListLabel 44"/>
    <w:qFormat/>
    <w:rPr>
      <w:sz w:val="20"/>
    </w:rPr>
  </w:style>
  <w:style w:type="character" w:styleId="ListLabel45">
    <w:name w:val="ListLabel 45"/>
    <w:qFormat/>
    <w:rPr>
      <w:sz w:val="20"/>
    </w:rPr>
  </w:style>
  <w:style w:type="character" w:styleId="ListLabel46">
    <w:name w:val="ListLabel 46"/>
    <w:qFormat/>
    <w:rPr>
      <w:sz w:val="20"/>
    </w:rPr>
  </w:style>
  <w:style w:type="character" w:styleId="ListLabel47">
    <w:name w:val="ListLabel 47"/>
    <w:qFormat/>
    <w:rPr>
      <w:sz w:val="20"/>
    </w:rPr>
  </w:style>
  <w:style w:type="character" w:styleId="ListLabel48">
    <w:name w:val="ListLabel 48"/>
    <w:qFormat/>
    <w:rPr>
      <w:sz w:val="20"/>
    </w:rPr>
  </w:style>
  <w:style w:type="character" w:styleId="ListLabel49">
    <w:name w:val="ListLabel 49"/>
    <w:qFormat/>
    <w:rPr>
      <w:sz w:val="20"/>
    </w:rPr>
  </w:style>
  <w:style w:type="character" w:styleId="ListLabel50">
    <w:name w:val="ListLabel 50"/>
    <w:qFormat/>
    <w:rPr>
      <w:sz w:val="20"/>
    </w:rPr>
  </w:style>
  <w:style w:type="character" w:styleId="ListLabel51">
    <w:name w:val="ListLabel 51"/>
    <w:qFormat/>
    <w:rPr>
      <w:sz w:val="20"/>
    </w:rPr>
  </w:style>
  <w:style w:type="character" w:styleId="ListLabel52">
    <w:name w:val="ListLabel 52"/>
    <w:qFormat/>
    <w:rPr>
      <w:rFonts w:cs="Courier New"/>
    </w:rPr>
  </w:style>
  <w:style w:type="character" w:styleId="ListLabel53">
    <w:name w:val="ListLabel 53"/>
    <w:qFormat/>
    <w:rPr>
      <w:rFonts w:cs="Courier New"/>
    </w:rPr>
  </w:style>
  <w:style w:type="character" w:styleId="ListLabel54">
    <w:name w:val="ListLabel 54"/>
    <w:qFormat/>
    <w:rPr>
      <w:rFonts w:cs="Courier New"/>
    </w:rPr>
  </w:style>
  <w:style w:type="character" w:styleId="ListLabel55">
    <w:name w:val="ListLabel 55"/>
    <w:qFormat/>
    <w:rPr>
      <w:rFonts w:cs="Courier New"/>
    </w:rPr>
  </w:style>
  <w:style w:type="character" w:styleId="ListLabel56">
    <w:name w:val="ListLabel 56"/>
    <w:qFormat/>
    <w:rPr>
      <w:rFonts w:cs="Courier New"/>
    </w:rPr>
  </w:style>
  <w:style w:type="character" w:styleId="ListLabel57">
    <w:name w:val="ListLabel 57"/>
    <w:qFormat/>
    <w:rPr>
      <w:rFonts w:cs="Courier New"/>
    </w:rPr>
  </w:style>
  <w:style w:type="character" w:styleId="ListLabel58">
    <w:name w:val="ListLabel 58"/>
    <w:qFormat/>
    <w:rPr>
      <w:rFonts w:ascii="Arial" w:hAnsi="Arial" w:cs="Arial"/>
      <w:color w:val="1155CC"/>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link w:val="BodyTextChar"/>
    <w:uiPriority w:val="1"/>
    <w:qFormat/>
    <w:rsid w:val="00e51ebe"/>
    <w:pPr>
      <w:widowControl w:val="false"/>
    </w:pPr>
    <w:rPr>
      <w:rFonts w:ascii="Arial" w:hAnsi="Arial"/>
      <w:sz w:val="16"/>
      <w:szCs w:val="16"/>
      <w:lang w:val="en-US" w:eastAsia="en-US" w:bidi="ar-SA"/>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Caption1">
    <w:name w:val="caption"/>
    <w:basedOn w:val="Normal"/>
    <w:next w:val="Normal"/>
    <w:autoRedefine/>
    <w:uiPriority w:val="35"/>
    <w:unhideWhenUsed/>
    <w:qFormat/>
    <w:rsid w:val="003b3402"/>
    <w:pPr>
      <w:spacing w:lineRule="auto" w:line="360" w:before="0" w:after="200"/>
      <w:jc w:val="center"/>
    </w:pPr>
    <w:rPr>
      <w:rFonts w:eastAsia="Calibri" w:cs="Vrinda" w:cstheme="minorBidi" w:eastAsiaTheme="minorHAnsi"/>
      <w:b/>
      <w:iCs/>
      <w:sz w:val="20"/>
      <w:lang w:eastAsia="en-US"/>
    </w:rPr>
  </w:style>
  <w:style w:type="paragraph" w:styleId="TOCHeading">
    <w:name w:val="TOC Heading"/>
    <w:basedOn w:val="Heading1"/>
    <w:next w:val="Normal"/>
    <w:uiPriority w:val="39"/>
    <w:unhideWhenUsed/>
    <w:qFormat/>
    <w:rsid w:val="00077bdb"/>
    <w:pPr/>
    <w:rPr>
      <w:szCs w:val="32"/>
      <w:lang w:bidi="ar-SA"/>
    </w:rPr>
  </w:style>
  <w:style w:type="paragraph" w:styleId="Header">
    <w:name w:val="Header"/>
    <w:basedOn w:val="Normal"/>
    <w:link w:val="HeaderChar"/>
    <w:uiPriority w:val="99"/>
    <w:unhideWhenUsed/>
    <w:rsid w:val="00cd3d2b"/>
    <w:pPr>
      <w:tabs>
        <w:tab w:val="clear" w:pos="720"/>
        <w:tab w:val="center" w:pos="4680" w:leader="none"/>
        <w:tab w:val="right" w:pos="9360" w:leader="none"/>
      </w:tabs>
      <w:spacing w:lineRule="auto" w:line="360"/>
      <w:jc w:val="both"/>
    </w:pPr>
    <w:rPr>
      <w:rFonts w:eastAsia="Calibri" w:cs="Vrinda" w:cstheme="minorBidi" w:eastAsiaTheme="minorHAnsi"/>
      <w:szCs w:val="28"/>
      <w:lang w:eastAsia="en-US"/>
    </w:rPr>
  </w:style>
  <w:style w:type="paragraph" w:styleId="Footer">
    <w:name w:val="Footer"/>
    <w:basedOn w:val="Normal"/>
    <w:link w:val="FooterChar"/>
    <w:uiPriority w:val="99"/>
    <w:unhideWhenUsed/>
    <w:rsid w:val="00cd3d2b"/>
    <w:pPr>
      <w:tabs>
        <w:tab w:val="clear" w:pos="720"/>
        <w:tab w:val="center" w:pos="4680" w:leader="none"/>
        <w:tab w:val="right" w:pos="9360" w:leader="none"/>
      </w:tabs>
      <w:spacing w:lineRule="auto" w:line="360"/>
      <w:jc w:val="both"/>
    </w:pPr>
    <w:rPr>
      <w:rFonts w:eastAsia="Calibri" w:cs="Vrinda" w:cstheme="minorBidi" w:eastAsiaTheme="minorHAnsi"/>
      <w:szCs w:val="28"/>
      <w:lang w:eastAsia="en-US"/>
    </w:rPr>
  </w:style>
  <w:style w:type="paragraph" w:styleId="NormalWeb">
    <w:name w:val="Normal (Web)"/>
    <w:basedOn w:val="Normal"/>
    <w:uiPriority w:val="99"/>
    <w:unhideWhenUsed/>
    <w:qFormat/>
    <w:rsid w:val="00181d0d"/>
    <w:pPr>
      <w:spacing w:lineRule="auto" w:line="360" w:before="0" w:after="160"/>
      <w:jc w:val="both"/>
    </w:pPr>
    <w:rPr>
      <w:rFonts w:eastAsia="Calibri" w:eastAsiaTheme="minorHAnsi"/>
      <w:szCs w:val="30"/>
      <w:lang w:eastAsia="en-US"/>
    </w:rPr>
  </w:style>
  <w:style w:type="paragraph" w:styleId="BalloonText">
    <w:name w:val="Balloon Text"/>
    <w:basedOn w:val="Normal"/>
    <w:link w:val="BalloonTextChar"/>
    <w:uiPriority w:val="99"/>
    <w:semiHidden/>
    <w:unhideWhenUsed/>
    <w:qFormat/>
    <w:rsid w:val="00096615"/>
    <w:pPr>
      <w:spacing w:lineRule="auto" w:line="360"/>
      <w:jc w:val="both"/>
    </w:pPr>
    <w:rPr>
      <w:rFonts w:ascii="Segoe UI" w:hAnsi="Segoe UI" w:eastAsia="Calibri" w:cs="Segoe UI" w:eastAsiaTheme="minorHAnsi"/>
      <w:sz w:val="18"/>
      <w:lang w:eastAsia="en-US"/>
    </w:rPr>
  </w:style>
  <w:style w:type="paragraph" w:styleId="Contents1">
    <w:name w:val="TOC 1"/>
    <w:basedOn w:val="Normal"/>
    <w:next w:val="Normal"/>
    <w:autoRedefine/>
    <w:uiPriority w:val="39"/>
    <w:unhideWhenUsed/>
    <w:rsid w:val="00db0c9c"/>
    <w:pPr>
      <w:spacing w:lineRule="auto" w:line="360" w:before="120" w:after="0"/>
    </w:pPr>
    <w:rPr>
      <w:rFonts w:ascii="Calibri" w:hAnsi="Calibri" w:cs="Vrinda" w:asciiTheme="minorHAnsi" w:hAnsiTheme="minorHAnsi"/>
      <w:b/>
      <w:bCs/>
      <w:i/>
      <w:iCs/>
    </w:rPr>
  </w:style>
  <w:style w:type="paragraph" w:styleId="Contents2">
    <w:name w:val="TOC 2"/>
    <w:basedOn w:val="Normal"/>
    <w:next w:val="Normal"/>
    <w:autoRedefine/>
    <w:uiPriority w:val="39"/>
    <w:unhideWhenUsed/>
    <w:rsid w:val="00db0c9c"/>
    <w:pPr>
      <w:spacing w:lineRule="auto" w:line="360" w:before="120" w:after="0"/>
      <w:ind w:left="240" w:hanging="0"/>
    </w:pPr>
    <w:rPr>
      <w:rFonts w:ascii="Calibri" w:hAnsi="Calibri" w:cs="Vrinda" w:asciiTheme="minorHAnsi" w:hAnsiTheme="minorHAnsi"/>
      <w:b/>
      <w:bCs/>
      <w:sz w:val="22"/>
      <w:szCs w:val="22"/>
    </w:rPr>
  </w:style>
  <w:style w:type="paragraph" w:styleId="Contents3">
    <w:name w:val="TOC 3"/>
    <w:basedOn w:val="Normal"/>
    <w:next w:val="Normal"/>
    <w:autoRedefine/>
    <w:uiPriority w:val="39"/>
    <w:unhideWhenUsed/>
    <w:rsid w:val="00db0c9c"/>
    <w:pPr>
      <w:spacing w:lineRule="auto" w:line="360"/>
      <w:ind w:left="480" w:hanging="0"/>
    </w:pPr>
    <w:rPr>
      <w:rFonts w:ascii="Calibri" w:hAnsi="Calibri" w:cs="Vrinda" w:asciiTheme="minorHAnsi" w:hAnsiTheme="minorHAnsi"/>
      <w:sz w:val="20"/>
      <w:szCs w:val="20"/>
    </w:rPr>
  </w:style>
  <w:style w:type="paragraph" w:styleId="Contents4">
    <w:name w:val="TOC 4"/>
    <w:basedOn w:val="Normal"/>
    <w:next w:val="Normal"/>
    <w:autoRedefine/>
    <w:uiPriority w:val="39"/>
    <w:semiHidden/>
    <w:unhideWhenUsed/>
    <w:rsid w:val="00db0c9c"/>
    <w:pPr>
      <w:spacing w:lineRule="auto" w:line="360"/>
      <w:ind w:left="720" w:hanging="0"/>
    </w:pPr>
    <w:rPr>
      <w:rFonts w:ascii="Calibri" w:hAnsi="Calibri" w:cs="Vrinda" w:asciiTheme="minorHAnsi" w:hAnsiTheme="minorHAnsi"/>
      <w:sz w:val="20"/>
      <w:szCs w:val="20"/>
    </w:rPr>
  </w:style>
  <w:style w:type="paragraph" w:styleId="Contents5">
    <w:name w:val="TOC 5"/>
    <w:basedOn w:val="Normal"/>
    <w:next w:val="Normal"/>
    <w:autoRedefine/>
    <w:uiPriority w:val="39"/>
    <w:semiHidden/>
    <w:unhideWhenUsed/>
    <w:rsid w:val="000e2f56"/>
    <w:pPr>
      <w:spacing w:lineRule="auto" w:line="360"/>
      <w:ind w:left="960" w:hanging="0"/>
    </w:pPr>
    <w:rPr>
      <w:rFonts w:ascii="Calibri" w:hAnsi="Calibri" w:cs="Vrinda" w:asciiTheme="minorHAnsi" w:hAnsiTheme="minorHAnsi"/>
      <w:sz w:val="20"/>
      <w:szCs w:val="20"/>
    </w:rPr>
  </w:style>
  <w:style w:type="paragraph" w:styleId="Contents6">
    <w:name w:val="TOC 6"/>
    <w:basedOn w:val="Normal"/>
    <w:next w:val="Normal"/>
    <w:autoRedefine/>
    <w:uiPriority w:val="39"/>
    <w:semiHidden/>
    <w:unhideWhenUsed/>
    <w:rsid w:val="000e2f56"/>
    <w:pPr>
      <w:spacing w:lineRule="auto" w:line="360"/>
      <w:ind w:left="1200" w:hanging="0"/>
    </w:pPr>
    <w:rPr>
      <w:rFonts w:ascii="Calibri" w:hAnsi="Calibri" w:cs="Vrinda" w:asciiTheme="minorHAnsi" w:hAnsiTheme="minorHAnsi"/>
      <w:sz w:val="20"/>
      <w:szCs w:val="20"/>
    </w:rPr>
  </w:style>
  <w:style w:type="paragraph" w:styleId="Contents7">
    <w:name w:val="TOC 7"/>
    <w:basedOn w:val="Normal"/>
    <w:next w:val="Normal"/>
    <w:autoRedefine/>
    <w:uiPriority w:val="39"/>
    <w:semiHidden/>
    <w:unhideWhenUsed/>
    <w:rsid w:val="000e2f56"/>
    <w:pPr>
      <w:spacing w:lineRule="auto" w:line="360"/>
      <w:ind w:left="1440" w:hanging="0"/>
    </w:pPr>
    <w:rPr>
      <w:rFonts w:ascii="Calibri" w:hAnsi="Calibri" w:cs="Vrinda" w:asciiTheme="minorHAnsi" w:hAnsiTheme="minorHAnsi"/>
      <w:sz w:val="20"/>
      <w:szCs w:val="20"/>
    </w:rPr>
  </w:style>
  <w:style w:type="paragraph" w:styleId="Contents8">
    <w:name w:val="TOC 8"/>
    <w:basedOn w:val="Normal"/>
    <w:next w:val="Normal"/>
    <w:autoRedefine/>
    <w:uiPriority w:val="39"/>
    <w:semiHidden/>
    <w:unhideWhenUsed/>
    <w:rsid w:val="000e2f56"/>
    <w:pPr>
      <w:spacing w:lineRule="auto" w:line="360"/>
      <w:ind w:left="1680" w:hanging="0"/>
    </w:pPr>
    <w:rPr>
      <w:rFonts w:ascii="Calibri" w:hAnsi="Calibri" w:cs="Vrinda" w:asciiTheme="minorHAnsi" w:hAnsiTheme="minorHAnsi"/>
      <w:sz w:val="20"/>
      <w:szCs w:val="20"/>
    </w:rPr>
  </w:style>
  <w:style w:type="paragraph" w:styleId="Contents9">
    <w:name w:val="TOC 9"/>
    <w:basedOn w:val="Normal"/>
    <w:next w:val="Normal"/>
    <w:autoRedefine/>
    <w:uiPriority w:val="39"/>
    <w:semiHidden/>
    <w:unhideWhenUsed/>
    <w:rsid w:val="000e2f56"/>
    <w:pPr>
      <w:spacing w:lineRule="auto" w:line="360"/>
      <w:ind w:left="1920" w:hanging="0"/>
    </w:pPr>
    <w:rPr>
      <w:rFonts w:ascii="Calibri" w:hAnsi="Calibri" w:cs="Vrinda" w:asciiTheme="minorHAnsi" w:hAnsiTheme="minorHAnsi"/>
      <w:sz w:val="20"/>
      <w:szCs w:val="20"/>
    </w:rPr>
  </w:style>
  <w:style w:type="paragraph" w:styleId="ListParagraph">
    <w:name w:val="List Paragraph"/>
    <w:basedOn w:val="Normal"/>
    <w:uiPriority w:val="34"/>
    <w:qFormat/>
    <w:rsid w:val="00ad0ae3"/>
    <w:pPr>
      <w:spacing w:lineRule="auto" w:line="360" w:before="0" w:after="160"/>
      <w:ind w:left="720" w:hanging="0"/>
      <w:contextualSpacing/>
      <w:jc w:val="both"/>
    </w:pPr>
    <w:rPr>
      <w:rFonts w:eastAsia="Calibri" w:cs="Vrinda" w:cstheme="minorBidi" w:eastAsiaTheme="minorHAnsi"/>
      <w:szCs w:val="28"/>
      <w:lang w:eastAsia="en-US"/>
    </w:rPr>
  </w:style>
  <w:style w:type="paragraph" w:styleId="NoSpacing">
    <w:name w:val="No Spacing"/>
    <w:uiPriority w:val="1"/>
    <w:qFormat/>
    <w:rsid w:val="00d877f2"/>
    <w:pPr>
      <w:widowControl/>
      <w:bidi w:val="0"/>
      <w:spacing w:lineRule="auto" w:line="240" w:before="0" w:after="0"/>
      <w:jc w:val="both"/>
    </w:pPr>
    <w:rPr>
      <w:rFonts w:ascii="Times New Roman" w:hAnsi="Times New Roman" w:eastAsia="Calibri" w:cs="Vrinda" w:cstheme="minorBidi" w:eastAsiaTheme="minorHAnsi"/>
      <w:color w:val="auto"/>
      <w:kern w:val="0"/>
      <w:sz w:val="24"/>
      <w:szCs w:val="28"/>
      <w:lang w:val="en-GB" w:eastAsia="en-US" w:bidi="bn-IN"/>
    </w:rPr>
  </w:style>
  <w:style w:type="paragraph" w:styleId="Tableoffigures">
    <w:name w:val="table of figures"/>
    <w:basedOn w:val="Normal"/>
    <w:next w:val="Normal"/>
    <w:uiPriority w:val="99"/>
    <w:unhideWhenUsed/>
    <w:qFormat/>
    <w:rsid w:val="006c399e"/>
    <w:pPr>
      <w:spacing w:lineRule="auto" w:line="360"/>
      <w:jc w:val="both"/>
    </w:pPr>
    <w:rPr>
      <w:rFonts w:eastAsia="Calibri" w:cs="Vrinda" w:cstheme="minorBidi" w:eastAsiaTheme="minorHAnsi"/>
      <w:szCs w:val="28"/>
      <w:lang w:eastAsia="en-US"/>
    </w:rPr>
  </w:style>
  <w:style w:type="paragraph" w:styleId="Annotationtext">
    <w:name w:val="annotation text"/>
    <w:basedOn w:val="Normal"/>
    <w:link w:val="CommentTextChar"/>
    <w:uiPriority w:val="99"/>
    <w:semiHidden/>
    <w:unhideWhenUsed/>
    <w:qFormat/>
    <w:rsid w:val="003071a3"/>
    <w:pPr>
      <w:spacing w:lineRule="auto" w:line="360" w:before="0" w:after="160"/>
      <w:jc w:val="both"/>
    </w:pPr>
    <w:rPr>
      <w:rFonts w:eastAsia="Calibri" w:cs="Vrinda" w:cstheme="minorBidi" w:eastAsiaTheme="minorHAnsi"/>
      <w:sz w:val="20"/>
      <w:szCs w:val="20"/>
      <w:lang w:eastAsia="en-US" w:bidi="ar-SA"/>
    </w:rPr>
  </w:style>
  <w:style w:type="paragraph" w:styleId="Normal1" w:customStyle="1">
    <w:name w:val="Normal1"/>
    <w:qFormat/>
    <w:rsid w:val="00c0601a"/>
    <w:pPr>
      <w:widowControl/>
      <w:bidi w:val="0"/>
      <w:spacing w:lineRule="auto" w:line="276" w:before="0" w:after="0"/>
      <w:jc w:val="left"/>
    </w:pPr>
    <w:rPr>
      <w:rFonts w:ascii="Arial" w:hAnsi="Arial" w:eastAsia="Arial" w:cs="Arial"/>
      <w:color w:val="auto"/>
      <w:kern w:val="0"/>
      <w:sz w:val="24"/>
      <w:szCs w:val="22"/>
      <w:lang w:val="en-US" w:bidi="ar-SA" w:eastAsia="en-US"/>
    </w:rPr>
  </w:style>
  <w:style w:type="paragraph" w:styleId="Muitypographyroot" w:customStyle="1">
    <w:name w:val="muitypography-root"/>
    <w:basedOn w:val="Normal"/>
    <w:qFormat/>
    <w:rsid w:val="003e4f13"/>
    <w:pPr>
      <w:spacing w:beforeAutospacing="1" w:afterAutospacing="1"/>
    </w:pPr>
    <w:rPr/>
  </w:style>
  <w:style w:type="paragraph" w:styleId="Default" w:customStyle="1">
    <w:name w:val="Default"/>
    <w:qFormat/>
    <w:rsid w:val="00cd37c0"/>
    <w:pPr>
      <w:widowControl/>
      <w:bidi w:val="0"/>
      <w:spacing w:lineRule="auto" w:line="240" w:before="0" w:after="0"/>
      <w:jc w:val="left"/>
    </w:pPr>
    <w:rPr>
      <w:rFonts w:ascii="Times New Roman" w:hAnsi="Times New Roman" w:eastAsia="Calibri" w:cs="Times New Roman"/>
      <w:color w:val="000000"/>
      <w:kern w:val="0"/>
      <w:sz w:val="24"/>
      <w:szCs w:val="24"/>
      <w:lang w:bidi="ar-SA" w:val="en-GB" w:eastAsia="en-US"/>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9d13aa"/>
    <w:pPr>
      <w:spacing w:after="0" w:line="240" w:lineRule="auto"/>
    </w:pPr>
    <w:rPr>
      <w:lang w:bidi="ar-SA"/>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1">
    <w:name w:val="Plain Table 1"/>
    <w:basedOn w:val="TableNormal"/>
    <w:uiPriority w:val="41"/>
    <w:rsid w:val="00356f58"/>
    <w:pPr>
      <w:spacing w:after="0" w:line="240" w:lineRule="auto"/>
    </w:pPr>
    <w:tblPr>
      <w:tblStyleRowBandSize w:val="1"/>
      <w:tblStyleColBandSize w:val="1"/>
      <w:tblBorders>
        <w:top w:val="single" w:color="BFBFBF" w:themeColor="background1" w:sz="4" w:space="0"/>
        <w:left w:val="single" w:color="BFBFBF" w:themeColor="background1" w:sz="4" w:space="0"/>
        <w:bottom w:val="single" w:color="BFBFBF" w:themeColor="background1" w:sz="4" w:space="0"/>
        <w:right w:val="single" w:color="BFBFBF" w:themeColor="background1" w:sz="4" w:space="0"/>
        <w:insideH w:val="single" w:color="BFBFBF" w:themeColor="background1" w:sz="4" w:space="0"/>
        <w:insideV w:val="single" w:color="BFBFBF" w:themeColor="background1" w:sz="4" w:space="0"/>
      </w:tblBorders>
    </w:tblPr>
    <w:tblStylePr w:type="firstRow">
      <w:rPr>
        <w:b/>
        <w:bCs/>
      </w:rPr>
      <w:tblPr/>
    </w:tblStylePr>
    <w:tblStylePr w:type="lastRow">
      <w:rPr>
        <w:b/>
        <w:bCs/>
      </w:rPr>
      <w:tblPr/>
      <w:tcPr>
        <w:tcBorders>
          <w:top w:val="double" w:color="BFBFBF" w:themeColor="background1" w:sz="4" w:space="0"/>
        </w:tcBorders>
      </w:tcPr>
    </w:tblStylePr>
    <w:tblStylePr w:type="firstCol">
      <w:rPr>
        <w:b/>
        <w:bCs/>
      </w:rPr>
      <w:tblPr/>
    </w:tblStylePr>
    <w:tblStylePr w:type="lastCol">
      <w:rPr>
        <w:b/>
        <w:bCs/>
      </w:rPr>
      <w:tbl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Style52">
    <w:name w:val="_Style 52"/>
    <w:basedOn w:val="TableNormal"/>
    <w:rsid w:val="00803358"/>
    <w:pPr>
      <w:spacing w:after="200" w:line="276" w:lineRule="auto"/>
    </w:pPr>
    <w:rPr>
      <w:lang w:val="en-US" w:bidi="ar-SA"/>
      <w:sz w:val="20"/>
      <w:szCs w:val="20"/>
    </w:rPr>
    <w:tblPr>
      <w:tblCellMar>
        <w:left w:w="0" w:type="dxa"/>
        <w:right w:w="0" w:type="dxa"/>
      </w:tblCellMar>
    </w:tblPr>
  </w:style>
  <w:style w:type="table" w:customStyle="1" w:styleId="Style53">
    <w:name w:val="_Style 53"/>
    <w:basedOn w:val="TableNormal"/>
    <w:rsid w:val="00803358"/>
    <w:pPr>
      <w:spacing w:after="200" w:line="276" w:lineRule="auto"/>
    </w:pPr>
    <w:rPr>
      <w:lang w:val="en-US" w:bidi="ar-SA"/>
      <w:sz w:val="20"/>
      <w:szCs w:val="20"/>
    </w:rPr>
    <w:tblPr>
      <w:tblCellMar>
        <w:left w:w="113" w:type="dxa"/>
        <w:right w:w="113" w:type="dxa"/>
      </w:tblCellMar>
    </w:tblPr>
  </w:style>
  <w:style w:type="table" w:customStyle="1" w:styleId="TableGrid0">
    <w:name w:val="TableGrid"/>
    <w:rsid w:val="001d56d8"/>
    <w:pPr>
      <w:spacing w:after="0" w:line="240" w:lineRule="auto"/>
    </w:pPr>
    <w:rPr>
      <w:rFonts w:eastAsiaTheme="minorEastAsia"/>
      <w:lang w:eastAsia="en-GB" w:bidi="ar-SA"/>
      <w:szCs w:val="22"/>
    </w:rPr>
    <w:tblPr>
      <w:tblCellMar>
        <w:top w:w="0" w:type="dxa"/>
        <w:left w:w="0" w:type="dxa"/>
        <w:bottom w:w="0" w:type="dxa"/>
        <w:right w:w="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hyperlink" Target="https://doi.org/10.1016/s0742-3322(00)17018-4" TargetMode="External"/><Relationship Id="rId7" Type="http://schemas.openxmlformats.org/officeDocument/2006/relationships/hyperlink" Target="https://doi.org/10.1108/tqm-11-2017-0136" TargetMode="External"/><Relationship Id="rId8" Type="http://schemas.openxmlformats.org/officeDocument/2006/relationships/hyperlink" Target="https://dl.acm.org/citation.cfm?id=560793" TargetMode="External"/><Relationship Id="rId9" Type="http://schemas.openxmlformats.org/officeDocument/2006/relationships/hyperlink" Target="https://doi.org/10.5465/amr.1998.1255632" TargetMode="External"/><Relationship Id="rId10" Type="http://schemas.openxmlformats.org/officeDocument/2006/relationships/hyperlink" Target="https://doi.org/10.1002/smj.567" TargetMode="External"/><Relationship Id="rId11" Type="http://schemas.openxmlformats.org/officeDocument/2006/relationships/hyperlink" Target="https://doi.org/10.2307/2950531" TargetMode="External"/><Relationship Id="rId12" Type="http://schemas.openxmlformats.org/officeDocument/2006/relationships/hyperlink" Target="https://doi.org/10.1509/jmkg.66.2.102.18478" TargetMode="External"/><Relationship Id="rId13" Type="http://schemas.openxmlformats.org/officeDocument/2006/relationships/hyperlink" Target="https://doi.org/10.1287/orsc.7.3.322" TargetMode="External"/><Relationship Id="rId14" Type="http://schemas.openxmlformats.org/officeDocument/2006/relationships/hyperlink" Target="https://doi.org/10.5465/amr.1995.9512280033" TargetMode="External"/><Relationship Id="rId15" Type="http://schemas.openxmlformats.org/officeDocument/2006/relationships/hyperlink" Target="http://ci.nii.ac.jp/ncid/BA44716160" TargetMode="External"/><Relationship Id="rId16" Type="http://schemas.openxmlformats.org/officeDocument/2006/relationships/hyperlink" Target="https://doi.org/10.1177/014920639902500307" TargetMode="External"/><Relationship Id="rId17" Type="http://schemas.openxmlformats.org/officeDocument/2006/relationships/hyperlink" Target="https://doi.org/10.2307/1251854" TargetMode="External"/><Relationship Id="rId18" Type="http://schemas.openxmlformats.org/officeDocument/2006/relationships/hyperlink" Target="https://doi.org/10.1111/jpim.12111" TargetMode="External"/><Relationship Id="rId19" Type="http://schemas.openxmlformats.org/officeDocument/2006/relationships/hyperlink" Target="https://doi.org/10.1002/smj.4250090706" TargetMode="External"/><Relationship Id="rId20" Type="http://schemas.openxmlformats.org/officeDocument/2006/relationships/hyperlink" Target="https://doi.org/10.1002/smj.289" TargetMode="External"/><Relationship Id="rId21" Type="http://schemas.openxmlformats.org/officeDocument/2006/relationships/hyperlink" Target="https://doi.org/10.1177/0256090920040302" TargetMode="External"/><Relationship Id="rId22" Type="http://schemas.openxmlformats.org/officeDocument/2006/relationships/hyperlink" Target="https://doi.org/10.1016/1048-9843(90)90009-7" TargetMode="External"/><Relationship Id="rId23" Type="http://schemas.openxmlformats.org/officeDocument/2006/relationships/hyperlink" Target="https://doi.org/10.1108/jsit-01-2014-0005" TargetMode="External"/><Relationship Id="rId24" Type="http://schemas.openxmlformats.org/officeDocument/2006/relationships/hyperlink" Target="https://papers.ssrn.com/sol3/Delivery.cfm/SSRN_ID2363327_code2162570.pdf?abstractid=2363327&amp;mirid=1&amp;type=2" TargetMode="External"/><Relationship Id="rId25" Type="http://schemas.openxmlformats.org/officeDocument/2006/relationships/hyperlink" Target="https://doi.org/10.1111/j.1467-6486.2012.01080.x" TargetMode="External"/><Relationship Id="rId26" Type="http://schemas.openxmlformats.org/officeDocument/2006/relationships/hyperlink" Target="https://doi.org/10.1177/216499871700600108" TargetMode="External"/><Relationship Id="rId27" Type="http://schemas.openxmlformats.org/officeDocument/2006/relationships/footer" Target="footer1.xml"/><Relationship Id="rId28" Type="http://schemas.openxmlformats.org/officeDocument/2006/relationships/fontTable" Target="fontTable.xml"/><Relationship Id="rId29" Type="http://schemas.openxmlformats.org/officeDocument/2006/relationships/settings" Target="settings.xml"/><Relationship Id="rId30" Type="http://schemas.openxmlformats.org/officeDocument/2006/relationships/theme" Target="theme/theme1.xml"/><Relationship Id="rId31"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Application>Neat_Office/6.2.8.2$Windows_x86 LibreOffice_project/</Application>
  <Pages>14</Pages>
  <Words>3361</Words>
  <Characters>21756</Characters>
  <CharactersWithSpaces>25028</CharactersWithSpaces>
  <Paragraphs>83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2025-03-17T17:39:00Z</dcterms:created>
  <dc:creator/>
  <dc:description/>
  <dc:language>en-GB</dc:language>
  <cp:lastModifiedBy/>
  <dcterms:modified xsi:type="dcterms:W3CDTF">2025-03-27T05:43:17Z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