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23F08"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37602D2F"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74D881D9"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0F92D066"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6D1E05D2"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23BF2AF1"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45EC4E11" w14:textId="77777777" w:rsidR="004A770B" w:rsidRDefault="004A770B" w:rsidP="000156CB">
      <w:pPr>
        <w:pStyle w:val="Normal1"/>
        <w:spacing w:line="360" w:lineRule="auto"/>
        <w:jc w:val="center"/>
        <w:rPr>
          <w:rFonts w:ascii="Times New Roman" w:eastAsia="Times New Roman" w:hAnsi="Times New Roman" w:cs="Times New Roman"/>
          <w:b/>
          <w:sz w:val="32"/>
          <w:szCs w:val="24"/>
          <w:lang w:val="en-GB"/>
        </w:rPr>
      </w:pPr>
    </w:p>
    <w:p w14:paraId="458A06E7" w14:textId="77777777" w:rsidR="004A770B" w:rsidRPr="00474FDC" w:rsidRDefault="004A770B" w:rsidP="000156CB">
      <w:pPr>
        <w:pStyle w:val="Normal1"/>
        <w:spacing w:line="360" w:lineRule="auto"/>
        <w:jc w:val="center"/>
        <w:rPr>
          <w:rFonts w:ascii="Times New Roman" w:eastAsia="Times New Roman" w:hAnsi="Times New Roman" w:cs="Times New Roman"/>
          <w:b/>
          <w:sz w:val="40"/>
          <w:szCs w:val="32"/>
          <w:lang w:val="en-GB"/>
        </w:rPr>
      </w:pPr>
    </w:p>
    <w:p w14:paraId="23969C14" w14:textId="157BB2E0" w:rsidR="00BF7140" w:rsidRPr="00474FDC" w:rsidRDefault="000156CB" w:rsidP="000156CB">
      <w:pPr>
        <w:pStyle w:val="Normal1"/>
        <w:spacing w:line="360" w:lineRule="auto"/>
        <w:jc w:val="center"/>
        <w:rPr>
          <w:rFonts w:ascii="Times New Roman" w:eastAsia="Times New Roman" w:hAnsi="Times New Roman" w:cs="Times New Roman"/>
          <w:b/>
          <w:sz w:val="40"/>
          <w:szCs w:val="32"/>
          <w:lang w:val="en-GB"/>
        </w:rPr>
      </w:pPr>
      <w:r w:rsidRPr="00474FDC">
        <w:rPr>
          <w:rFonts w:ascii="Times New Roman" w:eastAsia="Times New Roman" w:hAnsi="Times New Roman" w:cs="Times New Roman"/>
          <w:b/>
          <w:sz w:val="40"/>
          <w:szCs w:val="32"/>
          <w:lang w:val="en-GB"/>
        </w:rPr>
        <w:t>ACCOUNTING FUNDAMENTALS</w:t>
      </w:r>
    </w:p>
    <w:p w14:paraId="63EE6E1A" w14:textId="77777777" w:rsidR="00792499" w:rsidRPr="00474FDC" w:rsidRDefault="000156CB" w:rsidP="000156CB">
      <w:pPr>
        <w:pStyle w:val="Normal1"/>
        <w:spacing w:line="360" w:lineRule="auto"/>
        <w:jc w:val="center"/>
        <w:rPr>
          <w:rFonts w:ascii="Times New Roman" w:eastAsia="Times New Roman" w:hAnsi="Times New Roman" w:cs="Times New Roman"/>
          <w:b/>
          <w:sz w:val="40"/>
          <w:szCs w:val="32"/>
          <w:lang w:val="en-GB"/>
        </w:rPr>
      </w:pPr>
      <w:r w:rsidRPr="00474FDC">
        <w:rPr>
          <w:rFonts w:ascii="Times New Roman" w:eastAsia="Times New Roman" w:hAnsi="Times New Roman" w:cs="Times New Roman"/>
          <w:b/>
          <w:sz w:val="40"/>
          <w:szCs w:val="32"/>
          <w:lang w:val="en-GB"/>
        </w:rPr>
        <w:t>ASSIGNMENT- A1</w:t>
      </w:r>
    </w:p>
    <w:p w14:paraId="311B4D77" w14:textId="22E4F391" w:rsidR="00474FDC" w:rsidRDefault="00474FDC" w:rsidP="000156CB">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Vanessa Popescu</w:t>
      </w:r>
    </w:p>
    <w:p w14:paraId="7421D84D" w14:textId="5F3FB042" w:rsidR="00474FDC" w:rsidRDefault="00474FDC" w:rsidP="000156CB">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ID: 2217243</w:t>
      </w:r>
    </w:p>
    <w:p w14:paraId="70A49A23" w14:textId="3289D769" w:rsidR="00474FDC" w:rsidRDefault="00474FDC" w:rsidP="000156CB">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Lecturer: Ivana </w:t>
      </w:r>
      <w:proofErr w:type="spellStart"/>
      <w:r>
        <w:rPr>
          <w:rFonts w:ascii="Times New Roman" w:eastAsia="Times New Roman" w:hAnsi="Times New Roman" w:cs="Times New Roman"/>
          <w:b/>
          <w:sz w:val="32"/>
          <w:szCs w:val="24"/>
          <w:lang w:val="en-GB"/>
        </w:rPr>
        <w:t>Rozic</w:t>
      </w:r>
      <w:proofErr w:type="spellEnd"/>
    </w:p>
    <w:p w14:paraId="4E0F5F75" w14:textId="77777777" w:rsidR="00474FDC" w:rsidRDefault="00474FDC" w:rsidP="000156CB">
      <w:pPr>
        <w:pStyle w:val="Normal1"/>
        <w:spacing w:line="360" w:lineRule="auto"/>
        <w:jc w:val="center"/>
        <w:rPr>
          <w:rFonts w:ascii="Times New Roman" w:eastAsia="Times New Roman" w:hAnsi="Times New Roman" w:cs="Times New Roman"/>
          <w:b/>
          <w:sz w:val="32"/>
          <w:szCs w:val="24"/>
          <w:lang w:val="en-GB"/>
        </w:rPr>
      </w:pPr>
    </w:p>
    <w:p w14:paraId="4D02B62F" w14:textId="77777777" w:rsidR="00792499" w:rsidRDefault="00792499">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br w:type="page"/>
      </w:r>
    </w:p>
    <w:sdt>
      <w:sdtPr>
        <w:rPr>
          <w:rFonts w:ascii="Times New Roman" w:eastAsia="Arial" w:hAnsi="Times New Roman" w:cs="Times New Roman"/>
          <w:b w:val="0"/>
          <w:bCs w:val="0"/>
          <w:color w:val="auto"/>
          <w:sz w:val="24"/>
          <w:szCs w:val="24"/>
        </w:rPr>
        <w:id w:val="6320819"/>
        <w:docPartObj>
          <w:docPartGallery w:val="Table of Contents"/>
          <w:docPartUnique/>
        </w:docPartObj>
      </w:sdtPr>
      <w:sdtContent>
        <w:p w14:paraId="7C1401A3" w14:textId="77777777" w:rsidR="00792499" w:rsidRPr="00792499" w:rsidRDefault="00792499" w:rsidP="00792499">
          <w:pPr>
            <w:pStyle w:val="TOCHeading"/>
            <w:spacing w:line="360" w:lineRule="auto"/>
            <w:jc w:val="center"/>
            <w:rPr>
              <w:rFonts w:ascii="Times New Roman" w:hAnsi="Times New Roman" w:cs="Times New Roman"/>
              <w:color w:val="auto"/>
              <w:sz w:val="24"/>
              <w:szCs w:val="24"/>
            </w:rPr>
          </w:pPr>
          <w:r w:rsidRPr="00792499">
            <w:rPr>
              <w:rFonts w:ascii="Times New Roman" w:hAnsi="Times New Roman" w:cs="Times New Roman"/>
              <w:color w:val="auto"/>
              <w:sz w:val="24"/>
              <w:szCs w:val="24"/>
            </w:rPr>
            <w:t>Table of Contents</w:t>
          </w:r>
        </w:p>
        <w:p w14:paraId="268FBEE1" w14:textId="77777777" w:rsidR="00792499" w:rsidRPr="00792499" w:rsidRDefault="00792499" w:rsidP="00792499">
          <w:pPr>
            <w:pStyle w:val="TOC1"/>
            <w:tabs>
              <w:tab w:val="right" w:leader="dot" w:pos="9350"/>
            </w:tabs>
            <w:spacing w:line="360" w:lineRule="auto"/>
            <w:jc w:val="center"/>
            <w:rPr>
              <w:rFonts w:ascii="Times New Roman" w:hAnsi="Times New Roman" w:cs="Times New Roman"/>
              <w:noProof/>
              <w:sz w:val="24"/>
              <w:szCs w:val="24"/>
            </w:rPr>
          </w:pPr>
          <w:r w:rsidRPr="00792499">
            <w:rPr>
              <w:rFonts w:ascii="Times New Roman" w:hAnsi="Times New Roman" w:cs="Times New Roman"/>
              <w:sz w:val="24"/>
              <w:szCs w:val="24"/>
            </w:rPr>
            <w:fldChar w:fldCharType="begin"/>
          </w:r>
          <w:r w:rsidRPr="00792499">
            <w:rPr>
              <w:rFonts w:ascii="Times New Roman" w:hAnsi="Times New Roman" w:cs="Times New Roman"/>
              <w:sz w:val="24"/>
              <w:szCs w:val="24"/>
            </w:rPr>
            <w:instrText xml:space="preserve"> TOC \o "1-3" \h \z \u </w:instrText>
          </w:r>
          <w:r w:rsidRPr="00792499">
            <w:rPr>
              <w:rFonts w:ascii="Times New Roman" w:hAnsi="Times New Roman" w:cs="Times New Roman"/>
              <w:sz w:val="24"/>
              <w:szCs w:val="24"/>
            </w:rPr>
            <w:fldChar w:fldCharType="separate"/>
          </w:r>
          <w:hyperlink w:anchor="_Toc132965754" w:history="1">
            <w:r w:rsidRPr="00792499">
              <w:rPr>
                <w:rStyle w:val="Hyperlink"/>
                <w:rFonts w:ascii="Times New Roman" w:hAnsi="Times New Roman" w:cs="Times New Roman"/>
                <w:noProof/>
                <w:color w:val="auto"/>
                <w:sz w:val="24"/>
                <w:szCs w:val="24"/>
                <w:lang w:val="en-GB"/>
              </w:rPr>
              <w:t>Question 1</w:t>
            </w:r>
            <w:r w:rsidRPr="00792499">
              <w:rPr>
                <w:rFonts w:ascii="Times New Roman" w:hAnsi="Times New Roman" w:cs="Times New Roman"/>
                <w:noProof/>
                <w:webHidden/>
                <w:sz w:val="24"/>
                <w:szCs w:val="24"/>
              </w:rPr>
              <w:tab/>
            </w:r>
            <w:r w:rsidRPr="00792499">
              <w:rPr>
                <w:rFonts w:ascii="Times New Roman" w:hAnsi="Times New Roman" w:cs="Times New Roman"/>
                <w:noProof/>
                <w:webHidden/>
                <w:sz w:val="24"/>
                <w:szCs w:val="24"/>
              </w:rPr>
              <w:fldChar w:fldCharType="begin"/>
            </w:r>
            <w:r w:rsidRPr="00792499">
              <w:rPr>
                <w:rFonts w:ascii="Times New Roman" w:hAnsi="Times New Roman" w:cs="Times New Roman"/>
                <w:noProof/>
                <w:webHidden/>
                <w:sz w:val="24"/>
                <w:szCs w:val="24"/>
              </w:rPr>
              <w:instrText xml:space="preserve"> PAGEREF _Toc132965754 \h </w:instrText>
            </w:r>
            <w:r w:rsidRPr="00792499">
              <w:rPr>
                <w:rFonts w:ascii="Times New Roman" w:hAnsi="Times New Roman" w:cs="Times New Roman"/>
                <w:noProof/>
                <w:webHidden/>
                <w:sz w:val="24"/>
                <w:szCs w:val="24"/>
              </w:rPr>
            </w:r>
            <w:r w:rsidRPr="00792499">
              <w:rPr>
                <w:rFonts w:ascii="Times New Roman" w:hAnsi="Times New Roman" w:cs="Times New Roman"/>
                <w:noProof/>
                <w:webHidden/>
                <w:sz w:val="24"/>
                <w:szCs w:val="24"/>
              </w:rPr>
              <w:fldChar w:fldCharType="separate"/>
            </w:r>
            <w:r w:rsidRPr="00792499">
              <w:rPr>
                <w:rFonts w:ascii="Times New Roman" w:hAnsi="Times New Roman" w:cs="Times New Roman"/>
                <w:noProof/>
                <w:webHidden/>
                <w:sz w:val="24"/>
                <w:szCs w:val="24"/>
              </w:rPr>
              <w:t>3</w:t>
            </w:r>
            <w:r w:rsidRPr="00792499">
              <w:rPr>
                <w:rFonts w:ascii="Times New Roman" w:hAnsi="Times New Roman" w:cs="Times New Roman"/>
                <w:noProof/>
                <w:webHidden/>
                <w:sz w:val="24"/>
                <w:szCs w:val="24"/>
              </w:rPr>
              <w:fldChar w:fldCharType="end"/>
            </w:r>
          </w:hyperlink>
        </w:p>
        <w:p w14:paraId="739A9088" w14:textId="77777777" w:rsidR="00792499" w:rsidRPr="00792499" w:rsidRDefault="00000000" w:rsidP="00792499">
          <w:pPr>
            <w:pStyle w:val="TOC1"/>
            <w:tabs>
              <w:tab w:val="right" w:leader="dot" w:pos="9350"/>
            </w:tabs>
            <w:spacing w:line="360" w:lineRule="auto"/>
            <w:jc w:val="center"/>
            <w:rPr>
              <w:rFonts w:ascii="Times New Roman" w:hAnsi="Times New Roman" w:cs="Times New Roman"/>
              <w:noProof/>
              <w:sz w:val="24"/>
              <w:szCs w:val="24"/>
            </w:rPr>
          </w:pPr>
          <w:hyperlink w:anchor="_Toc132965755" w:history="1">
            <w:r w:rsidR="00792499" w:rsidRPr="00792499">
              <w:rPr>
                <w:rStyle w:val="Hyperlink"/>
                <w:rFonts w:ascii="Times New Roman" w:hAnsi="Times New Roman" w:cs="Times New Roman"/>
                <w:noProof/>
                <w:color w:val="auto"/>
                <w:sz w:val="24"/>
                <w:szCs w:val="24"/>
                <w:lang w:val="en-GB"/>
              </w:rPr>
              <w:t>Question 2</w:t>
            </w:r>
            <w:r w:rsidR="00792499" w:rsidRPr="00792499">
              <w:rPr>
                <w:rFonts w:ascii="Times New Roman" w:hAnsi="Times New Roman" w:cs="Times New Roman"/>
                <w:noProof/>
                <w:webHidden/>
                <w:sz w:val="24"/>
                <w:szCs w:val="24"/>
              </w:rPr>
              <w:tab/>
            </w:r>
            <w:r w:rsidR="00792499" w:rsidRPr="00792499">
              <w:rPr>
                <w:rFonts w:ascii="Times New Roman" w:hAnsi="Times New Roman" w:cs="Times New Roman"/>
                <w:noProof/>
                <w:webHidden/>
                <w:sz w:val="24"/>
                <w:szCs w:val="24"/>
              </w:rPr>
              <w:fldChar w:fldCharType="begin"/>
            </w:r>
            <w:r w:rsidR="00792499" w:rsidRPr="00792499">
              <w:rPr>
                <w:rFonts w:ascii="Times New Roman" w:hAnsi="Times New Roman" w:cs="Times New Roman"/>
                <w:noProof/>
                <w:webHidden/>
                <w:sz w:val="24"/>
                <w:szCs w:val="24"/>
              </w:rPr>
              <w:instrText xml:space="preserve"> PAGEREF _Toc132965755 \h </w:instrText>
            </w:r>
            <w:r w:rsidR="00792499" w:rsidRPr="00792499">
              <w:rPr>
                <w:rFonts w:ascii="Times New Roman" w:hAnsi="Times New Roman" w:cs="Times New Roman"/>
                <w:noProof/>
                <w:webHidden/>
                <w:sz w:val="24"/>
                <w:szCs w:val="24"/>
              </w:rPr>
            </w:r>
            <w:r w:rsidR="00792499" w:rsidRPr="00792499">
              <w:rPr>
                <w:rFonts w:ascii="Times New Roman" w:hAnsi="Times New Roman" w:cs="Times New Roman"/>
                <w:noProof/>
                <w:webHidden/>
                <w:sz w:val="24"/>
                <w:szCs w:val="24"/>
              </w:rPr>
              <w:fldChar w:fldCharType="separate"/>
            </w:r>
            <w:r w:rsidR="00792499" w:rsidRPr="00792499">
              <w:rPr>
                <w:rFonts w:ascii="Times New Roman" w:hAnsi="Times New Roman" w:cs="Times New Roman"/>
                <w:noProof/>
                <w:webHidden/>
                <w:sz w:val="24"/>
                <w:szCs w:val="24"/>
              </w:rPr>
              <w:t>7</w:t>
            </w:r>
            <w:r w:rsidR="00792499" w:rsidRPr="00792499">
              <w:rPr>
                <w:rFonts w:ascii="Times New Roman" w:hAnsi="Times New Roman" w:cs="Times New Roman"/>
                <w:noProof/>
                <w:webHidden/>
                <w:sz w:val="24"/>
                <w:szCs w:val="24"/>
              </w:rPr>
              <w:fldChar w:fldCharType="end"/>
            </w:r>
          </w:hyperlink>
        </w:p>
        <w:p w14:paraId="0BA7A699" w14:textId="77777777" w:rsidR="00792499" w:rsidRPr="00792499" w:rsidRDefault="00000000" w:rsidP="00792499">
          <w:pPr>
            <w:pStyle w:val="TOC1"/>
            <w:tabs>
              <w:tab w:val="right" w:leader="dot" w:pos="9350"/>
            </w:tabs>
            <w:spacing w:line="360" w:lineRule="auto"/>
            <w:jc w:val="center"/>
            <w:rPr>
              <w:rFonts w:ascii="Times New Roman" w:hAnsi="Times New Roman" w:cs="Times New Roman"/>
              <w:noProof/>
              <w:sz w:val="24"/>
              <w:szCs w:val="24"/>
            </w:rPr>
          </w:pPr>
          <w:hyperlink w:anchor="_Toc132965756" w:history="1">
            <w:r w:rsidR="00792499" w:rsidRPr="00792499">
              <w:rPr>
                <w:rStyle w:val="Hyperlink"/>
                <w:rFonts w:ascii="Times New Roman" w:hAnsi="Times New Roman" w:cs="Times New Roman"/>
                <w:noProof/>
                <w:color w:val="auto"/>
                <w:sz w:val="24"/>
                <w:szCs w:val="24"/>
                <w:lang w:val="en-GB"/>
              </w:rPr>
              <w:t>Reference list</w:t>
            </w:r>
            <w:r w:rsidR="00792499" w:rsidRPr="00792499">
              <w:rPr>
                <w:rFonts w:ascii="Times New Roman" w:hAnsi="Times New Roman" w:cs="Times New Roman"/>
                <w:noProof/>
                <w:webHidden/>
                <w:sz w:val="24"/>
                <w:szCs w:val="24"/>
              </w:rPr>
              <w:tab/>
            </w:r>
            <w:r w:rsidR="00792499" w:rsidRPr="00792499">
              <w:rPr>
                <w:rFonts w:ascii="Times New Roman" w:hAnsi="Times New Roman" w:cs="Times New Roman"/>
                <w:noProof/>
                <w:webHidden/>
                <w:sz w:val="24"/>
                <w:szCs w:val="24"/>
              </w:rPr>
              <w:fldChar w:fldCharType="begin"/>
            </w:r>
            <w:r w:rsidR="00792499" w:rsidRPr="00792499">
              <w:rPr>
                <w:rFonts w:ascii="Times New Roman" w:hAnsi="Times New Roman" w:cs="Times New Roman"/>
                <w:noProof/>
                <w:webHidden/>
                <w:sz w:val="24"/>
                <w:szCs w:val="24"/>
              </w:rPr>
              <w:instrText xml:space="preserve"> PAGEREF _Toc132965756 \h </w:instrText>
            </w:r>
            <w:r w:rsidR="00792499" w:rsidRPr="00792499">
              <w:rPr>
                <w:rFonts w:ascii="Times New Roman" w:hAnsi="Times New Roman" w:cs="Times New Roman"/>
                <w:noProof/>
                <w:webHidden/>
                <w:sz w:val="24"/>
                <w:szCs w:val="24"/>
              </w:rPr>
            </w:r>
            <w:r w:rsidR="00792499" w:rsidRPr="00792499">
              <w:rPr>
                <w:rFonts w:ascii="Times New Roman" w:hAnsi="Times New Roman" w:cs="Times New Roman"/>
                <w:noProof/>
                <w:webHidden/>
                <w:sz w:val="24"/>
                <w:szCs w:val="24"/>
              </w:rPr>
              <w:fldChar w:fldCharType="separate"/>
            </w:r>
            <w:r w:rsidR="00792499" w:rsidRPr="00792499">
              <w:rPr>
                <w:rFonts w:ascii="Times New Roman" w:hAnsi="Times New Roman" w:cs="Times New Roman"/>
                <w:noProof/>
                <w:webHidden/>
                <w:sz w:val="24"/>
                <w:szCs w:val="24"/>
              </w:rPr>
              <w:t>16</w:t>
            </w:r>
            <w:r w:rsidR="00792499" w:rsidRPr="00792499">
              <w:rPr>
                <w:rFonts w:ascii="Times New Roman" w:hAnsi="Times New Roman" w:cs="Times New Roman"/>
                <w:noProof/>
                <w:webHidden/>
                <w:sz w:val="24"/>
                <w:szCs w:val="24"/>
              </w:rPr>
              <w:fldChar w:fldCharType="end"/>
            </w:r>
          </w:hyperlink>
        </w:p>
        <w:p w14:paraId="39AEF25B" w14:textId="77777777" w:rsidR="00792499" w:rsidRPr="00792499" w:rsidRDefault="00792499" w:rsidP="00792499">
          <w:pPr>
            <w:spacing w:line="360" w:lineRule="auto"/>
            <w:jc w:val="center"/>
            <w:rPr>
              <w:rFonts w:ascii="Times New Roman" w:hAnsi="Times New Roman" w:cs="Times New Roman"/>
              <w:sz w:val="24"/>
              <w:szCs w:val="24"/>
            </w:rPr>
          </w:pPr>
          <w:r w:rsidRPr="00792499">
            <w:rPr>
              <w:rFonts w:ascii="Times New Roman" w:hAnsi="Times New Roman" w:cs="Times New Roman"/>
              <w:sz w:val="24"/>
              <w:szCs w:val="24"/>
            </w:rPr>
            <w:fldChar w:fldCharType="end"/>
          </w:r>
        </w:p>
      </w:sdtContent>
    </w:sdt>
    <w:p w14:paraId="07945E6F" w14:textId="77777777" w:rsidR="00BF7140" w:rsidRPr="00792499" w:rsidRDefault="000156CB" w:rsidP="000156CB">
      <w:pPr>
        <w:pStyle w:val="Normal1"/>
        <w:spacing w:line="360" w:lineRule="auto"/>
        <w:jc w:val="center"/>
        <w:rPr>
          <w:rFonts w:ascii="Times New Roman" w:eastAsia="Times New Roman" w:hAnsi="Times New Roman" w:cs="Times New Roman"/>
          <w:b/>
          <w:sz w:val="32"/>
          <w:szCs w:val="24"/>
          <w:lang w:val="en-GB"/>
        </w:rPr>
      </w:pPr>
      <w:r w:rsidRPr="00792499">
        <w:rPr>
          <w:b/>
          <w:sz w:val="28"/>
          <w:lang w:val="en-GB"/>
        </w:rPr>
        <w:br w:type="page"/>
      </w:r>
    </w:p>
    <w:p w14:paraId="61F785D7" w14:textId="77777777" w:rsidR="00BF7140" w:rsidRPr="00792499" w:rsidRDefault="00F344B3" w:rsidP="000156CB">
      <w:pPr>
        <w:pStyle w:val="Heading1"/>
        <w:rPr>
          <w:lang w:val="en-GB"/>
        </w:rPr>
      </w:pPr>
      <w:bookmarkStart w:id="0" w:name="_Toc132965754"/>
      <w:r w:rsidRPr="00792499">
        <w:rPr>
          <w:lang w:val="en-GB"/>
        </w:rPr>
        <w:lastRenderedPageBreak/>
        <w:t>Question 1</w:t>
      </w:r>
      <w:bookmarkEnd w:id="0"/>
    </w:p>
    <w:p w14:paraId="6FD667D0" w14:textId="77777777" w:rsidR="00BF7140" w:rsidRPr="00792499" w:rsidRDefault="00F344B3">
      <w:pPr>
        <w:pStyle w:val="Normal1"/>
        <w:numPr>
          <w:ilvl w:val="0"/>
          <w:numId w:val="2"/>
        </w:numP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Income statement and financial position statement of Wales PLC</w:t>
      </w:r>
    </w:p>
    <w:p w14:paraId="0F59872F" w14:textId="77777777" w:rsidR="00BF7140" w:rsidRPr="00792499" w:rsidRDefault="00BF7140">
      <w:pPr>
        <w:pStyle w:val="Normal1"/>
        <w:spacing w:line="360" w:lineRule="auto"/>
        <w:jc w:val="both"/>
        <w:rPr>
          <w:rFonts w:ascii="Times New Roman" w:eastAsia="Times New Roman" w:hAnsi="Times New Roman" w:cs="Times New Roman"/>
          <w:sz w:val="24"/>
          <w:szCs w:val="24"/>
          <w:lang w:val="en-GB"/>
        </w:rPr>
      </w:pPr>
    </w:p>
    <w:tbl>
      <w:tblPr>
        <w:tblStyle w:val="Table1"/>
        <w:tblW w:w="5000" w:type="pct"/>
        <w:tblInd w:w="0" w:type="dxa"/>
        <w:tblBorders>
          <w:top w:val="nil"/>
          <w:left w:val="nil"/>
          <w:bottom w:val="nil"/>
          <w:right w:val="nil"/>
          <w:insideH w:val="nil"/>
          <w:insideV w:val="nil"/>
        </w:tblBorders>
        <w:tblLook w:val="0600" w:firstRow="0" w:lastRow="0" w:firstColumn="0" w:lastColumn="0" w:noHBand="1" w:noVBand="1"/>
      </w:tblPr>
      <w:tblGrid>
        <w:gridCol w:w="5446"/>
        <w:gridCol w:w="1947"/>
        <w:gridCol w:w="1949"/>
      </w:tblGrid>
      <w:tr w:rsidR="00BF7140" w:rsidRPr="00792499" w14:paraId="3E837761" w14:textId="77777777" w:rsidTr="000156CB">
        <w:trPr>
          <w:cantSplit/>
          <w:trHeight w:val="810"/>
          <w:tblHeader/>
        </w:trPr>
        <w:tc>
          <w:tcPr>
            <w:tcW w:w="5000" w:type="pct"/>
            <w:gridSpan w:val="3"/>
            <w:tcBorders>
              <w:top w:val="single" w:sz="7" w:space="0" w:color="000000"/>
              <w:left w:val="single" w:sz="7" w:space="0" w:color="000000"/>
              <w:bottom w:val="single" w:sz="7" w:space="0" w:color="000000"/>
              <w:right w:val="single" w:sz="7" w:space="0" w:color="000000"/>
            </w:tcBorders>
            <w:shd w:val="clear" w:color="auto" w:fill="FFC000"/>
            <w:tcMar>
              <w:top w:w="100" w:type="dxa"/>
              <w:left w:w="100" w:type="dxa"/>
              <w:bottom w:w="100" w:type="dxa"/>
              <w:right w:w="100" w:type="dxa"/>
            </w:tcMar>
            <w:vAlign w:val="bottom"/>
          </w:tcPr>
          <w:p w14:paraId="78A3C9D9"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Income statement of Wales PLC</w:t>
            </w:r>
          </w:p>
        </w:tc>
      </w:tr>
      <w:tr w:rsidR="00BF7140" w:rsidRPr="00792499" w14:paraId="6F4453E7" w14:textId="77777777" w:rsidTr="000156CB">
        <w:trPr>
          <w:cantSplit/>
          <w:trHeight w:val="810"/>
          <w:tblHeader/>
        </w:trPr>
        <w:tc>
          <w:tcPr>
            <w:tcW w:w="5000" w:type="pct"/>
            <w:gridSpan w:val="3"/>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54878D4B"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 xml:space="preserve">As of </w:t>
            </w:r>
            <w:proofErr w:type="gramStart"/>
            <w:r w:rsidRPr="00792499">
              <w:rPr>
                <w:rFonts w:ascii="Times New Roman" w:eastAsia="Times New Roman" w:hAnsi="Times New Roman" w:cs="Times New Roman"/>
                <w:b/>
                <w:sz w:val="24"/>
                <w:szCs w:val="24"/>
                <w:lang w:val="en-GB"/>
              </w:rPr>
              <w:t>31st Dec 2022</w:t>
            </w:r>
            <w:proofErr w:type="gramEnd"/>
          </w:p>
        </w:tc>
      </w:tr>
      <w:tr w:rsidR="00BF7140" w:rsidRPr="00792499" w14:paraId="5163DC5E"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B53C712"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Particulars</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808C4A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Amount</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36CD63F"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Amount</w:t>
            </w:r>
          </w:p>
        </w:tc>
      </w:tr>
      <w:tr w:rsidR="00BF7140" w:rsidRPr="00792499" w14:paraId="62D319F9"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F09E5C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Sales</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9C1D9A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800980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CC73F45"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058E0BFF"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798527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Cost of sales</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9A0F72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578650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F373F8D"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6A2BF07"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CCC0D9"/>
            <w:tcMar>
              <w:top w:w="100" w:type="dxa"/>
              <w:left w:w="100" w:type="dxa"/>
              <w:bottom w:w="100" w:type="dxa"/>
              <w:right w:w="100" w:type="dxa"/>
            </w:tcMar>
            <w:vAlign w:val="bottom"/>
          </w:tcPr>
          <w:p w14:paraId="356EEE3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Gross profit</w:t>
            </w:r>
          </w:p>
        </w:tc>
        <w:tc>
          <w:tcPr>
            <w:tcW w:w="1042" w:type="pct"/>
            <w:tcBorders>
              <w:top w:val="nil"/>
              <w:left w:val="nil"/>
              <w:bottom w:val="single" w:sz="7" w:space="0" w:color="000000"/>
              <w:right w:val="single" w:sz="7" w:space="0" w:color="000000"/>
            </w:tcBorders>
            <w:shd w:val="clear" w:color="auto" w:fill="CCC0D9"/>
            <w:tcMar>
              <w:top w:w="100" w:type="dxa"/>
              <w:left w:w="100" w:type="dxa"/>
              <w:bottom w:w="100" w:type="dxa"/>
              <w:right w:w="100" w:type="dxa"/>
            </w:tcMar>
            <w:vAlign w:val="bottom"/>
          </w:tcPr>
          <w:p w14:paraId="7BB54669" w14:textId="77777777" w:rsidR="00BF7140" w:rsidRPr="00792499" w:rsidRDefault="00BF7140">
            <w:pPr>
              <w:pStyle w:val="Normal1"/>
              <w:spacing w:before="240" w:after="240" w:line="360" w:lineRule="auto"/>
              <w:jc w:val="both"/>
              <w:rPr>
                <w:rFonts w:ascii="Times New Roman" w:eastAsia="Times New Roman" w:hAnsi="Times New Roman" w:cs="Times New Roman"/>
                <w:b/>
                <w:sz w:val="24"/>
                <w:szCs w:val="24"/>
                <w:lang w:val="en-GB"/>
              </w:rPr>
            </w:pPr>
          </w:p>
        </w:tc>
        <w:tc>
          <w:tcPr>
            <w:tcW w:w="1042" w:type="pct"/>
            <w:tcBorders>
              <w:top w:val="nil"/>
              <w:left w:val="nil"/>
              <w:bottom w:val="single" w:sz="7" w:space="0" w:color="000000"/>
              <w:right w:val="single" w:sz="7" w:space="0" w:color="000000"/>
            </w:tcBorders>
            <w:shd w:val="clear" w:color="auto" w:fill="CCC0D9"/>
            <w:tcMar>
              <w:top w:w="100" w:type="dxa"/>
              <w:left w:w="100" w:type="dxa"/>
              <w:bottom w:w="100" w:type="dxa"/>
              <w:right w:w="100" w:type="dxa"/>
            </w:tcMar>
            <w:vAlign w:val="bottom"/>
          </w:tcPr>
          <w:p w14:paraId="745B1E3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222330</w:t>
            </w:r>
          </w:p>
        </w:tc>
      </w:tr>
      <w:tr w:rsidR="00BF7140" w:rsidRPr="00792499" w14:paraId="23905621"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C875F6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Administrative expenses</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064204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C3620A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7AF07D7"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344FC3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proofErr w:type="gramStart"/>
            <w:r w:rsidRPr="00792499">
              <w:rPr>
                <w:rFonts w:ascii="Times New Roman" w:eastAsia="Times New Roman" w:hAnsi="Times New Roman" w:cs="Times New Roman"/>
                <w:sz w:val="24"/>
                <w:szCs w:val="24"/>
                <w:lang w:val="en-GB"/>
              </w:rPr>
              <w:t>Directors</w:t>
            </w:r>
            <w:proofErr w:type="gramEnd"/>
            <w:r w:rsidRPr="00792499">
              <w:rPr>
                <w:rFonts w:ascii="Times New Roman" w:eastAsia="Times New Roman" w:hAnsi="Times New Roman" w:cs="Times New Roman"/>
                <w:sz w:val="24"/>
                <w:szCs w:val="24"/>
                <w:lang w:val="en-GB"/>
              </w:rPr>
              <w:t xml:space="preserve"> remuneration</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88BB33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5000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267803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D7D77CB"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0CC839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Distribution cost</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0E22D4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28000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FF0A1D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F756B53"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169738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Commission of Salesman</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582A2A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FA747A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093F5277"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6A320D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Operating income</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B2F180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8BA2C3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156330</w:t>
            </w:r>
          </w:p>
        </w:tc>
      </w:tr>
      <w:tr w:rsidR="00BF7140" w:rsidRPr="00792499" w14:paraId="464C4BA0"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D4B44D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Ordinary dividend</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B9CF35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20000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F30983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58D2BA59"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7FE043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Preference dividend</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6F418E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D6B4F6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297825CD"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743D98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Interest paid</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0FDBB4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1078B4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F2651DC"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14EE39F"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Corporation tax</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A7EFC7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100000</w:t>
            </w:r>
          </w:p>
        </w:tc>
        <w:tc>
          <w:tcPr>
            <w:tcW w:w="1042"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4A73EF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EAB2007" w14:textId="77777777" w:rsidTr="000156CB">
        <w:trPr>
          <w:cantSplit/>
          <w:trHeight w:val="810"/>
          <w:tblHeader/>
        </w:trPr>
        <w:tc>
          <w:tcPr>
            <w:tcW w:w="2915" w:type="pct"/>
            <w:tcBorders>
              <w:top w:val="nil"/>
              <w:left w:val="single" w:sz="7" w:space="0" w:color="000000"/>
              <w:bottom w:val="single" w:sz="7" w:space="0" w:color="000000"/>
              <w:right w:val="single" w:sz="7" w:space="0" w:color="000000"/>
            </w:tcBorders>
            <w:shd w:val="clear" w:color="auto" w:fill="CCC0D9"/>
            <w:tcMar>
              <w:top w:w="100" w:type="dxa"/>
              <w:left w:w="100" w:type="dxa"/>
              <w:bottom w:w="100" w:type="dxa"/>
              <w:right w:w="100" w:type="dxa"/>
            </w:tcMar>
            <w:vAlign w:val="bottom"/>
          </w:tcPr>
          <w:p w14:paraId="1C1F2224"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Net profit</w:t>
            </w:r>
          </w:p>
        </w:tc>
        <w:tc>
          <w:tcPr>
            <w:tcW w:w="1042" w:type="pct"/>
            <w:tcBorders>
              <w:top w:val="nil"/>
              <w:left w:val="nil"/>
              <w:bottom w:val="single" w:sz="7" w:space="0" w:color="000000"/>
              <w:right w:val="single" w:sz="7" w:space="0" w:color="000000"/>
            </w:tcBorders>
            <w:shd w:val="clear" w:color="auto" w:fill="CCC0D9"/>
            <w:tcMar>
              <w:top w:w="100" w:type="dxa"/>
              <w:left w:w="100" w:type="dxa"/>
              <w:bottom w:w="100" w:type="dxa"/>
              <w:right w:w="100" w:type="dxa"/>
            </w:tcMar>
            <w:vAlign w:val="bottom"/>
          </w:tcPr>
          <w:p w14:paraId="716D81E9" w14:textId="77777777" w:rsidR="00BF7140" w:rsidRPr="00792499" w:rsidRDefault="00BF7140">
            <w:pPr>
              <w:pStyle w:val="Normal1"/>
              <w:spacing w:before="240" w:after="240" w:line="360" w:lineRule="auto"/>
              <w:jc w:val="both"/>
              <w:rPr>
                <w:rFonts w:ascii="Times New Roman" w:eastAsia="Times New Roman" w:hAnsi="Times New Roman" w:cs="Times New Roman"/>
                <w:b/>
                <w:sz w:val="24"/>
                <w:szCs w:val="24"/>
                <w:lang w:val="en-GB"/>
              </w:rPr>
            </w:pPr>
          </w:p>
        </w:tc>
        <w:tc>
          <w:tcPr>
            <w:tcW w:w="1042" w:type="pct"/>
            <w:tcBorders>
              <w:top w:val="nil"/>
              <w:left w:val="nil"/>
              <w:bottom w:val="single" w:sz="7" w:space="0" w:color="000000"/>
              <w:right w:val="single" w:sz="7" w:space="0" w:color="000000"/>
            </w:tcBorders>
            <w:shd w:val="clear" w:color="auto" w:fill="CCC0D9"/>
            <w:tcMar>
              <w:top w:w="100" w:type="dxa"/>
              <w:left w:w="100" w:type="dxa"/>
              <w:bottom w:w="100" w:type="dxa"/>
              <w:right w:w="100" w:type="dxa"/>
            </w:tcMar>
            <w:vAlign w:val="bottom"/>
          </w:tcPr>
          <w:p w14:paraId="111DC8C0"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4330</w:t>
            </w:r>
          </w:p>
        </w:tc>
      </w:tr>
    </w:tbl>
    <w:p w14:paraId="45F881D0" w14:textId="77777777" w:rsidR="00BF7140" w:rsidRPr="00792499" w:rsidRDefault="00BF7140">
      <w:pPr>
        <w:pStyle w:val="Normal1"/>
        <w:spacing w:line="360" w:lineRule="auto"/>
        <w:jc w:val="both"/>
        <w:rPr>
          <w:rFonts w:ascii="Times New Roman" w:eastAsia="Times New Roman" w:hAnsi="Times New Roman" w:cs="Times New Roman"/>
          <w:sz w:val="24"/>
          <w:szCs w:val="24"/>
          <w:lang w:val="en-GB"/>
        </w:rPr>
      </w:pPr>
    </w:p>
    <w:p w14:paraId="6998D729" w14:textId="77777777" w:rsidR="00BF7140" w:rsidRPr="00792499" w:rsidRDefault="00F344B3" w:rsidP="000156CB">
      <w:pPr>
        <w:pStyle w:val="Normal1"/>
        <w:spacing w:before="240" w:after="240"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Table 1: Income statement of Wales PLC</w:t>
      </w:r>
    </w:p>
    <w:p w14:paraId="27832E7E" w14:textId="77777777" w:rsidR="00BF7140" w:rsidRPr="00792499" w:rsidRDefault="00F344B3">
      <w:pPr>
        <w:pStyle w:val="Normal1"/>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primary goal of preparing an income statement is to incorporate all the information concerning revenue and expenses (</w:t>
      </w:r>
      <w:r w:rsidRPr="00792499">
        <w:rPr>
          <w:rFonts w:ascii="Times New Roman" w:eastAsia="Times New Roman" w:hAnsi="Times New Roman" w:cs="Times New Roman"/>
          <w:sz w:val="24"/>
          <w:szCs w:val="24"/>
          <w:highlight w:val="white"/>
          <w:lang w:val="en-GB"/>
        </w:rPr>
        <w:t>Edmonds et al., 2021).</w:t>
      </w:r>
      <w:r w:rsidRPr="00792499">
        <w:rPr>
          <w:rFonts w:ascii="Times New Roman" w:eastAsia="Times New Roman" w:hAnsi="Times New Roman" w:cs="Times New Roman"/>
          <w:sz w:val="24"/>
          <w:szCs w:val="24"/>
          <w:lang w:val="en-GB"/>
        </w:rPr>
        <w:t xml:space="preserve"> The above income statement of Wales PLC is prepared after taking all the information from the trial balances and the section of additional information. For the investor of Wales PLC, the statement is extremely important because it provides ultimate information regarding the profit-earning capacity of the company. The above table represents that the revenue of the company in 2022 was £ 800980. The cost of sales of this company comprises all the direct costs of production (</w:t>
      </w:r>
      <w:r w:rsidRPr="00792499">
        <w:rPr>
          <w:rFonts w:ascii="Times New Roman" w:eastAsia="Times New Roman" w:hAnsi="Times New Roman" w:cs="Times New Roman"/>
          <w:sz w:val="24"/>
          <w:szCs w:val="24"/>
          <w:highlight w:val="white"/>
          <w:lang w:val="en-GB"/>
        </w:rPr>
        <w:t>Cai et al., 2021).</w:t>
      </w:r>
      <w:r w:rsidRPr="00792499">
        <w:rPr>
          <w:rFonts w:ascii="Times New Roman" w:eastAsia="Times New Roman" w:hAnsi="Times New Roman" w:cs="Times New Roman"/>
          <w:sz w:val="24"/>
          <w:szCs w:val="24"/>
          <w:lang w:val="en-GB"/>
        </w:rPr>
        <w:t xml:space="preserve"> In order to calculate the </w:t>
      </w:r>
      <w:r w:rsidRPr="00792499">
        <w:rPr>
          <w:rFonts w:ascii="Times New Roman" w:eastAsia="Times New Roman" w:hAnsi="Times New Roman" w:cs="Times New Roman"/>
          <w:b/>
          <w:i/>
          <w:sz w:val="24"/>
          <w:szCs w:val="24"/>
          <w:lang w:val="en-GB"/>
        </w:rPr>
        <w:t>gross profit of the company, the cost of sales is deducted from the total revenue generated from sales</w:t>
      </w:r>
      <w:r w:rsidRPr="00792499">
        <w:rPr>
          <w:rFonts w:ascii="Times New Roman" w:eastAsia="Times New Roman" w:hAnsi="Times New Roman" w:cs="Times New Roman"/>
          <w:sz w:val="24"/>
          <w:szCs w:val="24"/>
          <w:lang w:val="en-GB"/>
        </w:rPr>
        <w:t xml:space="preserve">. The total cost of sales of Wales PLC in 2022 was £ 578650. </w:t>
      </w:r>
      <w:r w:rsidR="00966254" w:rsidRPr="00792499">
        <w:rPr>
          <w:rFonts w:ascii="Times New Roman" w:eastAsia="Times New Roman" w:hAnsi="Times New Roman" w:cs="Times New Roman"/>
          <w:sz w:val="24"/>
          <w:szCs w:val="24"/>
          <w:lang w:val="en-GB"/>
        </w:rPr>
        <w:t>After</w:t>
      </w:r>
      <w:r w:rsidRPr="00792499">
        <w:rPr>
          <w:rFonts w:ascii="Times New Roman" w:eastAsia="Times New Roman" w:hAnsi="Times New Roman" w:cs="Times New Roman"/>
          <w:sz w:val="24"/>
          <w:szCs w:val="24"/>
          <w:lang w:val="en-GB"/>
        </w:rPr>
        <w:t xml:space="preserve"> deducting it from sales the gross profit of the organisation was £ 222330. In the income statement, the gross profit of the company represents the capability of the organisation to cover direct expenses. This statement is also prepared to determine the ultimate profitability of the company after meeting all the indirect expenses. The indirect expenses of Wales PLC include administrative expenses, director's remuneration, salesman Commission, and distribution cost (</w:t>
      </w:r>
      <w:proofErr w:type="spellStart"/>
      <w:r w:rsidRPr="00792499">
        <w:rPr>
          <w:rFonts w:ascii="Times New Roman" w:eastAsia="Times New Roman" w:hAnsi="Times New Roman" w:cs="Times New Roman"/>
          <w:sz w:val="24"/>
          <w:szCs w:val="24"/>
          <w:highlight w:val="white"/>
          <w:lang w:val="en-GB"/>
        </w:rPr>
        <w:t>Faccia</w:t>
      </w:r>
      <w:proofErr w:type="spellEnd"/>
      <w:r w:rsidRPr="00792499">
        <w:rPr>
          <w:rFonts w:ascii="Times New Roman" w:eastAsia="Times New Roman" w:hAnsi="Times New Roman" w:cs="Times New Roman"/>
          <w:sz w:val="24"/>
          <w:szCs w:val="24"/>
          <w:highlight w:val="white"/>
          <w:lang w:val="en-GB"/>
        </w:rPr>
        <w:t xml:space="preserve"> et al., 2019)</w:t>
      </w:r>
      <w:r w:rsidRPr="00792499">
        <w:rPr>
          <w:rFonts w:ascii="Times New Roman" w:eastAsia="Times New Roman" w:hAnsi="Times New Roman" w:cs="Times New Roman"/>
          <w:sz w:val="24"/>
          <w:szCs w:val="24"/>
          <w:lang w:val="en-GB"/>
        </w:rPr>
        <w:t xml:space="preserve">. After deducting all the indirect </w:t>
      </w:r>
      <w:proofErr w:type="gramStart"/>
      <w:r w:rsidRPr="00792499">
        <w:rPr>
          <w:rFonts w:ascii="Times New Roman" w:eastAsia="Times New Roman" w:hAnsi="Times New Roman" w:cs="Times New Roman"/>
          <w:sz w:val="24"/>
          <w:szCs w:val="24"/>
          <w:lang w:val="en-GB"/>
        </w:rPr>
        <w:t>expenses</w:t>
      </w:r>
      <w:proofErr w:type="gramEnd"/>
      <w:r w:rsidRPr="00792499">
        <w:rPr>
          <w:rFonts w:ascii="Times New Roman" w:eastAsia="Times New Roman" w:hAnsi="Times New Roman" w:cs="Times New Roman"/>
          <w:sz w:val="24"/>
          <w:szCs w:val="24"/>
          <w:lang w:val="en-GB"/>
        </w:rPr>
        <w:t xml:space="preserve"> it is possible to a</w:t>
      </w:r>
      <w:r w:rsidR="006225B1" w:rsidRPr="00792499">
        <w:rPr>
          <w:rFonts w:ascii="Times New Roman" w:eastAsia="Times New Roman" w:hAnsi="Times New Roman" w:cs="Times New Roman"/>
          <w:sz w:val="24"/>
          <w:szCs w:val="24"/>
          <w:lang w:val="en-GB"/>
        </w:rPr>
        <w:t>ss</w:t>
      </w:r>
      <w:r w:rsidRPr="00792499">
        <w:rPr>
          <w:rFonts w:ascii="Times New Roman" w:eastAsia="Times New Roman" w:hAnsi="Times New Roman" w:cs="Times New Roman"/>
          <w:sz w:val="24"/>
          <w:szCs w:val="24"/>
          <w:lang w:val="en-GB"/>
        </w:rPr>
        <w:t xml:space="preserve">ess the operating income. </w:t>
      </w:r>
      <w:proofErr w:type="gramStart"/>
      <w:r w:rsidR="00966254" w:rsidRPr="00792499">
        <w:rPr>
          <w:rFonts w:ascii="Times New Roman" w:eastAsia="Times New Roman" w:hAnsi="Times New Roman" w:cs="Times New Roman"/>
          <w:sz w:val="24"/>
          <w:szCs w:val="24"/>
          <w:lang w:val="en-GB"/>
        </w:rPr>
        <w:t>So</w:t>
      </w:r>
      <w:proofErr w:type="gramEnd"/>
      <w:r w:rsidRPr="00792499">
        <w:rPr>
          <w:rFonts w:ascii="Times New Roman" w:eastAsia="Times New Roman" w:hAnsi="Times New Roman" w:cs="Times New Roman"/>
          <w:sz w:val="24"/>
          <w:szCs w:val="24"/>
          <w:lang w:val="en-GB"/>
        </w:rPr>
        <w:t xml:space="preserve"> the operating income of </w:t>
      </w:r>
      <w:r w:rsidRPr="00792499">
        <w:rPr>
          <w:rFonts w:ascii="Times New Roman" w:eastAsia="Times New Roman" w:hAnsi="Times New Roman" w:cs="Times New Roman"/>
          <w:sz w:val="24"/>
          <w:szCs w:val="24"/>
          <w:lang w:val="en-GB"/>
        </w:rPr>
        <w:lastRenderedPageBreak/>
        <w:t xml:space="preserve">Wales PLC in 2022 was £ 156330. The ordinary dividend payment of this organisation in 2022 was £ 20000 and the preference dividend was £ 30000. Because of the loan, this company paid £2000 as interest. The amount of Corporation tax of this company in 2022 was £ 100000. After deducting these </w:t>
      </w:r>
      <w:proofErr w:type="gramStart"/>
      <w:r w:rsidRPr="00792499">
        <w:rPr>
          <w:rFonts w:ascii="Times New Roman" w:eastAsia="Times New Roman" w:hAnsi="Times New Roman" w:cs="Times New Roman"/>
          <w:sz w:val="24"/>
          <w:szCs w:val="24"/>
          <w:lang w:val="en-GB"/>
        </w:rPr>
        <w:t>expenses</w:t>
      </w:r>
      <w:proofErr w:type="gramEnd"/>
      <w:r w:rsidRPr="00792499">
        <w:rPr>
          <w:rFonts w:ascii="Times New Roman" w:eastAsia="Times New Roman" w:hAnsi="Times New Roman" w:cs="Times New Roman"/>
          <w:sz w:val="24"/>
          <w:szCs w:val="24"/>
          <w:lang w:val="en-GB"/>
        </w:rPr>
        <w:t xml:space="preserve"> the net profit of Wales PLC at the end of the accounting year 2022 was £ 4330.</w:t>
      </w:r>
    </w:p>
    <w:tbl>
      <w:tblPr>
        <w:tblStyle w:val="Table2"/>
        <w:tblW w:w="5000" w:type="pct"/>
        <w:tblInd w:w="0" w:type="dxa"/>
        <w:tblBorders>
          <w:top w:val="nil"/>
          <w:left w:val="nil"/>
          <w:bottom w:val="nil"/>
          <w:right w:val="nil"/>
          <w:insideH w:val="nil"/>
          <w:insideV w:val="nil"/>
        </w:tblBorders>
        <w:tblLook w:val="0600" w:firstRow="0" w:lastRow="0" w:firstColumn="0" w:lastColumn="0" w:noHBand="1" w:noVBand="1"/>
      </w:tblPr>
      <w:tblGrid>
        <w:gridCol w:w="5478"/>
        <w:gridCol w:w="1932"/>
        <w:gridCol w:w="1932"/>
      </w:tblGrid>
      <w:tr w:rsidR="00BF7140" w:rsidRPr="00792499" w14:paraId="57382132" w14:textId="77777777" w:rsidTr="000156CB">
        <w:trPr>
          <w:cantSplit/>
          <w:trHeight w:val="1005"/>
          <w:tblHeader/>
        </w:trPr>
        <w:tc>
          <w:tcPr>
            <w:tcW w:w="5000" w:type="pct"/>
            <w:gridSpan w:val="3"/>
            <w:tcBorders>
              <w:top w:val="single" w:sz="7" w:space="0" w:color="000000"/>
              <w:left w:val="single" w:sz="7" w:space="0" w:color="000000"/>
              <w:bottom w:val="single" w:sz="7" w:space="0" w:color="000000"/>
              <w:right w:val="single" w:sz="7" w:space="0" w:color="000000"/>
            </w:tcBorders>
            <w:shd w:val="clear" w:color="auto" w:fill="FFC000"/>
            <w:tcMar>
              <w:top w:w="100" w:type="dxa"/>
              <w:left w:w="100" w:type="dxa"/>
              <w:bottom w:w="100" w:type="dxa"/>
              <w:right w:w="100" w:type="dxa"/>
            </w:tcMar>
            <w:vAlign w:val="bottom"/>
          </w:tcPr>
          <w:p w14:paraId="6E9B4F25" w14:textId="77777777" w:rsidR="00BF7140" w:rsidRPr="00792499" w:rsidRDefault="00F344B3" w:rsidP="000156CB">
            <w:pPr>
              <w:pStyle w:val="Normal1"/>
              <w:spacing w:before="240" w:after="240"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The balance sheet</w:t>
            </w:r>
          </w:p>
        </w:tc>
      </w:tr>
      <w:tr w:rsidR="00BF7140" w:rsidRPr="00792499" w14:paraId="0345BE24" w14:textId="77777777" w:rsidTr="000156CB">
        <w:trPr>
          <w:cantSplit/>
          <w:trHeight w:val="810"/>
          <w:tblHeader/>
        </w:trPr>
        <w:tc>
          <w:tcPr>
            <w:tcW w:w="5000" w:type="pct"/>
            <w:gridSpan w:val="3"/>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1F5E6497" w14:textId="77777777" w:rsidR="00BF7140" w:rsidRPr="00792499" w:rsidRDefault="00F344B3" w:rsidP="000156CB">
            <w:pPr>
              <w:pStyle w:val="Normal1"/>
              <w:spacing w:before="240" w:after="240"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 xml:space="preserve">As of </w:t>
            </w:r>
            <w:proofErr w:type="gramStart"/>
            <w:r w:rsidRPr="00792499">
              <w:rPr>
                <w:rFonts w:ascii="Times New Roman" w:eastAsia="Times New Roman" w:hAnsi="Times New Roman" w:cs="Times New Roman"/>
                <w:b/>
                <w:sz w:val="24"/>
                <w:szCs w:val="24"/>
                <w:lang w:val="en-GB"/>
              </w:rPr>
              <w:t>31st Dec 2022</w:t>
            </w:r>
            <w:proofErr w:type="gramEnd"/>
          </w:p>
        </w:tc>
      </w:tr>
      <w:tr w:rsidR="00BF7140" w:rsidRPr="00792499" w14:paraId="0C5437EC"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59C10E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F41D6CB"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Amount</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BDA2F4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Amount</w:t>
            </w:r>
          </w:p>
        </w:tc>
      </w:tr>
      <w:tr w:rsidR="00BF7140" w:rsidRPr="00792499" w14:paraId="24EB7C11"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5F201A6"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Non-current assets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035F78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165AEB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B2CA07B"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903702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Plant and equipment</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3F1F85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1250000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4D1AED3"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7146238F" w14:textId="77777777" w:rsidTr="000156CB">
        <w:trPr>
          <w:cantSplit/>
          <w:trHeight w:val="5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A1561A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14F3A3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77A7E25"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6975F5C"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ACF2826"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Current assets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84415BD"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702EEF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516D07AF"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8324B8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Stock</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C8749B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510850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D24A22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25CAB4D6"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ECC9EC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Trade receivable</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AF4798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170125</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FE7418E"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792ED152"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C883DD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Cash and bank</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1B8977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96000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19701D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25745A7"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42141C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Accrued receivable</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AE56D6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980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EA2B06E"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21881754"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917DB67"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Total assets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348E00E"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DC8203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2027955</w:t>
            </w:r>
          </w:p>
        </w:tc>
      </w:tr>
      <w:tr w:rsidR="00BF7140" w:rsidRPr="00792499" w14:paraId="14E7C4BF"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CF3B0FA"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Current liabilities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BD9614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D74CCF5"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716FB1C0"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A73A2E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Trade payable</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13CAD9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188625</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FDC4C8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D4E1C13"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502F84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Outstanding commission</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DFB9A6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860313E"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409E9F27"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897C4D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Corporation tax</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1665D7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100000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F1B97E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55F25D99"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04C842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Non-current liabilities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276454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E4C735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2C487772"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DFD940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 Debentures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4244AB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200000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F52886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4448665"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31B0C94"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Net assets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FBE847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AEDEA5A"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u w:val="single"/>
                <w:lang w:val="en-GB"/>
              </w:rPr>
            </w:pPr>
            <w:r w:rsidRPr="00792499">
              <w:rPr>
                <w:rFonts w:ascii="Times New Roman" w:eastAsia="Times New Roman" w:hAnsi="Times New Roman" w:cs="Times New Roman"/>
                <w:b/>
                <w:sz w:val="24"/>
                <w:szCs w:val="24"/>
                <w:u w:val="single"/>
                <w:lang w:val="en-GB"/>
              </w:rPr>
              <w:t>1536330</w:t>
            </w:r>
          </w:p>
        </w:tc>
      </w:tr>
      <w:tr w:rsidR="00BF7140" w:rsidRPr="00792499" w14:paraId="352EE393" w14:textId="77777777" w:rsidTr="000156CB">
        <w:trPr>
          <w:cantSplit/>
          <w:trHeight w:val="57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3E4825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06A3A66"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64F244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F8013C7"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2DD51F2"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Equity</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F9D9F0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CEBDCBD"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302ECEF4"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F83A05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Ordinary shares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7AA3A4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900000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889F95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77E99FA8"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EC62C6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preference shares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3A2230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500000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E2621C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0876CF00"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89EF93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Retained profits</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5CBF00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136330</w:t>
            </w: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BC3FAB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0F8A3542" w14:textId="77777777" w:rsidTr="000156CB">
        <w:trPr>
          <w:cantSplit/>
          <w:trHeight w:val="810"/>
          <w:tblHeader/>
        </w:trPr>
        <w:tc>
          <w:tcPr>
            <w:tcW w:w="2932"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0EFD82A"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C44A0B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034"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FD5938D"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u w:val="single"/>
                <w:lang w:val="en-GB"/>
              </w:rPr>
            </w:pPr>
            <w:r w:rsidRPr="00792499">
              <w:rPr>
                <w:rFonts w:ascii="Times New Roman" w:eastAsia="Times New Roman" w:hAnsi="Times New Roman" w:cs="Times New Roman"/>
                <w:b/>
                <w:sz w:val="24"/>
                <w:szCs w:val="24"/>
                <w:u w:val="single"/>
                <w:lang w:val="en-GB"/>
              </w:rPr>
              <w:t>1536330</w:t>
            </w:r>
          </w:p>
        </w:tc>
      </w:tr>
    </w:tbl>
    <w:p w14:paraId="4429DED2" w14:textId="77777777" w:rsidR="00BF7140" w:rsidRPr="00792499" w:rsidRDefault="00BF7140">
      <w:pPr>
        <w:pStyle w:val="Normal1"/>
        <w:spacing w:line="360" w:lineRule="auto"/>
        <w:jc w:val="both"/>
        <w:rPr>
          <w:rFonts w:ascii="Times New Roman" w:eastAsia="Times New Roman" w:hAnsi="Times New Roman" w:cs="Times New Roman"/>
          <w:sz w:val="24"/>
          <w:szCs w:val="24"/>
          <w:lang w:val="en-GB"/>
        </w:rPr>
      </w:pPr>
    </w:p>
    <w:p w14:paraId="155600D3" w14:textId="77777777" w:rsidR="00BF7140" w:rsidRPr="00792499" w:rsidRDefault="00F344B3" w:rsidP="000156CB">
      <w:pPr>
        <w:pStyle w:val="Normal1"/>
        <w:spacing w:before="240" w:after="240"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Table 2: Financial position statement of Wales PLC</w:t>
      </w:r>
    </w:p>
    <w:p w14:paraId="1F6A4CA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goal of preparing the balance sheet of this company is to incorporate all the information regarding assets and liability. Every public limited company had to prepare a financial position statement at the end of the accounting year and it needed to be communicated to the stakeholders (</w:t>
      </w:r>
      <w:r w:rsidRPr="00792499">
        <w:rPr>
          <w:rFonts w:ascii="Times New Roman" w:eastAsia="Times New Roman" w:hAnsi="Times New Roman" w:cs="Times New Roman"/>
          <w:sz w:val="24"/>
          <w:szCs w:val="24"/>
          <w:highlight w:val="white"/>
          <w:lang w:val="en-GB"/>
        </w:rPr>
        <w:t>Schroeder et al., 2022)</w:t>
      </w:r>
      <w:r w:rsidRPr="00792499">
        <w:rPr>
          <w:rFonts w:ascii="Times New Roman" w:eastAsia="Times New Roman" w:hAnsi="Times New Roman" w:cs="Times New Roman"/>
          <w:sz w:val="24"/>
          <w:szCs w:val="24"/>
          <w:lang w:val="en-GB"/>
        </w:rPr>
        <w:t>. The importance of preparing this statement is that it represents the actual financial health of the company. The balance sheet also assists the investors in assessing the operational strength. From the above table, the actual financial position of Wales PLC at the end of 2022 can be determined. From the above table, it can be interpreted that the non-current asset section comprises one item such as plant and equipment (£ 1250000). The current asset part of the balance sheet comprises different assets such as stock, trade receivable and cash and Bank. As per the information given about this company, an additional £ 980 was added to the trade receivable as an accrued receivable (</w:t>
      </w:r>
      <w:r w:rsidRPr="00792499">
        <w:rPr>
          <w:rFonts w:ascii="Times New Roman" w:eastAsia="Times New Roman" w:hAnsi="Times New Roman" w:cs="Times New Roman"/>
          <w:sz w:val="24"/>
          <w:szCs w:val="24"/>
          <w:highlight w:val="white"/>
          <w:lang w:val="en-GB"/>
        </w:rPr>
        <w:t>Lev, 2019)</w:t>
      </w:r>
      <w:r w:rsidRPr="00792499">
        <w:rPr>
          <w:rFonts w:ascii="Times New Roman" w:eastAsia="Times New Roman" w:hAnsi="Times New Roman" w:cs="Times New Roman"/>
          <w:sz w:val="24"/>
          <w:szCs w:val="24"/>
          <w:lang w:val="en-GB"/>
        </w:rPr>
        <w:t>. The cash and bank balance at the end of the year was £ 96000. The total asset value of the company was £ 2027955. For the calculation of Net Assets, non-current liabilities and current liabilities were subtracted. The value of the non-current liability of the company was £ 200000 which was 4% debenture. The current liability of the organisation comprises trade payable, Corporation tax and outstanding Commission. The value of the outstanding Commission was £ 3000. The net asset of Wales PLC at the end of 2022 was £1536330. The equity part of the balance sheet comprises ordinary shares (£ 900000)</w:t>
      </w:r>
      <w:r w:rsidR="00966254" w:rsidRPr="00792499">
        <w:rPr>
          <w:rFonts w:ascii="Times New Roman" w:eastAsia="Times New Roman" w:hAnsi="Times New Roman" w:cs="Times New Roman"/>
          <w:sz w:val="24"/>
          <w:szCs w:val="24"/>
          <w:lang w:val="en-GB"/>
        </w:rPr>
        <w:t>;</w:t>
      </w:r>
      <w:r w:rsidRPr="00792499">
        <w:rPr>
          <w:rFonts w:ascii="Times New Roman" w:eastAsia="Times New Roman" w:hAnsi="Times New Roman" w:cs="Times New Roman"/>
          <w:sz w:val="24"/>
          <w:szCs w:val="24"/>
          <w:lang w:val="en-GB"/>
        </w:rPr>
        <w:t xml:space="preserve"> preference shares (£ 500000) and retained profit (£ 136330). </w:t>
      </w:r>
    </w:p>
    <w:p w14:paraId="4C0BB71A" w14:textId="77777777" w:rsidR="00BF7140" w:rsidRPr="00792499" w:rsidRDefault="00F344B3">
      <w:pPr>
        <w:pStyle w:val="Normal1"/>
        <w:numPr>
          <w:ilvl w:val="0"/>
          <w:numId w:val="2"/>
        </w:numPr>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 xml:space="preserve">Causes for which financial position statement balance </w:t>
      </w:r>
    </w:p>
    <w:p w14:paraId="787C33C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As per the accounting, a balance sheet should always balance. The financial position statement of an organisation is also known as a balance sheet on the basis of the fact that the liability and the Asset side of the company will always be equal. The asset represents the total amount owned by the organisation and the liability side comprises the total due amount (</w:t>
      </w:r>
      <w:proofErr w:type="spellStart"/>
      <w:r w:rsidRPr="00792499">
        <w:rPr>
          <w:rFonts w:ascii="Times New Roman" w:eastAsia="Times New Roman" w:hAnsi="Times New Roman" w:cs="Times New Roman"/>
          <w:sz w:val="24"/>
          <w:szCs w:val="24"/>
          <w:highlight w:val="white"/>
          <w:lang w:val="en-GB"/>
        </w:rPr>
        <w:t>Marrone</w:t>
      </w:r>
      <w:proofErr w:type="spellEnd"/>
      <w:r w:rsidRPr="00792499">
        <w:rPr>
          <w:rFonts w:ascii="Times New Roman" w:eastAsia="Times New Roman" w:hAnsi="Times New Roman" w:cs="Times New Roman"/>
          <w:sz w:val="24"/>
          <w:szCs w:val="24"/>
          <w:highlight w:val="white"/>
          <w:lang w:val="en-GB"/>
        </w:rPr>
        <w:t xml:space="preserve"> and Hazelton, 2019)</w:t>
      </w:r>
      <w:r w:rsidR="00966254">
        <w:rPr>
          <w:rFonts w:ascii="Times New Roman" w:eastAsia="Times New Roman" w:hAnsi="Times New Roman" w:cs="Times New Roman"/>
          <w:sz w:val="24"/>
          <w:szCs w:val="24"/>
          <w:lang w:val="en-GB"/>
        </w:rPr>
        <w:t>. I</w:t>
      </w:r>
      <w:r w:rsidRPr="00792499">
        <w:rPr>
          <w:rFonts w:ascii="Times New Roman" w:eastAsia="Times New Roman" w:hAnsi="Times New Roman" w:cs="Times New Roman"/>
          <w:sz w:val="24"/>
          <w:szCs w:val="24"/>
          <w:lang w:val="en-GB"/>
        </w:rPr>
        <w:t xml:space="preserve">n the assets </w:t>
      </w:r>
      <w:r w:rsidR="00966254">
        <w:rPr>
          <w:rFonts w:ascii="Times New Roman" w:eastAsia="Times New Roman" w:hAnsi="Times New Roman" w:cs="Times New Roman"/>
          <w:sz w:val="24"/>
          <w:szCs w:val="24"/>
          <w:lang w:val="en-GB"/>
        </w:rPr>
        <w:t>side, current and</w:t>
      </w:r>
      <w:r w:rsidRPr="00792499">
        <w:rPr>
          <w:rFonts w:ascii="Times New Roman" w:eastAsia="Times New Roman" w:hAnsi="Times New Roman" w:cs="Times New Roman"/>
          <w:sz w:val="24"/>
          <w:szCs w:val="24"/>
          <w:lang w:val="en-GB"/>
        </w:rPr>
        <w:t xml:space="preserve"> non-current assets are recorded. The liability side of the balance sheet comprises total debt, equity and liability. The reason which acid and liability sides must be equal is because of the double-entry bookkeeping system. As per this accounting principle, every financial transaction needs to be reflected through two different accounts. For example, if an organisation decides to purchase an asset on a credit basis, then the asset should be debited to record the increasing value of assets (</w:t>
      </w:r>
      <w:proofErr w:type="spellStart"/>
      <w:r w:rsidRPr="00792499">
        <w:rPr>
          <w:rFonts w:ascii="Times New Roman" w:eastAsia="Times New Roman" w:hAnsi="Times New Roman" w:cs="Times New Roman"/>
          <w:sz w:val="24"/>
          <w:szCs w:val="24"/>
          <w:highlight w:val="white"/>
          <w:lang w:val="en-GB"/>
        </w:rPr>
        <w:t>Almagtome</w:t>
      </w:r>
      <w:proofErr w:type="spellEnd"/>
      <w:r w:rsidRPr="00792499">
        <w:rPr>
          <w:rFonts w:ascii="Times New Roman" w:eastAsia="Times New Roman" w:hAnsi="Times New Roman" w:cs="Times New Roman"/>
          <w:sz w:val="24"/>
          <w:szCs w:val="24"/>
          <w:highlight w:val="white"/>
          <w:lang w:val="en-GB"/>
        </w:rPr>
        <w:t xml:space="preserve"> et al., 2020).</w:t>
      </w:r>
      <w:r w:rsidRPr="00792499">
        <w:rPr>
          <w:rFonts w:ascii="Times New Roman" w:eastAsia="Times New Roman" w:hAnsi="Times New Roman" w:cs="Times New Roman"/>
          <w:sz w:val="24"/>
          <w:szCs w:val="24"/>
          <w:lang w:val="en-GB"/>
        </w:rPr>
        <w:t xml:space="preserve"> Consequently, the creditor's account needs to be credited to record the total amount due to the company. For this reason, it is considered that the asset and liability part of the </w:t>
      </w:r>
      <w:r w:rsidR="00966254">
        <w:rPr>
          <w:rFonts w:ascii="Times New Roman" w:eastAsia="Times New Roman" w:hAnsi="Times New Roman" w:cs="Times New Roman"/>
          <w:sz w:val="24"/>
          <w:szCs w:val="24"/>
          <w:lang w:val="en-GB"/>
        </w:rPr>
        <w:t>balance sheet</w:t>
      </w:r>
      <w:r w:rsidRPr="00792499">
        <w:rPr>
          <w:rFonts w:ascii="Times New Roman" w:eastAsia="Times New Roman" w:hAnsi="Times New Roman" w:cs="Times New Roman"/>
          <w:sz w:val="24"/>
          <w:szCs w:val="24"/>
          <w:lang w:val="en-GB"/>
        </w:rPr>
        <w:t xml:space="preserve"> should be always equal due to the double entry impact. </w:t>
      </w:r>
      <w:r w:rsidR="00966254" w:rsidRPr="00792499">
        <w:rPr>
          <w:rFonts w:ascii="Times New Roman" w:eastAsia="Times New Roman" w:hAnsi="Times New Roman" w:cs="Times New Roman"/>
          <w:sz w:val="24"/>
          <w:szCs w:val="24"/>
          <w:lang w:val="en-GB"/>
        </w:rPr>
        <w:t>It</w:t>
      </w:r>
      <w:r w:rsidRPr="00792499">
        <w:rPr>
          <w:rFonts w:ascii="Times New Roman" w:eastAsia="Times New Roman" w:hAnsi="Times New Roman" w:cs="Times New Roman"/>
          <w:sz w:val="24"/>
          <w:szCs w:val="24"/>
          <w:lang w:val="en-GB"/>
        </w:rPr>
        <w:t xml:space="preserve"> also ensures that the transactions are recorded in the books accurately. In case of any imbalance, the assets and liability site will not be equal, projecting some errors in recording the transactions.</w:t>
      </w:r>
    </w:p>
    <w:p w14:paraId="4FDABF71" w14:textId="77777777" w:rsidR="00BF7140" w:rsidRPr="00792499" w:rsidRDefault="00F344B3" w:rsidP="000156CB">
      <w:pPr>
        <w:pStyle w:val="Heading1"/>
        <w:rPr>
          <w:lang w:val="en-GB"/>
        </w:rPr>
      </w:pPr>
      <w:bookmarkStart w:id="1" w:name="_Toc132965755"/>
      <w:r w:rsidRPr="00792499">
        <w:rPr>
          <w:lang w:val="en-GB"/>
        </w:rPr>
        <w:t>Question 2</w:t>
      </w:r>
      <w:bookmarkEnd w:id="1"/>
    </w:p>
    <w:p w14:paraId="15EF38C8" w14:textId="77777777" w:rsidR="00BF7140" w:rsidRPr="00792499" w:rsidRDefault="00F344B3">
      <w:pPr>
        <w:pStyle w:val="Normal1"/>
        <w:numPr>
          <w:ilvl w:val="0"/>
          <w:numId w:val="1"/>
        </w:numPr>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Ratio analysis</w:t>
      </w:r>
    </w:p>
    <w:tbl>
      <w:tblPr>
        <w:tblStyle w:val="Table3"/>
        <w:tblW w:w="5000" w:type="pct"/>
        <w:tblInd w:w="0" w:type="dxa"/>
        <w:tblBorders>
          <w:top w:val="nil"/>
          <w:left w:val="nil"/>
          <w:bottom w:val="nil"/>
          <w:right w:val="nil"/>
          <w:insideH w:val="nil"/>
          <w:insideV w:val="nil"/>
        </w:tblBorders>
        <w:tblLook w:val="0600" w:firstRow="0" w:lastRow="0" w:firstColumn="0" w:lastColumn="0" w:noHBand="1" w:noVBand="1"/>
      </w:tblPr>
      <w:tblGrid>
        <w:gridCol w:w="3579"/>
        <w:gridCol w:w="3136"/>
        <w:gridCol w:w="1314"/>
        <w:gridCol w:w="1313"/>
      </w:tblGrid>
      <w:tr w:rsidR="00BF7140" w:rsidRPr="00792499" w14:paraId="2DAFFAFE" w14:textId="77777777" w:rsidTr="000156CB">
        <w:trPr>
          <w:cantSplit/>
          <w:trHeight w:val="810"/>
          <w:tblHeader/>
        </w:trPr>
        <w:tc>
          <w:tcPr>
            <w:tcW w:w="1915" w:type="pct"/>
            <w:tcBorders>
              <w:top w:val="single" w:sz="7" w:space="0" w:color="000000"/>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15620542"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1. ROCE</w:t>
            </w:r>
          </w:p>
        </w:tc>
        <w:tc>
          <w:tcPr>
            <w:tcW w:w="1678" w:type="pct"/>
            <w:tcBorders>
              <w:top w:val="single" w:sz="7" w:space="0" w:color="000000"/>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C707C1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single" w:sz="7" w:space="0" w:color="000000"/>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325519EE"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single" w:sz="7" w:space="0" w:color="000000"/>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05D0934F"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44458469"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533CAC1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EBIT</w:t>
            </w:r>
          </w:p>
        </w:tc>
        <w:tc>
          <w:tcPr>
            <w:tcW w:w="1678" w:type="pct"/>
            <w:vMerge w:val="restart"/>
            <w:tcBorders>
              <w:top w:val="nil"/>
              <w:left w:val="nil"/>
              <w:bottom w:val="single" w:sz="7" w:space="0" w:color="000000"/>
              <w:right w:val="single" w:sz="7" w:space="0" w:color="000000"/>
            </w:tcBorders>
            <w:tcMar>
              <w:top w:w="100" w:type="dxa"/>
              <w:left w:w="100" w:type="dxa"/>
              <w:bottom w:w="100" w:type="dxa"/>
              <w:right w:w="100" w:type="dxa"/>
            </w:tcMar>
            <w:vAlign w:val="bottom"/>
          </w:tcPr>
          <w:p w14:paraId="59A251E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EBIT / Capital employed</w:t>
            </w:r>
          </w:p>
        </w:tc>
        <w:tc>
          <w:tcPr>
            <w:tcW w:w="703" w:type="pct"/>
            <w:tcBorders>
              <w:top w:val="nil"/>
              <w:left w:val="nil"/>
              <w:bottom w:val="single" w:sz="7" w:space="0" w:color="000000"/>
              <w:right w:val="single" w:sz="7" w:space="0" w:color="000000"/>
            </w:tcBorders>
            <w:tcMar>
              <w:top w:w="100" w:type="dxa"/>
              <w:left w:w="100" w:type="dxa"/>
              <w:bottom w:w="100" w:type="dxa"/>
              <w:right w:w="100" w:type="dxa"/>
            </w:tcMar>
            <w:vAlign w:val="bottom"/>
          </w:tcPr>
          <w:p w14:paraId="432C240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805</w:t>
            </w:r>
          </w:p>
        </w:tc>
        <w:tc>
          <w:tcPr>
            <w:tcW w:w="703" w:type="pct"/>
            <w:tcBorders>
              <w:top w:val="nil"/>
              <w:left w:val="nil"/>
              <w:bottom w:val="single" w:sz="7" w:space="0" w:color="000000"/>
              <w:right w:val="single" w:sz="7" w:space="0" w:color="000000"/>
            </w:tcBorders>
            <w:tcMar>
              <w:top w:w="100" w:type="dxa"/>
              <w:left w:w="100" w:type="dxa"/>
              <w:bottom w:w="100" w:type="dxa"/>
              <w:right w:w="100" w:type="dxa"/>
            </w:tcMar>
            <w:vAlign w:val="bottom"/>
          </w:tcPr>
          <w:p w14:paraId="0F6F84C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699</w:t>
            </w:r>
          </w:p>
        </w:tc>
      </w:tr>
      <w:tr w:rsidR="00BF7140" w:rsidRPr="00792499" w14:paraId="08B9791A"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39F579E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Capital employed</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1951560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05E013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7225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16271E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7217</w:t>
            </w:r>
          </w:p>
        </w:tc>
      </w:tr>
      <w:tr w:rsidR="00BF7140" w:rsidRPr="00792499" w14:paraId="2E2E7A62"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E67926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668E0A5"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07F089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11.1%</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47A2D7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9.7%</w:t>
            </w:r>
          </w:p>
        </w:tc>
      </w:tr>
      <w:tr w:rsidR="00BF7140" w:rsidRPr="00792499" w14:paraId="6BAF6D96"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819C0C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F04FDC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D880486"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62244A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194DA04"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440C0DED"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 ROE</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1D7F0F72"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2E8053CB"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0C1B6240"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3B78ED94"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67C77B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income</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00A4E8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income / Shareholders' equity</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674363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431</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35192C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366</w:t>
            </w:r>
          </w:p>
        </w:tc>
      </w:tr>
      <w:tr w:rsidR="00BF7140" w:rsidRPr="00792499" w14:paraId="4692F13F"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93F285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shareholders’ equity</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76FABEA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C71305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3088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D573B8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2912</w:t>
            </w:r>
          </w:p>
        </w:tc>
      </w:tr>
      <w:tr w:rsidR="00BF7140" w:rsidRPr="00792499" w14:paraId="25EA1BF0"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E3DE40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761370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78915F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14.0%</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11D239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12.6%</w:t>
            </w:r>
          </w:p>
        </w:tc>
      </w:tr>
      <w:tr w:rsidR="00BF7140" w:rsidRPr="00792499" w14:paraId="48CBB87D"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13E8AC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75DA2F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E40E46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A87DA3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4084691A"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4A716FF2"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3. Earnings per share</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CE07D43"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4B327830"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A39A539"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481C2E32"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2C0EBC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Net income</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E22094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income / Outstanding shares</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ACA0C4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431</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4450D4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366</w:t>
            </w:r>
          </w:p>
        </w:tc>
      </w:tr>
      <w:tr w:rsidR="00BF7140" w:rsidRPr="00792499" w14:paraId="34DE6DC1"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C250B3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Outstanding shares</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342CB2D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1D4FAC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600</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2A591F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600</w:t>
            </w:r>
          </w:p>
        </w:tc>
      </w:tr>
      <w:tr w:rsidR="00BF7140" w:rsidRPr="00792499" w14:paraId="3C9CE27F"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4254C9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5F8480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0EEE73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0.71833</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829F4B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0.61</w:t>
            </w:r>
          </w:p>
        </w:tc>
      </w:tr>
      <w:tr w:rsidR="00BF7140" w:rsidRPr="00792499" w14:paraId="42DFE158"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9AA04D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A87A83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14DC54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F956F6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C16E8C1"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21D4B5EA"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4. Net profit margin</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85391FE"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3914C21F"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C67FB0C"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62495000"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5EC157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profit</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CFF8E7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Income / Revenue</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308E26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431</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6E1DF8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366</w:t>
            </w:r>
          </w:p>
        </w:tc>
      </w:tr>
      <w:tr w:rsidR="00BF7140" w:rsidRPr="00792499" w14:paraId="795ECA27"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18F09E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Revenue</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577BF76D"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9CFEAE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6738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872DB9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6441</w:t>
            </w:r>
          </w:p>
        </w:tc>
      </w:tr>
      <w:tr w:rsidR="00BF7140" w:rsidRPr="00792499" w14:paraId="024DA68B"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47E310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82AD080"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D8D8FDF"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6.4%</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AD541E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5.7%</w:t>
            </w:r>
          </w:p>
        </w:tc>
      </w:tr>
      <w:tr w:rsidR="00BF7140" w:rsidRPr="00792499" w14:paraId="5DDC978E" w14:textId="77777777" w:rsidTr="000156CB">
        <w:trPr>
          <w:cantSplit/>
          <w:trHeight w:val="5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7FAC66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A999E0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2507033"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2ED1F76"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70E1BEEF"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72AF0A70"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5. Asset turnover</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40305217"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18CA094F"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19D3E41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6BD53EBB"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F66D7B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sales</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76DD80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Net sales/ Total assets</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C06456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6738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7A0B88F"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6441</w:t>
            </w:r>
          </w:p>
        </w:tc>
      </w:tr>
      <w:tr w:rsidR="00BF7140" w:rsidRPr="00792499" w14:paraId="58DB659D"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ED484A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Total assets</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69F1796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FCAEE3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9736</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72245C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10087</w:t>
            </w:r>
          </w:p>
        </w:tc>
      </w:tr>
      <w:tr w:rsidR="00BF7140" w:rsidRPr="00792499" w14:paraId="4A830C85"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3D62A1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A190645"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D12908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0.69207</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C3EA66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0.63854</w:t>
            </w:r>
          </w:p>
        </w:tc>
      </w:tr>
      <w:tr w:rsidR="00BF7140" w:rsidRPr="00792499" w14:paraId="695979AF"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084264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8BC6096"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DD20D3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E51F60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03DE1999"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289E1F6B"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6. Stock holding days</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5528147A"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DA66688"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3B863EB"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4A7F8471"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7A88B35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Inventory cost</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955B3C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(Inventory cost/ </w:t>
            </w:r>
            <w:proofErr w:type="gramStart"/>
            <w:r w:rsidRPr="00792499">
              <w:rPr>
                <w:rFonts w:ascii="Times New Roman" w:eastAsia="Times New Roman" w:hAnsi="Times New Roman" w:cs="Times New Roman"/>
                <w:sz w:val="24"/>
                <w:szCs w:val="24"/>
                <w:lang w:val="en-GB"/>
              </w:rPr>
              <w:t>COGS)*</w:t>
            </w:r>
            <w:proofErr w:type="gramEnd"/>
            <w:r w:rsidRPr="00792499">
              <w:rPr>
                <w:rFonts w:ascii="Times New Roman" w:eastAsia="Times New Roman" w:hAnsi="Times New Roman" w:cs="Times New Roman"/>
                <w:sz w:val="24"/>
                <w:szCs w:val="24"/>
                <w:lang w:val="en-GB"/>
              </w:rPr>
              <w:t>365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7DEADB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708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4BBFA5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659</w:t>
            </w:r>
          </w:p>
        </w:tc>
      </w:tr>
      <w:tr w:rsidR="00BF7140" w:rsidRPr="00792499" w14:paraId="6F197A78"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908BCA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Cost of goods sold</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7F3AA8E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86DF23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3235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CF21B9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3096</w:t>
            </w:r>
          </w:p>
        </w:tc>
      </w:tr>
      <w:tr w:rsidR="00BF7140" w:rsidRPr="00792499" w14:paraId="3F7A09D4"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F7C4F4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EFADA46"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89463B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79.8825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FC2CE8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77.6922</w:t>
            </w:r>
          </w:p>
        </w:tc>
      </w:tr>
      <w:tr w:rsidR="00BF7140" w:rsidRPr="00792499" w14:paraId="7E4E5096"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7D7DC5D"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F2DA72A"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572C5C1"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F19729A"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8385F79"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1D76981C"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7. Debtors collection period</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9B62956"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0C5CA6CE"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5977E927"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53E98248"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5B38AC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Debtors value</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3E0151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(Debtors value/ Annual credit </w:t>
            </w:r>
            <w:proofErr w:type="gramStart"/>
            <w:r w:rsidRPr="00792499">
              <w:rPr>
                <w:rFonts w:ascii="Times New Roman" w:eastAsia="Times New Roman" w:hAnsi="Times New Roman" w:cs="Times New Roman"/>
                <w:sz w:val="24"/>
                <w:szCs w:val="24"/>
                <w:lang w:val="en-GB"/>
              </w:rPr>
              <w:t>sales)*</w:t>
            </w:r>
            <w:proofErr w:type="gramEnd"/>
            <w:r w:rsidRPr="00792499">
              <w:rPr>
                <w:rFonts w:ascii="Times New Roman" w:eastAsia="Times New Roman" w:hAnsi="Times New Roman" w:cs="Times New Roman"/>
                <w:sz w:val="24"/>
                <w:szCs w:val="24"/>
                <w:lang w:val="en-GB"/>
              </w:rPr>
              <w:t>365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695E58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1249</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F94360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1287</w:t>
            </w:r>
          </w:p>
        </w:tc>
      </w:tr>
      <w:tr w:rsidR="00BF7140" w:rsidRPr="00792499" w14:paraId="7B302A59"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4037F8E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Annual credit sales</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3E5442E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1969BD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6738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9E5426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6441</w:t>
            </w:r>
          </w:p>
        </w:tc>
      </w:tr>
      <w:tr w:rsidR="00BF7140" w:rsidRPr="00792499" w14:paraId="5567894E"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1D5917F"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lastRenderedPageBreak/>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93B5DA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585739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67.6588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BB04C30"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72.932</w:t>
            </w:r>
          </w:p>
        </w:tc>
      </w:tr>
      <w:tr w:rsidR="00BF7140" w:rsidRPr="00792499" w14:paraId="28AE93A0"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000B5433"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DA9DA5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82AA6E3"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750FAB3"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1B9CD59D"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4C62187F"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8. Current ratio</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A52A2E4"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F3FEE19"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529E3D27"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1F015C98"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ABBB6B5"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Current assets</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E5D335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Current assets / Current liabilities</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886840B"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2303</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B8456C2"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2355</w:t>
            </w:r>
          </w:p>
        </w:tc>
      </w:tr>
      <w:tr w:rsidR="00BF7140" w:rsidRPr="00792499" w14:paraId="11DCAAF5"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24A007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Current Liability</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3C00DFD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898630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2511</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91B92D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3046</w:t>
            </w:r>
          </w:p>
        </w:tc>
      </w:tr>
      <w:tr w:rsidR="00BF7140" w:rsidRPr="00792499" w14:paraId="3DAE6D22"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997279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6D764C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041658E"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0.91716</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7E1D4D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0.77315</w:t>
            </w:r>
          </w:p>
        </w:tc>
      </w:tr>
      <w:tr w:rsidR="00BF7140" w:rsidRPr="00792499" w14:paraId="3D1229D5"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79D79F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F5C863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B95E07F"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FD22CE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8B285A0"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7CDBB0F5"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9. Gearing ratio</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1320AC61"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6781C500"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86F80F1"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26C06C2D"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3BD308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Total debt</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BFA957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Total debt/ Total shareholders’ equity</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745A0F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4137</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53D2BA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4129</w:t>
            </w:r>
          </w:p>
        </w:tc>
      </w:tr>
      <w:tr w:rsidR="00BF7140" w:rsidRPr="00792499" w14:paraId="50820A7E"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F02D14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Total shareholders’ equity</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6A22EC27"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8CA74D3"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3088</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9F0A8A1"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2912</w:t>
            </w:r>
          </w:p>
        </w:tc>
      </w:tr>
      <w:tr w:rsidR="00BF7140" w:rsidRPr="00792499" w14:paraId="1C104993"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27D9741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C477AE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D430D58"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1.3397</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063B47F"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1.41793</w:t>
            </w:r>
          </w:p>
        </w:tc>
      </w:tr>
      <w:tr w:rsidR="00BF7140" w:rsidRPr="00792499" w14:paraId="68E8E0F5" w14:textId="77777777" w:rsidTr="000156CB">
        <w:trPr>
          <w:cantSplit/>
          <w:trHeight w:val="57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37E35349"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26FEEAEB"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1C86F338"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02D6784"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r>
      <w:tr w:rsidR="00BF7140" w:rsidRPr="00792499" w14:paraId="670923C0"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C00000"/>
            <w:tcMar>
              <w:top w:w="100" w:type="dxa"/>
              <w:left w:w="100" w:type="dxa"/>
              <w:bottom w:w="100" w:type="dxa"/>
              <w:right w:w="100" w:type="dxa"/>
            </w:tcMar>
            <w:vAlign w:val="bottom"/>
          </w:tcPr>
          <w:p w14:paraId="490B0513"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10. Interest cover</w:t>
            </w:r>
          </w:p>
        </w:tc>
        <w:tc>
          <w:tcPr>
            <w:tcW w:w="1678"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46CE8B9C"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Formula</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7CCEB41D"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2021</w:t>
            </w:r>
          </w:p>
        </w:tc>
        <w:tc>
          <w:tcPr>
            <w:tcW w:w="703" w:type="pct"/>
            <w:tcBorders>
              <w:top w:val="nil"/>
              <w:left w:val="nil"/>
              <w:bottom w:val="single" w:sz="7" w:space="0" w:color="000000"/>
              <w:right w:val="single" w:sz="7" w:space="0" w:color="000000"/>
            </w:tcBorders>
            <w:shd w:val="clear" w:color="auto" w:fill="C00000"/>
            <w:tcMar>
              <w:top w:w="100" w:type="dxa"/>
              <w:left w:w="100" w:type="dxa"/>
              <w:bottom w:w="100" w:type="dxa"/>
              <w:right w:w="100" w:type="dxa"/>
            </w:tcMar>
            <w:vAlign w:val="bottom"/>
          </w:tcPr>
          <w:p w14:paraId="20E0B193" w14:textId="77777777" w:rsidR="00BF7140" w:rsidRPr="00792499" w:rsidRDefault="00F344B3">
            <w:pPr>
              <w:pStyle w:val="Normal1"/>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2020</w:t>
            </w:r>
          </w:p>
        </w:tc>
      </w:tr>
      <w:tr w:rsidR="00BF7140" w:rsidRPr="00792499" w14:paraId="1308B581"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64AD644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EBIT</w:t>
            </w:r>
          </w:p>
        </w:tc>
        <w:tc>
          <w:tcPr>
            <w:tcW w:w="1678" w:type="pct"/>
            <w:vMerge w:val="restar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AEDB8DC"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EBIT/ Interest exp</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CD9B66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805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073839A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699</w:t>
            </w:r>
          </w:p>
        </w:tc>
      </w:tr>
      <w:tr w:rsidR="00BF7140" w:rsidRPr="00792499" w14:paraId="2D076F68"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5027D6AD"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Interest expenses</w:t>
            </w:r>
          </w:p>
        </w:tc>
        <w:tc>
          <w:tcPr>
            <w:tcW w:w="1678" w:type="pct"/>
            <w:vMerge/>
            <w:tcBorders>
              <w:bottom w:val="single" w:sz="7" w:space="0" w:color="000000"/>
              <w:right w:val="single" w:sz="7" w:space="0" w:color="000000"/>
            </w:tcBorders>
            <w:shd w:val="clear" w:color="auto" w:fill="auto"/>
            <w:tcMar>
              <w:top w:w="100" w:type="dxa"/>
              <w:left w:w="100" w:type="dxa"/>
              <w:bottom w:w="100" w:type="dxa"/>
              <w:right w:w="100" w:type="dxa"/>
            </w:tcMar>
          </w:tcPr>
          <w:p w14:paraId="23638942"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3C957DB9"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226</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4E04E664"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181</w:t>
            </w:r>
          </w:p>
        </w:tc>
      </w:tr>
      <w:tr w:rsidR="00BF7140" w:rsidRPr="00792499" w14:paraId="66E878DA" w14:textId="77777777" w:rsidTr="000156CB">
        <w:trPr>
          <w:cantSplit/>
          <w:trHeight w:val="810"/>
          <w:tblHeader/>
        </w:trPr>
        <w:tc>
          <w:tcPr>
            <w:tcW w:w="1915" w:type="pct"/>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vAlign w:val="bottom"/>
          </w:tcPr>
          <w:p w14:paraId="1149C3E6"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Answer</w:t>
            </w:r>
          </w:p>
        </w:tc>
        <w:tc>
          <w:tcPr>
            <w:tcW w:w="1678"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55ECFD3C" w14:textId="77777777" w:rsidR="00BF7140" w:rsidRPr="00792499" w:rsidRDefault="00BF7140">
            <w:pPr>
              <w:pStyle w:val="Normal1"/>
              <w:spacing w:before="240" w:after="240" w:line="360" w:lineRule="auto"/>
              <w:jc w:val="both"/>
              <w:rPr>
                <w:rFonts w:ascii="Times New Roman" w:eastAsia="Times New Roman" w:hAnsi="Times New Roman" w:cs="Times New Roman"/>
                <w:sz w:val="24"/>
                <w:szCs w:val="24"/>
                <w:lang w:val="en-GB"/>
              </w:rPr>
            </w:pP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7FBBC6DA"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3.56195</w:t>
            </w:r>
          </w:p>
        </w:tc>
        <w:tc>
          <w:tcPr>
            <w:tcW w:w="703" w:type="pct"/>
            <w:tcBorders>
              <w:top w:val="nil"/>
              <w:left w:val="nil"/>
              <w:bottom w:val="single" w:sz="7" w:space="0" w:color="000000"/>
              <w:right w:val="single" w:sz="7" w:space="0" w:color="000000"/>
            </w:tcBorders>
            <w:shd w:val="clear" w:color="auto" w:fill="auto"/>
            <w:tcMar>
              <w:top w:w="100" w:type="dxa"/>
              <w:left w:w="100" w:type="dxa"/>
              <w:bottom w:w="100" w:type="dxa"/>
              <w:right w:w="100" w:type="dxa"/>
            </w:tcMar>
            <w:vAlign w:val="bottom"/>
          </w:tcPr>
          <w:p w14:paraId="61C89427" w14:textId="77777777" w:rsidR="00BF7140" w:rsidRPr="00792499" w:rsidRDefault="00F344B3">
            <w:pPr>
              <w:pStyle w:val="Normal1"/>
              <w:spacing w:before="240" w:after="240"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3.86188</w:t>
            </w:r>
          </w:p>
        </w:tc>
      </w:tr>
    </w:tbl>
    <w:p w14:paraId="7F71377B" w14:textId="77777777" w:rsidR="00BF7140" w:rsidRPr="00792499" w:rsidRDefault="00F344B3">
      <w:pPr>
        <w:pStyle w:val="Normal1"/>
        <w:spacing w:before="240" w:after="240"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Table 3: Ratio analysis</w:t>
      </w:r>
    </w:p>
    <w:p w14:paraId="356A664A" w14:textId="77777777" w:rsidR="00BF7140" w:rsidRPr="00792499" w:rsidRDefault="00F344B3">
      <w:pPr>
        <w:pStyle w:val="Normal1"/>
        <w:numPr>
          <w:ilvl w:val="0"/>
          <w:numId w:val="1"/>
        </w:numPr>
        <w:spacing w:before="240" w:after="240"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Interpretations of the result of the ratio analysis</w:t>
      </w:r>
    </w:p>
    <w:tbl>
      <w:tblPr>
        <w:tblStyle w:val="Table4"/>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1"/>
        <w:gridCol w:w="3594"/>
        <w:gridCol w:w="4055"/>
      </w:tblGrid>
      <w:tr w:rsidR="00BF7140" w:rsidRPr="00792499" w14:paraId="47D30483" w14:textId="77777777" w:rsidTr="006225B1">
        <w:trPr>
          <w:cantSplit/>
          <w:tblHeader/>
        </w:trPr>
        <w:tc>
          <w:tcPr>
            <w:tcW w:w="905" w:type="pct"/>
            <w:shd w:val="clear" w:color="auto" w:fill="auto"/>
            <w:tcMar>
              <w:top w:w="100" w:type="dxa"/>
              <w:left w:w="100" w:type="dxa"/>
              <w:bottom w:w="100" w:type="dxa"/>
              <w:right w:w="100" w:type="dxa"/>
            </w:tcMar>
          </w:tcPr>
          <w:p w14:paraId="4DE3016B"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Name of the ratios</w:t>
            </w:r>
          </w:p>
        </w:tc>
        <w:tc>
          <w:tcPr>
            <w:tcW w:w="1924" w:type="pct"/>
            <w:shd w:val="clear" w:color="auto" w:fill="auto"/>
            <w:tcMar>
              <w:top w:w="100" w:type="dxa"/>
              <w:left w:w="100" w:type="dxa"/>
              <w:bottom w:w="100" w:type="dxa"/>
              <w:right w:w="100" w:type="dxa"/>
            </w:tcMar>
          </w:tcPr>
          <w:p w14:paraId="18BA4C3A"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Meaning</w:t>
            </w:r>
          </w:p>
        </w:tc>
        <w:tc>
          <w:tcPr>
            <w:tcW w:w="2171" w:type="pct"/>
            <w:shd w:val="clear" w:color="auto" w:fill="auto"/>
            <w:tcMar>
              <w:top w:w="100" w:type="dxa"/>
              <w:left w:w="100" w:type="dxa"/>
              <w:bottom w:w="100" w:type="dxa"/>
              <w:right w:w="100" w:type="dxa"/>
            </w:tcMar>
          </w:tcPr>
          <w:p w14:paraId="3E0B0531"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Interpretation of the financial performance of Sweets PLC</w:t>
            </w:r>
          </w:p>
        </w:tc>
      </w:tr>
      <w:tr w:rsidR="00BF7140" w:rsidRPr="00792499" w14:paraId="55DE7AE3" w14:textId="77777777" w:rsidTr="006225B1">
        <w:trPr>
          <w:cantSplit/>
          <w:tblHeader/>
        </w:trPr>
        <w:tc>
          <w:tcPr>
            <w:tcW w:w="905" w:type="pct"/>
            <w:shd w:val="clear" w:color="auto" w:fill="auto"/>
            <w:tcMar>
              <w:top w:w="100" w:type="dxa"/>
              <w:left w:w="100" w:type="dxa"/>
              <w:bottom w:w="100" w:type="dxa"/>
              <w:right w:w="100" w:type="dxa"/>
            </w:tcMar>
          </w:tcPr>
          <w:p w14:paraId="0560FC05"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ROCE</w:t>
            </w:r>
          </w:p>
        </w:tc>
        <w:tc>
          <w:tcPr>
            <w:tcW w:w="1924" w:type="pct"/>
            <w:shd w:val="clear" w:color="auto" w:fill="auto"/>
            <w:tcMar>
              <w:top w:w="100" w:type="dxa"/>
              <w:left w:w="100" w:type="dxa"/>
              <w:bottom w:w="100" w:type="dxa"/>
              <w:right w:w="100" w:type="dxa"/>
            </w:tcMar>
          </w:tcPr>
          <w:p w14:paraId="74B10AE7"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This profitability ratio is calculated to understand the capital efficiency of Sweets PLC. The higher value of this ratio is better because it indicates that the organisation is successful in providing a good return to the stakeholder as profit (</w:t>
            </w:r>
            <w:proofErr w:type="spellStart"/>
            <w:r w:rsidRPr="00792499">
              <w:rPr>
                <w:rFonts w:ascii="Times New Roman" w:eastAsia="Times New Roman" w:hAnsi="Times New Roman" w:cs="Times New Roman"/>
                <w:sz w:val="24"/>
                <w:szCs w:val="24"/>
                <w:highlight w:val="white"/>
                <w:lang w:val="en-GB"/>
              </w:rPr>
              <w:t>Fridson</w:t>
            </w:r>
            <w:proofErr w:type="spellEnd"/>
            <w:r w:rsidRPr="00792499">
              <w:rPr>
                <w:rFonts w:ascii="Times New Roman" w:eastAsia="Times New Roman" w:hAnsi="Times New Roman" w:cs="Times New Roman"/>
                <w:sz w:val="24"/>
                <w:szCs w:val="24"/>
                <w:highlight w:val="white"/>
                <w:lang w:val="en-GB"/>
              </w:rPr>
              <w:t xml:space="preserve"> and Alvarez, 2022)</w:t>
            </w:r>
            <w:r w:rsidRPr="00792499">
              <w:rPr>
                <w:rFonts w:ascii="Times New Roman" w:eastAsia="Times New Roman" w:hAnsi="Times New Roman" w:cs="Times New Roman"/>
                <w:sz w:val="24"/>
                <w:szCs w:val="24"/>
                <w:lang w:val="en-GB"/>
              </w:rPr>
              <w:t xml:space="preserve">. </w:t>
            </w:r>
          </w:p>
        </w:tc>
        <w:tc>
          <w:tcPr>
            <w:tcW w:w="2171" w:type="pct"/>
            <w:shd w:val="clear" w:color="auto" w:fill="auto"/>
            <w:tcMar>
              <w:top w:w="100" w:type="dxa"/>
              <w:left w:w="100" w:type="dxa"/>
              <w:bottom w:w="100" w:type="dxa"/>
              <w:right w:w="100" w:type="dxa"/>
            </w:tcMar>
          </w:tcPr>
          <w:p w14:paraId="46FC3DDF"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From the above table, it is interpreted that the ROCE of Sweets PLC in 2020 was 9.7% and in 2021 it increased to 11.1%. The reason for the improvement in this ratio was due to an increase in the value of EBIT.</w:t>
            </w:r>
          </w:p>
        </w:tc>
      </w:tr>
      <w:tr w:rsidR="00BF7140" w:rsidRPr="00792499" w14:paraId="52B115E1" w14:textId="77777777" w:rsidTr="006225B1">
        <w:trPr>
          <w:cantSplit/>
          <w:tblHeader/>
        </w:trPr>
        <w:tc>
          <w:tcPr>
            <w:tcW w:w="905" w:type="pct"/>
            <w:shd w:val="clear" w:color="auto" w:fill="auto"/>
            <w:tcMar>
              <w:top w:w="100" w:type="dxa"/>
              <w:left w:w="100" w:type="dxa"/>
              <w:bottom w:w="100" w:type="dxa"/>
              <w:right w:w="100" w:type="dxa"/>
            </w:tcMar>
          </w:tcPr>
          <w:p w14:paraId="531D3F5D"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ROE</w:t>
            </w:r>
          </w:p>
        </w:tc>
        <w:tc>
          <w:tcPr>
            <w:tcW w:w="1924" w:type="pct"/>
            <w:shd w:val="clear" w:color="auto" w:fill="auto"/>
            <w:tcMar>
              <w:top w:w="100" w:type="dxa"/>
              <w:left w:w="100" w:type="dxa"/>
              <w:bottom w:w="100" w:type="dxa"/>
              <w:right w:w="100" w:type="dxa"/>
            </w:tcMar>
          </w:tcPr>
          <w:p w14:paraId="2414B804"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This ratio is a financial indicator to understand what percentage of profit can be attributed to the equity shareholders of a business organisation. </w:t>
            </w:r>
          </w:p>
        </w:tc>
        <w:tc>
          <w:tcPr>
            <w:tcW w:w="2171" w:type="pct"/>
            <w:shd w:val="clear" w:color="auto" w:fill="auto"/>
            <w:tcMar>
              <w:top w:w="100" w:type="dxa"/>
              <w:left w:w="100" w:type="dxa"/>
              <w:bottom w:w="100" w:type="dxa"/>
              <w:right w:w="100" w:type="dxa"/>
            </w:tcMar>
          </w:tcPr>
          <w:p w14:paraId="49E43424"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From the ratio analysis it can be understood that the ROE of Sweets PLC in 2020 was 12.6% and in 2021 it inflated to 14%. This profitability ratio is extremely important to the equity shareholders of Sweets PLC to determine the percentage of net income available to the equity shareholders.</w:t>
            </w:r>
          </w:p>
        </w:tc>
      </w:tr>
      <w:tr w:rsidR="00BF7140" w:rsidRPr="00792499" w14:paraId="418EDB38" w14:textId="77777777" w:rsidTr="006225B1">
        <w:trPr>
          <w:cantSplit/>
          <w:tblHeader/>
        </w:trPr>
        <w:tc>
          <w:tcPr>
            <w:tcW w:w="905" w:type="pct"/>
            <w:shd w:val="clear" w:color="auto" w:fill="auto"/>
            <w:tcMar>
              <w:top w:w="100" w:type="dxa"/>
              <w:left w:w="100" w:type="dxa"/>
              <w:bottom w:w="100" w:type="dxa"/>
              <w:right w:w="100" w:type="dxa"/>
            </w:tcMar>
          </w:tcPr>
          <w:p w14:paraId="6EA1398B"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Earnings per share</w:t>
            </w:r>
          </w:p>
        </w:tc>
        <w:tc>
          <w:tcPr>
            <w:tcW w:w="1924" w:type="pct"/>
            <w:shd w:val="clear" w:color="auto" w:fill="auto"/>
            <w:tcMar>
              <w:top w:w="100" w:type="dxa"/>
              <w:left w:w="100" w:type="dxa"/>
              <w:bottom w:w="100" w:type="dxa"/>
              <w:right w:w="100" w:type="dxa"/>
            </w:tcMar>
          </w:tcPr>
          <w:p w14:paraId="3A297D69"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To calculate this ratio, the net profit of the company is divided by the number of outstanding shares of the organisation. This ratio is a good indicator to determine the value perceived by the investor (</w:t>
            </w:r>
            <w:r w:rsidRPr="00792499">
              <w:rPr>
                <w:rFonts w:ascii="Times New Roman" w:eastAsia="Times New Roman" w:hAnsi="Times New Roman" w:cs="Times New Roman"/>
                <w:sz w:val="24"/>
                <w:szCs w:val="24"/>
                <w:highlight w:val="white"/>
                <w:lang w:val="en-GB"/>
              </w:rPr>
              <w:t>Robinson, 2020).</w:t>
            </w:r>
          </w:p>
        </w:tc>
        <w:tc>
          <w:tcPr>
            <w:tcW w:w="2171" w:type="pct"/>
            <w:shd w:val="clear" w:color="auto" w:fill="auto"/>
            <w:tcMar>
              <w:top w:w="100" w:type="dxa"/>
              <w:left w:w="100" w:type="dxa"/>
              <w:bottom w:w="100" w:type="dxa"/>
              <w:right w:w="100" w:type="dxa"/>
            </w:tcMar>
          </w:tcPr>
          <w:p w14:paraId="64BCFEFB"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above calculation represents that in 2021 EPS of Sweets PLC was 0.71 and in 2020 it was only 0.61. The reason for such an increment in this ratio was mainly because of an increase in the net profit.</w:t>
            </w:r>
          </w:p>
        </w:tc>
      </w:tr>
      <w:tr w:rsidR="00BF7140" w:rsidRPr="00792499" w14:paraId="36DD1461" w14:textId="77777777" w:rsidTr="006225B1">
        <w:trPr>
          <w:cantSplit/>
          <w:tblHeader/>
        </w:trPr>
        <w:tc>
          <w:tcPr>
            <w:tcW w:w="905" w:type="pct"/>
            <w:shd w:val="clear" w:color="auto" w:fill="auto"/>
            <w:tcMar>
              <w:top w:w="100" w:type="dxa"/>
              <w:left w:w="100" w:type="dxa"/>
              <w:bottom w:w="100" w:type="dxa"/>
              <w:right w:w="100" w:type="dxa"/>
            </w:tcMar>
          </w:tcPr>
          <w:p w14:paraId="207CCCBC"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Net profit margin</w:t>
            </w:r>
          </w:p>
        </w:tc>
        <w:tc>
          <w:tcPr>
            <w:tcW w:w="1924" w:type="pct"/>
            <w:shd w:val="clear" w:color="auto" w:fill="auto"/>
            <w:tcMar>
              <w:top w:w="100" w:type="dxa"/>
              <w:left w:w="100" w:type="dxa"/>
              <w:bottom w:w="100" w:type="dxa"/>
              <w:right w:w="100" w:type="dxa"/>
            </w:tcMar>
          </w:tcPr>
          <w:p w14:paraId="6EC71685"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Net profit margin is one of the most popular profitability ratios that </w:t>
            </w:r>
            <w:r w:rsidR="00966254" w:rsidRPr="00792499">
              <w:rPr>
                <w:rFonts w:ascii="Times New Roman" w:eastAsia="Times New Roman" w:hAnsi="Times New Roman" w:cs="Times New Roman"/>
                <w:sz w:val="24"/>
                <w:szCs w:val="24"/>
                <w:lang w:val="en-GB"/>
              </w:rPr>
              <w:t>are</w:t>
            </w:r>
            <w:r w:rsidRPr="00792499">
              <w:rPr>
                <w:rFonts w:ascii="Times New Roman" w:eastAsia="Times New Roman" w:hAnsi="Times New Roman" w:cs="Times New Roman"/>
                <w:sz w:val="24"/>
                <w:szCs w:val="24"/>
                <w:lang w:val="en-GB"/>
              </w:rPr>
              <w:t xml:space="preserve"> used to assess the net profit earning capacity of an organisation. This ratio also indicates the operation of efficiency and internal control measures. </w:t>
            </w:r>
          </w:p>
        </w:tc>
        <w:tc>
          <w:tcPr>
            <w:tcW w:w="2171" w:type="pct"/>
            <w:shd w:val="clear" w:color="auto" w:fill="auto"/>
            <w:tcMar>
              <w:top w:w="100" w:type="dxa"/>
              <w:left w:w="100" w:type="dxa"/>
              <w:bottom w:w="100" w:type="dxa"/>
              <w:right w:w="100" w:type="dxa"/>
            </w:tcMar>
          </w:tcPr>
          <w:p w14:paraId="66B7DE6E"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net profit of the company is calculated after deducting all the production-related costs and indirect costs of the company. The above calculation states that in 2020 the net profit margin of Sweets PLC was 5.7% and in 2021 it increased to 6.4%. One of the major reasons for this is that in 2021 the net profit along with the revenue of the company increased compared to the previous years.</w:t>
            </w:r>
          </w:p>
        </w:tc>
      </w:tr>
      <w:tr w:rsidR="00BF7140" w:rsidRPr="00792499" w14:paraId="6A414D17" w14:textId="77777777" w:rsidTr="006225B1">
        <w:trPr>
          <w:cantSplit/>
          <w:tblHeader/>
        </w:trPr>
        <w:tc>
          <w:tcPr>
            <w:tcW w:w="905" w:type="pct"/>
            <w:shd w:val="clear" w:color="auto" w:fill="auto"/>
            <w:tcMar>
              <w:top w:w="100" w:type="dxa"/>
              <w:left w:w="100" w:type="dxa"/>
              <w:bottom w:w="100" w:type="dxa"/>
              <w:right w:w="100" w:type="dxa"/>
            </w:tcMar>
          </w:tcPr>
          <w:p w14:paraId="5A638EB9"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Asset turnover</w:t>
            </w:r>
          </w:p>
        </w:tc>
        <w:tc>
          <w:tcPr>
            <w:tcW w:w="1924" w:type="pct"/>
            <w:shd w:val="clear" w:color="auto" w:fill="auto"/>
            <w:tcMar>
              <w:top w:w="100" w:type="dxa"/>
              <w:left w:w="100" w:type="dxa"/>
              <w:bottom w:w="100" w:type="dxa"/>
              <w:right w:w="100" w:type="dxa"/>
            </w:tcMar>
          </w:tcPr>
          <w:p w14:paraId="386745F8"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asset turnover ratio is the indicator of the efficiency of an organisation to use assets for revenue generation (</w:t>
            </w:r>
            <w:proofErr w:type="spellStart"/>
            <w:r w:rsidRPr="00792499">
              <w:rPr>
                <w:rFonts w:ascii="Times New Roman" w:eastAsia="Times New Roman" w:hAnsi="Times New Roman" w:cs="Times New Roman"/>
                <w:sz w:val="24"/>
                <w:szCs w:val="24"/>
                <w:highlight w:val="white"/>
                <w:lang w:val="en-GB"/>
              </w:rPr>
              <w:t>Wahlen</w:t>
            </w:r>
            <w:proofErr w:type="spellEnd"/>
            <w:r w:rsidRPr="00792499">
              <w:rPr>
                <w:rFonts w:ascii="Times New Roman" w:eastAsia="Times New Roman" w:hAnsi="Times New Roman" w:cs="Times New Roman"/>
                <w:sz w:val="24"/>
                <w:szCs w:val="24"/>
                <w:highlight w:val="white"/>
                <w:lang w:val="en-GB"/>
              </w:rPr>
              <w:t xml:space="preserve"> et al., 2022). The higher value of this ratio indicates that a business organisation is in a favourable position to use assets.</w:t>
            </w:r>
          </w:p>
        </w:tc>
        <w:tc>
          <w:tcPr>
            <w:tcW w:w="2171" w:type="pct"/>
            <w:shd w:val="clear" w:color="auto" w:fill="auto"/>
            <w:tcMar>
              <w:top w:w="100" w:type="dxa"/>
              <w:left w:w="100" w:type="dxa"/>
              <w:bottom w:w="100" w:type="dxa"/>
              <w:right w:w="100" w:type="dxa"/>
            </w:tcMar>
          </w:tcPr>
          <w:p w14:paraId="6CF4111C"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In a good financial condition, it is expected that the Asset turnover ratio should be greater than 1. In this situation, it can be seen that the Asset turnover ratio of Sweets PLC Was lower than one in both financial years. In 2020, by using £1 of assets, </w:t>
            </w:r>
            <w:proofErr w:type="gramStart"/>
            <w:r w:rsidRPr="00792499">
              <w:rPr>
                <w:rFonts w:ascii="Times New Roman" w:eastAsia="Times New Roman" w:hAnsi="Times New Roman" w:cs="Times New Roman"/>
                <w:sz w:val="24"/>
                <w:szCs w:val="24"/>
                <w:lang w:val="en-GB"/>
              </w:rPr>
              <w:t>This</w:t>
            </w:r>
            <w:proofErr w:type="gramEnd"/>
            <w:r w:rsidRPr="00792499">
              <w:rPr>
                <w:rFonts w:ascii="Times New Roman" w:eastAsia="Times New Roman" w:hAnsi="Times New Roman" w:cs="Times New Roman"/>
                <w:sz w:val="24"/>
                <w:szCs w:val="24"/>
                <w:lang w:val="en-GB"/>
              </w:rPr>
              <w:t xml:space="preserve"> organisation was successful in generating £0.63 value of revenue. Even though the value of this ratio has increased in 2021 it was still lower than one.</w:t>
            </w:r>
          </w:p>
        </w:tc>
      </w:tr>
      <w:tr w:rsidR="00BF7140" w:rsidRPr="00792499" w14:paraId="7B11D650" w14:textId="77777777" w:rsidTr="006225B1">
        <w:trPr>
          <w:cantSplit/>
          <w:tblHeader/>
        </w:trPr>
        <w:tc>
          <w:tcPr>
            <w:tcW w:w="905" w:type="pct"/>
            <w:shd w:val="clear" w:color="auto" w:fill="auto"/>
            <w:tcMar>
              <w:top w:w="100" w:type="dxa"/>
              <w:left w:w="100" w:type="dxa"/>
              <w:bottom w:w="100" w:type="dxa"/>
              <w:right w:w="100" w:type="dxa"/>
            </w:tcMar>
          </w:tcPr>
          <w:p w14:paraId="6637572D"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Stock holding days</w:t>
            </w:r>
          </w:p>
        </w:tc>
        <w:tc>
          <w:tcPr>
            <w:tcW w:w="1924" w:type="pct"/>
            <w:shd w:val="clear" w:color="auto" w:fill="auto"/>
            <w:tcMar>
              <w:top w:w="100" w:type="dxa"/>
              <w:left w:w="100" w:type="dxa"/>
              <w:bottom w:w="100" w:type="dxa"/>
              <w:right w:w="100" w:type="dxa"/>
            </w:tcMar>
          </w:tcPr>
          <w:p w14:paraId="741841CB"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This ratio is an indicator of the number of days an Organisation holds the stock before sales. It also provides an estimated value of inventory rotation in the company.</w:t>
            </w:r>
          </w:p>
        </w:tc>
        <w:tc>
          <w:tcPr>
            <w:tcW w:w="2171" w:type="pct"/>
            <w:shd w:val="clear" w:color="auto" w:fill="auto"/>
            <w:tcMar>
              <w:top w:w="100" w:type="dxa"/>
              <w:left w:w="100" w:type="dxa"/>
              <w:bottom w:w="100" w:type="dxa"/>
              <w:right w:w="100" w:type="dxa"/>
            </w:tcMar>
          </w:tcPr>
          <w:p w14:paraId="61A110E4"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 2020 stock holding day was only 77 days whereas, in 2021 it increased to 79 days. It is important for the management of Sweets PLC to focus on reducing the stock holding to earn more revenue.</w:t>
            </w:r>
          </w:p>
        </w:tc>
      </w:tr>
      <w:tr w:rsidR="00BF7140" w:rsidRPr="00792499" w14:paraId="4B291D4B" w14:textId="77777777" w:rsidTr="006225B1">
        <w:trPr>
          <w:cantSplit/>
          <w:tblHeader/>
        </w:trPr>
        <w:tc>
          <w:tcPr>
            <w:tcW w:w="905" w:type="pct"/>
            <w:shd w:val="clear" w:color="auto" w:fill="auto"/>
            <w:tcMar>
              <w:top w:w="100" w:type="dxa"/>
              <w:left w:w="100" w:type="dxa"/>
              <w:bottom w:w="100" w:type="dxa"/>
              <w:right w:w="100" w:type="dxa"/>
            </w:tcMar>
          </w:tcPr>
          <w:p w14:paraId="7657B2F2"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roofErr w:type="gramStart"/>
            <w:r w:rsidRPr="00792499">
              <w:rPr>
                <w:rFonts w:ascii="Times New Roman" w:eastAsia="Times New Roman" w:hAnsi="Times New Roman" w:cs="Times New Roman"/>
                <w:b/>
                <w:sz w:val="24"/>
                <w:szCs w:val="24"/>
                <w:lang w:val="en-GB"/>
              </w:rPr>
              <w:lastRenderedPageBreak/>
              <w:t>Debtors</w:t>
            </w:r>
            <w:proofErr w:type="gramEnd"/>
            <w:r w:rsidRPr="00792499">
              <w:rPr>
                <w:rFonts w:ascii="Times New Roman" w:eastAsia="Times New Roman" w:hAnsi="Times New Roman" w:cs="Times New Roman"/>
                <w:b/>
                <w:sz w:val="24"/>
                <w:szCs w:val="24"/>
                <w:lang w:val="en-GB"/>
              </w:rPr>
              <w:t xml:space="preserve"> collection period</w:t>
            </w:r>
          </w:p>
        </w:tc>
        <w:tc>
          <w:tcPr>
            <w:tcW w:w="1924" w:type="pct"/>
            <w:shd w:val="clear" w:color="auto" w:fill="auto"/>
            <w:tcMar>
              <w:top w:w="100" w:type="dxa"/>
              <w:left w:w="100" w:type="dxa"/>
              <w:bottom w:w="100" w:type="dxa"/>
              <w:right w:w="100" w:type="dxa"/>
            </w:tcMar>
          </w:tcPr>
          <w:p w14:paraId="1D78DFBC"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This ratio indicates the internal efficiency of the company in realising the due amount from the debtors. From this ratio, the efficacy of the credit policy of the company can be determined.</w:t>
            </w:r>
          </w:p>
        </w:tc>
        <w:tc>
          <w:tcPr>
            <w:tcW w:w="2171" w:type="pct"/>
            <w:shd w:val="clear" w:color="auto" w:fill="auto"/>
            <w:tcMar>
              <w:top w:w="100" w:type="dxa"/>
              <w:left w:w="100" w:type="dxa"/>
              <w:bottom w:w="100" w:type="dxa"/>
              <w:right w:w="100" w:type="dxa"/>
            </w:tcMar>
          </w:tcPr>
          <w:p w14:paraId="412BDF7A"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 the financial year 2020, the debtor's collection period was only 72 days, whereas in 2021 the debtor's collection period was 67 days. The decrease in the data collection period represents the regular flow of cash. It is also important for the company to tighten the credit policy to ensure sustainable long-term functioning.</w:t>
            </w:r>
          </w:p>
        </w:tc>
      </w:tr>
      <w:tr w:rsidR="00BF7140" w:rsidRPr="00792499" w14:paraId="6486CE6D" w14:textId="77777777" w:rsidTr="006225B1">
        <w:trPr>
          <w:cantSplit/>
          <w:tblHeader/>
        </w:trPr>
        <w:tc>
          <w:tcPr>
            <w:tcW w:w="905" w:type="pct"/>
            <w:shd w:val="clear" w:color="auto" w:fill="auto"/>
            <w:tcMar>
              <w:top w:w="100" w:type="dxa"/>
              <w:left w:w="100" w:type="dxa"/>
              <w:bottom w:w="100" w:type="dxa"/>
              <w:right w:w="100" w:type="dxa"/>
            </w:tcMar>
          </w:tcPr>
          <w:p w14:paraId="03559526"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Current ratio</w:t>
            </w:r>
          </w:p>
        </w:tc>
        <w:tc>
          <w:tcPr>
            <w:tcW w:w="1924" w:type="pct"/>
            <w:shd w:val="clear" w:color="auto" w:fill="auto"/>
            <w:tcMar>
              <w:top w:w="100" w:type="dxa"/>
              <w:left w:w="100" w:type="dxa"/>
              <w:bottom w:w="100" w:type="dxa"/>
              <w:right w:w="100" w:type="dxa"/>
            </w:tcMar>
          </w:tcPr>
          <w:p w14:paraId="0547908D"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current ratio is useful in determining the liquidity position of a business organisation. This ratio is important to determine whether the Organization has the capability to meet short-term obligations (</w:t>
            </w:r>
            <w:proofErr w:type="spellStart"/>
            <w:r w:rsidRPr="00792499">
              <w:rPr>
                <w:rFonts w:ascii="Times New Roman" w:eastAsia="Times New Roman" w:hAnsi="Times New Roman" w:cs="Times New Roman"/>
                <w:sz w:val="24"/>
                <w:szCs w:val="24"/>
                <w:highlight w:val="white"/>
                <w:lang w:val="en-GB"/>
              </w:rPr>
              <w:t>Yhip</w:t>
            </w:r>
            <w:proofErr w:type="spellEnd"/>
            <w:r w:rsidRPr="00792499">
              <w:rPr>
                <w:rFonts w:ascii="Times New Roman" w:eastAsia="Times New Roman" w:hAnsi="Times New Roman" w:cs="Times New Roman"/>
                <w:sz w:val="24"/>
                <w:szCs w:val="24"/>
                <w:highlight w:val="white"/>
                <w:lang w:val="en-GB"/>
              </w:rPr>
              <w:t xml:space="preserve"> et al., 2020)</w:t>
            </w:r>
            <w:r w:rsidRPr="00792499">
              <w:rPr>
                <w:rFonts w:ascii="Times New Roman" w:eastAsia="Times New Roman" w:hAnsi="Times New Roman" w:cs="Times New Roman"/>
                <w:sz w:val="24"/>
                <w:szCs w:val="24"/>
                <w:lang w:val="en-GB"/>
              </w:rPr>
              <w:t>.</w:t>
            </w:r>
          </w:p>
        </w:tc>
        <w:tc>
          <w:tcPr>
            <w:tcW w:w="2171" w:type="pct"/>
            <w:shd w:val="clear" w:color="auto" w:fill="auto"/>
            <w:tcMar>
              <w:top w:w="100" w:type="dxa"/>
              <w:left w:w="100" w:type="dxa"/>
              <w:bottom w:w="100" w:type="dxa"/>
              <w:right w:w="100" w:type="dxa"/>
            </w:tcMar>
          </w:tcPr>
          <w:p w14:paraId="2581181D"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 a favourable financial position, it is always desirable to have a current ratio value greater than 1. In 2020 this ratio was only 0.77, whereas, in 2021 this ratio was 0.91. Even though the ratio of Sweets PLC significantly increased it was still lower than one because the current liability was in greater value compared to current assets.</w:t>
            </w:r>
          </w:p>
        </w:tc>
      </w:tr>
      <w:tr w:rsidR="00BF7140" w:rsidRPr="00792499" w14:paraId="4E6C7A83" w14:textId="77777777" w:rsidTr="006225B1">
        <w:trPr>
          <w:cantSplit/>
          <w:tblHeader/>
        </w:trPr>
        <w:tc>
          <w:tcPr>
            <w:tcW w:w="905" w:type="pct"/>
            <w:shd w:val="clear" w:color="auto" w:fill="auto"/>
            <w:tcMar>
              <w:top w:w="100" w:type="dxa"/>
              <w:left w:w="100" w:type="dxa"/>
              <w:bottom w:w="100" w:type="dxa"/>
              <w:right w:w="100" w:type="dxa"/>
            </w:tcMar>
          </w:tcPr>
          <w:p w14:paraId="22AA06CA"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Gearing ratio</w:t>
            </w:r>
          </w:p>
        </w:tc>
        <w:tc>
          <w:tcPr>
            <w:tcW w:w="1924" w:type="pct"/>
            <w:shd w:val="clear" w:color="auto" w:fill="auto"/>
            <w:tcMar>
              <w:top w:w="100" w:type="dxa"/>
              <w:left w:w="100" w:type="dxa"/>
              <w:bottom w:w="100" w:type="dxa"/>
              <w:right w:w="100" w:type="dxa"/>
            </w:tcMar>
          </w:tcPr>
          <w:p w14:paraId="6FD32907"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 xml:space="preserve">This ratio is the indicator of financial leverage position. From this ratio, it is possible to understand the capital formation structure in the company. </w:t>
            </w:r>
          </w:p>
        </w:tc>
        <w:tc>
          <w:tcPr>
            <w:tcW w:w="2171" w:type="pct"/>
            <w:shd w:val="clear" w:color="auto" w:fill="auto"/>
            <w:tcMar>
              <w:top w:w="100" w:type="dxa"/>
              <w:left w:w="100" w:type="dxa"/>
              <w:bottom w:w="100" w:type="dxa"/>
              <w:right w:w="100" w:type="dxa"/>
            </w:tcMar>
          </w:tcPr>
          <w:p w14:paraId="12D9F3D9"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In both financial years, the gearing ratio of the organisation was greater than 1 and it indicates that Sweets PLC is more reliable than the debt capital. As the debt capital of the company is on the higher side, it increases the likelihood of cash outflow in the form of interest (</w:t>
            </w:r>
            <w:r w:rsidRPr="00792499">
              <w:rPr>
                <w:rFonts w:ascii="Times New Roman" w:eastAsia="Times New Roman" w:hAnsi="Times New Roman" w:cs="Times New Roman"/>
                <w:sz w:val="24"/>
                <w:szCs w:val="24"/>
                <w:highlight w:val="white"/>
                <w:lang w:val="en-GB"/>
              </w:rPr>
              <w:t>Olayinka,</w:t>
            </w:r>
            <w:r w:rsidRPr="00792499">
              <w:rPr>
                <w:rFonts w:ascii="Times New Roman" w:eastAsia="Times New Roman" w:hAnsi="Times New Roman" w:cs="Times New Roman"/>
                <w:sz w:val="24"/>
                <w:szCs w:val="24"/>
                <w:lang w:val="en-GB"/>
              </w:rPr>
              <w:t xml:space="preserve"> 2022).</w:t>
            </w:r>
          </w:p>
        </w:tc>
      </w:tr>
      <w:tr w:rsidR="00BF7140" w:rsidRPr="00792499" w14:paraId="1F4B2F95" w14:textId="77777777" w:rsidTr="006225B1">
        <w:trPr>
          <w:cantSplit/>
          <w:tblHeader/>
        </w:trPr>
        <w:tc>
          <w:tcPr>
            <w:tcW w:w="905" w:type="pct"/>
            <w:shd w:val="clear" w:color="auto" w:fill="auto"/>
            <w:tcMar>
              <w:top w:w="100" w:type="dxa"/>
              <w:left w:w="100" w:type="dxa"/>
              <w:bottom w:w="100" w:type="dxa"/>
              <w:right w:w="100" w:type="dxa"/>
            </w:tcMar>
          </w:tcPr>
          <w:p w14:paraId="32A4D3A6"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lastRenderedPageBreak/>
              <w:t>Interest cover</w:t>
            </w:r>
          </w:p>
        </w:tc>
        <w:tc>
          <w:tcPr>
            <w:tcW w:w="1924" w:type="pct"/>
            <w:shd w:val="clear" w:color="auto" w:fill="auto"/>
            <w:tcMar>
              <w:top w:w="100" w:type="dxa"/>
              <w:left w:w="100" w:type="dxa"/>
              <w:bottom w:w="100" w:type="dxa"/>
              <w:right w:w="100" w:type="dxa"/>
            </w:tcMar>
          </w:tcPr>
          <w:p w14:paraId="78585BE5"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This ratio is useful in determining the capability of an organisation to pay interest on outstanding debt (</w:t>
            </w:r>
            <w:proofErr w:type="spellStart"/>
            <w:r w:rsidRPr="00792499">
              <w:rPr>
                <w:rFonts w:ascii="Times New Roman" w:eastAsia="Times New Roman" w:hAnsi="Times New Roman" w:cs="Times New Roman"/>
                <w:sz w:val="24"/>
                <w:szCs w:val="24"/>
                <w:highlight w:val="white"/>
                <w:lang w:val="en-GB"/>
              </w:rPr>
              <w:t>Welc</w:t>
            </w:r>
            <w:proofErr w:type="spellEnd"/>
            <w:r w:rsidRPr="00792499">
              <w:rPr>
                <w:rFonts w:ascii="Times New Roman" w:eastAsia="Times New Roman" w:hAnsi="Times New Roman" w:cs="Times New Roman"/>
                <w:sz w:val="24"/>
                <w:szCs w:val="24"/>
                <w:highlight w:val="white"/>
                <w:lang w:val="en-GB"/>
              </w:rPr>
              <w:t>, 2022).</w:t>
            </w:r>
          </w:p>
        </w:tc>
        <w:tc>
          <w:tcPr>
            <w:tcW w:w="2171" w:type="pct"/>
            <w:shd w:val="clear" w:color="auto" w:fill="auto"/>
            <w:tcMar>
              <w:top w:w="100" w:type="dxa"/>
              <w:left w:w="100" w:type="dxa"/>
              <w:bottom w:w="100" w:type="dxa"/>
              <w:right w:w="100" w:type="dxa"/>
            </w:tcMar>
          </w:tcPr>
          <w:p w14:paraId="70CA632A" w14:textId="77777777" w:rsidR="00BF7140" w:rsidRPr="00792499" w:rsidRDefault="00F344B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92499">
              <w:rPr>
                <w:rFonts w:ascii="Times New Roman" w:eastAsia="Times New Roman" w:hAnsi="Times New Roman" w:cs="Times New Roman"/>
                <w:sz w:val="24"/>
                <w:szCs w:val="24"/>
                <w:lang w:val="en-GB"/>
              </w:rPr>
              <w:t>The value of the EBIT, of Sweets PLC was three times more than the interest expenses. In 2020 this ratio was 3.861 and in 2021 it reduced to 3.561. The management of the company needs to be cautious about a decrease in the interest coverage ratio.</w:t>
            </w:r>
          </w:p>
        </w:tc>
      </w:tr>
    </w:tbl>
    <w:p w14:paraId="226D1B35" w14:textId="77777777" w:rsidR="00BF7140" w:rsidRPr="00792499" w:rsidRDefault="00F344B3" w:rsidP="000156CB">
      <w:pPr>
        <w:pStyle w:val="Normal1"/>
        <w:spacing w:line="360" w:lineRule="auto"/>
        <w:jc w:val="center"/>
        <w:rPr>
          <w:rFonts w:ascii="Times New Roman" w:eastAsia="Times New Roman" w:hAnsi="Times New Roman" w:cs="Times New Roman"/>
          <w:b/>
          <w:sz w:val="24"/>
          <w:szCs w:val="24"/>
          <w:lang w:val="en-GB"/>
        </w:rPr>
      </w:pPr>
      <w:r w:rsidRPr="00792499">
        <w:rPr>
          <w:rFonts w:ascii="Times New Roman" w:eastAsia="Times New Roman" w:hAnsi="Times New Roman" w:cs="Times New Roman"/>
          <w:b/>
          <w:sz w:val="24"/>
          <w:szCs w:val="24"/>
          <w:lang w:val="en-GB"/>
        </w:rPr>
        <w:t>Table 4: Ratio interpretation</w:t>
      </w:r>
    </w:p>
    <w:p w14:paraId="4EB97CF2" w14:textId="77777777" w:rsidR="00BF7140" w:rsidRPr="00792499" w:rsidRDefault="00BF7140">
      <w:pPr>
        <w:pStyle w:val="Normal1"/>
        <w:spacing w:line="360" w:lineRule="auto"/>
        <w:jc w:val="both"/>
        <w:rPr>
          <w:rFonts w:ascii="Times New Roman" w:eastAsia="Times New Roman" w:hAnsi="Times New Roman" w:cs="Times New Roman"/>
          <w:sz w:val="24"/>
          <w:szCs w:val="24"/>
          <w:lang w:val="en-GB"/>
        </w:rPr>
      </w:pPr>
    </w:p>
    <w:p w14:paraId="3CFB2EB3" w14:textId="77777777" w:rsidR="00BF7140" w:rsidRPr="00792499" w:rsidRDefault="00F344B3">
      <w:pPr>
        <w:pStyle w:val="Normal1"/>
        <w:spacing w:line="360" w:lineRule="auto"/>
        <w:jc w:val="both"/>
        <w:rPr>
          <w:rFonts w:ascii="Times New Roman" w:eastAsia="Times New Roman" w:hAnsi="Times New Roman" w:cs="Times New Roman"/>
          <w:sz w:val="24"/>
          <w:szCs w:val="24"/>
          <w:lang w:val="en-GB"/>
        </w:rPr>
      </w:pPr>
      <w:r w:rsidRPr="00792499">
        <w:rPr>
          <w:lang w:val="en-GB"/>
        </w:rPr>
        <w:br w:type="page"/>
      </w:r>
    </w:p>
    <w:p w14:paraId="0B3B5A41" w14:textId="77777777" w:rsidR="00BF7140" w:rsidRPr="00792499" w:rsidRDefault="000156CB" w:rsidP="000156CB">
      <w:pPr>
        <w:pStyle w:val="Heading1"/>
        <w:rPr>
          <w:lang w:val="en-GB"/>
        </w:rPr>
      </w:pPr>
      <w:bookmarkStart w:id="2" w:name="_Toc132965756"/>
      <w:r w:rsidRPr="00792499">
        <w:rPr>
          <w:lang w:val="en-GB"/>
        </w:rPr>
        <w:lastRenderedPageBreak/>
        <w:t>Reference list</w:t>
      </w:r>
      <w:bookmarkEnd w:id="2"/>
    </w:p>
    <w:p w14:paraId="7F021F30"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Almagtome</w:t>
      </w:r>
      <w:proofErr w:type="spellEnd"/>
      <w:r w:rsidRPr="00792499">
        <w:rPr>
          <w:color w:val="000000"/>
          <w:shd w:val="clear" w:color="auto" w:fill="FFFFFF"/>
          <w:lang w:val="en-GB"/>
        </w:rPr>
        <w:t>, A.H., Al-</w:t>
      </w:r>
      <w:proofErr w:type="spellStart"/>
      <w:r w:rsidRPr="00792499">
        <w:rPr>
          <w:color w:val="000000"/>
          <w:shd w:val="clear" w:color="auto" w:fill="FFFFFF"/>
          <w:lang w:val="en-GB"/>
        </w:rPr>
        <w:t>Yasiri</w:t>
      </w:r>
      <w:proofErr w:type="spellEnd"/>
      <w:r w:rsidRPr="00792499">
        <w:rPr>
          <w:color w:val="000000"/>
          <w:shd w:val="clear" w:color="auto" w:fill="FFFFFF"/>
          <w:lang w:val="en-GB"/>
        </w:rPr>
        <w:t xml:space="preserve">, A.J., Ali, R.S., </w:t>
      </w:r>
      <w:proofErr w:type="spellStart"/>
      <w:r w:rsidRPr="00792499">
        <w:rPr>
          <w:color w:val="000000"/>
          <w:shd w:val="clear" w:color="auto" w:fill="FFFFFF"/>
          <w:lang w:val="en-GB"/>
        </w:rPr>
        <w:t>Kadhim</w:t>
      </w:r>
      <w:proofErr w:type="spellEnd"/>
      <w:r w:rsidRPr="00792499">
        <w:rPr>
          <w:color w:val="000000"/>
          <w:shd w:val="clear" w:color="auto" w:fill="FFFFFF"/>
          <w:lang w:val="en-GB"/>
        </w:rPr>
        <w:t xml:space="preserve">, H.L. and Heider, N.B., (2020). Circular economy initiatives through energy accounting and sustainable energy performance under integrated reporting framework. </w:t>
      </w:r>
      <w:r w:rsidRPr="00792499">
        <w:rPr>
          <w:i/>
          <w:iCs/>
          <w:color w:val="000000"/>
          <w:shd w:val="clear" w:color="auto" w:fill="FFFFFF"/>
          <w:lang w:val="en-GB"/>
        </w:rPr>
        <w:t>International Journal of Mathematical, Engineering and Management Sciences</w:t>
      </w:r>
      <w:r w:rsidRPr="00792499">
        <w:rPr>
          <w:color w:val="000000"/>
          <w:shd w:val="clear" w:color="auto" w:fill="FFFFFF"/>
          <w:lang w:val="en-GB"/>
        </w:rPr>
        <w:t xml:space="preserve">, </w:t>
      </w:r>
      <w:r w:rsidRPr="00792499">
        <w:rPr>
          <w:i/>
          <w:iCs/>
          <w:color w:val="000000"/>
          <w:shd w:val="clear" w:color="auto" w:fill="FFFFFF"/>
          <w:lang w:val="en-GB"/>
        </w:rPr>
        <w:t>5</w:t>
      </w:r>
      <w:r w:rsidRPr="00792499">
        <w:rPr>
          <w:color w:val="000000"/>
          <w:shd w:val="clear" w:color="auto" w:fill="FFFFFF"/>
          <w:lang w:val="en-GB"/>
        </w:rPr>
        <w:t>(6), p.1032.</w:t>
      </w:r>
    </w:p>
    <w:p w14:paraId="0F7381C1"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t>Cai, C.W., (2021). Triple</w:t>
      </w:r>
      <w:r w:rsidRPr="00792499">
        <w:rPr>
          <w:rFonts w:ascii="Cambria Math" w:hAnsi="Cambria Math" w:cs="Cambria Math"/>
          <w:color w:val="000000"/>
          <w:shd w:val="clear" w:color="auto" w:fill="FFFFFF"/>
          <w:lang w:val="en-GB"/>
        </w:rPr>
        <w:t>‐</w:t>
      </w:r>
      <w:r w:rsidRPr="00792499">
        <w:rPr>
          <w:color w:val="000000"/>
          <w:shd w:val="clear" w:color="auto" w:fill="FFFFFF"/>
          <w:lang w:val="en-GB"/>
        </w:rPr>
        <w:t xml:space="preserve">entry accounting with blockchain: How far have we </w:t>
      </w:r>
      <w:proofErr w:type="gramStart"/>
      <w:r w:rsidRPr="00792499">
        <w:rPr>
          <w:color w:val="000000"/>
          <w:shd w:val="clear" w:color="auto" w:fill="FFFFFF"/>
          <w:lang w:val="en-GB"/>
        </w:rPr>
        <w:t>come?.</w:t>
      </w:r>
      <w:proofErr w:type="gramEnd"/>
      <w:r w:rsidRPr="00792499">
        <w:rPr>
          <w:color w:val="000000"/>
          <w:shd w:val="clear" w:color="auto" w:fill="FFFFFF"/>
          <w:lang w:val="en-GB"/>
        </w:rPr>
        <w:t xml:space="preserve"> </w:t>
      </w:r>
      <w:r w:rsidRPr="00792499">
        <w:rPr>
          <w:i/>
          <w:iCs/>
          <w:color w:val="000000"/>
          <w:shd w:val="clear" w:color="auto" w:fill="FFFFFF"/>
          <w:lang w:val="en-GB"/>
        </w:rPr>
        <w:t>Accounting &amp; Finance</w:t>
      </w:r>
      <w:r w:rsidRPr="00792499">
        <w:rPr>
          <w:color w:val="000000"/>
          <w:shd w:val="clear" w:color="auto" w:fill="FFFFFF"/>
          <w:lang w:val="en-GB"/>
        </w:rPr>
        <w:t xml:space="preserve">, </w:t>
      </w:r>
      <w:r w:rsidRPr="00792499">
        <w:rPr>
          <w:i/>
          <w:iCs/>
          <w:color w:val="000000"/>
          <w:shd w:val="clear" w:color="auto" w:fill="FFFFFF"/>
          <w:lang w:val="en-GB"/>
        </w:rPr>
        <w:t>61</w:t>
      </w:r>
      <w:r w:rsidRPr="00792499">
        <w:rPr>
          <w:color w:val="000000"/>
          <w:shd w:val="clear" w:color="auto" w:fill="FFFFFF"/>
          <w:lang w:val="en-GB"/>
        </w:rPr>
        <w:t>(1), pp.71-93.</w:t>
      </w:r>
    </w:p>
    <w:p w14:paraId="5D4592C4"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t xml:space="preserve">Edmonds, T.P., Edmonds, C.T., Edmonds, M.A., Edmonds, J.E. and Olds, P.R., (2021). </w:t>
      </w:r>
      <w:r w:rsidRPr="00792499">
        <w:rPr>
          <w:i/>
          <w:iCs/>
          <w:color w:val="000000"/>
          <w:shd w:val="clear" w:color="auto" w:fill="FFFFFF"/>
          <w:lang w:val="en-GB"/>
        </w:rPr>
        <w:t>Fundamental financial accounting concepts</w:t>
      </w:r>
      <w:r w:rsidRPr="00792499">
        <w:rPr>
          <w:color w:val="000000"/>
          <w:shd w:val="clear" w:color="auto" w:fill="FFFFFF"/>
          <w:lang w:val="en-GB"/>
        </w:rPr>
        <w:t>. McGraw-Hill.</w:t>
      </w:r>
    </w:p>
    <w:p w14:paraId="511C583F"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Faccia</w:t>
      </w:r>
      <w:proofErr w:type="spellEnd"/>
      <w:r w:rsidRPr="00792499">
        <w:rPr>
          <w:color w:val="000000"/>
          <w:shd w:val="clear" w:color="auto" w:fill="FFFFFF"/>
          <w:lang w:val="en-GB"/>
        </w:rPr>
        <w:t xml:space="preserve">, A., </w:t>
      </w:r>
      <w:proofErr w:type="spellStart"/>
      <w:r w:rsidRPr="00792499">
        <w:rPr>
          <w:color w:val="000000"/>
          <w:shd w:val="clear" w:color="auto" w:fill="FFFFFF"/>
          <w:lang w:val="en-GB"/>
        </w:rPr>
        <w:t>Mosteanu</w:t>
      </w:r>
      <w:proofErr w:type="spellEnd"/>
      <w:r w:rsidRPr="00792499">
        <w:rPr>
          <w:color w:val="000000"/>
          <w:shd w:val="clear" w:color="auto" w:fill="FFFFFF"/>
          <w:lang w:val="en-GB"/>
        </w:rPr>
        <w:t xml:space="preserve">, N.R., </w:t>
      </w:r>
      <w:proofErr w:type="spellStart"/>
      <w:r w:rsidRPr="00792499">
        <w:rPr>
          <w:color w:val="000000"/>
          <w:shd w:val="clear" w:color="auto" w:fill="FFFFFF"/>
          <w:lang w:val="en-GB"/>
        </w:rPr>
        <w:t>Fahed</w:t>
      </w:r>
      <w:proofErr w:type="spellEnd"/>
      <w:r w:rsidRPr="00792499">
        <w:rPr>
          <w:color w:val="000000"/>
          <w:shd w:val="clear" w:color="auto" w:fill="FFFFFF"/>
          <w:lang w:val="en-GB"/>
        </w:rPr>
        <w:t xml:space="preserve">, M. and </w:t>
      </w:r>
      <w:proofErr w:type="spellStart"/>
      <w:r w:rsidRPr="00792499">
        <w:rPr>
          <w:color w:val="000000"/>
          <w:shd w:val="clear" w:color="auto" w:fill="FFFFFF"/>
          <w:lang w:val="en-GB"/>
        </w:rPr>
        <w:t>Capitanio</w:t>
      </w:r>
      <w:proofErr w:type="spellEnd"/>
      <w:r w:rsidRPr="00792499">
        <w:rPr>
          <w:color w:val="000000"/>
          <w:shd w:val="clear" w:color="auto" w:fill="FFFFFF"/>
          <w:lang w:val="en-GB"/>
        </w:rPr>
        <w:t xml:space="preserve">, F., (2019), August. Accounting information systems and ERP in the UAE: an assessment of the current and future challenges to handle big data. In </w:t>
      </w:r>
      <w:r w:rsidRPr="00792499">
        <w:rPr>
          <w:i/>
          <w:iCs/>
          <w:color w:val="000000"/>
          <w:shd w:val="clear" w:color="auto" w:fill="FFFFFF"/>
          <w:lang w:val="en-GB"/>
        </w:rPr>
        <w:t>Proceedings of the (2019) 3rd International Conference on Cloud and Big Data Computing</w:t>
      </w:r>
      <w:r w:rsidRPr="00792499">
        <w:rPr>
          <w:color w:val="000000"/>
          <w:shd w:val="clear" w:color="auto" w:fill="FFFFFF"/>
          <w:lang w:val="en-GB"/>
        </w:rPr>
        <w:t xml:space="preserve"> (pp. 90-94).</w:t>
      </w:r>
    </w:p>
    <w:p w14:paraId="47724A12"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Fridson</w:t>
      </w:r>
      <w:proofErr w:type="spellEnd"/>
      <w:r w:rsidRPr="00792499">
        <w:rPr>
          <w:color w:val="000000"/>
          <w:shd w:val="clear" w:color="auto" w:fill="FFFFFF"/>
          <w:lang w:val="en-GB"/>
        </w:rPr>
        <w:t xml:space="preserve">, M.S. and Alvarez, F., (2022). </w:t>
      </w:r>
      <w:r w:rsidRPr="00792499">
        <w:rPr>
          <w:i/>
          <w:iCs/>
          <w:color w:val="000000"/>
          <w:shd w:val="clear" w:color="auto" w:fill="FFFFFF"/>
          <w:lang w:val="en-GB"/>
        </w:rPr>
        <w:t>Financial statement analysis: a practitioner's guide</w:t>
      </w:r>
      <w:r w:rsidRPr="00792499">
        <w:rPr>
          <w:color w:val="000000"/>
          <w:shd w:val="clear" w:color="auto" w:fill="FFFFFF"/>
          <w:lang w:val="en-GB"/>
        </w:rPr>
        <w:t>. John Wiley &amp; Sons.</w:t>
      </w:r>
    </w:p>
    <w:p w14:paraId="06905E92"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t xml:space="preserve">Lev, B., (2019). Ending the accounting-for-intangibles status quo. </w:t>
      </w:r>
      <w:r w:rsidRPr="00792499">
        <w:rPr>
          <w:i/>
          <w:iCs/>
          <w:color w:val="000000"/>
          <w:shd w:val="clear" w:color="auto" w:fill="FFFFFF"/>
          <w:lang w:val="en-GB"/>
        </w:rPr>
        <w:t>European Accounting Review</w:t>
      </w:r>
      <w:r w:rsidRPr="00792499">
        <w:rPr>
          <w:color w:val="000000"/>
          <w:shd w:val="clear" w:color="auto" w:fill="FFFFFF"/>
          <w:lang w:val="en-GB"/>
        </w:rPr>
        <w:t xml:space="preserve">, </w:t>
      </w:r>
      <w:r w:rsidRPr="00792499">
        <w:rPr>
          <w:i/>
          <w:iCs/>
          <w:color w:val="000000"/>
          <w:shd w:val="clear" w:color="auto" w:fill="FFFFFF"/>
          <w:lang w:val="en-GB"/>
        </w:rPr>
        <w:t>28</w:t>
      </w:r>
      <w:r w:rsidRPr="00792499">
        <w:rPr>
          <w:color w:val="000000"/>
          <w:shd w:val="clear" w:color="auto" w:fill="FFFFFF"/>
          <w:lang w:val="en-GB"/>
        </w:rPr>
        <w:t>(4), pp.713-736.</w:t>
      </w:r>
    </w:p>
    <w:p w14:paraId="6B88CC32"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Marrone</w:t>
      </w:r>
      <w:proofErr w:type="spellEnd"/>
      <w:r w:rsidRPr="00792499">
        <w:rPr>
          <w:color w:val="000000"/>
          <w:shd w:val="clear" w:color="auto" w:fill="FFFFFF"/>
          <w:lang w:val="en-GB"/>
        </w:rPr>
        <w:t xml:space="preserve">, M. and Hazelton, J., (2019). The disruptive and transformative potential of new technologies for accounting, accountants and accountability: A review of current literature and call for further research. </w:t>
      </w:r>
      <w:proofErr w:type="spellStart"/>
      <w:r w:rsidRPr="00792499">
        <w:rPr>
          <w:i/>
          <w:iCs/>
          <w:color w:val="000000"/>
          <w:shd w:val="clear" w:color="auto" w:fill="FFFFFF"/>
          <w:lang w:val="en-GB"/>
        </w:rPr>
        <w:t>Meditari</w:t>
      </w:r>
      <w:proofErr w:type="spellEnd"/>
      <w:r w:rsidRPr="00792499">
        <w:rPr>
          <w:i/>
          <w:iCs/>
          <w:color w:val="000000"/>
          <w:shd w:val="clear" w:color="auto" w:fill="FFFFFF"/>
          <w:lang w:val="en-GB"/>
        </w:rPr>
        <w:t xml:space="preserve"> Accountancy Research</w:t>
      </w:r>
      <w:r w:rsidRPr="00792499">
        <w:rPr>
          <w:color w:val="000000"/>
          <w:shd w:val="clear" w:color="auto" w:fill="FFFFFF"/>
          <w:lang w:val="en-GB"/>
        </w:rPr>
        <w:t>.</w:t>
      </w:r>
    </w:p>
    <w:p w14:paraId="7A0E8D1A"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t xml:space="preserve">Olayinka, A.A., (2022). Financial statement analysis as a tool for investment decisions and assessment of companies’ performance. </w:t>
      </w:r>
      <w:r w:rsidRPr="00792499">
        <w:rPr>
          <w:i/>
          <w:iCs/>
          <w:color w:val="000000"/>
          <w:shd w:val="clear" w:color="auto" w:fill="FFFFFF"/>
          <w:lang w:val="en-GB"/>
        </w:rPr>
        <w:t>International Journal of Financial, Accounting, and Management</w:t>
      </w:r>
      <w:r w:rsidRPr="00792499">
        <w:rPr>
          <w:color w:val="000000"/>
          <w:shd w:val="clear" w:color="auto" w:fill="FFFFFF"/>
          <w:lang w:val="en-GB"/>
        </w:rPr>
        <w:t xml:space="preserve">, </w:t>
      </w:r>
      <w:r w:rsidRPr="00792499">
        <w:rPr>
          <w:i/>
          <w:iCs/>
          <w:color w:val="000000"/>
          <w:shd w:val="clear" w:color="auto" w:fill="FFFFFF"/>
          <w:lang w:val="en-GB"/>
        </w:rPr>
        <w:t>4</w:t>
      </w:r>
      <w:r w:rsidRPr="00792499">
        <w:rPr>
          <w:color w:val="000000"/>
          <w:shd w:val="clear" w:color="auto" w:fill="FFFFFF"/>
          <w:lang w:val="en-GB"/>
        </w:rPr>
        <w:t>(1), pp.49-66.</w:t>
      </w:r>
    </w:p>
    <w:p w14:paraId="1B4810DD"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t xml:space="preserve">Robinson, T.R., (2020). </w:t>
      </w:r>
      <w:r w:rsidRPr="00792499">
        <w:rPr>
          <w:i/>
          <w:iCs/>
          <w:color w:val="000000"/>
          <w:shd w:val="clear" w:color="auto" w:fill="FFFFFF"/>
          <w:lang w:val="en-GB"/>
        </w:rPr>
        <w:t>International financial statement analysis</w:t>
      </w:r>
      <w:r w:rsidRPr="00792499">
        <w:rPr>
          <w:color w:val="000000"/>
          <w:shd w:val="clear" w:color="auto" w:fill="FFFFFF"/>
          <w:lang w:val="en-GB"/>
        </w:rPr>
        <w:t>. John Wiley &amp; Sons.</w:t>
      </w:r>
    </w:p>
    <w:p w14:paraId="36BBAFD9" w14:textId="77777777" w:rsidR="000156CB" w:rsidRPr="00792499" w:rsidRDefault="000156CB" w:rsidP="000156CB">
      <w:pPr>
        <w:pStyle w:val="NormalWeb"/>
        <w:spacing w:before="240" w:beforeAutospacing="0" w:after="240" w:afterAutospacing="0" w:line="360" w:lineRule="auto"/>
        <w:jc w:val="both"/>
        <w:rPr>
          <w:lang w:val="en-GB"/>
        </w:rPr>
      </w:pPr>
      <w:r w:rsidRPr="00792499">
        <w:rPr>
          <w:color w:val="000000"/>
          <w:shd w:val="clear" w:color="auto" w:fill="FFFFFF"/>
          <w:lang w:val="en-GB"/>
        </w:rPr>
        <w:lastRenderedPageBreak/>
        <w:t xml:space="preserve">Schroeder, R.G., Clark, M.W. and Cathey, J.M., (2022). </w:t>
      </w:r>
      <w:r w:rsidRPr="00792499">
        <w:rPr>
          <w:i/>
          <w:iCs/>
          <w:color w:val="000000"/>
          <w:shd w:val="clear" w:color="auto" w:fill="FFFFFF"/>
          <w:lang w:val="en-GB"/>
        </w:rPr>
        <w:t>Financial accounting theory and analysis: text and cases</w:t>
      </w:r>
      <w:r w:rsidRPr="00792499">
        <w:rPr>
          <w:color w:val="000000"/>
          <w:shd w:val="clear" w:color="auto" w:fill="FFFFFF"/>
          <w:lang w:val="en-GB"/>
        </w:rPr>
        <w:t>. John Wiley &amp; Sons.</w:t>
      </w:r>
    </w:p>
    <w:p w14:paraId="5955EF32"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Wahlen</w:t>
      </w:r>
      <w:proofErr w:type="spellEnd"/>
      <w:r w:rsidRPr="00792499">
        <w:rPr>
          <w:color w:val="000000"/>
          <w:shd w:val="clear" w:color="auto" w:fill="FFFFFF"/>
          <w:lang w:val="en-GB"/>
        </w:rPr>
        <w:t xml:space="preserve">, J.M., </w:t>
      </w:r>
      <w:proofErr w:type="spellStart"/>
      <w:r w:rsidRPr="00792499">
        <w:rPr>
          <w:color w:val="000000"/>
          <w:shd w:val="clear" w:color="auto" w:fill="FFFFFF"/>
          <w:lang w:val="en-GB"/>
        </w:rPr>
        <w:t>Baginski</w:t>
      </w:r>
      <w:proofErr w:type="spellEnd"/>
      <w:r w:rsidRPr="00792499">
        <w:rPr>
          <w:color w:val="000000"/>
          <w:shd w:val="clear" w:color="auto" w:fill="FFFFFF"/>
          <w:lang w:val="en-GB"/>
        </w:rPr>
        <w:t xml:space="preserve">, S.P. and Bradshaw, M., (2022). </w:t>
      </w:r>
      <w:r w:rsidRPr="00792499">
        <w:rPr>
          <w:i/>
          <w:iCs/>
          <w:color w:val="000000"/>
          <w:shd w:val="clear" w:color="auto" w:fill="FFFFFF"/>
          <w:lang w:val="en-GB"/>
        </w:rPr>
        <w:t>Financial reporting, financial statement analysis and valuation</w:t>
      </w:r>
      <w:r w:rsidRPr="00792499">
        <w:rPr>
          <w:color w:val="000000"/>
          <w:shd w:val="clear" w:color="auto" w:fill="FFFFFF"/>
          <w:lang w:val="en-GB"/>
        </w:rPr>
        <w:t>. Cengage learning.</w:t>
      </w:r>
    </w:p>
    <w:p w14:paraId="50C6496C"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Welc</w:t>
      </w:r>
      <w:proofErr w:type="spellEnd"/>
      <w:r w:rsidRPr="00792499">
        <w:rPr>
          <w:color w:val="000000"/>
          <w:shd w:val="clear" w:color="auto" w:fill="FFFFFF"/>
          <w:lang w:val="en-GB"/>
        </w:rPr>
        <w:t xml:space="preserve">, J., (2022). Financial statement analysis. In </w:t>
      </w:r>
      <w:r w:rsidRPr="00792499">
        <w:rPr>
          <w:i/>
          <w:iCs/>
          <w:color w:val="000000"/>
          <w:shd w:val="clear" w:color="auto" w:fill="FFFFFF"/>
          <w:lang w:val="en-GB"/>
        </w:rPr>
        <w:t>Evaluating Corporate Financial Performance: Tools and Applications</w:t>
      </w:r>
      <w:r w:rsidRPr="00792499">
        <w:rPr>
          <w:color w:val="000000"/>
          <w:shd w:val="clear" w:color="auto" w:fill="FFFFFF"/>
          <w:lang w:val="en-GB"/>
        </w:rPr>
        <w:t xml:space="preserve"> (pp. 131-212). Cham: Springer International Publishing.</w:t>
      </w:r>
    </w:p>
    <w:p w14:paraId="61FBA287" w14:textId="77777777" w:rsidR="000156CB" w:rsidRPr="00792499" w:rsidRDefault="000156CB" w:rsidP="000156CB">
      <w:pPr>
        <w:pStyle w:val="NormalWeb"/>
        <w:spacing w:before="240" w:beforeAutospacing="0" w:after="240" w:afterAutospacing="0" w:line="360" w:lineRule="auto"/>
        <w:jc w:val="both"/>
        <w:rPr>
          <w:lang w:val="en-GB"/>
        </w:rPr>
      </w:pPr>
      <w:proofErr w:type="spellStart"/>
      <w:r w:rsidRPr="00792499">
        <w:rPr>
          <w:color w:val="000000"/>
          <w:shd w:val="clear" w:color="auto" w:fill="FFFFFF"/>
          <w:lang w:val="en-GB"/>
        </w:rPr>
        <w:t>Yhip</w:t>
      </w:r>
      <w:proofErr w:type="spellEnd"/>
      <w:r w:rsidRPr="00792499">
        <w:rPr>
          <w:color w:val="000000"/>
          <w:shd w:val="clear" w:color="auto" w:fill="FFFFFF"/>
          <w:lang w:val="en-GB"/>
        </w:rPr>
        <w:t xml:space="preserve">, T.M., </w:t>
      </w:r>
      <w:proofErr w:type="spellStart"/>
      <w:r w:rsidRPr="00792499">
        <w:rPr>
          <w:color w:val="000000"/>
          <w:shd w:val="clear" w:color="auto" w:fill="FFFFFF"/>
          <w:lang w:val="en-GB"/>
        </w:rPr>
        <w:t>Alagheband</w:t>
      </w:r>
      <w:proofErr w:type="spellEnd"/>
      <w:r w:rsidRPr="00792499">
        <w:rPr>
          <w:color w:val="000000"/>
          <w:shd w:val="clear" w:color="auto" w:fill="FFFFFF"/>
          <w:lang w:val="en-GB"/>
        </w:rPr>
        <w:t xml:space="preserve">, B.M., </w:t>
      </w:r>
      <w:proofErr w:type="spellStart"/>
      <w:r w:rsidRPr="00792499">
        <w:rPr>
          <w:color w:val="000000"/>
          <w:shd w:val="clear" w:color="auto" w:fill="FFFFFF"/>
          <w:lang w:val="en-GB"/>
        </w:rPr>
        <w:t>Yhip</w:t>
      </w:r>
      <w:proofErr w:type="spellEnd"/>
      <w:r w:rsidRPr="00792499">
        <w:rPr>
          <w:color w:val="000000"/>
          <w:shd w:val="clear" w:color="auto" w:fill="FFFFFF"/>
          <w:lang w:val="en-GB"/>
        </w:rPr>
        <w:t xml:space="preserve">, T.M. and </w:t>
      </w:r>
      <w:proofErr w:type="spellStart"/>
      <w:r w:rsidRPr="00792499">
        <w:rPr>
          <w:color w:val="000000"/>
          <w:shd w:val="clear" w:color="auto" w:fill="FFFFFF"/>
          <w:lang w:val="en-GB"/>
        </w:rPr>
        <w:t>Alagheband</w:t>
      </w:r>
      <w:proofErr w:type="spellEnd"/>
      <w:r w:rsidRPr="00792499">
        <w:rPr>
          <w:color w:val="000000"/>
          <w:shd w:val="clear" w:color="auto" w:fill="FFFFFF"/>
          <w:lang w:val="en-GB"/>
        </w:rPr>
        <w:t xml:space="preserve">, B.M., (2020). Financial Statement Analysis. </w:t>
      </w:r>
      <w:r w:rsidRPr="00792499">
        <w:rPr>
          <w:i/>
          <w:iCs/>
          <w:color w:val="000000"/>
          <w:shd w:val="clear" w:color="auto" w:fill="FFFFFF"/>
          <w:lang w:val="en-GB"/>
        </w:rPr>
        <w:t>The Practice of Lending: A Guide to Credit Analysis and Credit Risk</w:t>
      </w:r>
      <w:r w:rsidRPr="00792499">
        <w:rPr>
          <w:color w:val="000000"/>
          <w:shd w:val="clear" w:color="auto" w:fill="FFFFFF"/>
          <w:lang w:val="en-GB"/>
        </w:rPr>
        <w:t>, pp.47-94.</w:t>
      </w:r>
    </w:p>
    <w:p w14:paraId="0D96FD46" w14:textId="77777777" w:rsidR="000156CB" w:rsidRPr="00792499" w:rsidRDefault="000156CB" w:rsidP="000156CB">
      <w:pPr>
        <w:pStyle w:val="Normal1"/>
        <w:rPr>
          <w:lang w:val="en-GB"/>
        </w:rPr>
      </w:pPr>
    </w:p>
    <w:sectPr w:rsidR="000156CB" w:rsidRPr="00792499" w:rsidSect="00BF714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D466D" w14:textId="77777777" w:rsidR="003362F5" w:rsidRDefault="003362F5" w:rsidP="000156CB">
      <w:pPr>
        <w:spacing w:line="240" w:lineRule="auto"/>
      </w:pPr>
      <w:r>
        <w:separator/>
      </w:r>
    </w:p>
  </w:endnote>
  <w:endnote w:type="continuationSeparator" w:id="0">
    <w:p w14:paraId="56D1C8C6" w14:textId="77777777" w:rsidR="003362F5" w:rsidRDefault="003362F5" w:rsidP="000156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3E9D8" w14:textId="77777777" w:rsidR="00D54F64" w:rsidRDefault="00D54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0818"/>
      <w:docPartObj>
        <w:docPartGallery w:val="Page Numbers (Bottom of Page)"/>
        <w:docPartUnique/>
      </w:docPartObj>
    </w:sdtPr>
    <w:sdtContent>
      <w:p w14:paraId="45E25A18" w14:textId="77777777" w:rsidR="000156CB" w:rsidRDefault="00044528">
        <w:pPr>
          <w:pStyle w:val="Footer"/>
          <w:jc w:val="right"/>
        </w:pPr>
        <w:r>
          <w:fldChar w:fldCharType="begin"/>
        </w:r>
        <w:r>
          <w:instrText xml:space="preserve"> PAGE   \* MERGEFORMAT </w:instrText>
        </w:r>
        <w:r>
          <w:fldChar w:fldCharType="separate"/>
        </w:r>
        <w:r w:rsidR="00D54F64">
          <w:rPr>
            <w:noProof/>
          </w:rPr>
          <w:t>17</w:t>
        </w:r>
        <w:r>
          <w:rPr>
            <w:noProof/>
          </w:rPr>
          <w:fldChar w:fldCharType="end"/>
        </w:r>
      </w:p>
    </w:sdtContent>
  </w:sdt>
  <w:p w14:paraId="17A71739" w14:textId="77777777" w:rsidR="000156CB" w:rsidRDefault="000156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FF26" w14:textId="77777777" w:rsidR="00D54F64" w:rsidRDefault="00D54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A66C6" w14:textId="77777777" w:rsidR="003362F5" w:rsidRDefault="003362F5" w:rsidP="000156CB">
      <w:pPr>
        <w:spacing w:line="240" w:lineRule="auto"/>
      </w:pPr>
      <w:r>
        <w:separator/>
      </w:r>
    </w:p>
  </w:footnote>
  <w:footnote w:type="continuationSeparator" w:id="0">
    <w:p w14:paraId="538FA874" w14:textId="77777777" w:rsidR="003362F5" w:rsidRDefault="003362F5" w:rsidP="000156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B4477" w14:textId="77777777" w:rsidR="00D54F64" w:rsidRDefault="00D54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AEF2" w14:textId="77777777" w:rsidR="00D54F64" w:rsidRDefault="00D54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9339D" w14:textId="77777777" w:rsidR="00D54F64" w:rsidRDefault="00D54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DF540"/>
    <w:multiLevelType w:val="hybridMultilevel"/>
    <w:tmpl w:val="00000000"/>
    <w:lvl w:ilvl="0" w:tplc="76E6AFB0">
      <w:start w:val="1"/>
      <w:numFmt w:val="lowerLetter"/>
      <w:lvlText w:val="%1)"/>
      <w:lvlJc w:val="left"/>
      <w:pPr>
        <w:ind w:left="720" w:hanging="360"/>
      </w:pPr>
      <w:rPr>
        <w:u w:val="none"/>
      </w:rPr>
    </w:lvl>
    <w:lvl w:ilvl="1" w:tplc="668A30AC">
      <w:start w:val="1"/>
      <w:numFmt w:val="lowerRoman"/>
      <w:lvlText w:val="%2)"/>
      <w:lvlJc w:val="right"/>
      <w:pPr>
        <w:ind w:left="1440" w:hanging="360"/>
      </w:pPr>
      <w:rPr>
        <w:u w:val="none"/>
      </w:rPr>
    </w:lvl>
    <w:lvl w:ilvl="2" w:tplc="C694A318">
      <w:start w:val="1"/>
      <w:numFmt w:val="decimal"/>
      <w:lvlText w:val="%3)"/>
      <w:lvlJc w:val="left"/>
      <w:pPr>
        <w:ind w:left="2160" w:hanging="360"/>
      </w:pPr>
      <w:rPr>
        <w:u w:val="none"/>
      </w:rPr>
    </w:lvl>
    <w:lvl w:ilvl="3" w:tplc="42DAFD2A">
      <w:start w:val="1"/>
      <w:numFmt w:val="lowerLetter"/>
      <w:lvlText w:val="(%4)"/>
      <w:lvlJc w:val="left"/>
      <w:pPr>
        <w:ind w:left="2880" w:hanging="360"/>
      </w:pPr>
      <w:rPr>
        <w:u w:val="none"/>
      </w:rPr>
    </w:lvl>
    <w:lvl w:ilvl="4" w:tplc="FA3C6A84">
      <w:start w:val="1"/>
      <w:numFmt w:val="lowerRoman"/>
      <w:lvlText w:val="(%5)"/>
      <w:lvlJc w:val="right"/>
      <w:pPr>
        <w:ind w:left="3600" w:hanging="360"/>
      </w:pPr>
      <w:rPr>
        <w:u w:val="none"/>
      </w:rPr>
    </w:lvl>
    <w:lvl w:ilvl="5" w:tplc="B372A7EC">
      <w:start w:val="1"/>
      <w:numFmt w:val="decimal"/>
      <w:lvlText w:val="(%6)"/>
      <w:lvlJc w:val="left"/>
      <w:pPr>
        <w:ind w:left="4320" w:hanging="360"/>
      </w:pPr>
      <w:rPr>
        <w:u w:val="none"/>
      </w:rPr>
    </w:lvl>
    <w:lvl w:ilvl="6" w:tplc="A5F67E3A">
      <w:start w:val="1"/>
      <w:numFmt w:val="lowerLetter"/>
      <w:lvlText w:val="%7."/>
      <w:lvlJc w:val="left"/>
      <w:pPr>
        <w:ind w:left="5040" w:hanging="360"/>
      </w:pPr>
      <w:rPr>
        <w:u w:val="none"/>
      </w:rPr>
    </w:lvl>
    <w:lvl w:ilvl="7" w:tplc="E59AE12E">
      <w:start w:val="1"/>
      <w:numFmt w:val="lowerRoman"/>
      <w:lvlText w:val="%8."/>
      <w:lvlJc w:val="right"/>
      <w:pPr>
        <w:ind w:left="5760" w:hanging="360"/>
      </w:pPr>
      <w:rPr>
        <w:u w:val="none"/>
      </w:rPr>
    </w:lvl>
    <w:lvl w:ilvl="8" w:tplc="33F498CA">
      <w:start w:val="1"/>
      <w:numFmt w:val="decimal"/>
      <w:lvlText w:val="%9."/>
      <w:lvlJc w:val="left"/>
      <w:pPr>
        <w:ind w:left="6480" w:hanging="360"/>
      </w:pPr>
      <w:rPr>
        <w:u w:val="none"/>
      </w:rPr>
    </w:lvl>
  </w:abstractNum>
  <w:abstractNum w:abstractNumId="1" w15:restartNumberingAfterBreak="0">
    <w:nsid w:val="7743A238"/>
    <w:multiLevelType w:val="hybridMultilevel"/>
    <w:tmpl w:val="00000000"/>
    <w:lvl w:ilvl="0" w:tplc="9734430C">
      <w:start w:val="1"/>
      <w:numFmt w:val="lowerLetter"/>
      <w:lvlText w:val="%1)"/>
      <w:lvlJc w:val="left"/>
      <w:pPr>
        <w:ind w:left="720" w:hanging="360"/>
      </w:pPr>
      <w:rPr>
        <w:u w:val="none"/>
      </w:rPr>
    </w:lvl>
    <w:lvl w:ilvl="1" w:tplc="AC7A4396">
      <w:start w:val="1"/>
      <w:numFmt w:val="lowerRoman"/>
      <w:lvlText w:val="%2)"/>
      <w:lvlJc w:val="right"/>
      <w:pPr>
        <w:ind w:left="1440" w:hanging="360"/>
      </w:pPr>
      <w:rPr>
        <w:u w:val="none"/>
      </w:rPr>
    </w:lvl>
    <w:lvl w:ilvl="2" w:tplc="61067858">
      <w:start w:val="1"/>
      <w:numFmt w:val="decimal"/>
      <w:lvlText w:val="%3)"/>
      <w:lvlJc w:val="left"/>
      <w:pPr>
        <w:ind w:left="2160" w:hanging="360"/>
      </w:pPr>
      <w:rPr>
        <w:u w:val="none"/>
      </w:rPr>
    </w:lvl>
    <w:lvl w:ilvl="3" w:tplc="3D069CAE">
      <w:start w:val="1"/>
      <w:numFmt w:val="lowerLetter"/>
      <w:lvlText w:val="(%4)"/>
      <w:lvlJc w:val="left"/>
      <w:pPr>
        <w:ind w:left="2880" w:hanging="360"/>
      </w:pPr>
      <w:rPr>
        <w:u w:val="none"/>
      </w:rPr>
    </w:lvl>
    <w:lvl w:ilvl="4" w:tplc="2B20E90A">
      <w:start w:val="1"/>
      <w:numFmt w:val="lowerRoman"/>
      <w:lvlText w:val="(%5)"/>
      <w:lvlJc w:val="right"/>
      <w:pPr>
        <w:ind w:left="3600" w:hanging="360"/>
      </w:pPr>
      <w:rPr>
        <w:u w:val="none"/>
      </w:rPr>
    </w:lvl>
    <w:lvl w:ilvl="5" w:tplc="B734B33A">
      <w:start w:val="1"/>
      <w:numFmt w:val="decimal"/>
      <w:lvlText w:val="(%6)"/>
      <w:lvlJc w:val="left"/>
      <w:pPr>
        <w:ind w:left="4320" w:hanging="360"/>
      </w:pPr>
      <w:rPr>
        <w:u w:val="none"/>
      </w:rPr>
    </w:lvl>
    <w:lvl w:ilvl="6" w:tplc="43BCD82C">
      <w:start w:val="1"/>
      <w:numFmt w:val="lowerLetter"/>
      <w:lvlText w:val="%7."/>
      <w:lvlJc w:val="left"/>
      <w:pPr>
        <w:ind w:left="5040" w:hanging="360"/>
      </w:pPr>
      <w:rPr>
        <w:u w:val="none"/>
      </w:rPr>
    </w:lvl>
    <w:lvl w:ilvl="7" w:tplc="8E90D64E">
      <w:start w:val="1"/>
      <w:numFmt w:val="lowerRoman"/>
      <w:lvlText w:val="%8."/>
      <w:lvlJc w:val="right"/>
      <w:pPr>
        <w:ind w:left="5760" w:hanging="360"/>
      </w:pPr>
      <w:rPr>
        <w:u w:val="none"/>
      </w:rPr>
    </w:lvl>
    <w:lvl w:ilvl="8" w:tplc="2CC83FF6">
      <w:start w:val="1"/>
      <w:numFmt w:val="decimal"/>
      <w:lvlText w:val="%9."/>
      <w:lvlJc w:val="left"/>
      <w:pPr>
        <w:ind w:left="6480" w:hanging="360"/>
      </w:pPr>
      <w:rPr>
        <w:u w:val="none"/>
      </w:rPr>
    </w:lvl>
  </w:abstractNum>
  <w:num w:numId="1" w16cid:durableId="1184201865">
    <w:abstractNumId w:val="0"/>
  </w:num>
  <w:num w:numId="2" w16cid:durableId="1655643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40"/>
    <w:rsid w:val="000156CB"/>
    <w:rsid w:val="00044528"/>
    <w:rsid w:val="001006FA"/>
    <w:rsid w:val="003362F5"/>
    <w:rsid w:val="00474FDC"/>
    <w:rsid w:val="004A770B"/>
    <w:rsid w:val="006225B1"/>
    <w:rsid w:val="00792499"/>
    <w:rsid w:val="00966254"/>
    <w:rsid w:val="00BF7140"/>
    <w:rsid w:val="00D54F64"/>
    <w:rsid w:val="00F34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E7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156CB"/>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BF7140"/>
    <w:pPr>
      <w:keepNext/>
      <w:keepLines/>
      <w:spacing w:before="360" w:after="120"/>
      <w:outlineLvl w:val="1"/>
    </w:pPr>
    <w:rPr>
      <w:sz w:val="32"/>
      <w:szCs w:val="32"/>
    </w:rPr>
  </w:style>
  <w:style w:type="paragraph" w:styleId="Heading3">
    <w:name w:val="heading 3"/>
    <w:basedOn w:val="Normal1"/>
    <w:next w:val="Normal1"/>
    <w:rsid w:val="00BF7140"/>
    <w:pPr>
      <w:keepNext/>
      <w:keepLines/>
      <w:spacing w:before="320" w:after="80"/>
      <w:outlineLvl w:val="2"/>
    </w:pPr>
    <w:rPr>
      <w:color w:val="434343"/>
      <w:sz w:val="28"/>
      <w:szCs w:val="28"/>
    </w:rPr>
  </w:style>
  <w:style w:type="paragraph" w:styleId="Heading4">
    <w:name w:val="heading 4"/>
    <w:basedOn w:val="Normal1"/>
    <w:next w:val="Normal1"/>
    <w:rsid w:val="00BF7140"/>
    <w:pPr>
      <w:keepNext/>
      <w:keepLines/>
      <w:spacing w:before="280" w:after="80"/>
      <w:outlineLvl w:val="3"/>
    </w:pPr>
    <w:rPr>
      <w:color w:val="666666"/>
      <w:sz w:val="24"/>
      <w:szCs w:val="24"/>
    </w:rPr>
  </w:style>
  <w:style w:type="paragraph" w:styleId="Heading5">
    <w:name w:val="heading 5"/>
    <w:basedOn w:val="Normal1"/>
    <w:next w:val="Normal1"/>
    <w:rsid w:val="00BF7140"/>
    <w:pPr>
      <w:keepNext/>
      <w:keepLines/>
      <w:spacing w:before="240" w:after="80"/>
      <w:outlineLvl w:val="4"/>
    </w:pPr>
    <w:rPr>
      <w:color w:val="666666"/>
    </w:rPr>
  </w:style>
  <w:style w:type="paragraph" w:styleId="Heading6">
    <w:name w:val="heading 6"/>
    <w:basedOn w:val="Normal1"/>
    <w:next w:val="Normal1"/>
    <w:rsid w:val="00BF714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F7140"/>
  </w:style>
  <w:style w:type="table" w:customStyle="1" w:styleId="TableNormal1">
    <w:name w:val="Table Normal1"/>
    <w:rsid w:val="00BF7140"/>
    <w:tblPr>
      <w:tblCellMar>
        <w:top w:w="0" w:type="dxa"/>
        <w:left w:w="0" w:type="dxa"/>
        <w:bottom w:w="0" w:type="dxa"/>
        <w:right w:w="0" w:type="dxa"/>
      </w:tblCellMar>
    </w:tblPr>
  </w:style>
  <w:style w:type="paragraph" w:styleId="Title">
    <w:name w:val="Title"/>
    <w:basedOn w:val="Normal1"/>
    <w:next w:val="Normal1"/>
    <w:rsid w:val="00BF7140"/>
    <w:pPr>
      <w:keepNext/>
      <w:keepLines/>
      <w:spacing w:after="60"/>
    </w:pPr>
    <w:rPr>
      <w:sz w:val="52"/>
      <w:szCs w:val="52"/>
    </w:rPr>
  </w:style>
  <w:style w:type="paragraph" w:styleId="Subtitle">
    <w:name w:val="Subtitle"/>
    <w:basedOn w:val="Normal1"/>
    <w:next w:val="Normal1"/>
    <w:rsid w:val="00BF7140"/>
    <w:pPr>
      <w:keepNext/>
      <w:keepLines/>
      <w:spacing w:after="320"/>
    </w:pPr>
    <w:rPr>
      <w:color w:val="666666"/>
      <w:sz w:val="30"/>
      <w:szCs w:val="30"/>
    </w:rPr>
  </w:style>
  <w:style w:type="table" w:customStyle="1" w:styleId="Table1">
    <w:name w:val="Table1"/>
    <w:basedOn w:val="TableNormal1"/>
    <w:rsid w:val="00BF7140"/>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BF7140"/>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BF7140"/>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BF714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0156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156CB"/>
  </w:style>
  <w:style w:type="paragraph" w:styleId="Footer">
    <w:name w:val="footer"/>
    <w:basedOn w:val="Normal"/>
    <w:link w:val="FooterChar"/>
    <w:uiPriority w:val="99"/>
    <w:unhideWhenUsed/>
    <w:rsid w:val="000156CB"/>
    <w:pPr>
      <w:tabs>
        <w:tab w:val="center" w:pos="4680"/>
        <w:tab w:val="right" w:pos="9360"/>
      </w:tabs>
      <w:spacing w:line="240" w:lineRule="auto"/>
    </w:pPr>
  </w:style>
  <w:style w:type="character" w:customStyle="1" w:styleId="FooterChar">
    <w:name w:val="Footer Char"/>
    <w:basedOn w:val="DefaultParagraphFont"/>
    <w:link w:val="Footer"/>
    <w:uiPriority w:val="99"/>
    <w:rsid w:val="000156CB"/>
  </w:style>
  <w:style w:type="paragraph" w:styleId="NormalWeb">
    <w:name w:val="Normal (Web)"/>
    <w:basedOn w:val="Normal"/>
    <w:uiPriority w:val="99"/>
    <w:semiHidden/>
    <w:unhideWhenUsed/>
    <w:rsid w:val="000156CB"/>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9249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92499"/>
    <w:pPr>
      <w:spacing w:after="100"/>
    </w:pPr>
  </w:style>
  <w:style w:type="character" w:styleId="Hyperlink">
    <w:name w:val="Hyperlink"/>
    <w:basedOn w:val="DefaultParagraphFont"/>
    <w:uiPriority w:val="99"/>
    <w:unhideWhenUsed/>
    <w:rsid w:val="00792499"/>
    <w:rPr>
      <w:color w:val="0000FF" w:themeColor="hyperlink"/>
      <w:u w:val="single"/>
    </w:rPr>
  </w:style>
  <w:style w:type="paragraph" w:styleId="BalloonText">
    <w:name w:val="Balloon Text"/>
    <w:basedOn w:val="Normal"/>
    <w:link w:val="BalloonTextChar"/>
    <w:uiPriority w:val="99"/>
    <w:semiHidden/>
    <w:unhideWhenUsed/>
    <w:rsid w:val="007924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4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442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02903A2-135B-4267-AD1A-7C53FFDA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2304</Words>
  <Characters>13139</Characters>
  <Application>Microsoft Office Word</Application>
  <DocSecurity>0</DocSecurity>
  <Lines>109</Lines>
  <Paragraphs>30</Paragraphs>
  <ScaleCrop>false</ScaleCrop>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2023-04-21T07:34:00Z</dcterms:created>
  <dcterms:modified xsi:type="dcterms:W3CDTF">2023-04-28T21:59:00Z</dcterms:modified>
</cp:coreProperties>
</file>